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CFD0E" w14:textId="77777777" w:rsidR="004B4224" w:rsidRPr="00150391" w:rsidRDefault="004B4224" w:rsidP="00580008">
      <w:pPr>
        <w:pStyle w:val="CoverPage"/>
        <w:tabs>
          <w:tab w:val="left" w:pos="851"/>
          <w:tab w:val="left" w:pos="2835"/>
        </w:tabs>
        <w:rPr>
          <w:rFonts w:cs="Calibri"/>
        </w:rPr>
      </w:pPr>
      <w:bookmarkStart w:id="0" w:name="_GoBack"/>
      <w:bookmarkEnd w:id="0"/>
    </w:p>
    <w:p w14:paraId="0364CE71" w14:textId="77777777" w:rsidR="008B58F6" w:rsidRPr="00150391" w:rsidRDefault="008B58F6" w:rsidP="00580008">
      <w:pPr>
        <w:pStyle w:val="CoverPage"/>
        <w:tabs>
          <w:tab w:val="left" w:pos="851"/>
          <w:tab w:val="left" w:pos="2835"/>
        </w:tabs>
        <w:rPr>
          <w:rFonts w:cs="Calibri"/>
        </w:rPr>
      </w:pPr>
    </w:p>
    <w:p w14:paraId="4D507C0C" w14:textId="77777777" w:rsidR="004B4224" w:rsidRPr="00150391" w:rsidRDefault="004B4224" w:rsidP="00A10310">
      <w:pPr>
        <w:pStyle w:val="CoverPage"/>
        <w:rPr>
          <w:rFonts w:cs="Calibri"/>
        </w:rPr>
      </w:pPr>
    </w:p>
    <w:p w14:paraId="23B3BEA3" w14:textId="77777777" w:rsidR="00E972BB" w:rsidRPr="00150391" w:rsidRDefault="00E972BB" w:rsidP="00A10310">
      <w:pPr>
        <w:pStyle w:val="CoverPage"/>
        <w:rPr>
          <w:rFonts w:cs="Calibri"/>
        </w:rPr>
      </w:pPr>
    </w:p>
    <w:p w14:paraId="41A54ABB" w14:textId="77777777" w:rsidR="004B4224" w:rsidRPr="00150391" w:rsidRDefault="004B4224" w:rsidP="00A10310">
      <w:pPr>
        <w:pStyle w:val="CoverPage"/>
        <w:rPr>
          <w:rFonts w:cs="Calibri"/>
        </w:rPr>
      </w:pPr>
    </w:p>
    <w:p w14:paraId="7D30C7C3" w14:textId="77777777" w:rsidR="004B4224" w:rsidRPr="00150391" w:rsidRDefault="004B4224" w:rsidP="00A10310">
      <w:pPr>
        <w:pStyle w:val="CoverPage"/>
        <w:rPr>
          <w:rFonts w:cs="Calibri"/>
        </w:rPr>
      </w:pPr>
    </w:p>
    <w:p w14:paraId="06E6F6BE" w14:textId="77777777" w:rsidR="004B4224" w:rsidRPr="00150391" w:rsidRDefault="004B4224" w:rsidP="00A10310">
      <w:pPr>
        <w:pStyle w:val="CoverPage"/>
        <w:rPr>
          <w:rFonts w:cs="Calibri"/>
        </w:rPr>
      </w:pPr>
    </w:p>
    <w:p w14:paraId="6594846E" w14:textId="77777777" w:rsidR="004B4224" w:rsidRPr="00150391" w:rsidRDefault="004B4224" w:rsidP="00A10310">
      <w:pPr>
        <w:pStyle w:val="CoverPage"/>
        <w:rPr>
          <w:rFonts w:cs="Calibri"/>
        </w:rPr>
      </w:pPr>
    </w:p>
    <w:p w14:paraId="0DA94CA7" w14:textId="77777777" w:rsidR="004B4224" w:rsidRPr="00150391" w:rsidRDefault="004B4224" w:rsidP="00A10310">
      <w:pPr>
        <w:pStyle w:val="CoverPage"/>
        <w:rPr>
          <w:rFonts w:cs="Calibri"/>
        </w:rPr>
      </w:pPr>
    </w:p>
    <w:p w14:paraId="32EE4A3B" w14:textId="77777777" w:rsidR="004B4224" w:rsidRPr="00150391" w:rsidRDefault="004B4224" w:rsidP="00A10310">
      <w:pPr>
        <w:pStyle w:val="CoverPage"/>
        <w:rPr>
          <w:rFonts w:cs="Calibri"/>
        </w:rPr>
      </w:pPr>
    </w:p>
    <w:p w14:paraId="7AA28FAC" w14:textId="77777777" w:rsidR="004B4224" w:rsidRPr="00150391" w:rsidRDefault="004B4224" w:rsidP="00A10310">
      <w:pPr>
        <w:pStyle w:val="CoverPage"/>
        <w:rPr>
          <w:rFonts w:cs="Calibri"/>
        </w:rPr>
      </w:pPr>
    </w:p>
    <w:p w14:paraId="496EBC4F" w14:textId="77777777" w:rsidR="004B4224" w:rsidRPr="00150391" w:rsidRDefault="004B4224" w:rsidP="00A10310">
      <w:pPr>
        <w:pStyle w:val="CoverPage"/>
        <w:rPr>
          <w:rFonts w:cs="Calibri"/>
        </w:rPr>
      </w:pPr>
    </w:p>
    <w:p w14:paraId="383B023C" w14:textId="77777777" w:rsidR="000E6D69" w:rsidRPr="00150391" w:rsidRDefault="000E6D69" w:rsidP="00A10310">
      <w:pPr>
        <w:pStyle w:val="CoverPage"/>
        <w:rPr>
          <w:rFonts w:cs="Calibri"/>
        </w:rPr>
      </w:pPr>
    </w:p>
    <w:p w14:paraId="4AD181FA" w14:textId="2F366B2F" w:rsidR="006C4DD1" w:rsidRPr="00150391" w:rsidRDefault="53BF0693">
      <w:pPr>
        <w:pStyle w:val="CoverPage"/>
        <w:rPr>
          <w:rFonts w:cs="Calibri"/>
        </w:rPr>
      </w:pPr>
      <w:r w:rsidRPr="00150391">
        <w:rPr>
          <w:rFonts w:cs="Calibri"/>
          <w:sz w:val="40"/>
        </w:rPr>
        <w:t xml:space="preserve">Guide to preparing the </w:t>
      </w:r>
      <w:r w:rsidR="00E60DEE" w:rsidRPr="00150391">
        <w:rPr>
          <w:rFonts w:cs="Calibri"/>
          <w:sz w:val="40"/>
        </w:rPr>
        <w:t>October</w:t>
      </w:r>
      <w:r w:rsidR="0003349E" w:rsidRPr="00150391">
        <w:rPr>
          <w:rFonts w:cs="Calibri"/>
        </w:rPr>
        <w:br/>
      </w:r>
      <w:r w:rsidR="00197D38" w:rsidRPr="00150391">
        <w:rPr>
          <w:rFonts w:cs="Calibri"/>
          <w:sz w:val="40"/>
        </w:rPr>
        <w:t>2022</w:t>
      </w:r>
      <w:r w:rsidRPr="00150391">
        <w:rPr>
          <w:rFonts w:cs="Calibri"/>
          <w:sz w:val="40"/>
        </w:rPr>
        <w:t>-</w:t>
      </w:r>
      <w:r w:rsidR="00197D38" w:rsidRPr="00150391">
        <w:rPr>
          <w:rFonts w:cs="Calibri"/>
          <w:sz w:val="40"/>
        </w:rPr>
        <w:t>23 </w:t>
      </w:r>
      <w:r w:rsidRPr="00150391">
        <w:rPr>
          <w:rFonts w:cs="Calibri"/>
          <w:sz w:val="40"/>
        </w:rPr>
        <w:t>Portfolio Budget Statements</w:t>
      </w:r>
    </w:p>
    <w:p w14:paraId="627426EA" w14:textId="77777777" w:rsidR="004B4224" w:rsidRPr="00150391" w:rsidRDefault="004B4224">
      <w:pPr>
        <w:rPr>
          <w:rFonts w:cs="Calibri"/>
        </w:rPr>
      </w:pPr>
    </w:p>
    <w:p w14:paraId="1D05C9B5" w14:textId="77777777" w:rsidR="004B4224" w:rsidRPr="00150391" w:rsidRDefault="004B4224">
      <w:pPr>
        <w:rPr>
          <w:rFonts w:cs="Calibri"/>
        </w:rPr>
      </w:pPr>
    </w:p>
    <w:p w14:paraId="0217F169" w14:textId="11B8369D" w:rsidR="008579E7" w:rsidRPr="00150391" w:rsidRDefault="00771BA6" w:rsidP="000A7DEC">
      <w:pPr>
        <w:rPr>
          <w:rFonts w:cs="Calibri"/>
        </w:rPr>
      </w:pPr>
      <w:r w:rsidRPr="00B02E97">
        <w:rPr>
          <w:rFonts w:cs="Calibri"/>
        </w:rPr>
        <w:t>September</w:t>
      </w:r>
      <w:r w:rsidR="00E60DEE" w:rsidRPr="00B02E97">
        <w:rPr>
          <w:rFonts w:cs="Calibri"/>
        </w:rPr>
        <w:t xml:space="preserve"> </w:t>
      </w:r>
      <w:r w:rsidR="00BA2416" w:rsidRPr="00B02E97">
        <w:rPr>
          <w:rFonts w:cs="Calibri"/>
        </w:rPr>
        <w:t>2022</w:t>
      </w:r>
    </w:p>
    <w:p w14:paraId="6B94F5A6" w14:textId="77777777" w:rsidR="00D157AC" w:rsidRPr="00150391" w:rsidRDefault="00D157AC">
      <w:pPr>
        <w:rPr>
          <w:rFonts w:cs="Calibri"/>
        </w:rPr>
      </w:pPr>
    </w:p>
    <w:p w14:paraId="7DE608AA" w14:textId="77777777" w:rsidR="00D157AC" w:rsidRPr="00150391" w:rsidRDefault="00D157AC">
      <w:pPr>
        <w:rPr>
          <w:rFonts w:cs="Calibri"/>
        </w:rPr>
        <w:sectPr w:rsidR="00D157AC" w:rsidRPr="00150391" w:rsidSect="005D3E0C">
          <w:headerReference w:type="default" r:id="rId13"/>
          <w:headerReference w:type="first" r:id="rId14"/>
          <w:footerReference w:type="first" r:id="rId15"/>
          <w:type w:val="continuous"/>
          <w:pgSz w:w="11906" w:h="16838" w:code="9"/>
          <w:pgMar w:top="2268" w:right="1418" w:bottom="1418" w:left="1418" w:header="567" w:footer="624" w:gutter="0"/>
          <w:cols w:space="708"/>
          <w:docGrid w:linePitch="360"/>
        </w:sectPr>
      </w:pPr>
    </w:p>
    <w:bookmarkStart w:id="1" w:name="_Toc411852660" w:displacedByCustomXml="next"/>
    <w:bookmarkStart w:id="2" w:name="_Toc323051289" w:displacedByCustomXml="next"/>
    <w:bookmarkStart w:id="3" w:name="_Toc323302545" w:displacedByCustomXml="next"/>
    <w:bookmarkStart w:id="4" w:name="_Toc326738549" w:displacedByCustomXml="next"/>
    <w:bookmarkStart w:id="5" w:name="_Toc326741619" w:displacedByCustomXml="next"/>
    <w:bookmarkStart w:id="6" w:name="_Toc323302560" w:displacedByCustomXml="next"/>
    <w:sdt>
      <w:sdtPr>
        <w:rPr>
          <w:rFonts w:ascii="Calibri" w:eastAsiaTheme="minorHAnsi" w:hAnsi="Calibri" w:cs="Calibri"/>
          <w:color w:val="auto"/>
          <w:sz w:val="22"/>
          <w:szCs w:val="28"/>
          <w:lang w:val="en-AU"/>
        </w:rPr>
        <w:id w:val="800733716"/>
        <w:docPartObj>
          <w:docPartGallery w:val="Table of Contents"/>
          <w:docPartUnique/>
        </w:docPartObj>
      </w:sdtPr>
      <w:sdtEndPr>
        <w:rPr>
          <w:b/>
          <w:bCs/>
          <w:noProof/>
        </w:rPr>
      </w:sdtEndPr>
      <w:sdtContent>
        <w:p w14:paraId="1B191ED4" w14:textId="36E55AE8" w:rsidR="006F618C" w:rsidRPr="00150391" w:rsidRDefault="006F618C">
          <w:pPr>
            <w:pStyle w:val="TOCHeading"/>
            <w:rPr>
              <w:rFonts w:ascii="Calibri" w:hAnsi="Calibri" w:cs="Calibri"/>
            </w:rPr>
          </w:pPr>
          <w:r w:rsidRPr="00150391">
            <w:rPr>
              <w:rFonts w:ascii="Calibri" w:hAnsi="Calibri" w:cs="Calibri"/>
            </w:rPr>
            <w:t>Contents</w:t>
          </w:r>
        </w:p>
        <w:p w14:paraId="356857A1" w14:textId="68B9095E" w:rsidR="00FE534B" w:rsidRDefault="006F618C">
          <w:pPr>
            <w:pStyle w:val="TOC1"/>
            <w:rPr>
              <w:rFonts w:asciiTheme="minorHAnsi" w:eastAsiaTheme="minorEastAsia" w:hAnsiTheme="minorHAnsi"/>
              <w:sz w:val="22"/>
              <w:szCs w:val="22"/>
              <w:lang w:eastAsia="en-AU"/>
            </w:rPr>
          </w:pPr>
          <w:r w:rsidRPr="00150391">
            <w:rPr>
              <w:rFonts w:cs="Calibri"/>
            </w:rPr>
            <w:fldChar w:fldCharType="begin"/>
          </w:r>
          <w:r w:rsidRPr="00150391">
            <w:rPr>
              <w:rFonts w:cs="Calibri"/>
            </w:rPr>
            <w:instrText xml:space="preserve"> TOC \o "1-3" \h \z \u </w:instrText>
          </w:r>
          <w:r w:rsidRPr="00150391">
            <w:rPr>
              <w:rFonts w:cs="Calibri"/>
            </w:rPr>
            <w:fldChar w:fldCharType="separate"/>
          </w:r>
          <w:hyperlink w:anchor="_Toc114576247" w:history="1">
            <w:r w:rsidR="00FE534B" w:rsidRPr="009E2F25">
              <w:rPr>
                <w:rStyle w:val="Hyperlink"/>
                <w:rFonts w:ascii="Calibri" w:hAnsi="Calibri" w:cs="Calibri"/>
              </w:rPr>
              <w:t>1.</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Key Information</w:t>
            </w:r>
            <w:r w:rsidR="00FE534B">
              <w:rPr>
                <w:webHidden/>
              </w:rPr>
              <w:tab/>
            </w:r>
            <w:r w:rsidR="00FE534B">
              <w:rPr>
                <w:webHidden/>
              </w:rPr>
              <w:fldChar w:fldCharType="begin"/>
            </w:r>
            <w:r w:rsidR="00FE534B">
              <w:rPr>
                <w:webHidden/>
              </w:rPr>
              <w:instrText xml:space="preserve"> PAGEREF _Toc114576247 \h </w:instrText>
            </w:r>
            <w:r w:rsidR="00FE534B">
              <w:rPr>
                <w:webHidden/>
              </w:rPr>
            </w:r>
            <w:r w:rsidR="00FE534B">
              <w:rPr>
                <w:webHidden/>
              </w:rPr>
              <w:fldChar w:fldCharType="separate"/>
            </w:r>
            <w:r w:rsidR="00FE534B">
              <w:rPr>
                <w:webHidden/>
              </w:rPr>
              <w:t>5</w:t>
            </w:r>
            <w:r w:rsidR="00FE534B">
              <w:rPr>
                <w:webHidden/>
              </w:rPr>
              <w:fldChar w:fldCharType="end"/>
            </w:r>
          </w:hyperlink>
        </w:p>
        <w:p w14:paraId="7EF67DF2" w14:textId="60B1CDB9" w:rsidR="00FE534B" w:rsidRPr="000277A4" w:rsidRDefault="00A438FF">
          <w:pPr>
            <w:pStyle w:val="TOC1"/>
            <w:rPr>
              <w:rFonts w:eastAsiaTheme="minorEastAsia" w:cs="Calibri"/>
              <w:sz w:val="22"/>
              <w:szCs w:val="22"/>
              <w:lang w:eastAsia="en-AU"/>
            </w:rPr>
          </w:pPr>
          <w:hyperlink w:anchor="_Toc114576248" w:history="1">
            <w:r w:rsidR="00FE534B" w:rsidRPr="000277A4">
              <w:rPr>
                <w:rStyle w:val="Hyperlink"/>
                <w:rFonts w:ascii="Calibri" w:hAnsi="Calibri" w:cs="Calibri"/>
              </w:rPr>
              <w:t>2.</w:t>
            </w:r>
            <w:r w:rsidR="00FE534B" w:rsidRPr="000277A4">
              <w:rPr>
                <w:rFonts w:eastAsiaTheme="minorEastAsia" w:cs="Calibri"/>
                <w:sz w:val="22"/>
                <w:szCs w:val="22"/>
                <w:lang w:eastAsia="en-AU"/>
              </w:rPr>
              <w:tab/>
            </w:r>
            <w:r w:rsidR="00FE534B" w:rsidRPr="000277A4">
              <w:rPr>
                <w:rStyle w:val="Hyperlink"/>
                <w:rFonts w:ascii="Calibri" w:hAnsi="Calibri" w:cs="Calibri"/>
              </w:rPr>
              <w:t>Changes to the 2022-23 PB Statement</w:t>
            </w:r>
            <w:r w:rsidR="00FE534B" w:rsidRPr="000277A4">
              <w:rPr>
                <w:rFonts w:cs="Calibri"/>
                <w:webHidden/>
              </w:rPr>
              <w:tab/>
            </w:r>
            <w:r w:rsidR="00FE534B" w:rsidRPr="000277A4">
              <w:rPr>
                <w:rFonts w:cs="Calibri"/>
                <w:webHidden/>
              </w:rPr>
              <w:fldChar w:fldCharType="begin"/>
            </w:r>
            <w:r w:rsidR="00FE534B" w:rsidRPr="000277A4">
              <w:rPr>
                <w:rFonts w:cs="Calibri"/>
                <w:webHidden/>
              </w:rPr>
              <w:instrText xml:space="preserve"> PAGEREF _Toc114576248 \h </w:instrText>
            </w:r>
            <w:r w:rsidR="00FE534B" w:rsidRPr="000277A4">
              <w:rPr>
                <w:rFonts w:cs="Calibri"/>
                <w:webHidden/>
              </w:rPr>
            </w:r>
            <w:r w:rsidR="00FE534B" w:rsidRPr="000277A4">
              <w:rPr>
                <w:rFonts w:cs="Calibri"/>
                <w:webHidden/>
              </w:rPr>
              <w:fldChar w:fldCharType="separate"/>
            </w:r>
            <w:r w:rsidR="00FE534B" w:rsidRPr="000277A4">
              <w:rPr>
                <w:rFonts w:cs="Calibri"/>
                <w:webHidden/>
              </w:rPr>
              <w:t>8</w:t>
            </w:r>
            <w:r w:rsidR="00FE534B" w:rsidRPr="000277A4">
              <w:rPr>
                <w:rFonts w:cs="Calibri"/>
                <w:webHidden/>
              </w:rPr>
              <w:fldChar w:fldCharType="end"/>
            </w:r>
          </w:hyperlink>
        </w:p>
        <w:p w14:paraId="514AB189" w14:textId="52914F3A" w:rsidR="00FE534B" w:rsidRPr="000277A4" w:rsidRDefault="00A438FF">
          <w:pPr>
            <w:pStyle w:val="TOC2"/>
            <w:rPr>
              <w:rFonts w:eastAsiaTheme="minorEastAsia" w:cs="Calibri"/>
              <w:szCs w:val="22"/>
              <w:lang w:eastAsia="en-AU"/>
            </w:rPr>
          </w:pPr>
          <w:hyperlink w:anchor="_Toc114576249" w:history="1">
            <w:r w:rsidR="00FE534B" w:rsidRPr="000277A4">
              <w:rPr>
                <w:rStyle w:val="Hyperlink"/>
                <w:rFonts w:ascii="Calibri" w:hAnsi="Calibri" w:cs="Calibri"/>
              </w:rPr>
              <w:t>2.1</w:t>
            </w:r>
            <w:r w:rsidR="00FE534B" w:rsidRPr="000277A4">
              <w:rPr>
                <w:rFonts w:eastAsiaTheme="minorEastAsia" w:cs="Calibri"/>
                <w:szCs w:val="22"/>
                <w:lang w:eastAsia="en-AU"/>
              </w:rPr>
              <w:tab/>
            </w:r>
            <w:r w:rsidR="00FE534B" w:rsidRPr="000277A4">
              <w:rPr>
                <w:rStyle w:val="Hyperlink"/>
                <w:rFonts w:ascii="Calibri" w:hAnsi="Calibri" w:cs="Calibri"/>
              </w:rPr>
              <w:t>Changes to Table 1.2 October 2022-23 Budget measures</w:t>
            </w:r>
            <w:r w:rsidR="00FE534B" w:rsidRPr="000277A4">
              <w:rPr>
                <w:rFonts w:cs="Calibri"/>
                <w:webHidden/>
              </w:rPr>
              <w:tab/>
            </w:r>
            <w:r w:rsidR="00FE534B" w:rsidRPr="000277A4">
              <w:rPr>
                <w:rFonts w:cs="Calibri"/>
                <w:webHidden/>
              </w:rPr>
              <w:fldChar w:fldCharType="begin"/>
            </w:r>
            <w:r w:rsidR="00FE534B" w:rsidRPr="000277A4">
              <w:rPr>
                <w:rFonts w:cs="Calibri"/>
                <w:webHidden/>
              </w:rPr>
              <w:instrText xml:space="preserve"> PAGEREF _Toc114576249 \h </w:instrText>
            </w:r>
            <w:r w:rsidR="00FE534B" w:rsidRPr="000277A4">
              <w:rPr>
                <w:rFonts w:cs="Calibri"/>
                <w:webHidden/>
              </w:rPr>
            </w:r>
            <w:r w:rsidR="00FE534B" w:rsidRPr="000277A4">
              <w:rPr>
                <w:rFonts w:cs="Calibri"/>
                <w:webHidden/>
              </w:rPr>
              <w:fldChar w:fldCharType="separate"/>
            </w:r>
            <w:r w:rsidR="00FE534B" w:rsidRPr="000277A4">
              <w:rPr>
                <w:rFonts w:cs="Calibri"/>
                <w:webHidden/>
              </w:rPr>
              <w:t>8</w:t>
            </w:r>
            <w:r w:rsidR="00FE534B" w:rsidRPr="000277A4">
              <w:rPr>
                <w:rFonts w:cs="Calibri"/>
                <w:webHidden/>
              </w:rPr>
              <w:fldChar w:fldCharType="end"/>
            </w:r>
          </w:hyperlink>
        </w:p>
        <w:p w14:paraId="3989C217" w14:textId="76C97C41" w:rsidR="00FE534B" w:rsidRPr="000277A4" w:rsidRDefault="00A438FF">
          <w:pPr>
            <w:pStyle w:val="TOC3"/>
            <w:tabs>
              <w:tab w:val="left" w:pos="1843"/>
            </w:tabs>
            <w:rPr>
              <w:rFonts w:eastAsiaTheme="minorEastAsia" w:cs="Calibri"/>
              <w:szCs w:val="22"/>
              <w:lang w:eastAsia="en-AU"/>
            </w:rPr>
          </w:pPr>
          <w:hyperlink w:anchor="_Toc114576250" w:history="1">
            <w:r w:rsidR="00FE534B" w:rsidRPr="000277A4">
              <w:rPr>
                <w:rStyle w:val="Hyperlink"/>
                <w:rFonts w:ascii="Calibri" w:hAnsi="Calibri" w:cs="Calibri"/>
              </w:rPr>
              <w:t>2.1.1</w:t>
            </w:r>
            <w:r w:rsidR="00FE534B" w:rsidRPr="000277A4">
              <w:rPr>
                <w:rFonts w:eastAsiaTheme="minorEastAsia" w:cs="Calibri"/>
                <w:szCs w:val="22"/>
                <w:lang w:eastAsia="en-AU"/>
              </w:rPr>
              <w:tab/>
            </w:r>
            <w:r w:rsidR="00FE534B" w:rsidRPr="000277A4">
              <w:rPr>
                <w:rStyle w:val="Hyperlink"/>
                <w:rFonts w:ascii="Calibri" w:hAnsi="Calibri" w:cs="Calibri"/>
              </w:rPr>
              <w:t>Reporting of (nfp) in the PB statement</w:t>
            </w:r>
            <w:r w:rsidR="00FE534B" w:rsidRPr="000277A4">
              <w:rPr>
                <w:rFonts w:cs="Calibri"/>
                <w:webHidden/>
              </w:rPr>
              <w:tab/>
            </w:r>
            <w:r w:rsidR="00FE534B" w:rsidRPr="000277A4">
              <w:rPr>
                <w:rFonts w:cs="Calibri"/>
                <w:webHidden/>
              </w:rPr>
              <w:fldChar w:fldCharType="begin"/>
            </w:r>
            <w:r w:rsidR="00FE534B" w:rsidRPr="000277A4">
              <w:rPr>
                <w:rFonts w:cs="Calibri"/>
                <w:webHidden/>
              </w:rPr>
              <w:instrText xml:space="preserve"> PAGEREF _Toc114576250 \h </w:instrText>
            </w:r>
            <w:r w:rsidR="00FE534B" w:rsidRPr="000277A4">
              <w:rPr>
                <w:rFonts w:cs="Calibri"/>
                <w:webHidden/>
              </w:rPr>
            </w:r>
            <w:r w:rsidR="00FE534B" w:rsidRPr="000277A4">
              <w:rPr>
                <w:rFonts w:cs="Calibri"/>
                <w:webHidden/>
              </w:rPr>
              <w:fldChar w:fldCharType="separate"/>
            </w:r>
            <w:r w:rsidR="00FE534B" w:rsidRPr="000277A4">
              <w:rPr>
                <w:rFonts w:cs="Calibri"/>
                <w:webHidden/>
              </w:rPr>
              <w:t>8</w:t>
            </w:r>
            <w:r w:rsidR="00FE534B" w:rsidRPr="000277A4">
              <w:rPr>
                <w:rFonts w:cs="Calibri"/>
                <w:webHidden/>
              </w:rPr>
              <w:fldChar w:fldCharType="end"/>
            </w:r>
          </w:hyperlink>
        </w:p>
        <w:p w14:paraId="74E7C6B7" w14:textId="1BFACD3B" w:rsidR="00FE534B" w:rsidRPr="000277A4" w:rsidRDefault="00A438FF">
          <w:pPr>
            <w:pStyle w:val="TOC3"/>
            <w:tabs>
              <w:tab w:val="left" w:pos="1843"/>
            </w:tabs>
            <w:rPr>
              <w:rFonts w:eastAsiaTheme="minorEastAsia" w:cs="Calibri"/>
              <w:szCs w:val="22"/>
              <w:lang w:eastAsia="en-AU"/>
            </w:rPr>
          </w:pPr>
          <w:hyperlink w:anchor="_Toc114576251" w:history="1">
            <w:r w:rsidR="00FE534B" w:rsidRPr="000277A4">
              <w:rPr>
                <w:rStyle w:val="Hyperlink"/>
                <w:rFonts w:ascii="Calibri" w:hAnsi="Calibri" w:cs="Calibri"/>
              </w:rPr>
              <w:t>2.1.2</w:t>
            </w:r>
            <w:r w:rsidR="00FE534B" w:rsidRPr="000277A4">
              <w:rPr>
                <w:rFonts w:eastAsiaTheme="minorEastAsia" w:cs="Calibri"/>
                <w:szCs w:val="22"/>
                <w:lang w:eastAsia="en-AU"/>
              </w:rPr>
              <w:tab/>
            </w:r>
            <w:r w:rsidR="00FE534B" w:rsidRPr="000277A4">
              <w:rPr>
                <w:rStyle w:val="Hyperlink"/>
                <w:rFonts w:ascii="Calibri" w:hAnsi="Calibri" w:cs="Calibri"/>
              </w:rPr>
              <w:t>Table 1.2: Entity October 2022-23 Budget Measures</w:t>
            </w:r>
            <w:r w:rsidR="00FE534B" w:rsidRPr="000277A4">
              <w:rPr>
                <w:rFonts w:cs="Calibri"/>
                <w:webHidden/>
              </w:rPr>
              <w:tab/>
            </w:r>
            <w:r w:rsidR="00FE534B" w:rsidRPr="000277A4">
              <w:rPr>
                <w:rFonts w:cs="Calibri"/>
                <w:webHidden/>
              </w:rPr>
              <w:fldChar w:fldCharType="begin"/>
            </w:r>
            <w:r w:rsidR="00FE534B" w:rsidRPr="000277A4">
              <w:rPr>
                <w:rFonts w:cs="Calibri"/>
                <w:webHidden/>
              </w:rPr>
              <w:instrText xml:space="preserve"> PAGEREF _Toc114576251 \h </w:instrText>
            </w:r>
            <w:r w:rsidR="00FE534B" w:rsidRPr="000277A4">
              <w:rPr>
                <w:rFonts w:cs="Calibri"/>
                <w:webHidden/>
              </w:rPr>
            </w:r>
            <w:r w:rsidR="00FE534B" w:rsidRPr="000277A4">
              <w:rPr>
                <w:rFonts w:cs="Calibri"/>
                <w:webHidden/>
              </w:rPr>
              <w:fldChar w:fldCharType="separate"/>
            </w:r>
            <w:r w:rsidR="00FE534B" w:rsidRPr="000277A4">
              <w:rPr>
                <w:rFonts w:cs="Calibri"/>
                <w:webHidden/>
              </w:rPr>
              <w:t>8</w:t>
            </w:r>
            <w:r w:rsidR="00FE534B" w:rsidRPr="000277A4">
              <w:rPr>
                <w:rFonts w:cs="Calibri"/>
                <w:webHidden/>
              </w:rPr>
              <w:fldChar w:fldCharType="end"/>
            </w:r>
          </w:hyperlink>
        </w:p>
        <w:p w14:paraId="7ABF5CED" w14:textId="4DC7C62B" w:rsidR="00FE534B" w:rsidRPr="000277A4" w:rsidRDefault="00A438FF">
          <w:pPr>
            <w:pStyle w:val="TOC2"/>
            <w:rPr>
              <w:rFonts w:eastAsiaTheme="minorEastAsia" w:cs="Calibri"/>
              <w:szCs w:val="22"/>
              <w:lang w:eastAsia="en-AU"/>
            </w:rPr>
          </w:pPr>
          <w:hyperlink w:anchor="_Toc114576252" w:history="1">
            <w:r w:rsidR="00FE534B" w:rsidRPr="000277A4">
              <w:rPr>
                <w:rStyle w:val="Hyperlink"/>
                <w:rFonts w:ascii="Calibri" w:hAnsi="Calibri" w:cs="Calibri"/>
              </w:rPr>
              <w:t>2.2</w:t>
            </w:r>
            <w:r w:rsidR="00FE534B" w:rsidRPr="000277A4">
              <w:rPr>
                <w:rFonts w:eastAsiaTheme="minorEastAsia" w:cs="Calibri"/>
                <w:szCs w:val="22"/>
                <w:lang w:eastAsia="en-AU"/>
              </w:rPr>
              <w:tab/>
            </w:r>
            <w:r w:rsidR="00FE534B" w:rsidRPr="000277A4">
              <w:rPr>
                <w:rStyle w:val="Hyperlink"/>
                <w:rFonts w:ascii="Calibri" w:hAnsi="Calibri" w:cs="Calibri"/>
              </w:rPr>
              <w:t>All Other changes to PB statement template shells</w:t>
            </w:r>
            <w:r w:rsidR="00FE534B" w:rsidRPr="000277A4">
              <w:rPr>
                <w:rFonts w:cs="Calibri"/>
                <w:webHidden/>
              </w:rPr>
              <w:tab/>
            </w:r>
            <w:r w:rsidR="00FE534B" w:rsidRPr="000277A4">
              <w:rPr>
                <w:rFonts w:cs="Calibri"/>
                <w:webHidden/>
              </w:rPr>
              <w:fldChar w:fldCharType="begin"/>
            </w:r>
            <w:r w:rsidR="00FE534B" w:rsidRPr="000277A4">
              <w:rPr>
                <w:rFonts w:cs="Calibri"/>
                <w:webHidden/>
              </w:rPr>
              <w:instrText xml:space="preserve"> PAGEREF _Toc114576252 \h </w:instrText>
            </w:r>
            <w:r w:rsidR="00FE534B" w:rsidRPr="000277A4">
              <w:rPr>
                <w:rFonts w:cs="Calibri"/>
                <w:webHidden/>
              </w:rPr>
            </w:r>
            <w:r w:rsidR="00FE534B" w:rsidRPr="000277A4">
              <w:rPr>
                <w:rFonts w:cs="Calibri"/>
                <w:webHidden/>
              </w:rPr>
              <w:fldChar w:fldCharType="separate"/>
            </w:r>
            <w:r w:rsidR="00FE534B" w:rsidRPr="000277A4">
              <w:rPr>
                <w:rFonts w:cs="Calibri"/>
                <w:webHidden/>
              </w:rPr>
              <w:t>8</w:t>
            </w:r>
            <w:r w:rsidR="00FE534B" w:rsidRPr="000277A4">
              <w:rPr>
                <w:rFonts w:cs="Calibri"/>
                <w:webHidden/>
              </w:rPr>
              <w:fldChar w:fldCharType="end"/>
            </w:r>
          </w:hyperlink>
        </w:p>
        <w:p w14:paraId="1A5CF972" w14:textId="2A225124" w:rsidR="00FE534B" w:rsidRPr="000277A4" w:rsidRDefault="00A438FF">
          <w:pPr>
            <w:pStyle w:val="TOC3"/>
            <w:tabs>
              <w:tab w:val="left" w:pos="1843"/>
            </w:tabs>
            <w:rPr>
              <w:rFonts w:eastAsiaTheme="minorEastAsia" w:cs="Calibri"/>
              <w:szCs w:val="22"/>
              <w:lang w:eastAsia="en-AU"/>
            </w:rPr>
          </w:pPr>
          <w:hyperlink w:anchor="_Toc114576253" w:history="1">
            <w:r w:rsidR="00FE534B" w:rsidRPr="000277A4">
              <w:rPr>
                <w:rStyle w:val="Hyperlink"/>
                <w:rFonts w:ascii="Calibri" w:hAnsi="Calibri" w:cs="Calibri"/>
              </w:rPr>
              <w:t>2.2.1</w:t>
            </w:r>
            <w:r w:rsidR="00FE534B" w:rsidRPr="000277A4">
              <w:rPr>
                <w:rFonts w:eastAsiaTheme="minorEastAsia" w:cs="Calibri"/>
                <w:szCs w:val="22"/>
                <w:lang w:eastAsia="en-AU"/>
              </w:rPr>
              <w:tab/>
            </w:r>
            <w:r w:rsidR="00FE534B" w:rsidRPr="000277A4">
              <w:rPr>
                <w:rStyle w:val="Hyperlink"/>
                <w:rFonts w:ascii="Calibri" w:hAnsi="Calibri" w:cs="Calibri"/>
              </w:rPr>
              <w:t>Table 1.1 Entity Resource Statement amendments</w:t>
            </w:r>
            <w:r w:rsidR="00FE534B" w:rsidRPr="000277A4">
              <w:rPr>
                <w:rFonts w:cs="Calibri"/>
                <w:webHidden/>
              </w:rPr>
              <w:tab/>
            </w:r>
            <w:r w:rsidR="00FE534B" w:rsidRPr="000277A4">
              <w:rPr>
                <w:rFonts w:cs="Calibri"/>
                <w:webHidden/>
              </w:rPr>
              <w:fldChar w:fldCharType="begin"/>
            </w:r>
            <w:r w:rsidR="00FE534B" w:rsidRPr="000277A4">
              <w:rPr>
                <w:rFonts w:cs="Calibri"/>
                <w:webHidden/>
              </w:rPr>
              <w:instrText xml:space="preserve"> PAGEREF _Toc114576253 \h </w:instrText>
            </w:r>
            <w:r w:rsidR="00FE534B" w:rsidRPr="000277A4">
              <w:rPr>
                <w:rFonts w:cs="Calibri"/>
                <w:webHidden/>
              </w:rPr>
            </w:r>
            <w:r w:rsidR="00FE534B" w:rsidRPr="000277A4">
              <w:rPr>
                <w:rFonts w:cs="Calibri"/>
                <w:webHidden/>
              </w:rPr>
              <w:fldChar w:fldCharType="separate"/>
            </w:r>
            <w:r w:rsidR="00FE534B" w:rsidRPr="000277A4">
              <w:rPr>
                <w:rFonts w:cs="Calibri"/>
                <w:webHidden/>
              </w:rPr>
              <w:t>8</w:t>
            </w:r>
            <w:r w:rsidR="00FE534B" w:rsidRPr="000277A4">
              <w:rPr>
                <w:rFonts w:cs="Calibri"/>
                <w:webHidden/>
              </w:rPr>
              <w:fldChar w:fldCharType="end"/>
            </w:r>
          </w:hyperlink>
        </w:p>
        <w:p w14:paraId="7BDA3BF0" w14:textId="19FD0152" w:rsidR="00FE534B" w:rsidRPr="000277A4" w:rsidRDefault="00A438FF">
          <w:pPr>
            <w:pStyle w:val="TOC3"/>
            <w:tabs>
              <w:tab w:val="left" w:pos="1843"/>
            </w:tabs>
            <w:rPr>
              <w:rFonts w:eastAsiaTheme="minorEastAsia" w:cs="Calibri"/>
              <w:szCs w:val="22"/>
              <w:lang w:eastAsia="en-AU"/>
            </w:rPr>
          </w:pPr>
          <w:hyperlink w:anchor="_Toc114576254" w:history="1">
            <w:r w:rsidR="00FE534B" w:rsidRPr="000277A4">
              <w:rPr>
                <w:rStyle w:val="Hyperlink"/>
                <w:rFonts w:ascii="Calibri" w:hAnsi="Calibri" w:cs="Calibri"/>
              </w:rPr>
              <w:t>2.2.2</w:t>
            </w:r>
            <w:r w:rsidR="00FE534B" w:rsidRPr="000277A4">
              <w:rPr>
                <w:rFonts w:eastAsiaTheme="minorEastAsia" w:cs="Calibri"/>
                <w:szCs w:val="22"/>
                <w:lang w:eastAsia="en-AU"/>
              </w:rPr>
              <w:tab/>
            </w:r>
            <w:r w:rsidR="00FE534B" w:rsidRPr="000277A4">
              <w:rPr>
                <w:rStyle w:val="Hyperlink"/>
                <w:rFonts w:ascii="Calibri" w:hAnsi="Calibri" w:cs="Calibri"/>
              </w:rPr>
              <w:t>All other amendments and references to the Budget and Budget Papers</w:t>
            </w:r>
            <w:r w:rsidR="00FE534B" w:rsidRPr="000277A4">
              <w:rPr>
                <w:rFonts w:cs="Calibri"/>
                <w:webHidden/>
              </w:rPr>
              <w:tab/>
            </w:r>
            <w:r w:rsidR="00FE534B" w:rsidRPr="000277A4">
              <w:rPr>
                <w:rFonts w:cs="Calibri"/>
                <w:webHidden/>
              </w:rPr>
              <w:fldChar w:fldCharType="begin"/>
            </w:r>
            <w:r w:rsidR="00FE534B" w:rsidRPr="000277A4">
              <w:rPr>
                <w:rFonts w:cs="Calibri"/>
                <w:webHidden/>
              </w:rPr>
              <w:instrText xml:space="preserve"> PAGEREF _Toc114576254 \h </w:instrText>
            </w:r>
            <w:r w:rsidR="00FE534B" w:rsidRPr="000277A4">
              <w:rPr>
                <w:rFonts w:cs="Calibri"/>
                <w:webHidden/>
              </w:rPr>
            </w:r>
            <w:r w:rsidR="00FE534B" w:rsidRPr="000277A4">
              <w:rPr>
                <w:rFonts w:cs="Calibri"/>
                <w:webHidden/>
              </w:rPr>
              <w:fldChar w:fldCharType="separate"/>
            </w:r>
            <w:r w:rsidR="00FE534B" w:rsidRPr="000277A4">
              <w:rPr>
                <w:rFonts w:cs="Calibri"/>
                <w:webHidden/>
              </w:rPr>
              <w:t>9</w:t>
            </w:r>
            <w:r w:rsidR="00FE534B" w:rsidRPr="000277A4">
              <w:rPr>
                <w:rFonts w:cs="Calibri"/>
                <w:webHidden/>
              </w:rPr>
              <w:fldChar w:fldCharType="end"/>
            </w:r>
          </w:hyperlink>
        </w:p>
        <w:p w14:paraId="7E3A68DC" w14:textId="06376458" w:rsidR="00FE534B" w:rsidRDefault="00A438FF">
          <w:pPr>
            <w:pStyle w:val="TOC1"/>
            <w:rPr>
              <w:rFonts w:asciiTheme="minorHAnsi" w:eastAsiaTheme="minorEastAsia" w:hAnsiTheme="minorHAnsi"/>
              <w:sz w:val="22"/>
              <w:szCs w:val="22"/>
              <w:lang w:eastAsia="en-AU"/>
            </w:rPr>
          </w:pPr>
          <w:hyperlink w:anchor="_Toc114576255" w:history="1">
            <w:r w:rsidR="00FE534B" w:rsidRPr="009E2F25">
              <w:rPr>
                <w:rStyle w:val="Hyperlink"/>
                <w:rFonts w:ascii="Calibri" w:hAnsi="Calibri" w:cs="Calibri"/>
              </w:rPr>
              <w:t>3.</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Purpose</w:t>
            </w:r>
            <w:r w:rsidR="00FE534B">
              <w:rPr>
                <w:webHidden/>
              </w:rPr>
              <w:tab/>
            </w:r>
            <w:r w:rsidR="00FE534B">
              <w:rPr>
                <w:webHidden/>
              </w:rPr>
              <w:fldChar w:fldCharType="begin"/>
            </w:r>
            <w:r w:rsidR="00FE534B">
              <w:rPr>
                <w:webHidden/>
              </w:rPr>
              <w:instrText xml:space="preserve"> PAGEREF _Toc114576255 \h </w:instrText>
            </w:r>
            <w:r w:rsidR="00FE534B">
              <w:rPr>
                <w:webHidden/>
              </w:rPr>
            </w:r>
            <w:r w:rsidR="00FE534B">
              <w:rPr>
                <w:webHidden/>
              </w:rPr>
              <w:fldChar w:fldCharType="separate"/>
            </w:r>
            <w:r w:rsidR="00FE534B">
              <w:rPr>
                <w:webHidden/>
              </w:rPr>
              <w:t>9</w:t>
            </w:r>
            <w:r w:rsidR="00FE534B">
              <w:rPr>
                <w:webHidden/>
              </w:rPr>
              <w:fldChar w:fldCharType="end"/>
            </w:r>
          </w:hyperlink>
        </w:p>
        <w:p w14:paraId="21D5B7BC" w14:textId="6623CAFE" w:rsidR="00FE534B" w:rsidRDefault="00A438FF">
          <w:pPr>
            <w:pStyle w:val="TOC1"/>
            <w:rPr>
              <w:rFonts w:asciiTheme="minorHAnsi" w:eastAsiaTheme="minorEastAsia" w:hAnsiTheme="minorHAnsi"/>
              <w:sz w:val="22"/>
              <w:szCs w:val="22"/>
              <w:lang w:eastAsia="en-AU"/>
            </w:rPr>
          </w:pPr>
          <w:hyperlink w:anchor="_Toc114576256" w:history="1">
            <w:r w:rsidR="00FE534B" w:rsidRPr="009E2F25">
              <w:rPr>
                <w:rStyle w:val="Hyperlink"/>
                <w:rFonts w:ascii="Calibri" w:hAnsi="Calibri" w:cs="Calibri"/>
              </w:rPr>
              <w:t>4.</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Which entities should prepare PB Statements?</w:t>
            </w:r>
            <w:r w:rsidR="00FE534B">
              <w:rPr>
                <w:webHidden/>
              </w:rPr>
              <w:tab/>
            </w:r>
            <w:r w:rsidR="00FE534B">
              <w:rPr>
                <w:webHidden/>
              </w:rPr>
              <w:fldChar w:fldCharType="begin"/>
            </w:r>
            <w:r w:rsidR="00FE534B">
              <w:rPr>
                <w:webHidden/>
              </w:rPr>
              <w:instrText xml:space="preserve"> PAGEREF _Toc114576256 \h </w:instrText>
            </w:r>
            <w:r w:rsidR="00FE534B">
              <w:rPr>
                <w:webHidden/>
              </w:rPr>
            </w:r>
            <w:r w:rsidR="00FE534B">
              <w:rPr>
                <w:webHidden/>
              </w:rPr>
              <w:fldChar w:fldCharType="separate"/>
            </w:r>
            <w:r w:rsidR="00FE534B">
              <w:rPr>
                <w:webHidden/>
              </w:rPr>
              <w:t>10</w:t>
            </w:r>
            <w:r w:rsidR="00FE534B">
              <w:rPr>
                <w:webHidden/>
              </w:rPr>
              <w:fldChar w:fldCharType="end"/>
            </w:r>
          </w:hyperlink>
        </w:p>
        <w:p w14:paraId="1EF66BDC" w14:textId="3F7E437F" w:rsidR="00FE534B" w:rsidRDefault="00A438FF">
          <w:pPr>
            <w:pStyle w:val="TOC1"/>
            <w:rPr>
              <w:rFonts w:asciiTheme="minorHAnsi" w:eastAsiaTheme="minorEastAsia" w:hAnsiTheme="minorHAnsi"/>
              <w:sz w:val="22"/>
              <w:szCs w:val="22"/>
              <w:lang w:eastAsia="en-AU"/>
            </w:rPr>
          </w:pPr>
          <w:hyperlink w:anchor="_Toc114576257" w:history="1">
            <w:r w:rsidR="00FE534B" w:rsidRPr="009E2F25">
              <w:rPr>
                <w:rStyle w:val="Hyperlink"/>
                <w:rFonts w:ascii="Calibri" w:hAnsi="Calibri" w:cs="Calibri"/>
              </w:rPr>
              <w:t>5.</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Structure</w:t>
            </w:r>
            <w:r w:rsidR="00FE534B">
              <w:rPr>
                <w:webHidden/>
              </w:rPr>
              <w:tab/>
            </w:r>
            <w:r w:rsidR="00FE534B">
              <w:rPr>
                <w:webHidden/>
              </w:rPr>
              <w:fldChar w:fldCharType="begin"/>
            </w:r>
            <w:r w:rsidR="00FE534B">
              <w:rPr>
                <w:webHidden/>
              </w:rPr>
              <w:instrText xml:space="preserve"> PAGEREF _Toc114576257 \h </w:instrText>
            </w:r>
            <w:r w:rsidR="00FE534B">
              <w:rPr>
                <w:webHidden/>
              </w:rPr>
            </w:r>
            <w:r w:rsidR="00FE534B">
              <w:rPr>
                <w:webHidden/>
              </w:rPr>
              <w:fldChar w:fldCharType="separate"/>
            </w:r>
            <w:r w:rsidR="00FE534B">
              <w:rPr>
                <w:webHidden/>
              </w:rPr>
              <w:t>12</w:t>
            </w:r>
            <w:r w:rsidR="00FE534B">
              <w:rPr>
                <w:webHidden/>
              </w:rPr>
              <w:fldChar w:fldCharType="end"/>
            </w:r>
          </w:hyperlink>
        </w:p>
        <w:p w14:paraId="6E94921D" w14:textId="1067031A" w:rsidR="00FE534B" w:rsidRDefault="00A438FF">
          <w:pPr>
            <w:pStyle w:val="TOC2"/>
            <w:rPr>
              <w:rFonts w:asciiTheme="minorHAnsi" w:eastAsiaTheme="minorEastAsia" w:hAnsiTheme="minorHAnsi"/>
              <w:szCs w:val="22"/>
              <w:lang w:eastAsia="en-AU"/>
            </w:rPr>
          </w:pPr>
          <w:hyperlink w:anchor="_Toc114576258" w:history="1">
            <w:r w:rsidR="00FE534B" w:rsidRPr="009E2F25">
              <w:rPr>
                <w:rStyle w:val="Hyperlink"/>
                <w:rFonts w:ascii="Calibri" w:hAnsi="Calibri" w:cs="Calibri"/>
              </w:rPr>
              <w:t>5.1</w:t>
            </w:r>
            <w:r w:rsidR="00FE534B">
              <w:rPr>
                <w:rFonts w:asciiTheme="minorHAnsi" w:eastAsiaTheme="minorEastAsia" w:hAnsiTheme="minorHAnsi"/>
                <w:szCs w:val="22"/>
                <w:lang w:eastAsia="en-AU"/>
              </w:rPr>
              <w:tab/>
            </w:r>
            <w:r w:rsidR="00FE534B" w:rsidRPr="009E2F25">
              <w:rPr>
                <w:rStyle w:val="Hyperlink"/>
                <w:rFonts w:ascii="Calibri" w:hAnsi="Calibri" w:cs="Calibri"/>
              </w:rPr>
              <w:t>Commonwealth performance framework diagram located in the PB Statements 'User Guide' chapter</w:t>
            </w:r>
            <w:r w:rsidR="00FE534B">
              <w:rPr>
                <w:webHidden/>
              </w:rPr>
              <w:tab/>
            </w:r>
            <w:r w:rsidR="00FE534B">
              <w:rPr>
                <w:webHidden/>
              </w:rPr>
              <w:fldChar w:fldCharType="begin"/>
            </w:r>
            <w:r w:rsidR="00FE534B">
              <w:rPr>
                <w:webHidden/>
              </w:rPr>
              <w:instrText xml:space="preserve"> PAGEREF _Toc114576258 \h </w:instrText>
            </w:r>
            <w:r w:rsidR="00FE534B">
              <w:rPr>
                <w:webHidden/>
              </w:rPr>
            </w:r>
            <w:r w:rsidR="00FE534B">
              <w:rPr>
                <w:webHidden/>
              </w:rPr>
              <w:fldChar w:fldCharType="separate"/>
            </w:r>
            <w:r w:rsidR="00FE534B">
              <w:rPr>
                <w:webHidden/>
              </w:rPr>
              <w:t>13</w:t>
            </w:r>
            <w:r w:rsidR="00FE534B">
              <w:rPr>
                <w:webHidden/>
              </w:rPr>
              <w:fldChar w:fldCharType="end"/>
            </w:r>
          </w:hyperlink>
        </w:p>
        <w:p w14:paraId="54B64F68" w14:textId="52966CF5" w:rsidR="00FE534B" w:rsidRDefault="00A438FF">
          <w:pPr>
            <w:pStyle w:val="TOC2"/>
            <w:rPr>
              <w:rFonts w:asciiTheme="minorHAnsi" w:eastAsiaTheme="minorEastAsia" w:hAnsiTheme="minorHAnsi"/>
              <w:szCs w:val="22"/>
              <w:lang w:eastAsia="en-AU"/>
            </w:rPr>
          </w:pPr>
          <w:hyperlink w:anchor="_Toc114576259" w:history="1">
            <w:r w:rsidR="00FE534B" w:rsidRPr="009E2F25">
              <w:rPr>
                <w:rStyle w:val="Hyperlink"/>
                <w:rFonts w:ascii="Calibri" w:hAnsi="Calibri" w:cs="Calibri"/>
              </w:rPr>
              <w:t>5.2</w:t>
            </w:r>
            <w:r w:rsidR="00FE534B">
              <w:rPr>
                <w:rFonts w:asciiTheme="minorHAnsi" w:eastAsiaTheme="minorEastAsia" w:hAnsiTheme="minorHAnsi"/>
                <w:szCs w:val="22"/>
                <w:lang w:eastAsia="en-AU"/>
              </w:rPr>
              <w:tab/>
            </w:r>
            <w:r w:rsidR="00FE534B" w:rsidRPr="009E2F25">
              <w:rPr>
                <w:rStyle w:val="Hyperlink"/>
                <w:rFonts w:ascii="Calibri" w:hAnsi="Calibri" w:cs="Calibri"/>
              </w:rPr>
              <w:t>Consistency of reporting – the “clear read” principle</w:t>
            </w:r>
            <w:r w:rsidR="00FE534B">
              <w:rPr>
                <w:webHidden/>
              </w:rPr>
              <w:tab/>
            </w:r>
            <w:r w:rsidR="00FE534B">
              <w:rPr>
                <w:webHidden/>
              </w:rPr>
              <w:fldChar w:fldCharType="begin"/>
            </w:r>
            <w:r w:rsidR="00FE534B">
              <w:rPr>
                <w:webHidden/>
              </w:rPr>
              <w:instrText xml:space="preserve"> PAGEREF _Toc114576259 \h </w:instrText>
            </w:r>
            <w:r w:rsidR="00FE534B">
              <w:rPr>
                <w:webHidden/>
              </w:rPr>
            </w:r>
            <w:r w:rsidR="00FE534B">
              <w:rPr>
                <w:webHidden/>
              </w:rPr>
              <w:fldChar w:fldCharType="separate"/>
            </w:r>
            <w:r w:rsidR="00FE534B">
              <w:rPr>
                <w:webHidden/>
              </w:rPr>
              <w:t>13</w:t>
            </w:r>
            <w:r w:rsidR="00FE534B">
              <w:rPr>
                <w:webHidden/>
              </w:rPr>
              <w:fldChar w:fldCharType="end"/>
            </w:r>
          </w:hyperlink>
        </w:p>
        <w:p w14:paraId="71111FC5" w14:textId="2FFAA13F" w:rsidR="00FE534B" w:rsidRDefault="00A438FF">
          <w:pPr>
            <w:pStyle w:val="TOC3"/>
            <w:tabs>
              <w:tab w:val="left" w:pos="1843"/>
            </w:tabs>
            <w:rPr>
              <w:rFonts w:asciiTheme="minorHAnsi" w:eastAsiaTheme="minorEastAsia" w:hAnsiTheme="minorHAnsi"/>
              <w:szCs w:val="22"/>
              <w:lang w:eastAsia="en-AU"/>
            </w:rPr>
          </w:pPr>
          <w:hyperlink w:anchor="_Toc114576260" w:history="1">
            <w:r w:rsidR="00FE534B" w:rsidRPr="009E2F25">
              <w:rPr>
                <w:rStyle w:val="Hyperlink"/>
                <w:rFonts w:ascii="Calibri" w:hAnsi="Calibri" w:cs="Calibri"/>
              </w:rPr>
              <w:t>5.2.1</w:t>
            </w:r>
            <w:r w:rsidR="00FE534B">
              <w:rPr>
                <w:rFonts w:asciiTheme="minorHAnsi" w:eastAsiaTheme="minorEastAsia" w:hAnsiTheme="minorHAnsi"/>
                <w:szCs w:val="22"/>
                <w:lang w:eastAsia="en-AU"/>
              </w:rPr>
              <w:tab/>
            </w:r>
            <w:r w:rsidR="00FE534B" w:rsidRPr="009E2F25">
              <w:rPr>
                <w:rStyle w:val="Hyperlink"/>
                <w:rFonts w:ascii="Calibri" w:hAnsi="Calibri" w:cs="Calibri"/>
              </w:rPr>
              <w:t>‘Clear read’ linkages</w:t>
            </w:r>
            <w:r w:rsidR="00FE534B">
              <w:rPr>
                <w:webHidden/>
              </w:rPr>
              <w:tab/>
            </w:r>
            <w:r w:rsidR="00FE534B">
              <w:rPr>
                <w:webHidden/>
              </w:rPr>
              <w:fldChar w:fldCharType="begin"/>
            </w:r>
            <w:r w:rsidR="00FE534B">
              <w:rPr>
                <w:webHidden/>
              </w:rPr>
              <w:instrText xml:space="preserve"> PAGEREF _Toc114576260 \h </w:instrText>
            </w:r>
            <w:r w:rsidR="00FE534B">
              <w:rPr>
                <w:webHidden/>
              </w:rPr>
            </w:r>
            <w:r w:rsidR="00FE534B">
              <w:rPr>
                <w:webHidden/>
              </w:rPr>
              <w:fldChar w:fldCharType="separate"/>
            </w:r>
            <w:r w:rsidR="00FE534B">
              <w:rPr>
                <w:webHidden/>
              </w:rPr>
              <w:t>13</w:t>
            </w:r>
            <w:r w:rsidR="00FE534B">
              <w:rPr>
                <w:webHidden/>
              </w:rPr>
              <w:fldChar w:fldCharType="end"/>
            </w:r>
          </w:hyperlink>
        </w:p>
        <w:p w14:paraId="38FCC459" w14:textId="665F705F" w:rsidR="00FE534B" w:rsidRDefault="00A438FF">
          <w:pPr>
            <w:pStyle w:val="TOC3"/>
            <w:tabs>
              <w:tab w:val="left" w:pos="1843"/>
            </w:tabs>
            <w:rPr>
              <w:rFonts w:asciiTheme="minorHAnsi" w:eastAsiaTheme="minorEastAsia" w:hAnsiTheme="minorHAnsi"/>
              <w:szCs w:val="22"/>
              <w:lang w:eastAsia="en-AU"/>
            </w:rPr>
          </w:pPr>
          <w:hyperlink w:anchor="_Toc114576261" w:history="1">
            <w:r w:rsidR="00FE534B" w:rsidRPr="009E2F25">
              <w:rPr>
                <w:rStyle w:val="Hyperlink"/>
                <w:rFonts w:ascii="Calibri" w:hAnsi="Calibri" w:cs="Calibri"/>
              </w:rPr>
              <w:t>5.2.2</w:t>
            </w:r>
            <w:r w:rsidR="00FE534B">
              <w:rPr>
                <w:rFonts w:asciiTheme="minorHAnsi" w:eastAsiaTheme="minorEastAsia" w:hAnsiTheme="minorHAnsi"/>
                <w:szCs w:val="22"/>
                <w:lang w:eastAsia="en-AU"/>
              </w:rPr>
              <w:tab/>
            </w:r>
            <w:r w:rsidR="00FE534B" w:rsidRPr="009E2F25">
              <w:rPr>
                <w:rStyle w:val="Hyperlink"/>
                <w:rFonts w:ascii="Calibri" w:hAnsi="Calibri" w:cs="Calibri"/>
              </w:rPr>
              <w:t>Link between budgetary and financial reporting</w:t>
            </w:r>
            <w:r w:rsidR="00FE534B">
              <w:rPr>
                <w:webHidden/>
              </w:rPr>
              <w:tab/>
            </w:r>
            <w:r w:rsidR="00FE534B">
              <w:rPr>
                <w:webHidden/>
              </w:rPr>
              <w:fldChar w:fldCharType="begin"/>
            </w:r>
            <w:r w:rsidR="00FE534B">
              <w:rPr>
                <w:webHidden/>
              </w:rPr>
              <w:instrText xml:space="preserve"> PAGEREF _Toc114576261 \h </w:instrText>
            </w:r>
            <w:r w:rsidR="00FE534B">
              <w:rPr>
                <w:webHidden/>
              </w:rPr>
            </w:r>
            <w:r w:rsidR="00FE534B">
              <w:rPr>
                <w:webHidden/>
              </w:rPr>
              <w:fldChar w:fldCharType="separate"/>
            </w:r>
            <w:r w:rsidR="00FE534B">
              <w:rPr>
                <w:webHidden/>
              </w:rPr>
              <w:t>14</w:t>
            </w:r>
            <w:r w:rsidR="00FE534B">
              <w:rPr>
                <w:webHidden/>
              </w:rPr>
              <w:fldChar w:fldCharType="end"/>
            </w:r>
          </w:hyperlink>
        </w:p>
        <w:p w14:paraId="540566DE" w14:textId="5D26EECE" w:rsidR="00FE534B" w:rsidRDefault="00A438FF">
          <w:pPr>
            <w:pStyle w:val="TOC2"/>
            <w:rPr>
              <w:rFonts w:asciiTheme="minorHAnsi" w:eastAsiaTheme="minorEastAsia" w:hAnsiTheme="minorHAnsi"/>
              <w:szCs w:val="22"/>
              <w:lang w:eastAsia="en-AU"/>
            </w:rPr>
          </w:pPr>
          <w:hyperlink w:anchor="_Toc114576262" w:history="1">
            <w:r w:rsidR="00FE534B" w:rsidRPr="009E2F25">
              <w:rPr>
                <w:rStyle w:val="Hyperlink"/>
                <w:rFonts w:ascii="Calibri" w:hAnsi="Calibri" w:cs="Calibri"/>
              </w:rPr>
              <w:t>5.3</w:t>
            </w:r>
            <w:r w:rsidR="00FE534B">
              <w:rPr>
                <w:rFonts w:asciiTheme="minorHAnsi" w:eastAsiaTheme="minorEastAsia" w:hAnsiTheme="minorHAnsi"/>
                <w:szCs w:val="22"/>
                <w:lang w:eastAsia="en-AU"/>
              </w:rPr>
              <w:tab/>
            </w:r>
            <w:r w:rsidR="00FE534B" w:rsidRPr="009E2F25">
              <w:rPr>
                <w:rStyle w:val="Hyperlink"/>
                <w:rFonts w:ascii="Calibri" w:hAnsi="Calibri" w:cs="Calibri"/>
              </w:rPr>
              <w:t>Clearance processes</w:t>
            </w:r>
            <w:r w:rsidR="00FE534B">
              <w:rPr>
                <w:webHidden/>
              </w:rPr>
              <w:tab/>
            </w:r>
            <w:r w:rsidR="00FE534B">
              <w:rPr>
                <w:webHidden/>
              </w:rPr>
              <w:fldChar w:fldCharType="begin"/>
            </w:r>
            <w:r w:rsidR="00FE534B">
              <w:rPr>
                <w:webHidden/>
              </w:rPr>
              <w:instrText xml:space="preserve"> PAGEREF _Toc114576262 \h </w:instrText>
            </w:r>
            <w:r w:rsidR="00FE534B">
              <w:rPr>
                <w:webHidden/>
              </w:rPr>
            </w:r>
            <w:r w:rsidR="00FE534B">
              <w:rPr>
                <w:webHidden/>
              </w:rPr>
              <w:fldChar w:fldCharType="separate"/>
            </w:r>
            <w:r w:rsidR="00FE534B">
              <w:rPr>
                <w:webHidden/>
              </w:rPr>
              <w:t>14</w:t>
            </w:r>
            <w:r w:rsidR="00FE534B">
              <w:rPr>
                <w:webHidden/>
              </w:rPr>
              <w:fldChar w:fldCharType="end"/>
            </w:r>
          </w:hyperlink>
        </w:p>
        <w:p w14:paraId="6E4838FF" w14:textId="6528EEC9" w:rsidR="00FE534B" w:rsidRDefault="00A438FF">
          <w:pPr>
            <w:pStyle w:val="TOC1"/>
            <w:rPr>
              <w:rFonts w:asciiTheme="minorHAnsi" w:eastAsiaTheme="minorEastAsia" w:hAnsiTheme="minorHAnsi"/>
              <w:sz w:val="22"/>
              <w:szCs w:val="22"/>
              <w:lang w:eastAsia="en-AU"/>
            </w:rPr>
          </w:pPr>
          <w:hyperlink w:anchor="_Toc114576263" w:history="1">
            <w:r w:rsidR="00FE534B" w:rsidRPr="009E2F25">
              <w:rPr>
                <w:rStyle w:val="Hyperlink"/>
                <w:rFonts w:ascii="Calibri" w:hAnsi="Calibri" w:cs="Calibri"/>
              </w:rPr>
              <w:t>6.</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Publication requirements</w:t>
            </w:r>
            <w:r w:rsidR="00FE534B">
              <w:rPr>
                <w:webHidden/>
              </w:rPr>
              <w:tab/>
            </w:r>
            <w:r w:rsidR="00FE534B">
              <w:rPr>
                <w:webHidden/>
              </w:rPr>
              <w:fldChar w:fldCharType="begin"/>
            </w:r>
            <w:r w:rsidR="00FE534B">
              <w:rPr>
                <w:webHidden/>
              </w:rPr>
              <w:instrText xml:space="preserve"> PAGEREF _Toc114576263 \h </w:instrText>
            </w:r>
            <w:r w:rsidR="00FE534B">
              <w:rPr>
                <w:webHidden/>
              </w:rPr>
            </w:r>
            <w:r w:rsidR="00FE534B">
              <w:rPr>
                <w:webHidden/>
              </w:rPr>
              <w:fldChar w:fldCharType="separate"/>
            </w:r>
            <w:r w:rsidR="00FE534B">
              <w:rPr>
                <w:webHidden/>
              </w:rPr>
              <w:t>15</w:t>
            </w:r>
            <w:r w:rsidR="00FE534B">
              <w:rPr>
                <w:webHidden/>
              </w:rPr>
              <w:fldChar w:fldCharType="end"/>
            </w:r>
          </w:hyperlink>
        </w:p>
        <w:p w14:paraId="63BF937C" w14:textId="1C0876B1" w:rsidR="00FE534B" w:rsidRDefault="00A438FF">
          <w:pPr>
            <w:pStyle w:val="TOC2"/>
            <w:rPr>
              <w:rFonts w:asciiTheme="minorHAnsi" w:eastAsiaTheme="minorEastAsia" w:hAnsiTheme="minorHAnsi"/>
              <w:szCs w:val="22"/>
              <w:lang w:eastAsia="en-AU"/>
            </w:rPr>
          </w:pPr>
          <w:hyperlink w:anchor="_Toc114576264" w:history="1">
            <w:r w:rsidR="00FE534B" w:rsidRPr="009E2F25">
              <w:rPr>
                <w:rStyle w:val="Hyperlink"/>
                <w:rFonts w:ascii="Calibri" w:hAnsi="Calibri" w:cs="Calibri"/>
              </w:rPr>
              <w:t>6.1</w:t>
            </w:r>
            <w:r w:rsidR="00FE534B">
              <w:rPr>
                <w:rFonts w:asciiTheme="minorHAnsi" w:eastAsiaTheme="minorEastAsia" w:hAnsiTheme="minorHAnsi"/>
                <w:szCs w:val="22"/>
                <w:lang w:eastAsia="en-AU"/>
              </w:rPr>
              <w:tab/>
            </w:r>
            <w:r w:rsidR="00FE534B" w:rsidRPr="009E2F25">
              <w:rPr>
                <w:rStyle w:val="Hyperlink"/>
                <w:rFonts w:ascii="Calibri" w:hAnsi="Calibri" w:cs="Calibri"/>
              </w:rPr>
              <w:t>Security requirements</w:t>
            </w:r>
            <w:r w:rsidR="00FE534B">
              <w:rPr>
                <w:webHidden/>
              </w:rPr>
              <w:tab/>
            </w:r>
            <w:r w:rsidR="00FE534B">
              <w:rPr>
                <w:webHidden/>
              </w:rPr>
              <w:fldChar w:fldCharType="begin"/>
            </w:r>
            <w:r w:rsidR="00FE534B">
              <w:rPr>
                <w:webHidden/>
              </w:rPr>
              <w:instrText xml:space="preserve"> PAGEREF _Toc114576264 \h </w:instrText>
            </w:r>
            <w:r w:rsidR="00FE534B">
              <w:rPr>
                <w:webHidden/>
              </w:rPr>
            </w:r>
            <w:r w:rsidR="00FE534B">
              <w:rPr>
                <w:webHidden/>
              </w:rPr>
              <w:fldChar w:fldCharType="separate"/>
            </w:r>
            <w:r w:rsidR="00FE534B">
              <w:rPr>
                <w:webHidden/>
              </w:rPr>
              <w:t>15</w:t>
            </w:r>
            <w:r w:rsidR="00FE534B">
              <w:rPr>
                <w:webHidden/>
              </w:rPr>
              <w:fldChar w:fldCharType="end"/>
            </w:r>
          </w:hyperlink>
        </w:p>
        <w:p w14:paraId="4789D7D5" w14:textId="646BE158" w:rsidR="00FE534B" w:rsidRDefault="00A438FF">
          <w:pPr>
            <w:pStyle w:val="TOC2"/>
            <w:rPr>
              <w:rFonts w:asciiTheme="minorHAnsi" w:eastAsiaTheme="minorEastAsia" w:hAnsiTheme="minorHAnsi"/>
              <w:szCs w:val="22"/>
              <w:lang w:eastAsia="en-AU"/>
            </w:rPr>
          </w:pPr>
          <w:hyperlink w:anchor="_Toc114576265" w:history="1">
            <w:r w:rsidR="00FE534B" w:rsidRPr="009E2F25">
              <w:rPr>
                <w:rStyle w:val="Hyperlink"/>
                <w:rFonts w:ascii="Calibri" w:hAnsi="Calibri" w:cs="Calibri"/>
              </w:rPr>
              <w:t>6.2</w:t>
            </w:r>
            <w:r w:rsidR="00FE534B">
              <w:rPr>
                <w:rFonts w:asciiTheme="minorHAnsi" w:eastAsiaTheme="minorEastAsia" w:hAnsiTheme="minorHAnsi"/>
                <w:szCs w:val="22"/>
                <w:lang w:eastAsia="en-AU"/>
              </w:rPr>
              <w:tab/>
            </w:r>
            <w:r w:rsidR="00FE534B" w:rsidRPr="009E2F25">
              <w:rPr>
                <w:rStyle w:val="Hyperlink"/>
                <w:rFonts w:ascii="Calibri" w:hAnsi="Calibri" w:cs="Calibri"/>
              </w:rPr>
              <w:t>Which printer to use and printing specifications</w:t>
            </w:r>
            <w:r w:rsidR="00FE534B">
              <w:rPr>
                <w:webHidden/>
              </w:rPr>
              <w:tab/>
            </w:r>
            <w:r w:rsidR="00FE534B">
              <w:rPr>
                <w:webHidden/>
              </w:rPr>
              <w:fldChar w:fldCharType="begin"/>
            </w:r>
            <w:r w:rsidR="00FE534B">
              <w:rPr>
                <w:webHidden/>
              </w:rPr>
              <w:instrText xml:space="preserve"> PAGEREF _Toc114576265 \h </w:instrText>
            </w:r>
            <w:r w:rsidR="00FE534B">
              <w:rPr>
                <w:webHidden/>
              </w:rPr>
            </w:r>
            <w:r w:rsidR="00FE534B">
              <w:rPr>
                <w:webHidden/>
              </w:rPr>
              <w:fldChar w:fldCharType="separate"/>
            </w:r>
            <w:r w:rsidR="00FE534B">
              <w:rPr>
                <w:webHidden/>
              </w:rPr>
              <w:t>15</w:t>
            </w:r>
            <w:r w:rsidR="00FE534B">
              <w:rPr>
                <w:webHidden/>
              </w:rPr>
              <w:fldChar w:fldCharType="end"/>
            </w:r>
          </w:hyperlink>
        </w:p>
        <w:p w14:paraId="0E29F3C7" w14:textId="4D115C99" w:rsidR="00FE534B" w:rsidRDefault="00A438FF">
          <w:pPr>
            <w:pStyle w:val="TOC3"/>
            <w:tabs>
              <w:tab w:val="left" w:pos="1843"/>
            </w:tabs>
            <w:rPr>
              <w:rFonts w:asciiTheme="minorHAnsi" w:eastAsiaTheme="minorEastAsia" w:hAnsiTheme="minorHAnsi"/>
              <w:szCs w:val="22"/>
              <w:lang w:eastAsia="en-AU"/>
            </w:rPr>
          </w:pPr>
          <w:hyperlink w:anchor="_Toc114576266" w:history="1">
            <w:r w:rsidR="00FE534B" w:rsidRPr="009E2F25">
              <w:rPr>
                <w:rStyle w:val="Hyperlink"/>
                <w:rFonts w:ascii="Calibri" w:hAnsi="Calibri" w:cs="Calibri"/>
              </w:rPr>
              <w:t>6.2.1</w:t>
            </w:r>
            <w:r w:rsidR="00FE534B">
              <w:rPr>
                <w:rFonts w:asciiTheme="minorHAnsi" w:eastAsiaTheme="minorEastAsia" w:hAnsiTheme="minorHAnsi"/>
                <w:szCs w:val="22"/>
                <w:lang w:eastAsia="en-AU"/>
              </w:rPr>
              <w:tab/>
            </w:r>
            <w:r w:rsidR="00FE534B" w:rsidRPr="009E2F25">
              <w:rPr>
                <w:rStyle w:val="Hyperlink"/>
                <w:rFonts w:ascii="Calibri" w:hAnsi="Calibri" w:cs="Calibri"/>
              </w:rPr>
              <w:t>Paper and format specifications</w:t>
            </w:r>
            <w:r w:rsidR="00FE534B">
              <w:rPr>
                <w:webHidden/>
              </w:rPr>
              <w:tab/>
            </w:r>
            <w:r w:rsidR="00FE534B">
              <w:rPr>
                <w:webHidden/>
              </w:rPr>
              <w:fldChar w:fldCharType="begin"/>
            </w:r>
            <w:r w:rsidR="00FE534B">
              <w:rPr>
                <w:webHidden/>
              </w:rPr>
              <w:instrText xml:space="preserve"> PAGEREF _Toc114576266 \h </w:instrText>
            </w:r>
            <w:r w:rsidR="00FE534B">
              <w:rPr>
                <w:webHidden/>
              </w:rPr>
            </w:r>
            <w:r w:rsidR="00FE534B">
              <w:rPr>
                <w:webHidden/>
              </w:rPr>
              <w:fldChar w:fldCharType="separate"/>
            </w:r>
            <w:r w:rsidR="00FE534B">
              <w:rPr>
                <w:webHidden/>
              </w:rPr>
              <w:t>15</w:t>
            </w:r>
            <w:r w:rsidR="00FE534B">
              <w:rPr>
                <w:webHidden/>
              </w:rPr>
              <w:fldChar w:fldCharType="end"/>
            </w:r>
          </w:hyperlink>
        </w:p>
        <w:p w14:paraId="7A79D442" w14:textId="2A5C175C" w:rsidR="00FE534B" w:rsidRDefault="00A438FF">
          <w:pPr>
            <w:pStyle w:val="TOC3"/>
            <w:tabs>
              <w:tab w:val="left" w:pos="1843"/>
            </w:tabs>
            <w:rPr>
              <w:rFonts w:asciiTheme="minorHAnsi" w:eastAsiaTheme="minorEastAsia" w:hAnsiTheme="minorHAnsi"/>
              <w:szCs w:val="22"/>
              <w:lang w:eastAsia="en-AU"/>
            </w:rPr>
          </w:pPr>
          <w:hyperlink w:anchor="_Toc114576267" w:history="1">
            <w:r w:rsidR="00FE534B" w:rsidRPr="009E2F25">
              <w:rPr>
                <w:rStyle w:val="Hyperlink"/>
                <w:rFonts w:ascii="Calibri" w:hAnsi="Calibri" w:cs="Calibri"/>
              </w:rPr>
              <w:t>6.2.2</w:t>
            </w:r>
            <w:r w:rsidR="00FE534B">
              <w:rPr>
                <w:rFonts w:asciiTheme="minorHAnsi" w:eastAsiaTheme="minorEastAsia" w:hAnsiTheme="minorHAnsi"/>
                <w:szCs w:val="22"/>
                <w:lang w:eastAsia="en-AU"/>
              </w:rPr>
              <w:tab/>
            </w:r>
            <w:r w:rsidR="00FE534B" w:rsidRPr="009E2F25">
              <w:rPr>
                <w:rStyle w:val="Hyperlink"/>
                <w:rFonts w:ascii="Calibri" w:hAnsi="Calibri" w:cs="Calibri"/>
              </w:rPr>
              <w:t>Printer</w:t>
            </w:r>
            <w:r w:rsidR="00FE534B">
              <w:rPr>
                <w:webHidden/>
              </w:rPr>
              <w:tab/>
            </w:r>
            <w:r w:rsidR="00FE534B">
              <w:rPr>
                <w:webHidden/>
              </w:rPr>
              <w:fldChar w:fldCharType="begin"/>
            </w:r>
            <w:r w:rsidR="00FE534B">
              <w:rPr>
                <w:webHidden/>
              </w:rPr>
              <w:instrText xml:space="preserve"> PAGEREF _Toc114576267 \h </w:instrText>
            </w:r>
            <w:r w:rsidR="00FE534B">
              <w:rPr>
                <w:webHidden/>
              </w:rPr>
            </w:r>
            <w:r w:rsidR="00FE534B">
              <w:rPr>
                <w:webHidden/>
              </w:rPr>
              <w:fldChar w:fldCharType="separate"/>
            </w:r>
            <w:r w:rsidR="00FE534B">
              <w:rPr>
                <w:webHidden/>
              </w:rPr>
              <w:t>16</w:t>
            </w:r>
            <w:r w:rsidR="00FE534B">
              <w:rPr>
                <w:webHidden/>
              </w:rPr>
              <w:fldChar w:fldCharType="end"/>
            </w:r>
          </w:hyperlink>
        </w:p>
        <w:p w14:paraId="2ED0E64F" w14:textId="58169E15" w:rsidR="00FE534B" w:rsidRDefault="00A438FF">
          <w:pPr>
            <w:pStyle w:val="TOC2"/>
            <w:rPr>
              <w:rFonts w:asciiTheme="minorHAnsi" w:eastAsiaTheme="minorEastAsia" w:hAnsiTheme="minorHAnsi"/>
              <w:szCs w:val="22"/>
              <w:lang w:eastAsia="en-AU"/>
            </w:rPr>
          </w:pPr>
          <w:hyperlink w:anchor="_Toc114576268" w:history="1">
            <w:r w:rsidR="00FE534B" w:rsidRPr="009E2F25">
              <w:rPr>
                <w:rStyle w:val="Hyperlink"/>
                <w:rFonts w:ascii="Calibri" w:hAnsi="Calibri" w:cs="Calibri"/>
              </w:rPr>
              <w:t>6.3</w:t>
            </w:r>
            <w:r w:rsidR="00FE534B">
              <w:rPr>
                <w:rFonts w:asciiTheme="minorHAnsi" w:eastAsiaTheme="minorEastAsia" w:hAnsiTheme="minorHAnsi"/>
                <w:szCs w:val="22"/>
                <w:lang w:eastAsia="en-AU"/>
              </w:rPr>
              <w:tab/>
            </w:r>
            <w:r w:rsidR="00FE534B" w:rsidRPr="009E2F25">
              <w:rPr>
                <w:rStyle w:val="Hyperlink"/>
                <w:rFonts w:ascii="Calibri" w:hAnsi="Calibri" w:cs="Calibri"/>
              </w:rPr>
              <w:t>Classification</w:t>
            </w:r>
            <w:r w:rsidR="00FE534B">
              <w:rPr>
                <w:webHidden/>
              </w:rPr>
              <w:tab/>
            </w:r>
            <w:r w:rsidR="00FE534B">
              <w:rPr>
                <w:webHidden/>
              </w:rPr>
              <w:fldChar w:fldCharType="begin"/>
            </w:r>
            <w:r w:rsidR="00FE534B">
              <w:rPr>
                <w:webHidden/>
              </w:rPr>
              <w:instrText xml:space="preserve"> PAGEREF _Toc114576268 \h </w:instrText>
            </w:r>
            <w:r w:rsidR="00FE534B">
              <w:rPr>
                <w:webHidden/>
              </w:rPr>
            </w:r>
            <w:r w:rsidR="00FE534B">
              <w:rPr>
                <w:webHidden/>
              </w:rPr>
              <w:fldChar w:fldCharType="separate"/>
            </w:r>
            <w:r w:rsidR="00FE534B">
              <w:rPr>
                <w:webHidden/>
              </w:rPr>
              <w:t>16</w:t>
            </w:r>
            <w:r w:rsidR="00FE534B">
              <w:rPr>
                <w:webHidden/>
              </w:rPr>
              <w:fldChar w:fldCharType="end"/>
            </w:r>
          </w:hyperlink>
        </w:p>
        <w:p w14:paraId="1F2021C5" w14:textId="7F8AF03A" w:rsidR="00FE534B" w:rsidRDefault="00A438FF">
          <w:pPr>
            <w:pStyle w:val="TOC2"/>
            <w:rPr>
              <w:rFonts w:asciiTheme="minorHAnsi" w:eastAsiaTheme="minorEastAsia" w:hAnsiTheme="minorHAnsi"/>
              <w:szCs w:val="22"/>
              <w:lang w:eastAsia="en-AU"/>
            </w:rPr>
          </w:pPr>
          <w:hyperlink w:anchor="_Toc114576269" w:history="1">
            <w:r w:rsidR="00FE534B" w:rsidRPr="009E2F25">
              <w:rPr>
                <w:rStyle w:val="Hyperlink"/>
                <w:rFonts w:ascii="Calibri" w:hAnsi="Calibri" w:cs="Calibri"/>
              </w:rPr>
              <w:t>6.4</w:t>
            </w:r>
            <w:r w:rsidR="00FE534B">
              <w:rPr>
                <w:rFonts w:asciiTheme="minorHAnsi" w:eastAsiaTheme="minorEastAsia" w:hAnsiTheme="minorHAnsi"/>
                <w:szCs w:val="22"/>
                <w:lang w:eastAsia="en-AU"/>
              </w:rPr>
              <w:tab/>
            </w:r>
            <w:r w:rsidR="00FE534B" w:rsidRPr="009E2F25">
              <w:rPr>
                <w:rStyle w:val="Hyperlink"/>
                <w:rFonts w:ascii="Calibri" w:hAnsi="Calibri" w:cs="Calibri"/>
              </w:rPr>
              <w:t>Obtaining templates and covers</w:t>
            </w:r>
            <w:r w:rsidR="00FE534B">
              <w:rPr>
                <w:webHidden/>
              </w:rPr>
              <w:tab/>
            </w:r>
            <w:r w:rsidR="00FE534B">
              <w:rPr>
                <w:webHidden/>
              </w:rPr>
              <w:fldChar w:fldCharType="begin"/>
            </w:r>
            <w:r w:rsidR="00FE534B">
              <w:rPr>
                <w:webHidden/>
              </w:rPr>
              <w:instrText xml:space="preserve"> PAGEREF _Toc114576269 \h </w:instrText>
            </w:r>
            <w:r w:rsidR="00FE534B">
              <w:rPr>
                <w:webHidden/>
              </w:rPr>
            </w:r>
            <w:r w:rsidR="00FE534B">
              <w:rPr>
                <w:webHidden/>
              </w:rPr>
              <w:fldChar w:fldCharType="separate"/>
            </w:r>
            <w:r w:rsidR="00FE534B">
              <w:rPr>
                <w:webHidden/>
              </w:rPr>
              <w:t>16</w:t>
            </w:r>
            <w:r w:rsidR="00FE534B">
              <w:rPr>
                <w:webHidden/>
              </w:rPr>
              <w:fldChar w:fldCharType="end"/>
            </w:r>
          </w:hyperlink>
        </w:p>
        <w:p w14:paraId="2EBC3778" w14:textId="6D1914FE" w:rsidR="00FE534B" w:rsidRDefault="00A438FF">
          <w:pPr>
            <w:pStyle w:val="TOC3"/>
            <w:tabs>
              <w:tab w:val="left" w:pos="1843"/>
            </w:tabs>
            <w:rPr>
              <w:rFonts w:asciiTheme="minorHAnsi" w:eastAsiaTheme="minorEastAsia" w:hAnsiTheme="minorHAnsi"/>
              <w:szCs w:val="22"/>
              <w:lang w:eastAsia="en-AU"/>
            </w:rPr>
          </w:pPr>
          <w:hyperlink w:anchor="_Toc114576270" w:history="1">
            <w:r w:rsidR="00FE534B" w:rsidRPr="009E2F25">
              <w:rPr>
                <w:rStyle w:val="Hyperlink"/>
                <w:rFonts w:ascii="Calibri" w:hAnsi="Calibri" w:cs="Calibri"/>
              </w:rPr>
              <w:t>6.4.1</w:t>
            </w:r>
            <w:r w:rsidR="00FE534B">
              <w:rPr>
                <w:rFonts w:asciiTheme="minorHAnsi" w:eastAsiaTheme="minorEastAsia" w:hAnsiTheme="minorHAnsi"/>
                <w:szCs w:val="22"/>
                <w:lang w:eastAsia="en-AU"/>
              </w:rPr>
              <w:tab/>
            </w:r>
            <w:r w:rsidR="00FE534B" w:rsidRPr="009E2F25">
              <w:rPr>
                <w:rStyle w:val="Hyperlink"/>
                <w:rFonts w:ascii="Calibri" w:hAnsi="Calibri" w:cs="Calibri"/>
              </w:rPr>
              <w:t>Obtaining Attachment B and C - Excel and Word templates</w:t>
            </w:r>
            <w:r w:rsidR="00FE534B">
              <w:rPr>
                <w:webHidden/>
              </w:rPr>
              <w:tab/>
            </w:r>
            <w:r w:rsidR="00FE534B">
              <w:rPr>
                <w:webHidden/>
              </w:rPr>
              <w:fldChar w:fldCharType="begin"/>
            </w:r>
            <w:r w:rsidR="00FE534B">
              <w:rPr>
                <w:webHidden/>
              </w:rPr>
              <w:instrText xml:space="preserve"> PAGEREF _Toc114576270 \h </w:instrText>
            </w:r>
            <w:r w:rsidR="00FE534B">
              <w:rPr>
                <w:webHidden/>
              </w:rPr>
            </w:r>
            <w:r w:rsidR="00FE534B">
              <w:rPr>
                <w:webHidden/>
              </w:rPr>
              <w:fldChar w:fldCharType="separate"/>
            </w:r>
            <w:r w:rsidR="00FE534B">
              <w:rPr>
                <w:webHidden/>
              </w:rPr>
              <w:t>16</w:t>
            </w:r>
            <w:r w:rsidR="00FE534B">
              <w:rPr>
                <w:webHidden/>
              </w:rPr>
              <w:fldChar w:fldCharType="end"/>
            </w:r>
          </w:hyperlink>
        </w:p>
        <w:p w14:paraId="05A8B337" w14:textId="693285FB" w:rsidR="00FE534B" w:rsidRDefault="00A438FF">
          <w:pPr>
            <w:pStyle w:val="TOC3"/>
            <w:tabs>
              <w:tab w:val="left" w:pos="1843"/>
            </w:tabs>
            <w:rPr>
              <w:rFonts w:asciiTheme="minorHAnsi" w:eastAsiaTheme="minorEastAsia" w:hAnsiTheme="minorHAnsi"/>
              <w:szCs w:val="22"/>
              <w:lang w:eastAsia="en-AU"/>
            </w:rPr>
          </w:pPr>
          <w:hyperlink w:anchor="_Toc114576271" w:history="1">
            <w:r w:rsidR="00FE534B" w:rsidRPr="009E2F25">
              <w:rPr>
                <w:rStyle w:val="Hyperlink"/>
                <w:rFonts w:ascii="Calibri" w:hAnsi="Calibri" w:cs="Calibri"/>
              </w:rPr>
              <w:t>6.4.2</w:t>
            </w:r>
            <w:r w:rsidR="00FE534B">
              <w:rPr>
                <w:rFonts w:asciiTheme="minorHAnsi" w:eastAsiaTheme="minorEastAsia" w:hAnsiTheme="minorHAnsi"/>
                <w:szCs w:val="22"/>
                <w:lang w:eastAsia="en-AU"/>
              </w:rPr>
              <w:tab/>
            </w:r>
            <w:r w:rsidR="00FE534B" w:rsidRPr="009E2F25">
              <w:rPr>
                <w:rStyle w:val="Hyperlink"/>
                <w:rFonts w:ascii="Calibri" w:hAnsi="Calibri" w:cs="Calibri"/>
              </w:rPr>
              <w:t>Obtaining Attachment E - Covers for the October 2022-23 PB Statements</w:t>
            </w:r>
            <w:r w:rsidR="00FE534B">
              <w:rPr>
                <w:webHidden/>
              </w:rPr>
              <w:tab/>
            </w:r>
            <w:r w:rsidR="00FE534B">
              <w:rPr>
                <w:webHidden/>
              </w:rPr>
              <w:fldChar w:fldCharType="begin"/>
            </w:r>
            <w:r w:rsidR="00FE534B">
              <w:rPr>
                <w:webHidden/>
              </w:rPr>
              <w:instrText xml:space="preserve"> PAGEREF _Toc114576271 \h </w:instrText>
            </w:r>
            <w:r w:rsidR="00FE534B">
              <w:rPr>
                <w:webHidden/>
              </w:rPr>
            </w:r>
            <w:r w:rsidR="00FE534B">
              <w:rPr>
                <w:webHidden/>
              </w:rPr>
              <w:fldChar w:fldCharType="separate"/>
            </w:r>
            <w:r w:rsidR="00FE534B">
              <w:rPr>
                <w:webHidden/>
              </w:rPr>
              <w:t>17</w:t>
            </w:r>
            <w:r w:rsidR="00FE534B">
              <w:rPr>
                <w:webHidden/>
              </w:rPr>
              <w:fldChar w:fldCharType="end"/>
            </w:r>
          </w:hyperlink>
        </w:p>
        <w:p w14:paraId="33EFF66F" w14:textId="31945B58" w:rsidR="00FE534B" w:rsidRDefault="00A438FF">
          <w:pPr>
            <w:pStyle w:val="TOC2"/>
            <w:rPr>
              <w:rFonts w:asciiTheme="minorHAnsi" w:eastAsiaTheme="minorEastAsia" w:hAnsiTheme="minorHAnsi"/>
              <w:szCs w:val="22"/>
              <w:lang w:eastAsia="en-AU"/>
            </w:rPr>
          </w:pPr>
          <w:hyperlink w:anchor="_Toc114576272" w:history="1">
            <w:r w:rsidR="00FE534B" w:rsidRPr="009E2F25">
              <w:rPr>
                <w:rStyle w:val="Hyperlink"/>
                <w:rFonts w:ascii="Calibri" w:hAnsi="Calibri" w:cs="Calibri"/>
              </w:rPr>
              <w:t>6.5</w:t>
            </w:r>
            <w:r w:rsidR="00FE534B">
              <w:rPr>
                <w:rFonts w:asciiTheme="minorHAnsi" w:eastAsiaTheme="minorEastAsia" w:hAnsiTheme="minorHAnsi"/>
                <w:szCs w:val="22"/>
                <w:lang w:eastAsia="en-AU"/>
              </w:rPr>
              <w:tab/>
            </w:r>
            <w:r w:rsidR="00FE534B" w:rsidRPr="009E2F25">
              <w:rPr>
                <w:rStyle w:val="Hyperlink"/>
                <w:rFonts w:ascii="Calibri" w:hAnsi="Calibri" w:cs="Calibri"/>
              </w:rPr>
              <w:t>Delivery to Parliament House and Finance</w:t>
            </w:r>
            <w:r w:rsidR="00FE534B">
              <w:rPr>
                <w:webHidden/>
              </w:rPr>
              <w:tab/>
            </w:r>
            <w:r w:rsidR="00FE534B">
              <w:rPr>
                <w:webHidden/>
              </w:rPr>
              <w:fldChar w:fldCharType="begin"/>
            </w:r>
            <w:r w:rsidR="00FE534B">
              <w:rPr>
                <w:webHidden/>
              </w:rPr>
              <w:instrText xml:space="preserve"> PAGEREF _Toc114576272 \h </w:instrText>
            </w:r>
            <w:r w:rsidR="00FE534B">
              <w:rPr>
                <w:webHidden/>
              </w:rPr>
            </w:r>
            <w:r w:rsidR="00FE534B">
              <w:rPr>
                <w:webHidden/>
              </w:rPr>
              <w:fldChar w:fldCharType="separate"/>
            </w:r>
            <w:r w:rsidR="00FE534B">
              <w:rPr>
                <w:webHidden/>
              </w:rPr>
              <w:t>17</w:t>
            </w:r>
            <w:r w:rsidR="00FE534B">
              <w:rPr>
                <w:webHidden/>
              </w:rPr>
              <w:fldChar w:fldCharType="end"/>
            </w:r>
          </w:hyperlink>
        </w:p>
        <w:p w14:paraId="17CDD5AC" w14:textId="6B4E6D85" w:rsidR="00FE534B" w:rsidRDefault="00A438FF">
          <w:pPr>
            <w:pStyle w:val="TOC2"/>
            <w:rPr>
              <w:rFonts w:asciiTheme="minorHAnsi" w:eastAsiaTheme="minorEastAsia" w:hAnsiTheme="minorHAnsi"/>
              <w:szCs w:val="22"/>
              <w:lang w:eastAsia="en-AU"/>
            </w:rPr>
          </w:pPr>
          <w:hyperlink w:anchor="_Toc114576273" w:history="1">
            <w:r w:rsidR="00FE534B" w:rsidRPr="009E2F25">
              <w:rPr>
                <w:rStyle w:val="Hyperlink"/>
                <w:rFonts w:ascii="Calibri" w:hAnsi="Calibri" w:cs="Calibri"/>
              </w:rPr>
              <w:t>6.6</w:t>
            </w:r>
            <w:r w:rsidR="00FE534B">
              <w:rPr>
                <w:rFonts w:asciiTheme="minorHAnsi" w:eastAsiaTheme="minorEastAsia" w:hAnsiTheme="minorHAnsi"/>
                <w:szCs w:val="22"/>
                <w:lang w:eastAsia="en-AU"/>
              </w:rPr>
              <w:tab/>
            </w:r>
            <w:r w:rsidR="00FE534B" w:rsidRPr="009E2F25">
              <w:rPr>
                <w:rStyle w:val="Hyperlink"/>
                <w:rFonts w:ascii="Calibri" w:hAnsi="Calibri" w:cs="Calibri"/>
              </w:rPr>
              <w:t>Number of books</w:t>
            </w:r>
            <w:r w:rsidR="00FE534B">
              <w:rPr>
                <w:webHidden/>
              </w:rPr>
              <w:tab/>
            </w:r>
            <w:r w:rsidR="00FE534B">
              <w:rPr>
                <w:webHidden/>
              </w:rPr>
              <w:fldChar w:fldCharType="begin"/>
            </w:r>
            <w:r w:rsidR="00FE534B">
              <w:rPr>
                <w:webHidden/>
              </w:rPr>
              <w:instrText xml:space="preserve"> PAGEREF _Toc114576273 \h </w:instrText>
            </w:r>
            <w:r w:rsidR="00FE534B">
              <w:rPr>
                <w:webHidden/>
              </w:rPr>
            </w:r>
            <w:r w:rsidR="00FE534B">
              <w:rPr>
                <w:webHidden/>
              </w:rPr>
              <w:fldChar w:fldCharType="separate"/>
            </w:r>
            <w:r w:rsidR="00FE534B">
              <w:rPr>
                <w:webHidden/>
              </w:rPr>
              <w:t>18</w:t>
            </w:r>
            <w:r w:rsidR="00FE534B">
              <w:rPr>
                <w:webHidden/>
              </w:rPr>
              <w:fldChar w:fldCharType="end"/>
            </w:r>
          </w:hyperlink>
        </w:p>
        <w:p w14:paraId="4E8AD6B0" w14:textId="1B7E11B3" w:rsidR="00FE534B" w:rsidRDefault="00A438FF">
          <w:pPr>
            <w:pStyle w:val="TOC2"/>
            <w:rPr>
              <w:rFonts w:asciiTheme="minorHAnsi" w:eastAsiaTheme="minorEastAsia" w:hAnsiTheme="minorHAnsi"/>
              <w:szCs w:val="22"/>
              <w:lang w:eastAsia="en-AU"/>
            </w:rPr>
          </w:pPr>
          <w:hyperlink w:anchor="_Toc114576274" w:history="1">
            <w:r w:rsidR="00FE534B" w:rsidRPr="009E2F25">
              <w:rPr>
                <w:rStyle w:val="Hyperlink"/>
                <w:rFonts w:ascii="Calibri" w:hAnsi="Calibri" w:cs="Calibri"/>
              </w:rPr>
              <w:t>6.7</w:t>
            </w:r>
            <w:r w:rsidR="00FE534B">
              <w:rPr>
                <w:rFonts w:asciiTheme="minorHAnsi" w:eastAsiaTheme="minorEastAsia" w:hAnsiTheme="minorHAnsi"/>
                <w:szCs w:val="22"/>
                <w:lang w:eastAsia="en-AU"/>
              </w:rPr>
              <w:tab/>
            </w:r>
            <w:r w:rsidR="00FE534B" w:rsidRPr="009E2F25">
              <w:rPr>
                <w:rStyle w:val="Hyperlink"/>
                <w:rFonts w:ascii="Calibri" w:hAnsi="Calibri" w:cs="Calibri"/>
              </w:rPr>
              <w:t>Protected-rated email/CabNet requirements</w:t>
            </w:r>
            <w:r w:rsidR="00FE534B">
              <w:rPr>
                <w:webHidden/>
              </w:rPr>
              <w:tab/>
            </w:r>
            <w:r w:rsidR="00FE534B">
              <w:rPr>
                <w:webHidden/>
              </w:rPr>
              <w:fldChar w:fldCharType="begin"/>
            </w:r>
            <w:r w:rsidR="00FE534B">
              <w:rPr>
                <w:webHidden/>
              </w:rPr>
              <w:instrText xml:space="preserve"> PAGEREF _Toc114576274 \h </w:instrText>
            </w:r>
            <w:r w:rsidR="00FE534B">
              <w:rPr>
                <w:webHidden/>
              </w:rPr>
            </w:r>
            <w:r w:rsidR="00FE534B">
              <w:rPr>
                <w:webHidden/>
              </w:rPr>
              <w:fldChar w:fldCharType="separate"/>
            </w:r>
            <w:r w:rsidR="00FE534B">
              <w:rPr>
                <w:webHidden/>
              </w:rPr>
              <w:t>20</w:t>
            </w:r>
            <w:r w:rsidR="00FE534B">
              <w:rPr>
                <w:webHidden/>
              </w:rPr>
              <w:fldChar w:fldCharType="end"/>
            </w:r>
          </w:hyperlink>
        </w:p>
        <w:p w14:paraId="3F5B0869" w14:textId="41F4713F" w:rsidR="00FE534B" w:rsidRDefault="00A438FF">
          <w:pPr>
            <w:pStyle w:val="TOC2"/>
            <w:rPr>
              <w:rFonts w:asciiTheme="minorHAnsi" w:eastAsiaTheme="minorEastAsia" w:hAnsiTheme="minorHAnsi"/>
              <w:szCs w:val="22"/>
              <w:lang w:eastAsia="en-AU"/>
            </w:rPr>
          </w:pPr>
          <w:hyperlink w:anchor="_Toc114576275" w:history="1">
            <w:r w:rsidR="00FE534B" w:rsidRPr="009E2F25">
              <w:rPr>
                <w:rStyle w:val="Hyperlink"/>
                <w:rFonts w:ascii="Calibri" w:hAnsi="Calibri" w:cs="Calibri"/>
              </w:rPr>
              <w:t>6.8</w:t>
            </w:r>
            <w:r w:rsidR="00FE534B">
              <w:rPr>
                <w:rFonts w:asciiTheme="minorHAnsi" w:eastAsiaTheme="minorEastAsia" w:hAnsiTheme="minorHAnsi"/>
                <w:szCs w:val="22"/>
                <w:lang w:eastAsia="en-AU"/>
              </w:rPr>
              <w:tab/>
            </w:r>
            <w:r w:rsidR="00FE534B" w:rsidRPr="009E2F25">
              <w:rPr>
                <w:rStyle w:val="Hyperlink"/>
                <w:rFonts w:ascii="Calibri" w:hAnsi="Calibri" w:cs="Calibri"/>
              </w:rPr>
              <w:t>Budget media lockup hard copy and PDF requirements</w:t>
            </w:r>
            <w:r w:rsidR="00FE534B">
              <w:rPr>
                <w:webHidden/>
              </w:rPr>
              <w:tab/>
            </w:r>
            <w:r w:rsidR="00FE534B">
              <w:rPr>
                <w:webHidden/>
              </w:rPr>
              <w:fldChar w:fldCharType="begin"/>
            </w:r>
            <w:r w:rsidR="00FE534B">
              <w:rPr>
                <w:webHidden/>
              </w:rPr>
              <w:instrText xml:space="preserve"> PAGEREF _Toc114576275 \h </w:instrText>
            </w:r>
            <w:r w:rsidR="00FE534B">
              <w:rPr>
                <w:webHidden/>
              </w:rPr>
            </w:r>
            <w:r w:rsidR="00FE534B">
              <w:rPr>
                <w:webHidden/>
              </w:rPr>
              <w:fldChar w:fldCharType="separate"/>
            </w:r>
            <w:r w:rsidR="00FE534B">
              <w:rPr>
                <w:webHidden/>
              </w:rPr>
              <w:t>20</w:t>
            </w:r>
            <w:r w:rsidR="00FE534B">
              <w:rPr>
                <w:webHidden/>
              </w:rPr>
              <w:fldChar w:fldCharType="end"/>
            </w:r>
          </w:hyperlink>
        </w:p>
        <w:p w14:paraId="225E8242" w14:textId="4050CF84" w:rsidR="00FE534B" w:rsidRDefault="00A438FF">
          <w:pPr>
            <w:pStyle w:val="TOC2"/>
            <w:rPr>
              <w:rFonts w:asciiTheme="minorHAnsi" w:eastAsiaTheme="minorEastAsia" w:hAnsiTheme="minorHAnsi"/>
              <w:szCs w:val="22"/>
              <w:lang w:eastAsia="en-AU"/>
            </w:rPr>
          </w:pPr>
          <w:hyperlink w:anchor="_Toc114576276" w:history="1">
            <w:r w:rsidR="00FE534B" w:rsidRPr="009E2F25">
              <w:rPr>
                <w:rStyle w:val="Hyperlink"/>
                <w:rFonts w:ascii="Calibri" w:hAnsi="Calibri" w:cs="Calibri"/>
              </w:rPr>
              <w:t>6.9</w:t>
            </w:r>
            <w:r w:rsidR="00FE534B">
              <w:rPr>
                <w:rFonts w:asciiTheme="minorHAnsi" w:eastAsiaTheme="minorEastAsia" w:hAnsiTheme="minorHAnsi"/>
                <w:szCs w:val="22"/>
                <w:lang w:eastAsia="en-AU"/>
              </w:rPr>
              <w:tab/>
            </w:r>
            <w:r w:rsidR="00FE534B" w:rsidRPr="009E2F25">
              <w:rPr>
                <w:rStyle w:val="Hyperlink"/>
                <w:rFonts w:ascii="Calibri" w:hAnsi="Calibri" w:cs="Calibri"/>
              </w:rPr>
              <w:t>Online publication</w:t>
            </w:r>
            <w:r w:rsidR="00FE534B">
              <w:rPr>
                <w:webHidden/>
              </w:rPr>
              <w:tab/>
            </w:r>
            <w:r w:rsidR="00FE534B">
              <w:rPr>
                <w:webHidden/>
              </w:rPr>
              <w:fldChar w:fldCharType="begin"/>
            </w:r>
            <w:r w:rsidR="00FE534B">
              <w:rPr>
                <w:webHidden/>
              </w:rPr>
              <w:instrText xml:space="preserve"> PAGEREF _Toc114576276 \h </w:instrText>
            </w:r>
            <w:r w:rsidR="00FE534B">
              <w:rPr>
                <w:webHidden/>
              </w:rPr>
            </w:r>
            <w:r w:rsidR="00FE534B">
              <w:rPr>
                <w:webHidden/>
              </w:rPr>
              <w:fldChar w:fldCharType="separate"/>
            </w:r>
            <w:r w:rsidR="00FE534B">
              <w:rPr>
                <w:webHidden/>
              </w:rPr>
              <w:t>20</w:t>
            </w:r>
            <w:r w:rsidR="00FE534B">
              <w:rPr>
                <w:webHidden/>
              </w:rPr>
              <w:fldChar w:fldCharType="end"/>
            </w:r>
          </w:hyperlink>
        </w:p>
        <w:p w14:paraId="1EB7D6D9" w14:textId="00721367" w:rsidR="00FE534B" w:rsidRDefault="00A438FF">
          <w:pPr>
            <w:pStyle w:val="TOC3"/>
            <w:tabs>
              <w:tab w:val="left" w:pos="1843"/>
            </w:tabs>
            <w:rPr>
              <w:rFonts w:asciiTheme="minorHAnsi" w:eastAsiaTheme="minorEastAsia" w:hAnsiTheme="minorHAnsi"/>
              <w:szCs w:val="22"/>
              <w:lang w:eastAsia="en-AU"/>
            </w:rPr>
          </w:pPr>
          <w:hyperlink w:anchor="_Toc114576277" w:history="1">
            <w:r w:rsidR="00FE534B" w:rsidRPr="009E2F25">
              <w:rPr>
                <w:rStyle w:val="Hyperlink"/>
                <w:rFonts w:ascii="Calibri" w:hAnsi="Calibri" w:cs="Calibri"/>
              </w:rPr>
              <w:t>6.9.1</w:t>
            </w:r>
            <w:r w:rsidR="00FE534B">
              <w:rPr>
                <w:rFonts w:asciiTheme="minorHAnsi" w:eastAsiaTheme="minorEastAsia" w:hAnsiTheme="minorHAnsi"/>
                <w:szCs w:val="22"/>
                <w:lang w:eastAsia="en-AU"/>
              </w:rPr>
              <w:tab/>
            </w:r>
            <w:r w:rsidR="00FE534B" w:rsidRPr="009E2F25">
              <w:rPr>
                <w:rStyle w:val="Hyperlink"/>
                <w:rFonts w:ascii="Calibri" w:hAnsi="Calibri" w:cs="Calibri"/>
              </w:rPr>
              <w:t>Publishing the PB Statements on the internet</w:t>
            </w:r>
            <w:r w:rsidR="00FE534B">
              <w:rPr>
                <w:webHidden/>
              </w:rPr>
              <w:tab/>
            </w:r>
            <w:r w:rsidR="00FE534B">
              <w:rPr>
                <w:webHidden/>
              </w:rPr>
              <w:fldChar w:fldCharType="begin"/>
            </w:r>
            <w:r w:rsidR="00FE534B">
              <w:rPr>
                <w:webHidden/>
              </w:rPr>
              <w:instrText xml:space="preserve"> PAGEREF _Toc114576277 \h </w:instrText>
            </w:r>
            <w:r w:rsidR="00FE534B">
              <w:rPr>
                <w:webHidden/>
              </w:rPr>
            </w:r>
            <w:r w:rsidR="00FE534B">
              <w:rPr>
                <w:webHidden/>
              </w:rPr>
              <w:fldChar w:fldCharType="separate"/>
            </w:r>
            <w:r w:rsidR="00FE534B">
              <w:rPr>
                <w:webHidden/>
              </w:rPr>
              <w:t>20</w:t>
            </w:r>
            <w:r w:rsidR="00FE534B">
              <w:rPr>
                <w:webHidden/>
              </w:rPr>
              <w:fldChar w:fldCharType="end"/>
            </w:r>
          </w:hyperlink>
        </w:p>
        <w:p w14:paraId="0DBA1781" w14:textId="1E8DA7E2" w:rsidR="00FE534B" w:rsidRDefault="00A438FF">
          <w:pPr>
            <w:pStyle w:val="TOC3"/>
            <w:tabs>
              <w:tab w:val="left" w:pos="1843"/>
            </w:tabs>
            <w:rPr>
              <w:rFonts w:asciiTheme="minorHAnsi" w:eastAsiaTheme="minorEastAsia" w:hAnsiTheme="minorHAnsi"/>
              <w:szCs w:val="22"/>
              <w:lang w:eastAsia="en-AU"/>
            </w:rPr>
          </w:pPr>
          <w:hyperlink w:anchor="_Toc114576278" w:history="1">
            <w:r w:rsidR="00FE534B" w:rsidRPr="009E2F25">
              <w:rPr>
                <w:rStyle w:val="Hyperlink"/>
                <w:rFonts w:ascii="Calibri" w:hAnsi="Calibri" w:cs="Calibri"/>
              </w:rPr>
              <w:t>6.9.2</w:t>
            </w:r>
            <w:r w:rsidR="00FE534B">
              <w:rPr>
                <w:rFonts w:asciiTheme="minorHAnsi" w:eastAsiaTheme="minorEastAsia" w:hAnsiTheme="minorHAnsi"/>
                <w:szCs w:val="22"/>
                <w:lang w:eastAsia="en-AU"/>
              </w:rPr>
              <w:tab/>
            </w:r>
            <w:r w:rsidR="00FE534B" w:rsidRPr="009E2F25">
              <w:rPr>
                <w:rStyle w:val="Hyperlink"/>
                <w:rFonts w:ascii="Calibri" w:hAnsi="Calibri" w:cs="Calibri"/>
              </w:rPr>
              <w:t>Open government initiative publication on data.gov.au</w:t>
            </w:r>
            <w:r w:rsidR="00FE534B">
              <w:rPr>
                <w:webHidden/>
              </w:rPr>
              <w:tab/>
            </w:r>
            <w:r w:rsidR="00FE534B">
              <w:rPr>
                <w:webHidden/>
              </w:rPr>
              <w:fldChar w:fldCharType="begin"/>
            </w:r>
            <w:r w:rsidR="00FE534B">
              <w:rPr>
                <w:webHidden/>
              </w:rPr>
              <w:instrText xml:space="preserve"> PAGEREF _Toc114576278 \h </w:instrText>
            </w:r>
            <w:r w:rsidR="00FE534B">
              <w:rPr>
                <w:webHidden/>
              </w:rPr>
            </w:r>
            <w:r w:rsidR="00FE534B">
              <w:rPr>
                <w:webHidden/>
              </w:rPr>
              <w:fldChar w:fldCharType="separate"/>
            </w:r>
            <w:r w:rsidR="00FE534B">
              <w:rPr>
                <w:webHidden/>
              </w:rPr>
              <w:t>21</w:t>
            </w:r>
            <w:r w:rsidR="00FE534B">
              <w:rPr>
                <w:webHidden/>
              </w:rPr>
              <w:fldChar w:fldCharType="end"/>
            </w:r>
          </w:hyperlink>
        </w:p>
        <w:p w14:paraId="37246D15" w14:textId="3CC80FF3" w:rsidR="00FE534B" w:rsidRDefault="00A438FF">
          <w:pPr>
            <w:pStyle w:val="TOC3"/>
            <w:tabs>
              <w:tab w:val="left" w:pos="1843"/>
            </w:tabs>
            <w:rPr>
              <w:rFonts w:asciiTheme="minorHAnsi" w:eastAsiaTheme="minorEastAsia" w:hAnsiTheme="minorHAnsi"/>
              <w:szCs w:val="22"/>
              <w:lang w:eastAsia="en-AU"/>
            </w:rPr>
          </w:pPr>
          <w:hyperlink w:anchor="_Toc114576279" w:history="1">
            <w:r w:rsidR="00FE534B" w:rsidRPr="009E2F25">
              <w:rPr>
                <w:rStyle w:val="Hyperlink"/>
                <w:rFonts w:ascii="Calibri" w:hAnsi="Calibri" w:cs="Calibri"/>
              </w:rPr>
              <w:t>6.9.3</w:t>
            </w:r>
            <w:r w:rsidR="00FE534B">
              <w:rPr>
                <w:rFonts w:asciiTheme="minorHAnsi" w:eastAsiaTheme="minorEastAsia" w:hAnsiTheme="minorHAnsi"/>
                <w:szCs w:val="22"/>
                <w:lang w:eastAsia="en-AU"/>
              </w:rPr>
              <w:tab/>
            </w:r>
            <w:r w:rsidR="00FE534B" w:rsidRPr="009E2F25">
              <w:rPr>
                <w:rStyle w:val="Hyperlink"/>
                <w:rFonts w:ascii="Calibri" w:hAnsi="Calibri" w:cs="Calibri"/>
              </w:rPr>
              <w:t>Checklist for preparing files for online publication on data.gov.au</w:t>
            </w:r>
            <w:r w:rsidR="00FE534B">
              <w:rPr>
                <w:webHidden/>
              </w:rPr>
              <w:tab/>
            </w:r>
            <w:r w:rsidR="00FE534B">
              <w:rPr>
                <w:webHidden/>
              </w:rPr>
              <w:fldChar w:fldCharType="begin"/>
            </w:r>
            <w:r w:rsidR="00FE534B">
              <w:rPr>
                <w:webHidden/>
              </w:rPr>
              <w:instrText xml:space="preserve"> PAGEREF _Toc114576279 \h </w:instrText>
            </w:r>
            <w:r w:rsidR="00FE534B">
              <w:rPr>
                <w:webHidden/>
              </w:rPr>
            </w:r>
            <w:r w:rsidR="00FE534B">
              <w:rPr>
                <w:webHidden/>
              </w:rPr>
              <w:fldChar w:fldCharType="separate"/>
            </w:r>
            <w:r w:rsidR="00FE534B">
              <w:rPr>
                <w:webHidden/>
              </w:rPr>
              <w:t>23</w:t>
            </w:r>
            <w:r w:rsidR="00FE534B">
              <w:rPr>
                <w:webHidden/>
              </w:rPr>
              <w:fldChar w:fldCharType="end"/>
            </w:r>
          </w:hyperlink>
        </w:p>
        <w:p w14:paraId="0B798178" w14:textId="0C5FEB6C" w:rsidR="00FE534B" w:rsidRDefault="00A438FF">
          <w:pPr>
            <w:pStyle w:val="TOC2"/>
            <w:rPr>
              <w:rFonts w:asciiTheme="minorHAnsi" w:eastAsiaTheme="minorEastAsia" w:hAnsiTheme="minorHAnsi"/>
              <w:szCs w:val="22"/>
              <w:lang w:eastAsia="en-AU"/>
            </w:rPr>
          </w:pPr>
          <w:hyperlink w:anchor="_Toc114576280" w:history="1">
            <w:r w:rsidR="00FE534B" w:rsidRPr="009E2F25">
              <w:rPr>
                <w:rStyle w:val="Hyperlink"/>
                <w:rFonts w:ascii="Calibri" w:hAnsi="Calibri" w:cs="Calibri"/>
              </w:rPr>
              <w:t>6.10</w:t>
            </w:r>
            <w:r w:rsidR="00FE534B">
              <w:rPr>
                <w:rFonts w:asciiTheme="minorHAnsi" w:eastAsiaTheme="minorEastAsia" w:hAnsiTheme="minorHAnsi"/>
                <w:szCs w:val="22"/>
                <w:lang w:eastAsia="en-AU"/>
              </w:rPr>
              <w:tab/>
            </w:r>
            <w:r w:rsidR="00FE534B" w:rsidRPr="009E2F25">
              <w:rPr>
                <w:rStyle w:val="Hyperlink"/>
                <w:rFonts w:ascii="Calibri" w:hAnsi="Calibri" w:cs="Calibri"/>
              </w:rPr>
              <w:t>Use of ISBN/ISSN number</w:t>
            </w:r>
            <w:r w:rsidR="00FE534B">
              <w:rPr>
                <w:webHidden/>
              </w:rPr>
              <w:tab/>
            </w:r>
            <w:r w:rsidR="00FE534B">
              <w:rPr>
                <w:webHidden/>
              </w:rPr>
              <w:fldChar w:fldCharType="begin"/>
            </w:r>
            <w:r w:rsidR="00FE534B">
              <w:rPr>
                <w:webHidden/>
              </w:rPr>
              <w:instrText xml:space="preserve"> PAGEREF _Toc114576280 \h </w:instrText>
            </w:r>
            <w:r w:rsidR="00FE534B">
              <w:rPr>
                <w:webHidden/>
              </w:rPr>
            </w:r>
            <w:r w:rsidR="00FE534B">
              <w:rPr>
                <w:webHidden/>
              </w:rPr>
              <w:fldChar w:fldCharType="separate"/>
            </w:r>
            <w:r w:rsidR="00FE534B">
              <w:rPr>
                <w:webHidden/>
              </w:rPr>
              <w:t>23</w:t>
            </w:r>
            <w:r w:rsidR="00FE534B">
              <w:rPr>
                <w:webHidden/>
              </w:rPr>
              <w:fldChar w:fldCharType="end"/>
            </w:r>
          </w:hyperlink>
        </w:p>
        <w:p w14:paraId="4F688CF8" w14:textId="2E7D1160" w:rsidR="00FE534B" w:rsidRDefault="00A438FF">
          <w:pPr>
            <w:pStyle w:val="TOC2"/>
            <w:rPr>
              <w:rFonts w:asciiTheme="minorHAnsi" w:eastAsiaTheme="minorEastAsia" w:hAnsiTheme="minorHAnsi"/>
              <w:szCs w:val="22"/>
              <w:lang w:eastAsia="en-AU"/>
            </w:rPr>
          </w:pPr>
          <w:hyperlink w:anchor="_Toc114576281" w:history="1">
            <w:r w:rsidR="00FE534B" w:rsidRPr="009E2F25">
              <w:rPr>
                <w:rStyle w:val="Hyperlink"/>
                <w:rFonts w:ascii="Calibri" w:hAnsi="Calibri" w:cs="Calibri"/>
              </w:rPr>
              <w:t>6.11</w:t>
            </w:r>
            <w:r w:rsidR="00FE534B">
              <w:rPr>
                <w:rFonts w:asciiTheme="minorHAnsi" w:eastAsiaTheme="minorEastAsia" w:hAnsiTheme="minorHAnsi"/>
                <w:szCs w:val="22"/>
                <w:lang w:eastAsia="en-AU"/>
              </w:rPr>
              <w:tab/>
            </w:r>
            <w:r w:rsidR="00FE534B" w:rsidRPr="009E2F25">
              <w:rPr>
                <w:rStyle w:val="Hyperlink"/>
                <w:rFonts w:ascii="Calibri" w:hAnsi="Calibri" w:cs="Calibri"/>
              </w:rPr>
              <w:t>Issuing a corrigendum (correction)/addendum</w:t>
            </w:r>
            <w:r w:rsidR="00FE534B">
              <w:rPr>
                <w:webHidden/>
              </w:rPr>
              <w:tab/>
            </w:r>
            <w:r w:rsidR="00FE534B">
              <w:rPr>
                <w:webHidden/>
              </w:rPr>
              <w:fldChar w:fldCharType="begin"/>
            </w:r>
            <w:r w:rsidR="00FE534B">
              <w:rPr>
                <w:webHidden/>
              </w:rPr>
              <w:instrText xml:space="preserve"> PAGEREF _Toc114576281 \h </w:instrText>
            </w:r>
            <w:r w:rsidR="00FE534B">
              <w:rPr>
                <w:webHidden/>
              </w:rPr>
            </w:r>
            <w:r w:rsidR="00FE534B">
              <w:rPr>
                <w:webHidden/>
              </w:rPr>
              <w:fldChar w:fldCharType="separate"/>
            </w:r>
            <w:r w:rsidR="00FE534B">
              <w:rPr>
                <w:webHidden/>
              </w:rPr>
              <w:t>23</w:t>
            </w:r>
            <w:r w:rsidR="00FE534B">
              <w:rPr>
                <w:webHidden/>
              </w:rPr>
              <w:fldChar w:fldCharType="end"/>
            </w:r>
          </w:hyperlink>
        </w:p>
        <w:p w14:paraId="78F4DEA8" w14:textId="5A637977" w:rsidR="00FE534B" w:rsidRDefault="00A438FF">
          <w:pPr>
            <w:pStyle w:val="TOC1"/>
            <w:rPr>
              <w:rFonts w:asciiTheme="minorHAnsi" w:eastAsiaTheme="minorEastAsia" w:hAnsiTheme="minorHAnsi"/>
              <w:sz w:val="22"/>
              <w:szCs w:val="22"/>
              <w:lang w:eastAsia="en-AU"/>
            </w:rPr>
          </w:pPr>
          <w:hyperlink w:anchor="_Toc114576282" w:history="1">
            <w:r w:rsidR="00FE534B" w:rsidRPr="009E2F25">
              <w:rPr>
                <w:rStyle w:val="Hyperlink"/>
                <w:rFonts w:ascii="Calibri" w:hAnsi="Calibri" w:cs="Calibri"/>
              </w:rPr>
              <w:t>7.</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Portfolio overview section</w:t>
            </w:r>
            <w:r w:rsidR="00FE534B">
              <w:rPr>
                <w:webHidden/>
              </w:rPr>
              <w:tab/>
            </w:r>
            <w:r w:rsidR="00FE534B">
              <w:rPr>
                <w:webHidden/>
              </w:rPr>
              <w:fldChar w:fldCharType="begin"/>
            </w:r>
            <w:r w:rsidR="00FE534B">
              <w:rPr>
                <w:webHidden/>
              </w:rPr>
              <w:instrText xml:space="preserve"> PAGEREF _Toc114576282 \h </w:instrText>
            </w:r>
            <w:r w:rsidR="00FE534B">
              <w:rPr>
                <w:webHidden/>
              </w:rPr>
            </w:r>
            <w:r w:rsidR="00FE534B">
              <w:rPr>
                <w:webHidden/>
              </w:rPr>
              <w:fldChar w:fldCharType="separate"/>
            </w:r>
            <w:r w:rsidR="00FE534B">
              <w:rPr>
                <w:webHidden/>
              </w:rPr>
              <w:t>25</w:t>
            </w:r>
            <w:r w:rsidR="00FE534B">
              <w:rPr>
                <w:webHidden/>
              </w:rPr>
              <w:fldChar w:fldCharType="end"/>
            </w:r>
          </w:hyperlink>
        </w:p>
        <w:p w14:paraId="650EC7B1" w14:textId="721E7BF8" w:rsidR="00FE534B" w:rsidRDefault="00A438FF">
          <w:pPr>
            <w:pStyle w:val="TOC2"/>
            <w:rPr>
              <w:rFonts w:asciiTheme="minorHAnsi" w:eastAsiaTheme="minorEastAsia" w:hAnsiTheme="minorHAnsi"/>
              <w:szCs w:val="22"/>
              <w:lang w:eastAsia="en-AU"/>
            </w:rPr>
          </w:pPr>
          <w:hyperlink w:anchor="_Toc114576283" w:history="1">
            <w:r w:rsidR="00FE534B" w:rsidRPr="009E2F25">
              <w:rPr>
                <w:rStyle w:val="Hyperlink"/>
                <w:rFonts w:ascii="Calibri" w:hAnsi="Calibri" w:cs="Calibri"/>
                <w:spacing w:val="-6"/>
              </w:rPr>
              <w:t>7.1</w:t>
            </w:r>
            <w:r w:rsidR="00FE534B">
              <w:rPr>
                <w:rFonts w:asciiTheme="minorHAnsi" w:eastAsiaTheme="minorEastAsia" w:hAnsiTheme="minorHAnsi"/>
                <w:szCs w:val="22"/>
                <w:lang w:eastAsia="en-AU"/>
              </w:rPr>
              <w:tab/>
            </w:r>
            <w:r w:rsidR="00FE534B" w:rsidRPr="009E2F25">
              <w:rPr>
                <w:rStyle w:val="Hyperlink"/>
                <w:rFonts w:ascii="Calibri" w:hAnsi="Calibri" w:cs="Calibri"/>
              </w:rPr>
              <w:t>Minister(s) and portfolio responsibilities</w:t>
            </w:r>
            <w:r w:rsidR="00FE534B">
              <w:rPr>
                <w:webHidden/>
              </w:rPr>
              <w:tab/>
            </w:r>
            <w:r w:rsidR="00FE534B">
              <w:rPr>
                <w:webHidden/>
              </w:rPr>
              <w:fldChar w:fldCharType="begin"/>
            </w:r>
            <w:r w:rsidR="00FE534B">
              <w:rPr>
                <w:webHidden/>
              </w:rPr>
              <w:instrText xml:space="preserve"> PAGEREF _Toc114576283 \h </w:instrText>
            </w:r>
            <w:r w:rsidR="00FE534B">
              <w:rPr>
                <w:webHidden/>
              </w:rPr>
            </w:r>
            <w:r w:rsidR="00FE534B">
              <w:rPr>
                <w:webHidden/>
              </w:rPr>
              <w:fldChar w:fldCharType="separate"/>
            </w:r>
            <w:r w:rsidR="00FE534B">
              <w:rPr>
                <w:webHidden/>
              </w:rPr>
              <w:t>25</w:t>
            </w:r>
            <w:r w:rsidR="00FE534B">
              <w:rPr>
                <w:webHidden/>
              </w:rPr>
              <w:fldChar w:fldCharType="end"/>
            </w:r>
          </w:hyperlink>
        </w:p>
        <w:p w14:paraId="030FCA77" w14:textId="67DF354E" w:rsidR="00FE534B" w:rsidRDefault="00A438FF">
          <w:pPr>
            <w:pStyle w:val="TOC2"/>
            <w:rPr>
              <w:rFonts w:asciiTheme="minorHAnsi" w:eastAsiaTheme="minorEastAsia" w:hAnsiTheme="minorHAnsi"/>
              <w:szCs w:val="22"/>
              <w:lang w:eastAsia="en-AU"/>
            </w:rPr>
          </w:pPr>
          <w:hyperlink w:anchor="_Toc114576284" w:history="1">
            <w:r w:rsidR="00FE534B" w:rsidRPr="009E2F25">
              <w:rPr>
                <w:rStyle w:val="Hyperlink"/>
                <w:rFonts w:ascii="Calibri" w:hAnsi="Calibri" w:cs="Calibri"/>
                <w:spacing w:val="-6"/>
              </w:rPr>
              <w:t>7.2</w:t>
            </w:r>
            <w:r w:rsidR="00FE534B">
              <w:rPr>
                <w:rFonts w:asciiTheme="minorHAnsi" w:eastAsiaTheme="minorEastAsia" w:hAnsiTheme="minorHAnsi"/>
                <w:szCs w:val="22"/>
                <w:lang w:eastAsia="en-AU"/>
              </w:rPr>
              <w:tab/>
            </w:r>
            <w:r w:rsidR="00FE534B" w:rsidRPr="009E2F25">
              <w:rPr>
                <w:rStyle w:val="Hyperlink"/>
                <w:rFonts w:ascii="Calibri" w:hAnsi="Calibri" w:cs="Calibri"/>
              </w:rPr>
              <w:t>Portfolio structure and outcomes</w:t>
            </w:r>
            <w:r w:rsidR="00FE534B">
              <w:rPr>
                <w:webHidden/>
              </w:rPr>
              <w:tab/>
            </w:r>
            <w:r w:rsidR="00FE534B">
              <w:rPr>
                <w:webHidden/>
              </w:rPr>
              <w:fldChar w:fldCharType="begin"/>
            </w:r>
            <w:r w:rsidR="00FE534B">
              <w:rPr>
                <w:webHidden/>
              </w:rPr>
              <w:instrText xml:space="preserve"> PAGEREF _Toc114576284 \h </w:instrText>
            </w:r>
            <w:r w:rsidR="00FE534B">
              <w:rPr>
                <w:webHidden/>
              </w:rPr>
            </w:r>
            <w:r w:rsidR="00FE534B">
              <w:rPr>
                <w:webHidden/>
              </w:rPr>
              <w:fldChar w:fldCharType="separate"/>
            </w:r>
            <w:r w:rsidR="00FE534B">
              <w:rPr>
                <w:webHidden/>
              </w:rPr>
              <w:t>25</w:t>
            </w:r>
            <w:r w:rsidR="00FE534B">
              <w:rPr>
                <w:webHidden/>
              </w:rPr>
              <w:fldChar w:fldCharType="end"/>
            </w:r>
          </w:hyperlink>
        </w:p>
        <w:p w14:paraId="0FD6DFB2" w14:textId="7F317FB2" w:rsidR="00FE534B" w:rsidRDefault="00A438FF">
          <w:pPr>
            <w:pStyle w:val="TOC1"/>
            <w:rPr>
              <w:rFonts w:asciiTheme="minorHAnsi" w:eastAsiaTheme="minorEastAsia" w:hAnsiTheme="minorHAnsi"/>
              <w:sz w:val="22"/>
              <w:szCs w:val="22"/>
              <w:lang w:eastAsia="en-AU"/>
            </w:rPr>
          </w:pPr>
          <w:hyperlink w:anchor="_Toc114576285" w:history="1">
            <w:r w:rsidR="00FE534B" w:rsidRPr="009E2F25">
              <w:rPr>
                <w:rStyle w:val="Hyperlink"/>
                <w:rFonts w:ascii="Calibri" w:hAnsi="Calibri" w:cs="Calibri"/>
              </w:rPr>
              <w:t>8.</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Entity overview and resources section</w:t>
            </w:r>
            <w:r w:rsidR="00FE534B">
              <w:rPr>
                <w:webHidden/>
              </w:rPr>
              <w:tab/>
            </w:r>
            <w:r w:rsidR="00FE534B">
              <w:rPr>
                <w:webHidden/>
              </w:rPr>
              <w:fldChar w:fldCharType="begin"/>
            </w:r>
            <w:r w:rsidR="00FE534B">
              <w:rPr>
                <w:webHidden/>
              </w:rPr>
              <w:instrText xml:space="preserve"> PAGEREF _Toc114576285 \h </w:instrText>
            </w:r>
            <w:r w:rsidR="00FE534B">
              <w:rPr>
                <w:webHidden/>
              </w:rPr>
            </w:r>
            <w:r w:rsidR="00FE534B">
              <w:rPr>
                <w:webHidden/>
              </w:rPr>
              <w:fldChar w:fldCharType="separate"/>
            </w:r>
            <w:r w:rsidR="00FE534B">
              <w:rPr>
                <w:webHidden/>
              </w:rPr>
              <w:t>27</w:t>
            </w:r>
            <w:r w:rsidR="00FE534B">
              <w:rPr>
                <w:webHidden/>
              </w:rPr>
              <w:fldChar w:fldCharType="end"/>
            </w:r>
          </w:hyperlink>
        </w:p>
        <w:p w14:paraId="41506670" w14:textId="5341E237" w:rsidR="00FE534B" w:rsidRDefault="00A438FF">
          <w:pPr>
            <w:pStyle w:val="TOC2"/>
            <w:rPr>
              <w:rFonts w:asciiTheme="minorHAnsi" w:eastAsiaTheme="minorEastAsia" w:hAnsiTheme="minorHAnsi"/>
              <w:szCs w:val="22"/>
              <w:lang w:eastAsia="en-AU"/>
            </w:rPr>
          </w:pPr>
          <w:hyperlink w:anchor="_Toc114576286" w:history="1">
            <w:r w:rsidR="00FE534B" w:rsidRPr="009E2F25">
              <w:rPr>
                <w:rStyle w:val="Hyperlink"/>
                <w:rFonts w:ascii="Calibri" w:hAnsi="Calibri" w:cs="Calibri"/>
                <w:spacing w:val="-6"/>
              </w:rPr>
              <w:t>8.1</w:t>
            </w:r>
            <w:r w:rsidR="00FE534B">
              <w:rPr>
                <w:rFonts w:asciiTheme="minorHAnsi" w:eastAsiaTheme="minorEastAsia" w:hAnsiTheme="minorHAnsi"/>
                <w:szCs w:val="22"/>
                <w:lang w:eastAsia="en-AU"/>
              </w:rPr>
              <w:tab/>
            </w:r>
            <w:r w:rsidR="00FE534B" w:rsidRPr="009E2F25">
              <w:rPr>
                <w:rStyle w:val="Hyperlink"/>
                <w:rFonts w:ascii="Calibri" w:hAnsi="Calibri" w:cs="Calibri"/>
              </w:rPr>
              <w:t>Strategic direction statement</w:t>
            </w:r>
            <w:r w:rsidR="00FE534B">
              <w:rPr>
                <w:webHidden/>
              </w:rPr>
              <w:tab/>
            </w:r>
            <w:r w:rsidR="00FE534B">
              <w:rPr>
                <w:webHidden/>
              </w:rPr>
              <w:fldChar w:fldCharType="begin"/>
            </w:r>
            <w:r w:rsidR="00FE534B">
              <w:rPr>
                <w:webHidden/>
              </w:rPr>
              <w:instrText xml:space="preserve"> PAGEREF _Toc114576286 \h </w:instrText>
            </w:r>
            <w:r w:rsidR="00FE534B">
              <w:rPr>
                <w:webHidden/>
              </w:rPr>
            </w:r>
            <w:r w:rsidR="00FE534B">
              <w:rPr>
                <w:webHidden/>
              </w:rPr>
              <w:fldChar w:fldCharType="separate"/>
            </w:r>
            <w:r w:rsidR="00FE534B">
              <w:rPr>
                <w:webHidden/>
              </w:rPr>
              <w:t>27</w:t>
            </w:r>
            <w:r w:rsidR="00FE534B">
              <w:rPr>
                <w:webHidden/>
              </w:rPr>
              <w:fldChar w:fldCharType="end"/>
            </w:r>
          </w:hyperlink>
        </w:p>
        <w:p w14:paraId="4476BF10" w14:textId="4F06C66A" w:rsidR="00FE534B" w:rsidRDefault="00A438FF">
          <w:pPr>
            <w:pStyle w:val="TOC2"/>
            <w:rPr>
              <w:rFonts w:asciiTheme="minorHAnsi" w:eastAsiaTheme="minorEastAsia" w:hAnsiTheme="minorHAnsi"/>
              <w:szCs w:val="22"/>
              <w:lang w:eastAsia="en-AU"/>
            </w:rPr>
          </w:pPr>
          <w:hyperlink w:anchor="_Toc114576287" w:history="1">
            <w:r w:rsidR="00FE534B" w:rsidRPr="009E2F25">
              <w:rPr>
                <w:rStyle w:val="Hyperlink"/>
                <w:rFonts w:ascii="Calibri" w:hAnsi="Calibri" w:cs="Calibri"/>
              </w:rPr>
              <w:t>8.2</w:t>
            </w:r>
            <w:r w:rsidR="00FE534B">
              <w:rPr>
                <w:rFonts w:asciiTheme="minorHAnsi" w:eastAsiaTheme="minorEastAsia" w:hAnsiTheme="minorHAnsi"/>
                <w:szCs w:val="22"/>
                <w:lang w:eastAsia="en-AU"/>
              </w:rPr>
              <w:tab/>
            </w:r>
            <w:r w:rsidR="00FE534B" w:rsidRPr="009E2F25">
              <w:rPr>
                <w:rStyle w:val="Hyperlink"/>
                <w:rFonts w:ascii="Calibri" w:hAnsi="Calibri" w:cs="Calibri"/>
              </w:rPr>
              <w:t>Entity resource statement</w:t>
            </w:r>
            <w:r w:rsidR="00FE534B">
              <w:rPr>
                <w:webHidden/>
              </w:rPr>
              <w:tab/>
            </w:r>
            <w:r w:rsidR="00FE534B">
              <w:rPr>
                <w:webHidden/>
              </w:rPr>
              <w:fldChar w:fldCharType="begin"/>
            </w:r>
            <w:r w:rsidR="00FE534B">
              <w:rPr>
                <w:webHidden/>
              </w:rPr>
              <w:instrText xml:space="preserve"> PAGEREF _Toc114576287 \h </w:instrText>
            </w:r>
            <w:r w:rsidR="00FE534B">
              <w:rPr>
                <w:webHidden/>
              </w:rPr>
            </w:r>
            <w:r w:rsidR="00FE534B">
              <w:rPr>
                <w:webHidden/>
              </w:rPr>
              <w:fldChar w:fldCharType="separate"/>
            </w:r>
            <w:r w:rsidR="00FE534B">
              <w:rPr>
                <w:webHidden/>
              </w:rPr>
              <w:t>27</w:t>
            </w:r>
            <w:r w:rsidR="00FE534B">
              <w:rPr>
                <w:webHidden/>
              </w:rPr>
              <w:fldChar w:fldCharType="end"/>
            </w:r>
          </w:hyperlink>
        </w:p>
        <w:p w14:paraId="1A8CA3A1" w14:textId="543A034D" w:rsidR="00FE534B" w:rsidRDefault="00A438FF">
          <w:pPr>
            <w:pStyle w:val="TOC3"/>
            <w:tabs>
              <w:tab w:val="left" w:pos="1843"/>
            </w:tabs>
            <w:rPr>
              <w:rFonts w:asciiTheme="minorHAnsi" w:eastAsiaTheme="minorEastAsia" w:hAnsiTheme="minorHAnsi"/>
              <w:szCs w:val="22"/>
              <w:lang w:eastAsia="en-AU"/>
            </w:rPr>
          </w:pPr>
          <w:hyperlink w:anchor="_Toc114576288" w:history="1">
            <w:r w:rsidR="00FE534B" w:rsidRPr="009E2F25">
              <w:rPr>
                <w:rStyle w:val="Hyperlink"/>
                <w:rFonts w:ascii="Calibri" w:hAnsi="Calibri" w:cs="Calibri"/>
              </w:rPr>
              <w:t>8.2.1</w:t>
            </w:r>
            <w:r w:rsidR="00FE534B">
              <w:rPr>
                <w:rFonts w:asciiTheme="minorHAnsi" w:eastAsiaTheme="minorEastAsia" w:hAnsiTheme="minorHAnsi"/>
                <w:szCs w:val="22"/>
                <w:lang w:eastAsia="en-AU"/>
              </w:rPr>
              <w:tab/>
            </w:r>
            <w:r w:rsidR="00FE534B" w:rsidRPr="009E2F25">
              <w:rPr>
                <w:rStyle w:val="Hyperlink"/>
                <w:rFonts w:ascii="Calibri" w:hAnsi="Calibri" w:cs="Calibri"/>
              </w:rPr>
              <w:t>Appropriation Bills 5 and 6</w:t>
            </w:r>
            <w:r w:rsidR="00FE534B">
              <w:rPr>
                <w:webHidden/>
              </w:rPr>
              <w:tab/>
            </w:r>
            <w:r w:rsidR="00FE534B">
              <w:rPr>
                <w:webHidden/>
              </w:rPr>
              <w:fldChar w:fldCharType="begin"/>
            </w:r>
            <w:r w:rsidR="00FE534B">
              <w:rPr>
                <w:webHidden/>
              </w:rPr>
              <w:instrText xml:space="preserve"> PAGEREF _Toc114576288 \h </w:instrText>
            </w:r>
            <w:r w:rsidR="00FE534B">
              <w:rPr>
                <w:webHidden/>
              </w:rPr>
            </w:r>
            <w:r w:rsidR="00FE534B">
              <w:rPr>
                <w:webHidden/>
              </w:rPr>
              <w:fldChar w:fldCharType="separate"/>
            </w:r>
            <w:r w:rsidR="00FE534B">
              <w:rPr>
                <w:webHidden/>
              </w:rPr>
              <w:t>28</w:t>
            </w:r>
            <w:r w:rsidR="00FE534B">
              <w:rPr>
                <w:webHidden/>
              </w:rPr>
              <w:fldChar w:fldCharType="end"/>
            </w:r>
          </w:hyperlink>
        </w:p>
        <w:p w14:paraId="206E10A9" w14:textId="4C254204" w:rsidR="00FE534B" w:rsidRDefault="00A438FF">
          <w:pPr>
            <w:pStyle w:val="TOC3"/>
            <w:tabs>
              <w:tab w:val="left" w:pos="1843"/>
            </w:tabs>
            <w:rPr>
              <w:rFonts w:asciiTheme="minorHAnsi" w:eastAsiaTheme="minorEastAsia" w:hAnsiTheme="minorHAnsi"/>
              <w:szCs w:val="22"/>
              <w:lang w:eastAsia="en-AU"/>
            </w:rPr>
          </w:pPr>
          <w:hyperlink w:anchor="_Toc114576289" w:history="1">
            <w:r w:rsidR="00FE534B" w:rsidRPr="009E2F25">
              <w:rPr>
                <w:rStyle w:val="Hyperlink"/>
                <w:rFonts w:ascii="Calibri" w:hAnsi="Calibri" w:cs="Calibri"/>
              </w:rPr>
              <w:t>8.2.2</w:t>
            </w:r>
            <w:r w:rsidR="00FE534B">
              <w:rPr>
                <w:rFonts w:asciiTheme="minorHAnsi" w:eastAsiaTheme="minorEastAsia" w:hAnsiTheme="minorHAnsi"/>
                <w:szCs w:val="22"/>
                <w:lang w:eastAsia="en-AU"/>
              </w:rPr>
              <w:tab/>
            </w:r>
            <w:r w:rsidR="00FE534B" w:rsidRPr="009E2F25">
              <w:rPr>
                <w:rStyle w:val="Hyperlink"/>
                <w:rFonts w:ascii="Calibri" w:hAnsi="Calibri" w:cs="Calibri"/>
              </w:rPr>
              <w:t>Payments to the states</w:t>
            </w:r>
            <w:r w:rsidR="00FE534B">
              <w:rPr>
                <w:webHidden/>
              </w:rPr>
              <w:tab/>
            </w:r>
            <w:r w:rsidR="00FE534B">
              <w:rPr>
                <w:webHidden/>
              </w:rPr>
              <w:fldChar w:fldCharType="begin"/>
            </w:r>
            <w:r w:rsidR="00FE534B">
              <w:rPr>
                <w:webHidden/>
              </w:rPr>
              <w:instrText xml:space="preserve"> PAGEREF _Toc114576289 \h </w:instrText>
            </w:r>
            <w:r w:rsidR="00FE534B">
              <w:rPr>
                <w:webHidden/>
              </w:rPr>
            </w:r>
            <w:r w:rsidR="00FE534B">
              <w:rPr>
                <w:webHidden/>
              </w:rPr>
              <w:fldChar w:fldCharType="separate"/>
            </w:r>
            <w:r w:rsidR="00FE534B">
              <w:rPr>
                <w:webHidden/>
              </w:rPr>
              <w:t>28</w:t>
            </w:r>
            <w:r w:rsidR="00FE534B">
              <w:rPr>
                <w:webHidden/>
              </w:rPr>
              <w:fldChar w:fldCharType="end"/>
            </w:r>
          </w:hyperlink>
        </w:p>
        <w:p w14:paraId="3981ED93" w14:textId="18B5E815" w:rsidR="00FE534B" w:rsidRDefault="00A438FF">
          <w:pPr>
            <w:pStyle w:val="TOC3"/>
            <w:tabs>
              <w:tab w:val="left" w:pos="1843"/>
            </w:tabs>
            <w:rPr>
              <w:rFonts w:asciiTheme="minorHAnsi" w:eastAsiaTheme="minorEastAsia" w:hAnsiTheme="minorHAnsi"/>
              <w:szCs w:val="22"/>
              <w:lang w:eastAsia="en-AU"/>
            </w:rPr>
          </w:pPr>
          <w:hyperlink w:anchor="_Toc114576290" w:history="1">
            <w:r w:rsidR="00FE534B" w:rsidRPr="009E2F25">
              <w:rPr>
                <w:rStyle w:val="Hyperlink"/>
                <w:rFonts w:ascii="Calibri" w:hAnsi="Calibri" w:cs="Calibri"/>
              </w:rPr>
              <w:t>8.2.3</w:t>
            </w:r>
            <w:r w:rsidR="00FE534B">
              <w:rPr>
                <w:rFonts w:asciiTheme="minorHAnsi" w:eastAsiaTheme="minorEastAsia" w:hAnsiTheme="minorHAnsi"/>
                <w:szCs w:val="22"/>
                <w:lang w:eastAsia="en-AU"/>
              </w:rPr>
              <w:tab/>
            </w:r>
            <w:r w:rsidR="00FE534B" w:rsidRPr="009E2F25">
              <w:rPr>
                <w:rStyle w:val="Hyperlink"/>
                <w:rFonts w:ascii="Calibri" w:hAnsi="Calibri" w:cs="Calibri"/>
              </w:rPr>
              <w:t>Additional guidance on cash management reports and appropriation bills</w:t>
            </w:r>
            <w:r w:rsidR="00FE534B">
              <w:rPr>
                <w:webHidden/>
              </w:rPr>
              <w:tab/>
            </w:r>
            <w:r w:rsidR="00FE534B">
              <w:rPr>
                <w:webHidden/>
              </w:rPr>
              <w:fldChar w:fldCharType="begin"/>
            </w:r>
            <w:r w:rsidR="00FE534B">
              <w:rPr>
                <w:webHidden/>
              </w:rPr>
              <w:instrText xml:space="preserve"> PAGEREF _Toc114576290 \h </w:instrText>
            </w:r>
            <w:r w:rsidR="00FE534B">
              <w:rPr>
                <w:webHidden/>
              </w:rPr>
            </w:r>
            <w:r w:rsidR="00FE534B">
              <w:rPr>
                <w:webHidden/>
              </w:rPr>
              <w:fldChar w:fldCharType="separate"/>
            </w:r>
            <w:r w:rsidR="00FE534B">
              <w:rPr>
                <w:webHidden/>
              </w:rPr>
              <w:t>29</w:t>
            </w:r>
            <w:r w:rsidR="00FE534B">
              <w:rPr>
                <w:webHidden/>
              </w:rPr>
              <w:fldChar w:fldCharType="end"/>
            </w:r>
          </w:hyperlink>
        </w:p>
        <w:p w14:paraId="4883F37F" w14:textId="4BF05326" w:rsidR="00FE534B" w:rsidRDefault="00A438FF">
          <w:pPr>
            <w:pStyle w:val="TOC2"/>
            <w:rPr>
              <w:rFonts w:asciiTheme="minorHAnsi" w:eastAsiaTheme="minorEastAsia" w:hAnsiTheme="minorHAnsi"/>
              <w:szCs w:val="22"/>
              <w:lang w:eastAsia="en-AU"/>
            </w:rPr>
          </w:pPr>
          <w:hyperlink w:anchor="_Toc114576291" w:history="1">
            <w:r w:rsidR="00FE534B" w:rsidRPr="009E2F25">
              <w:rPr>
                <w:rStyle w:val="Hyperlink"/>
                <w:rFonts w:ascii="Calibri" w:hAnsi="Calibri" w:cs="Calibri"/>
              </w:rPr>
              <w:t>8.3</w:t>
            </w:r>
            <w:r w:rsidR="00FE534B">
              <w:rPr>
                <w:rFonts w:asciiTheme="minorHAnsi" w:eastAsiaTheme="minorEastAsia" w:hAnsiTheme="minorHAnsi"/>
                <w:szCs w:val="22"/>
                <w:lang w:eastAsia="en-AU"/>
              </w:rPr>
              <w:tab/>
            </w:r>
            <w:r w:rsidR="00FE534B" w:rsidRPr="009E2F25">
              <w:rPr>
                <w:rStyle w:val="Hyperlink"/>
                <w:rFonts w:ascii="Calibri" w:hAnsi="Calibri" w:cs="Calibri"/>
              </w:rPr>
              <w:t>Resource statement sections</w:t>
            </w:r>
            <w:r w:rsidR="00FE534B">
              <w:rPr>
                <w:webHidden/>
              </w:rPr>
              <w:tab/>
            </w:r>
            <w:r w:rsidR="00FE534B">
              <w:rPr>
                <w:webHidden/>
              </w:rPr>
              <w:fldChar w:fldCharType="begin"/>
            </w:r>
            <w:r w:rsidR="00FE534B">
              <w:rPr>
                <w:webHidden/>
              </w:rPr>
              <w:instrText xml:space="preserve"> PAGEREF _Toc114576291 \h </w:instrText>
            </w:r>
            <w:r w:rsidR="00FE534B">
              <w:rPr>
                <w:webHidden/>
              </w:rPr>
            </w:r>
            <w:r w:rsidR="00FE534B">
              <w:rPr>
                <w:webHidden/>
              </w:rPr>
              <w:fldChar w:fldCharType="separate"/>
            </w:r>
            <w:r w:rsidR="00FE534B">
              <w:rPr>
                <w:webHidden/>
              </w:rPr>
              <w:t>29</w:t>
            </w:r>
            <w:r w:rsidR="00FE534B">
              <w:rPr>
                <w:webHidden/>
              </w:rPr>
              <w:fldChar w:fldCharType="end"/>
            </w:r>
          </w:hyperlink>
        </w:p>
        <w:p w14:paraId="092139D7" w14:textId="694E99DE" w:rsidR="00FE534B" w:rsidRDefault="00A438FF">
          <w:pPr>
            <w:pStyle w:val="TOC1"/>
            <w:rPr>
              <w:rFonts w:asciiTheme="minorHAnsi" w:eastAsiaTheme="minorEastAsia" w:hAnsiTheme="minorHAnsi"/>
              <w:sz w:val="22"/>
              <w:szCs w:val="22"/>
              <w:lang w:eastAsia="en-AU"/>
            </w:rPr>
          </w:pPr>
          <w:hyperlink w:anchor="_Toc114576292" w:history="1">
            <w:r w:rsidR="00FE534B" w:rsidRPr="009E2F25">
              <w:rPr>
                <w:rStyle w:val="Hyperlink"/>
                <w:rFonts w:ascii="Calibri" w:hAnsi="Calibri" w:cs="Calibri"/>
              </w:rPr>
              <w:t>9.</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Budget measures</w:t>
            </w:r>
            <w:r w:rsidR="00FE534B">
              <w:rPr>
                <w:webHidden/>
              </w:rPr>
              <w:tab/>
            </w:r>
            <w:r w:rsidR="00FE534B">
              <w:rPr>
                <w:webHidden/>
              </w:rPr>
              <w:fldChar w:fldCharType="begin"/>
            </w:r>
            <w:r w:rsidR="00FE534B">
              <w:rPr>
                <w:webHidden/>
              </w:rPr>
              <w:instrText xml:space="preserve"> PAGEREF _Toc114576292 \h </w:instrText>
            </w:r>
            <w:r w:rsidR="00FE534B">
              <w:rPr>
                <w:webHidden/>
              </w:rPr>
            </w:r>
            <w:r w:rsidR="00FE534B">
              <w:rPr>
                <w:webHidden/>
              </w:rPr>
              <w:fldChar w:fldCharType="separate"/>
            </w:r>
            <w:r w:rsidR="00FE534B">
              <w:rPr>
                <w:webHidden/>
              </w:rPr>
              <w:t>35</w:t>
            </w:r>
            <w:r w:rsidR="00FE534B">
              <w:rPr>
                <w:webHidden/>
              </w:rPr>
              <w:fldChar w:fldCharType="end"/>
            </w:r>
          </w:hyperlink>
        </w:p>
        <w:p w14:paraId="5AB49364" w14:textId="22D92F36" w:rsidR="00FE534B" w:rsidRDefault="00A438FF">
          <w:pPr>
            <w:pStyle w:val="TOC2"/>
            <w:rPr>
              <w:rFonts w:asciiTheme="minorHAnsi" w:eastAsiaTheme="minorEastAsia" w:hAnsiTheme="minorHAnsi"/>
              <w:szCs w:val="22"/>
              <w:lang w:eastAsia="en-AU"/>
            </w:rPr>
          </w:pPr>
          <w:hyperlink w:anchor="_Toc114576293" w:history="1">
            <w:r w:rsidR="00FE534B" w:rsidRPr="009E2F25">
              <w:rPr>
                <w:rStyle w:val="Hyperlink"/>
                <w:rFonts w:ascii="Calibri" w:eastAsia="Cambria" w:hAnsi="Calibri" w:cs="Calibri"/>
              </w:rPr>
              <w:t>9.1</w:t>
            </w:r>
            <w:r w:rsidR="00FE534B">
              <w:rPr>
                <w:rFonts w:asciiTheme="minorHAnsi" w:eastAsiaTheme="minorEastAsia" w:hAnsiTheme="minorHAnsi"/>
                <w:szCs w:val="22"/>
                <w:lang w:eastAsia="en-AU"/>
              </w:rPr>
              <w:tab/>
            </w:r>
            <w:r w:rsidR="00FE534B" w:rsidRPr="009E2F25">
              <w:rPr>
                <w:rStyle w:val="Hyperlink"/>
                <w:rFonts w:ascii="Calibri" w:eastAsia="Cambria" w:hAnsi="Calibri" w:cs="Calibri"/>
              </w:rPr>
              <w:t>Footnote for a Measure’s capital component</w:t>
            </w:r>
            <w:r w:rsidR="00FE534B">
              <w:rPr>
                <w:webHidden/>
              </w:rPr>
              <w:tab/>
            </w:r>
            <w:r w:rsidR="00FE534B">
              <w:rPr>
                <w:webHidden/>
              </w:rPr>
              <w:fldChar w:fldCharType="begin"/>
            </w:r>
            <w:r w:rsidR="00FE534B">
              <w:rPr>
                <w:webHidden/>
              </w:rPr>
              <w:instrText xml:space="preserve"> PAGEREF _Toc114576293 \h </w:instrText>
            </w:r>
            <w:r w:rsidR="00FE534B">
              <w:rPr>
                <w:webHidden/>
              </w:rPr>
            </w:r>
            <w:r w:rsidR="00FE534B">
              <w:rPr>
                <w:webHidden/>
              </w:rPr>
              <w:fldChar w:fldCharType="separate"/>
            </w:r>
            <w:r w:rsidR="00FE534B">
              <w:rPr>
                <w:webHidden/>
              </w:rPr>
              <w:t>35</w:t>
            </w:r>
            <w:r w:rsidR="00FE534B">
              <w:rPr>
                <w:webHidden/>
              </w:rPr>
              <w:fldChar w:fldCharType="end"/>
            </w:r>
          </w:hyperlink>
        </w:p>
        <w:p w14:paraId="5C875C90" w14:textId="284A19BB" w:rsidR="00FE534B" w:rsidRDefault="00A438FF">
          <w:pPr>
            <w:pStyle w:val="TOC2"/>
            <w:rPr>
              <w:rFonts w:asciiTheme="minorHAnsi" w:eastAsiaTheme="minorEastAsia" w:hAnsiTheme="minorHAnsi"/>
              <w:szCs w:val="22"/>
              <w:lang w:eastAsia="en-AU"/>
            </w:rPr>
          </w:pPr>
          <w:hyperlink w:anchor="_Toc114576294" w:history="1">
            <w:r w:rsidR="00FE534B" w:rsidRPr="009E2F25">
              <w:rPr>
                <w:rStyle w:val="Hyperlink"/>
                <w:rFonts w:ascii="Calibri" w:eastAsia="MS Gothic" w:hAnsi="Calibri" w:cs="Calibri"/>
                <w:iCs/>
              </w:rPr>
              <w:t>9.2</w:t>
            </w:r>
            <w:r w:rsidR="00FE534B">
              <w:rPr>
                <w:rFonts w:asciiTheme="minorHAnsi" w:eastAsiaTheme="minorEastAsia" w:hAnsiTheme="minorHAnsi"/>
                <w:szCs w:val="22"/>
                <w:lang w:eastAsia="en-AU"/>
              </w:rPr>
              <w:tab/>
            </w:r>
            <w:r w:rsidR="00FE534B" w:rsidRPr="009E2F25">
              <w:rPr>
                <w:rStyle w:val="Hyperlink"/>
                <w:rFonts w:ascii="Calibri" w:eastAsia="MS Gothic" w:hAnsi="Calibri" w:cs="Calibri"/>
              </w:rPr>
              <w:t>Measure reversals</w:t>
            </w:r>
            <w:r w:rsidR="00FE534B">
              <w:rPr>
                <w:webHidden/>
              </w:rPr>
              <w:tab/>
            </w:r>
            <w:r w:rsidR="00FE534B">
              <w:rPr>
                <w:webHidden/>
              </w:rPr>
              <w:fldChar w:fldCharType="begin"/>
            </w:r>
            <w:r w:rsidR="00FE534B">
              <w:rPr>
                <w:webHidden/>
              </w:rPr>
              <w:instrText xml:space="preserve"> PAGEREF _Toc114576294 \h </w:instrText>
            </w:r>
            <w:r w:rsidR="00FE534B">
              <w:rPr>
                <w:webHidden/>
              </w:rPr>
            </w:r>
            <w:r w:rsidR="00FE534B">
              <w:rPr>
                <w:webHidden/>
              </w:rPr>
              <w:fldChar w:fldCharType="separate"/>
            </w:r>
            <w:r w:rsidR="00FE534B">
              <w:rPr>
                <w:webHidden/>
              </w:rPr>
              <w:t>36</w:t>
            </w:r>
            <w:r w:rsidR="00FE534B">
              <w:rPr>
                <w:webHidden/>
              </w:rPr>
              <w:fldChar w:fldCharType="end"/>
            </w:r>
          </w:hyperlink>
        </w:p>
        <w:p w14:paraId="4FF6D61B" w14:textId="042061C1" w:rsidR="00FE534B" w:rsidRDefault="00A438FF">
          <w:pPr>
            <w:pStyle w:val="TOC2"/>
            <w:rPr>
              <w:rFonts w:asciiTheme="minorHAnsi" w:eastAsiaTheme="minorEastAsia" w:hAnsiTheme="minorHAnsi"/>
              <w:szCs w:val="22"/>
              <w:lang w:eastAsia="en-AU"/>
            </w:rPr>
          </w:pPr>
          <w:hyperlink w:anchor="_Toc114576295" w:history="1">
            <w:r w:rsidR="00FE534B" w:rsidRPr="009E2F25">
              <w:rPr>
                <w:rStyle w:val="Hyperlink"/>
                <w:rFonts w:ascii="Calibri" w:eastAsiaTheme="majorEastAsia" w:hAnsi="Calibri" w:cs="Calibri"/>
              </w:rPr>
              <w:t>9.3</w:t>
            </w:r>
            <w:r w:rsidR="00FE534B">
              <w:rPr>
                <w:rFonts w:asciiTheme="minorHAnsi" w:eastAsiaTheme="minorEastAsia" w:hAnsiTheme="minorHAnsi"/>
                <w:szCs w:val="22"/>
                <w:lang w:eastAsia="en-AU"/>
              </w:rPr>
              <w:tab/>
            </w:r>
            <w:r w:rsidR="00FE534B" w:rsidRPr="009E2F25">
              <w:rPr>
                <w:rStyle w:val="Hyperlink"/>
                <w:rFonts w:ascii="Calibri" w:eastAsiaTheme="majorEastAsia" w:hAnsi="Calibri" w:cs="Calibri"/>
              </w:rPr>
              <w:t>Decisions taken but not yet announced</w:t>
            </w:r>
            <w:r w:rsidR="00FE534B">
              <w:rPr>
                <w:webHidden/>
              </w:rPr>
              <w:tab/>
            </w:r>
            <w:r w:rsidR="00FE534B">
              <w:rPr>
                <w:webHidden/>
              </w:rPr>
              <w:fldChar w:fldCharType="begin"/>
            </w:r>
            <w:r w:rsidR="00FE534B">
              <w:rPr>
                <w:webHidden/>
              </w:rPr>
              <w:instrText xml:space="preserve"> PAGEREF _Toc114576295 \h </w:instrText>
            </w:r>
            <w:r w:rsidR="00FE534B">
              <w:rPr>
                <w:webHidden/>
              </w:rPr>
            </w:r>
            <w:r w:rsidR="00FE534B">
              <w:rPr>
                <w:webHidden/>
              </w:rPr>
              <w:fldChar w:fldCharType="separate"/>
            </w:r>
            <w:r w:rsidR="00FE534B">
              <w:rPr>
                <w:webHidden/>
              </w:rPr>
              <w:t>37</w:t>
            </w:r>
            <w:r w:rsidR="00FE534B">
              <w:rPr>
                <w:webHidden/>
              </w:rPr>
              <w:fldChar w:fldCharType="end"/>
            </w:r>
          </w:hyperlink>
        </w:p>
        <w:p w14:paraId="4B80A2D3" w14:textId="3D452779" w:rsidR="00FE534B" w:rsidRDefault="00A438FF">
          <w:pPr>
            <w:pStyle w:val="TOC2"/>
            <w:rPr>
              <w:rFonts w:asciiTheme="minorHAnsi" w:eastAsiaTheme="minorEastAsia" w:hAnsiTheme="minorHAnsi"/>
              <w:szCs w:val="22"/>
              <w:lang w:eastAsia="en-AU"/>
            </w:rPr>
          </w:pPr>
          <w:hyperlink w:anchor="_Toc114576296" w:history="1">
            <w:r w:rsidR="00FE534B" w:rsidRPr="009E2F25">
              <w:rPr>
                <w:rStyle w:val="Hyperlink"/>
                <w:rFonts w:ascii="Calibri" w:eastAsiaTheme="majorEastAsia" w:hAnsi="Calibri" w:cs="Calibri"/>
              </w:rPr>
              <w:t>9.4</w:t>
            </w:r>
            <w:r w:rsidR="00FE534B">
              <w:rPr>
                <w:rFonts w:asciiTheme="minorHAnsi" w:eastAsiaTheme="minorEastAsia" w:hAnsiTheme="minorHAnsi"/>
                <w:szCs w:val="22"/>
                <w:lang w:eastAsia="en-AU"/>
              </w:rPr>
              <w:tab/>
            </w:r>
            <w:r w:rsidR="00FE534B" w:rsidRPr="009E2F25">
              <w:rPr>
                <w:rStyle w:val="Hyperlink"/>
                <w:rFonts w:ascii="Calibri" w:eastAsiaTheme="majorEastAsia" w:hAnsi="Calibri" w:cs="Calibri"/>
              </w:rPr>
              <w:t>Measures with indicative costs</w:t>
            </w:r>
            <w:r w:rsidR="00FE534B">
              <w:rPr>
                <w:webHidden/>
              </w:rPr>
              <w:tab/>
            </w:r>
            <w:r w:rsidR="00FE534B">
              <w:rPr>
                <w:webHidden/>
              </w:rPr>
              <w:fldChar w:fldCharType="begin"/>
            </w:r>
            <w:r w:rsidR="00FE534B">
              <w:rPr>
                <w:webHidden/>
              </w:rPr>
              <w:instrText xml:space="preserve"> PAGEREF _Toc114576296 \h </w:instrText>
            </w:r>
            <w:r w:rsidR="00FE534B">
              <w:rPr>
                <w:webHidden/>
              </w:rPr>
            </w:r>
            <w:r w:rsidR="00FE534B">
              <w:rPr>
                <w:webHidden/>
              </w:rPr>
              <w:fldChar w:fldCharType="separate"/>
            </w:r>
            <w:r w:rsidR="00FE534B">
              <w:rPr>
                <w:webHidden/>
              </w:rPr>
              <w:t>37</w:t>
            </w:r>
            <w:r w:rsidR="00FE534B">
              <w:rPr>
                <w:webHidden/>
              </w:rPr>
              <w:fldChar w:fldCharType="end"/>
            </w:r>
          </w:hyperlink>
        </w:p>
        <w:p w14:paraId="20F34A67" w14:textId="725B9C96" w:rsidR="00FE534B" w:rsidRDefault="00A438FF">
          <w:pPr>
            <w:pStyle w:val="TOC2"/>
            <w:rPr>
              <w:rFonts w:asciiTheme="minorHAnsi" w:eastAsiaTheme="minorEastAsia" w:hAnsiTheme="minorHAnsi"/>
              <w:szCs w:val="22"/>
              <w:lang w:eastAsia="en-AU"/>
            </w:rPr>
          </w:pPr>
          <w:hyperlink w:anchor="_Toc114576297" w:history="1">
            <w:r w:rsidR="00FE534B" w:rsidRPr="009E2F25">
              <w:rPr>
                <w:rStyle w:val="Hyperlink"/>
                <w:rFonts w:ascii="Calibri" w:eastAsia="Cambria" w:hAnsi="Calibri" w:cs="Calibri"/>
              </w:rPr>
              <w:t>9.5</w:t>
            </w:r>
            <w:r w:rsidR="00FE534B">
              <w:rPr>
                <w:rFonts w:asciiTheme="minorHAnsi" w:eastAsiaTheme="minorEastAsia" w:hAnsiTheme="minorHAnsi"/>
                <w:szCs w:val="22"/>
                <w:lang w:eastAsia="en-AU"/>
              </w:rPr>
              <w:tab/>
            </w:r>
            <w:r w:rsidR="00FE534B" w:rsidRPr="009E2F25">
              <w:rPr>
                <w:rStyle w:val="Hyperlink"/>
                <w:rFonts w:ascii="Calibri" w:eastAsia="Cambria" w:hAnsi="Calibri" w:cs="Calibri"/>
              </w:rPr>
              <w:t>Measures earmarked as ‘not for publication’</w:t>
            </w:r>
            <w:r w:rsidR="00FE534B">
              <w:rPr>
                <w:webHidden/>
              </w:rPr>
              <w:tab/>
            </w:r>
            <w:r w:rsidR="00FE534B">
              <w:rPr>
                <w:webHidden/>
              </w:rPr>
              <w:fldChar w:fldCharType="begin"/>
            </w:r>
            <w:r w:rsidR="00FE534B">
              <w:rPr>
                <w:webHidden/>
              </w:rPr>
              <w:instrText xml:space="preserve"> PAGEREF _Toc114576297 \h </w:instrText>
            </w:r>
            <w:r w:rsidR="00FE534B">
              <w:rPr>
                <w:webHidden/>
              </w:rPr>
            </w:r>
            <w:r w:rsidR="00FE534B">
              <w:rPr>
                <w:webHidden/>
              </w:rPr>
              <w:fldChar w:fldCharType="separate"/>
            </w:r>
            <w:r w:rsidR="00FE534B">
              <w:rPr>
                <w:webHidden/>
              </w:rPr>
              <w:t>38</w:t>
            </w:r>
            <w:r w:rsidR="00FE534B">
              <w:rPr>
                <w:webHidden/>
              </w:rPr>
              <w:fldChar w:fldCharType="end"/>
            </w:r>
          </w:hyperlink>
        </w:p>
        <w:p w14:paraId="307A0B6A" w14:textId="717BBB17" w:rsidR="00FE534B" w:rsidRDefault="00A438FF">
          <w:pPr>
            <w:pStyle w:val="TOC2"/>
            <w:rPr>
              <w:rFonts w:asciiTheme="minorHAnsi" w:eastAsiaTheme="minorEastAsia" w:hAnsiTheme="minorHAnsi"/>
              <w:szCs w:val="22"/>
              <w:lang w:eastAsia="en-AU"/>
            </w:rPr>
          </w:pPr>
          <w:hyperlink w:anchor="_Toc114576298" w:history="1">
            <w:r w:rsidR="00FE534B" w:rsidRPr="009E2F25">
              <w:rPr>
                <w:rStyle w:val="Hyperlink"/>
                <w:rFonts w:ascii="Calibri" w:eastAsiaTheme="majorEastAsia" w:hAnsi="Calibri" w:cs="Calibri"/>
              </w:rPr>
              <w:t>9.6</w:t>
            </w:r>
            <w:r w:rsidR="00FE534B">
              <w:rPr>
                <w:rFonts w:asciiTheme="minorHAnsi" w:eastAsiaTheme="minorEastAsia" w:hAnsiTheme="minorHAnsi"/>
                <w:szCs w:val="22"/>
                <w:lang w:eastAsia="en-AU"/>
              </w:rPr>
              <w:tab/>
            </w:r>
            <w:r w:rsidR="00FE534B" w:rsidRPr="009E2F25">
              <w:rPr>
                <w:rStyle w:val="Hyperlink"/>
                <w:rFonts w:ascii="Calibri" w:eastAsiaTheme="majorEastAsia" w:hAnsi="Calibri" w:cs="Calibri"/>
              </w:rPr>
              <w:t>Machinery of government changes</w:t>
            </w:r>
            <w:r w:rsidR="00FE534B">
              <w:rPr>
                <w:webHidden/>
              </w:rPr>
              <w:tab/>
            </w:r>
            <w:r w:rsidR="00FE534B">
              <w:rPr>
                <w:webHidden/>
              </w:rPr>
              <w:fldChar w:fldCharType="begin"/>
            </w:r>
            <w:r w:rsidR="00FE534B">
              <w:rPr>
                <w:webHidden/>
              </w:rPr>
              <w:instrText xml:space="preserve"> PAGEREF _Toc114576298 \h </w:instrText>
            </w:r>
            <w:r w:rsidR="00FE534B">
              <w:rPr>
                <w:webHidden/>
              </w:rPr>
            </w:r>
            <w:r w:rsidR="00FE534B">
              <w:rPr>
                <w:webHidden/>
              </w:rPr>
              <w:fldChar w:fldCharType="separate"/>
            </w:r>
            <w:r w:rsidR="00FE534B">
              <w:rPr>
                <w:webHidden/>
              </w:rPr>
              <w:t>38</w:t>
            </w:r>
            <w:r w:rsidR="00FE534B">
              <w:rPr>
                <w:webHidden/>
              </w:rPr>
              <w:fldChar w:fldCharType="end"/>
            </w:r>
          </w:hyperlink>
        </w:p>
        <w:p w14:paraId="5514AB9C" w14:textId="58E9717A" w:rsidR="00FE534B" w:rsidRDefault="00A438FF">
          <w:pPr>
            <w:pStyle w:val="TOC1"/>
            <w:rPr>
              <w:rFonts w:asciiTheme="minorHAnsi" w:eastAsiaTheme="minorEastAsia" w:hAnsiTheme="minorHAnsi"/>
              <w:sz w:val="22"/>
              <w:szCs w:val="22"/>
              <w:lang w:eastAsia="en-AU"/>
            </w:rPr>
          </w:pPr>
          <w:hyperlink w:anchor="_Toc114576299" w:history="1">
            <w:r w:rsidR="00FE534B" w:rsidRPr="009E2F25">
              <w:rPr>
                <w:rStyle w:val="Hyperlink"/>
                <w:rFonts w:ascii="Calibri" w:hAnsi="Calibri" w:cs="Calibri"/>
              </w:rPr>
              <w:t>10.</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Outcomes and planned performance</w:t>
            </w:r>
            <w:r w:rsidR="00FE534B">
              <w:rPr>
                <w:webHidden/>
              </w:rPr>
              <w:tab/>
            </w:r>
            <w:r w:rsidR="00FE534B">
              <w:rPr>
                <w:webHidden/>
              </w:rPr>
              <w:fldChar w:fldCharType="begin"/>
            </w:r>
            <w:r w:rsidR="00FE534B">
              <w:rPr>
                <w:webHidden/>
              </w:rPr>
              <w:instrText xml:space="preserve"> PAGEREF _Toc114576299 \h </w:instrText>
            </w:r>
            <w:r w:rsidR="00FE534B">
              <w:rPr>
                <w:webHidden/>
              </w:rPr>
            </w:r>
            <w:r w:rsidR="00FE534B">
              <w:rPr>
                <w:webHidden/>
              </w:rPr>
              <w:fldChar w:fldCharType="separate"/>
            </w:r>
            <w:r w:rsidR="00FE534B">
              <w:rPr>
                <w:webHidden/>
              </w:rPr>
              <w:t>39</w:t>
            </w:r>
            <w:r w:rsidR="00FE534B">
              <w:rPr>
                <w:webHidden/>
              </w:rPr>
              <w:fldChar w:fldCharType="end"/>
            </w:r>
          </w:hyperlink>
        </w:p>
        <w:p w14:paraId="1508722A" w14:textId="59C16699" w:rsidR="00FE534B" w:rsidRDefault="00A438FF">
          <w:pPr>
            <w:pStyle w:val="TOC2"/>
            <w:rPr>
              <w:rFonts w:asciiTheme="minorHAnsi" w:eastAsiaTheme="minorEastAsia" w:hAnsiTheme="minorHAnsi"/>
              <w:szCs w:val="22"/>
              <w:lang w:eastAsia="en-AU"/>
            </w:rPr>
          </w:pPr>
          <w:hyperlink w:anchor="_Toc114576300" w:history="1">
            <w:r w:rsidR="00FE534B" w:rsidRPr="009E2F25">
              <w:rPr>
                <w:rStyle w:val="Hyperlink"/>
                <w:rFonts w:ascii="Calibri" w:eastAsia="Cambria" w:hAnsi="Calibri" w:cs="Calibri"/>
              </w:rPr>
              <w:t>10.1</w:t>
            </w:r>
            <w:r w:rsidR="00FE534B">
              <w:rPr>
                <w:rFonts w:asciiTheme="minorHAnsi" w:eastAsiaTheme="minorEastAsia" w:hAnsiTheme="minorHAnsi"/>
                <w:szCs w:val="22"/>
                <w:lang w:eastAsia="en-AU"/>
              </w:rPr>
              <w:tab/>
            </w:r>
            <w:r w:rsidR="00FE534B" w:rsidRPr="009E2F25">
              <w:rPr>
                <w:rStyle w:val="Hyperlink"/>
                <w:rFonts w:ascii="Calibri" w:eastAsia="Cambria" w:hAnsi="Calibri" w:cs="Calibri"/>
              </w:rPr>
              <w:t>Finance Secretary Direction</w:t>
            </w:r>
            <w:r w:rsidR="00FE534B">
              <w:rPr>
                <w:webHidden/>
              </w:rPr>
              <w:tab/>
            </w:r>
            <w:r w:rsidR="00FE534B">
              <w:rPr>
                <w:webHidden/>
              </w:rPr>
              <w:fldChar w:fldCharType="begin"/>
            </w:r>
            <w:r w:rsidR="00FE534B">
              <w:rPr>
                <w:webHidden/>
              </w:rPr>
              <w:instrText xml:space="preserve"> PAGEREF _Toc114576300 \h </w:instrText>
            </w:r>
            <w:r w:rsidR="00FE534B">
              <w:rPr>
                <w:webHidden/>
              </w:rPr>
            </w:r>
            <w:r w:rsidR="00FE534B">
              <w:rPr>
                <w:webHidden/>
              </w:rPr>
              <w:fldChar w:fldCharType="separate"/>
            </w:r>
            <w:r w:rsidR="00FE534B">
              <w:rPr>
                <w:webHidden/>
              </w:rPr>
              <w:t>39</w:t>
            </w:r>
            <w:r w:rsidR="00FE534B">
              <w:rPr>
                <w:webHidden/>
              </w:rPr>
              <w:fldChar w:fldCharType="end"/>
            </w:r>
          </w:hyperlink>
        </w:p>
        <w:p w14:paraId="00107DB8" w14:textId="62B3B34A" w:rsidR="00FE534B" w:rsidRDefault="00A438FF">
          <w:pPr>
            <w:pStyle w:val="TOC2"/>
            <w:rPr>
              <w:rFonts w:asciiTheme="minorHAnsi" w:eastAsiaTheme="minorEastAsia" w:hAnsiTheme="minorHAnsi"/>
              <w:szCs w:val="22"/>
              <w:lang w:eastAsia="en-AU"/>
            </w:rPr>
          </w:pPr>
          <w:hyperlink w:anchor="_Toc114576301" w:history="1">
            <w:r w:rsidR="00FE534B" w:rsidRPr="009E2F25">
              <w:rPr>
                <w:rStyle w:val="Hyperlink"/>
                <w:rFonts w:ascii="Calibri" w:hAnsi="Calibri" w:cs="Calibri"/>
              </w:rPr>
              <w:t>10.2</w:t>
            </w:r>
            <w:r w:rsidR="00FE534B">
              <w:rPr>
                <w:rFonts w:asciiTheme="minorHAnsi" w:eastAsiaTheme="minorEastAsia" w:hAnsiTheme="minorHAnsi"/>
                <w:szCs w:val="22"/>
                <w:lang w:eastAsia="en-AU"/>
              </w:rPr>
              <w:tab/>
            </w:r>
            <w:r w:rsidR="00FE534B" w:rsidRPr="009E2F25">
              <w:rPr>
                <w:rStyle w:val="Hyperlink"/>
                <w:rFonts w:ascii="Calibri" w:hAnsi="Calibri" w:cs="Calibri"/>
              </w:rPr>
              <w:t>Structure of section 2</w:t>
            </w:r>
            <w:r w:rsidR="00FE534B">
              <w:rPr>
                <w:webHidden/>
              </w:rPr>
              <w:tab/>
            </w:r>
            <w:r w:rsidR="00FE534B">
              <w:rPr>
                <w:webHidden/>
              </w:rPr>
              <w:fldChar w:fldCharType="begin"/>
            </w:r>
            <w:r w:rsidR="00FE534B">
              <w:rPr>
                <w:webHidden/>
              </w:rPr>
              <w:instrText xml:space="preserve"> PAGEREF _Toc114576301 \h </w:instrText>
            </w:r>
            <w:r w:rsidR="00FE534B">
              <w:rPr>
                <w:webHidden/>
              </w:rPr>
            </w:r>
            <w:r w:rsidR="00FE534B">
              <w:rPr>
                <w:webHidden/>
              </w:rPr>
              <w:fldChar w:fldCharType="separate"/>
            </w:r>
            <w:r w:rsidR="00FE534B">
              <w:rPr>
                <w:webHidden/>
              </w:rPr>
              <w:t>40</w:t>
            </w:r>
            <w:r w:rsidR="00FE534B">
              <w:rPr>
                <w:webHidden/>
              </w:rPr>
              <w:fldChar w:fldCharType="end"/>
            </w:r>
          </w:hyperlink>
        </w:p>
        <w:p w14:paraId="13B3A1C3" w14:textId="78D76A65" w:rsidR="00FE534B" w:rsidRDefault="00A438FF">
          <w:pPr>
            <w:pStyle w:val="TOC2"/>
            <w:rPr>
              <w:rFonts w:asciiTheme="minorHAnsi" w:eastAsiaTheme="minorEastAsia" w:hAnsiTheme="minorHAnsi"/>
              <w:szCs w:val="22"/>
              <w:lang w:eastAsia="en-AU"/>
            </w:rPr>
          </w:pPr>
          <w:hyperlink w:anchor="_Toc114576302" w:history="1">
            <w:r w:rsidR="00FE534B" w:rsidRPr="009E2F25">
              <w:rPr>
                <w:rStyle w:val="Hyperlink"/>
                <w:rFonts w:ascii="Calibri" w:hAnsi="Calibri" w:cs="Calibri"/>
              </w:rPr>
              <w:t>10.3</w:t>
            </w:r>
            <w:r w:rsidR="00FE534B">
              <w:rPr>
                <w:rFonts w:asciiTheme="minorHAnsi" w:eastAsiaTheme="minorEastAsia" w:hAnsiTheme="minorHAnsi"/>
                <w:szCs w:val="22"/>
                <w:lang w:eastAsia="en-AU"/>
              </w:rPr>
              <w:tab/>
            </w:r>
            <w:r w:rsidR="00FE534B" w:rsidRPr="009E2F25">
              <w:rPr>
                <w:rStyle w:val="Hyperlink"/>
                <w:rFonts w:ascii="Calibri" w:hAnsi="Calibri" w:cs="Calibri"/>
              </w:rPr>
              <w:t>Outcome statements</w:t>
            </w:r>
            <w:r w:rsidR="00FE534B">
              <w:rPr>
                <w:webHidden/>
              </w:rPr>
              <w:tab/>
            </w:r>
            <w:r w:rsidR="00FE534B">
              <w:rPr>
                <w:webHidden/>
              </w:rPr>
              <w:fldChar w:fldCharType="begin"/>
            </w:r>
            <w:r w:rsidR="00FE534B">
              <w:rPr>
                <w:webHidden/>
              </w:rPr>
              <w:instrText xml:space="preserve"> PAGEREF _Toc114576302 \h </w:instrText>
            </w:r>
            <w:r w:rsidR="00FE534B">
              <w:rPr>
                <w:webHidden/>
              </w:rPr>
            </w:r>
            <w:r w:rsidR="00FE534B">
              <w:rPr>
                <w:webHidden/>
              </w:rPr>
              <w:fldChar w:fldCharType="separate"/>
            </w:r>
            <w:r w:rsidR="00FE534B">
              <w:rPr>
                <w:webHidden/>
              </w:rPr>
              <w:t>41</w:t>
            </w:r>
            <w:r w:rsidR="00FE534B">
              <w:rPr>
                <w:webHidden/>
              </w:rPr>
              <w:fldChar w:fldCharType="end"/>
            </w:r>
          </w:hyperlink>
        </w:p>
        <w:p w14:paraId="6D5165DE" w14:textId="0542F3A1" w:rsidR="00FE534B" w:rsidRDefault="00A438FF">
          <w:pPr>
            <w:pStyle w:val="TOC2"/>
            <w:rPr>
              <w:rFonts w:asciiTheme="minorHAnsi" w:eastAsiaTheme="minorEastAsia" w:hAnsiTheme="minorHAnsi"/>
              <w:szCs w:val="22"/>
              <w:lang w:eastAsia="en-AU"/>
            </w:rPr>
          </w:pPr>
          <w:hyperlink w:anchor="_Toc114576303" w:history="1">
            <w:r w:rsidR="00FE534B" w:rsidRPr="009E2F25">
              <w:rPr>
                <w:rStyle w:val="Hyperlink"/>
                <w:rFonts w:ascii="Calibri" w:hAnsi="Calibri" w:cs="Calibri"/>
              </w:rPr>
              <w:t>10.4</w:t>
            </w:r>
            <w:r w:rsidR="00FE534B">
              <w:rPr>
                <w:rFonts w:asciiTheme="minorHAnsi" w:eastAsiaTheme="minorEastAsia" w:hAnsiTheme="minorHAnsi"/>
                <w:szCs w:val="22"/>
                <w:lang w:eastAsia="en-AU"/>
              </w:rPr>
              <w:tab/>
            </w:r>
            <w:r w:rsidR="00FE534B" w:rsidRPr="009E2F25">
              <w:rPr>
                <w:rStyle w:val="Hyperlink"/>
                <w:rFonts w:ascii="Calibri" w:hAnsi="Calibri" w:cs="Calibri"/>
              </w:rPr>
              <w:t>Linked programs box</w:t>
            </w:r>
            <w:r w:rsidR="00FE534B">
              <w:rPr>
                <w:webHidden/>
              </w:rPr>
              <w:tab/>
            </w:r>
            <w:r w:rsidR="00FE534B">
              <w:rPr>
                <w:webHidden/>
              </w:rPr>
              <w:fldChar w:fldCharType="begin"/>
            </w:r>
            <w:r w:rsidR="00FE534B">
              <w:rPr>
                <w:webHidden/>
              </w:rPr>
              <w:instrText xml:space="preserve"> PAGEREF _Toc114576303 \h </w:instrText>
            </w:r>
            <w:r w:rsidR="00FE534B">
              <w:rPr>
                <w:webHidden/>
              </w:rPr>
            </w:r>
            <w:r w:rsidR="00FE534B">
              <w:rPr>
                <w:webHidden/>
              </w:rPr>
              <w:fldChar w:fldCharType="separate"/>
            </w:r>
            <w:r w:rsidR="00FE534B">
              <w:rPr>
                <w:webHidden/>
              </w:rPr>
              <w:t>41</w:t>
            </w:r>
            <w:r w:rsidR="00FE534B">
              <w:rPr>
                <w:webHidden/>
              </w:rPr>
              <w:fldChar w:fldCharType="end"/>
            </w:r>
          </w:hyperlink>
        </w:p>
        <w:p w14:paraId="66BDEDB3" w14:textId="43115294" w:rsidR="00FE534B" w:rsidRDefault="00A438FF">
          <w:pPr>
            <w:pStyle w:val="TOC2"/>
            <w:rPr>
              <w:rFonts w:asciiTheme="minorHAnsi" w:eastAsiaTheme="minorEastAsia" w:hAnsiTheme="minorHAnsi"/>
              <w:szCs w:val="22"/>
              <w:lang w:eastAsia="en-AU"/>
            </w:rPr>
          </w:pPr>
          <w:hyperlink w:anchor="_Toc114576304" w:history="1">
            <w:r w:rsidR="00FE534B" w:rsidRPr="009E2F25">
              <w:rPr>
                <w:rStyle w:val="Hyperlink"/>
                <w:rFonts w:ascii="Calibri" w:hAnsi="Calibri" w:cs="Calibri"/>
              </w:rPr>
              <w:t>10.5</w:t>
            </w:r>
            <w:r w:rsidR="00FE534B">
              <w:rPr>
                <w:rFonts w:asciiTheme="minorHAnsi" w:eastAsiaTheme="minorEastAsia" w:hAnsiTheme="minorHAnsi"/>
                <w:szCs w:val="22"/>
                <w:lang w:eastAsia="en-AU"/>
              </w:rPr>
              <w:tab/>
            </w:r>
            <w:r w:rsidR="00FE534B" w:rsidRPr="009E2F25">
              <w:rPr>
                <w:rStyle w:val="Hyperlink"/>
                <w:rFonts w:ascii="Calibri" w:hAnsi="Calibri" w:cs="Calibri"/>
              </w:rPr>
              <w:t>Budgeted expenses by outcome table</w:t>
            </w:r>
            <w:r w:rsidR="00FE534B">
              <w:rPr>
                <w:webHidden/>
              </w:rPr>
              <w:tab/>
            </w:r>
            <w:r w:rsidR="00FE534B">
              <w:rPr>
                <w:webHidden/>
              </w:rPr>
              <w:fldChar w:fldCharType="begin"/>
            </w:r>
            <w:r w:rsidR="00FE534B">
              <w:rPr>
                <w:webHidden/>
              </w:rPr>
              <w:instrText xml:space="preserve"> PAGEREF _Toc114576304 \h </w:instrText>
            </w:r>
            <w:r w:rsidR="00FE534B">
              <w:rPr>
                <w:webHidden/>
              </w:rPr>
            </w:r>
            <w:r w:rsidR="00FE534B">
              <w:rPr>
                <w:webHidden/>
              </w:rPr>
              <w:fldChar w:fldCharType="separate"/>
            </w:r>
            <w:r w:rsidR="00FE534B">
              <w:rPr>
                <w:webHidden/>
              </w:rPr>
              <w:t>43</w:t>
            </w:r>
            <w:r w:rsidR="00FE534B">
              <w:rPr>
                <w:webHidden/>
              </w:rPr>
              <w:fldChar w:fldCharType="end"/>
            </w:r>
          </w:hyperlink>
        </w:p>
        <w:p w14:paraId="1F54E3FD" w14:textId="02797690" w:rsidR="00FE534B" w:rsidRDefault="00A438FF">
          <w:pPr>
            <w:pStyle w:val="TOC3"/>
            <w:tabs>
              <w:tab w:val="left" w:pos="1911"/>
            </w:tabs>
            <w:rPr>
              <w:rFonts w:asciiTheme="minorHAnsi" w:eastAsiaTheme="minorEastAsia" w:hAnsiTheme="minorHAnsi"/>
              <w:szCs w:val="22"/>
              <w:lang w:eastAsia="en-AU"/>
            </w:rPr>
          </w:pPr>
          <w:hyperlink w:anchor="_Toc114576305" w:history="1">
            <w:r w:rsidR="00FE534B" w:rsidRPr="009E2F25">
              <w:rPr>
                <w:rStyle w:val="Hyperlink"/>
                <w:rFonts w:ascii="Calibri" w:hAnsi="Calibri" w:cs="Calibri"/>
              </w:rPr>
              <w:t>10.5.1</w:t>
            </w:r>
            <w:r w:rsidR="00FE534B">
              <w:rPr>
                <w:rFonts w:asciiTheme="minorHAnsi" w:eastAsiaTheme="minorEastAsia" w:hAnsiTheme="minorHAnsi"/>
                <w:szCs w:val="22"/>
                <w:lang w:eastAsia="en-AU"/>
              </w:rPr>
              <w:tab/>
            </w:r>
            <w:r w:rsidR="00FE534B" w:rsidRPr="009E2F25">
              <w:rPr>
                <w:rStyle w:val="Hyperlink"/>
                <w:rFonts w:ascii="Calibri" w:hAnsi="Calibri" w:cs="Calibri"/>
              </w:rPr>
              <w:t>Minimum reporting requirements</w:t>
            </w:r>
            <w:r w:rsidR="00FE534B">
              <w:rPr>
                <w:webHidden/>
              </w:rPr>
              <w:tab/>
            </w:r>
            <w:r w:rsidR="00FE534B">
              <w:rPr>
                <w:webHidden/>
              </w:rPr>
              <w:fldChar w:fldCharType="begin"/>
            </w:r>
            <w:r w:rsidR="00FE534B">
              <w:rPr>
                <w:webHidden/>
              </w:rPr>
              <w:instrText xml:space="preserve"> PAGEREF _Toc114576305 \h </w:instrText>
            </w:r>
            <w:r w:rsidR="00FE534B">
              <w:rPr>
                <w:webHidden/>
              </w:rPr>
            </w:r>
            <w:r w:rsidR="00FE534B">
              <w:rPr>
                <w:webHidden/>
              </w:rPr>
              <w:fldChar w:fldCharType="separate"/>
            </w:r>
            <w:r w:rsidR="00FE534B">
              <w:rPr>
                <w:webHidden/>
              </w:rPr>
              <w:t>43</w:t>
            </w:r>
            <w:r w:rsidR="00FE534B">
              <w:rPr>
                <w:webHidden/>
              </w:rPr>
              <w:fldChar w:fldCharType="end"/>
            </w:r>
          </w:hyperlink>
        </w:p>
        <w:p w14:paraId="16BB3356" w14:textId="78DBED71" w:rsidR="00FE534B" w:rsidRDefault="00A438FF">
          <w:pPr>
            <w:pStyle w:val="TOC3"/>
            <w:tabs>
              <w:tab w:val="left" w:pos="1911"/>
            </w:tabs>
            <w:rPr>
              <w:rFonts w:asciiTheme="minorHAnsi" w:eastAsiaTheme="minorEastAsia" w:hAnsiTheme="minorHAnsi"/>
              <w:szCs w:val="22"/>
              <w:lang w:eastAsia="en-AU"/>
            </w:rPr>
          </w:pPr>
          <w:hyperlink w:anchor="_Toc114576306" w:history="1">
            <w:r w:rsidR="00FE534B" w:rsidRPr="009E2F25">
              <w:rPr>
                <w:rStyle w:val="Hyperlink"/>
                <w:rFonts w:ascii="Calibri" w:hAnsi="Calibri" w:cs="Calibri"/>
              </w:rPr>
              <w:t>10.5.2</w:t>
            </w:r>
            <w:r w:rsidR="00FE534B">
              <w:rPr>
                <w:rFonts w:asciiTheme="minorHAnsi" w:eastAsiaTheme="minorEastAsia" w:hAnsiTheme="minorHAnsi"/>
                <w:szCs w:val="22"/>
                <w:lang w:eastAsia="en-AU"/>
              </w:rPr>
              <w:tab/>
            </w:r>
            <w:r w:rsidR="00FE534B" w:rsidRPr="009E2F25">
              <w:rPr>
                <w:rStyle w:val="Hyperlink"/>
                <w:rFonts w:ascii="Calibri" w:hAnsi="Calibri" w:cs="Calibri"/>
              </w:rPr>
              <w:t>Interest and depreciation of Right-of-Use (RoU) assets reported as part of departmental appropriation expenses</w:t>
            </w:r>
            <w:r w:rsidR="00FE534B">
              <w:rPr>
                <w:webHidden/>
              </w:rPr>
              <w:tab/>
            </w:r>
            <w:r w:rsidR="00FE534B">
              <w:rPr>
                <w:webHidden/>
              </w:rPr>
              <w:fldChar w:fldCharType="begin"/>
            </w:r>
            <w:r w:rsidR="00FE534B">
              <w:rPr>
                <w:webHidden/>
              </w:rPr>
              <w:instrText xml:space="preserve"> PAGEREF _Toc114576306 \h </w:instrText>
            </w:r>
            <w:r w:rsidR="00FE534B">
              <w:rPr>
                <w:webHidden/>
              </w:rPr>
            </w:r>
            <w:r w:rsidR="00FE534B">
              <w:rPr>
                <w:webHidden/>
              </w:rPr>
              <w:fldChar w:fldCharType="separate"/>
            </w:r>
            <w:r w:rsidR="00FE534B">
              <w:rPr>
                <w:webHidden/>
              </w:rPr>
              <w:t>45</w:t>
            </w:r>
            <w:r w:rsidR="00FE534B">
              <w:rPr>
                <w:webHidden/>
              </w:rPr>
              <w:fldChar w:fldCharType="end"/>
            </w:r>
          </w:hyperlink>
        </w:p>
        <w:p w14:paraId="26AD163A" w14:textId="2AAAC168" w:rsidR="00FE534B" w:rsidRDefault="00A438FF">
          <w:pPr>
            <w:pStyle w:val="TOC2"/>
            <w:rPr>
              <w:rFonts w:asciiTheme="minorHAnsi" w:eastAsiaTheme="minorEastAsia" w:hAnsiTheme="minorHAnsi"/>
              <w:szCs w:val="22"/>
              <w:lang w:eastAsia="en-AU"/>
            </w:rPr>
          </w:pPr>
          <w:hyperlink w:anchor="_Toc114576307" w:history="1">
            <w:r w:rsidR="00FE534B" w:rsidRPr="009E2F25">
              <w:rPr>
                <w:rStyle w:val="Hyperlink"/>
                <w:rFonts w:ascii="Calibri" w:hAnsi="Calibri" w:cs="Calibri"/>
                <w:spacing w:val="-6"/>
              </w:rPr>
              <w:t>10.6</w:t>
            </w:r>
            <w:r w:rsidR="00FE534B">
              <w:rPr>
                <w:rFonts w:asciiTheme="minorHAnsi" w:eastAsiaTheme="minorEastAsia" w:hAnsiTheme="minorHAnsi"/>
                <w:szCs w:val="22"/>
                <w:lang w:eastAsia="en-AU"/>
              </w:rPr>
              <w:tab/>
            </w:r>
            <w:r w:rsidR="00FE534B" w:rsidRPr="009E2F25">
              <w:rPr>
                <w:rStyle w:val="Hyperlink"/>
                <w:rFonts w:ascii="Calibri" w:hAnsi="Calibri" w:cs="Calibri"/>
              </w:rPr>
              <w:t>Program components</w:t>
            </w:r>
            <w:r w:rsidR="00FE534B">
              <w:rPr>
                <w:webHidden/>
              </w:rPr>
              <w:tab/>
            </w:r>
            <w:r w:rsidR="00FE534B">
              <w:rPr>
                <w:webHidden/>
              </w:rPr>
              <w:fldChar w:fldCharType="begin"/>
            </w:r>
            <w:r w:rsidR="00FE534B">
              <w:rPr>
                <w:webHidden/>
              </w:rPr>
              <w:instrText xml:space="preserve"> PAGEREF _Toc114576307 \h </w:instrText>
            </w:r>
            <w:r w:rsidR="00FE534B">
              <w:rPr>
                <w:webHidden/>
              </w:rPr>
            </w:r>
            <w:r w:rsidR="00FE534B">
              <w:rPr>
                <w:webHidden/>
              </w:rPr>
              <w:fldChar w:fldCharType="separate"/>
            </w:r>
            <w:r w:rsidR="00FE534B">
              <w:rPr>
                <w:webHidden/>
              </w:rPr>
              <w:t>48</w:t>
            </w:r>
            <w:r w:rsidR="00FE534B">
              <w:rPr>
                <w:webHidden/>
              </w:rPr>
              <w:fldChar w:fldCharType="end"/>
            </w:r>
          </w:hyperlink>
        </w:p>
        <w:p w14:paraId="593A7A72" w14:textId="35F7F75D" w:rsidR="00FE534B" w:rsidRDefault="00A438FF">
          <w:pPr>
            <w:pStyle w:val="TOC2"/>
            <w:rPr>
              <w:rFonts w:asciiTheme="minorHAnsi" w:eastAsiaTheme="minorEastAsia" w:hAnsiTheme="minorHAnsi"/>
              <w:szCs w:val="22"/>
              <w:lang w:eastAsia="en-AU"/>
            </w:rPr>
          </w:pPr>
          <w:hyperlink w:anchor="_Toc114576308" w:history="1">
            <w:r w:rsidR="00FE534B" w:rsidRPr="009E2F25">
              <w:rPr>
                <w:rStyle w:val="Hyperlink"/>
                <w:rFonts w:ascii="Calibri" w:hAnsi="Calibri" w:cs="Calibri"/>
              </w:rPr>
              <w:t>10.7</w:t>
            </w:r>
            <w:r w:rsidR="00FE534B">
              <w:rPr>
                <w:rFonts w:asciiTheme="minorHAnsi" w:eastAsiaTheme="minorEastAsia" w:hAnsiTheme="minorHAnsi"/>
                <w:szCs w:val="22"/>
                <w:lang w:eastAsia="en-AU"/>
              </w:rPr>
              <w:tab/>
            </w:r>
            <w:r w:rsidR="00FE534B" w:rsidRPr="009E2F25">
              <w:rPr>
                <w:rStyle w:val="Hyperlink"/>
                <w:rFonts w:ascii="Calibri" w:hAnsi="Calibri" w:cs="Calibri"/>
              </w:rPr>
              <w:t>Overview of table 2.X.3 – performance information</w:t>
            </w:r>
            <w:r w:rsidR="00FE534B">
              <w:rPr>
                <w:webHidden/>
              </w:rPr>
              <w:tab/>
            </w:r>
            <w:r w:rsidR="00FE534B">
              <w:rPr>
                <w:webHidden/>
              </w:rPr>
              <w:fldChar w:fldCharType="begin"/>
            </w:r>
            <w:r w:rsidR="00FE534B">
              <w:rPr>
                <w:webHidden/>
              </w:rPr>
              <w:instrText xml:space="preserve"> PAGEREF _Toc114576308 \h </w:instrText>
            </w:r>
            <w:r w:rsidR="00FE534B">
              <w:rPr>
                <w:webHidden/>
              </w:rPr>
            </w:r>
            <w:r w:rsidR="00FE534B">
              <w:rPr>
                <w:webHidden/>
              </w:rPr>
              <w:fldChar w:fldCharType="separate"/>
            </w:r>
            <w:r w:rsidR="00FE534B">
              <w:rPr>
                <w:webHidden/>
              </w:rPr>
              <w:t>48</w:t>
            </w:r>
            <w:r w:rsidR="00FE534B">
              <w:rPr>
                <w:webHidden/>
              </w:rPr>
              <w:fldChar w:fldCharType="end"/>
            </w:r>
          </w:hyperlink>
        </w:p>
        <w:p w14:paraId="33785D47" w14:textId="19F7BFFD" w:rsidR="00FE534B" w:rsidRDefault="00A438FF">
          <w:pPr>
            <w:pStyle w:val="TOC3"/>
            <w:tabs>
              <w:tab w:val="left" w:pos="1911"/>
            </w:tabs>
            <w:rPr>
              <w:rFonts w:asciiTheme="minorHAnsi" w:eastAsiaTheme="minorEastAsia" w:hAnsiTheme="minorHAnsi"/>
              <w:szCs w:val="22"/>
              <w:lang w:eastAsia="en-AU"/>
            </w:rPr>
          </w:pPr>
          <w:hyperlink w:anchor="_Toc114576309" w:history="1">
            <w:r w:rsidR="00FE534B" w:rsidRPr="009E2F25">
              <w:rPr>
                <w:rStyle w:val="Hyperlink"/>
                <w:rFonts w:ascii="Calibri" w:hAnsi="Calibri" w:cs="Calibri"/>
              </w:rPr>
              <w:t>10.7.1</w:t>
            </w:r>
            <w:r w:rsidR="00FE534B">
              <w:rPr>
                <w:rFonts w:asciiTheme="minorHAnsi" w:eastAsiaTheme="minorEastAsia" w:hAnsiTheme="minorHAnsi"/>
                <w:szCs w:val="22"/>
                <w:lang w:eastAsia="en-AU"/>
              </w:rPr>
              <w:tab/>
            </w:r>
            <w:r w:rsidR="00FE534B" w:rsidRPr="009E2F25">
              <w:rPr>
                <w:rStyle w:val="Hyperlink"/>
                <w:rFonts w:ascii="Calibri" w:hAnsi="Calibri" w:cs="Calibri"/>
              </w:rPr>
              <w:t>Introductory Statement</w:t>
            </w:r>
            <w:r w:rsidR="00FE534B">
              <w:rPr>
                <w:webHidden/>
              </w:rPr>
              <w:tab/>
            </w:r>
            <w:r w:rsidR="00FE534B">
              <w:rPr>
                <w:webHidden/>
              </w:rPr>
              <w:fldChar w:fldCharType="begin"/>
            </w:r>
            <w:r w:rsidR="00FE534B">
              <w:rPr>
                <w:webHidden/>
              </w:rPr>
              <w:instrText xml:space="preserve"> PAGEREF _Toc114576309 \h </w:instrText>
            </w:r>
            <w:r w:rsidR="00FE534B">
              <w:rPr>
                <w:webHidden/>
              </w:rPr>
            </w:r>
            <w:r w:rsidR="00FE534B">
              <w:rPr>
                <w:webHidden/>
              </w:rPr>
              <w:fldChar w:fldCharType="separate"/>
            </w:r>
            <w:r w:rsidR="00FE534B">
              <w:rPr>
                <w:webHidden/>
              </w:rPr>
              <w:t>49</w:t>
            </w:r>
            <w:r w:rsidR="00FE534B">
              <w:rPr>
                <w:webHidden/>
              </w:rPr>
              <w:fldChar w:fldCharType="end"/>
            </w:r>
          </w:hyperlink>
        </w:p>
        <w:p w14:paraId="2B9F3BEB" w14:textId="24797486" w:rsidR="00FE534B" w:rsidRDefault="00A438FF">
          <w:pPr>
            <w:pStyle w:val="TOC3"/>
            <w:tabs>
              <w:tab w:val="left" w:pos="1911"/>
            </w:tabs>
            <w:rPr>
              <w:rFonts w:asciiTheme="minorHAnsi" w:eastAsiaTheme="minorEastAsia" w:hAnsiTheme="minorHAnsi"/>
              <w:szCs w:val="22"/>
              <w:lang w:eastAsia="en-AU"/>
            </w:rPr>
          </w:pPr>
          <w:hyperlink w:anchor="_Toc114576310" w:history="1">
            <w:r w:rsidR="00FE534B" w:rsidRPr="009E2F25">
              <w:rPr>
                <w:rStyle w:val="Hyperlink"/>
                <w:rFonts w:ascii="Calibri" w:hAnsi="Calibri" w:cs="Calibri"/>
              </w:rPr>
              <w:t>10.7.2</w:t>
            </w:r>
            <w:r w:rsidR="00FE534B">
              <w:rPr>
                <w:rFonts w:asciiTheme="minorHAnsi" w:eastAsiaTheme="minorEastAsia" w:hAnsiTheme="minorHAnsi"/>
                <w:szCs w:val="22"/>
                <w:lang w:eastAsia="en-AU"/>
              </w:rPr>
              <w:tab/>
            </w:r>
            <w:r w:rsidR="00FE534B" w:rsidRPr="009E2F25">
              <w:rPr>
                <w:rStyle w:val="Hyperlink"/>
                <w:rFonts w:ascii="Calibri" w:hAnsi="Calibri" w:cs="Calibri"/>
              </w:rPr>
              <w:t>Program title and brief description</w:t>
            </w:r>
            <w:r w:rsidR="00FE534B">
              <w:rPr>
                <w:webHidden/>
              </w:rPr>
              <w:tab/>
            </w:r>
            <w:r w:rsidR="00FE534B">
              <w:rPr>
                <w:webHidden/>
              </w:rPr>
              <w:fldChar w:fldCharType="begin"/>
            </w:r>
            <w:r w:rsidR="00FE534B">
              <w:rPr>
                <w:webHidden/>
              </w:rPr>
              <w:instrText xml:space="preserve"> PAGEREF _Toc114576310 \h </w:instrText>
            </w:r>
            <w:r w:rsidR="00FE534B">
              <w:rPr>
                <w:webHidden/>
              </w:rPr>
            </w:r>
            <w:r w:rsidR="00FE534B">
              <w:rPr>
                <w:webHidden/>
              </w:rPr>
              <w:fldChar w:fldCharType="separate"/>
            </w:r>
            <w:r w:rsidR="00FE534B">
              <w:rPr>
                <w:webHidden/>
              </w:rPr>
              <w:t>50</w:t>
            </w:r>
            <w:r w:rsidR="00FE534B">
              <w:rPr>
                <w:webHidden/>
              </w:rPr>
              <w:fldChar w:fldCharType="end"/>
            </w:r>
          </w:hyperlink>
        </w:p>
        <w:p w14:paraId="16CA7905" w14:textId="14B34D05" w:rsidR="00FE534B" w:rsidRDefault="00A438FF">
          <w:pPr>
            <w:pStyle w:val="TOC3"/>
            <w:tabs>
              <w:tab w:val="left" w:pos="1911"/>
            </w:tabs>
            <w:rPr>
              <w:rFonts w:asciiTheme="minorHAnsi" w:eastAsiaTheme="minorEastAsia" w:hAnsiTheme="minorHAnsi"/>
              <w:szCs w:val="22"/>
              <w:lang w:eastAsia="en-AU"/>
            </w:rPr>
          </w:pPr>
          <w:hyperlink w:anchor="_Toc114576311" w:history="1">
            <w:r w:rsidR="00FE534B" w:rsidRPr="009E2F25">
              <w:rPr>
                <w:rStyle w:val="Hyperlink"/>
                <w:rFonts w:ascii="Calibri" w:hAnsi="Calibri" w:cs="Calibri"/>
              </w:rPr>
              <w:t>10.7.3</w:t>
            </w:r>
            <w:r w:rsidR="00FE534B">
              <w:rPr>
                <w:rFonts w:asciiTheme="minorHAnsi" w:eastAsiaTheme="minorEastAsia" w:hAnsiTheme="minorHAnsi"/>
                <w:szCs w:val="22"/>
                <w:lang w:eastAsia="en-AU"/>
              </w:rPr>
              <w:tab/>
            </w:r>
            <w:r w:rsidR="00FE534B" w:rsidRPr="009E2F25">
              <w:rPr>
                <w:rStyle w:val="Hyperlink"/>
                <w:rFonts w:ascii="Calibri" w:hAnsi="Calibri" w:cs="Calibri"/>
              </w:rPr>
              <w:t>Key Activities</w:t>
            </w:r>
            <w:r w:rsidR="00FE534B">
              <w:rPr>
                <w:webHidden/>
              </w:rPr>
              <w:tab/>
            </w:r>
            <w:r w:rsidR="00FE534B">
              <w:rPr>
                <w:webHidden/>
              </w:rPr>
              <w:fldChar w:fldCharType="begin"/>
            </w:r>
            <w:r w:rsidR="00FE534B">
              <w:rPr>
                <w:webHidden/>
              </w:rPr>
              <w:instrText xml:space="preserve"> PAGEREF _Toc114576311 \h </w:instrText>
            </w:r>
            <w:r w:rsidR="00FE534B">
              <w:rPr>
                <w:webHidden/>
              </w:rPr>
            </w:r>
            <w:r w:rsidR="00FE534B">
              <w:rPr>
                <w:webHidden/>
              </w:rPr>
              <w:fldChar w:fldCharType="separate"/>
            </w:r>
            <w:r w:rsidR="00FE534B">
              <w:rPr>
                <w:webHidden/>
              </w:rPr>
              <w:t>50</w:t>
            </w:r>
            <w:r w:rsidR="00FE534B">
              <w:rPr>
                <w:webHidden/>
              </w:rPr>
              <w:fldChar w:fldCharType="end"/>
            </w:r>
          </w:hyperlink>
        </w:p>
        <w:p w14:paraId="709175B4" w14:textId="705EAAAB" w:rsidR="00FE534B" w:rsidRDefault="00A438FF">
          <w:pPr>
            <w:pStyle w:val="TOC3"/>
            <w:tabs>
              <w:tab w:val="left" w:pos="1911"/>
            </w:tabs>
            <w:rPr>
              <w:rFonts w:asciiTheme="minorHAnsi" w:eastAsiaTheme="minorEastAsia" w:hAnsiTheme="minorHAnsi"/>
              <w:szCs w:val="22"/>
              <w:lang w:eastAsia="en-AU"/>
            </w:rPr>
          </w:pPr>
          <w:hyperlink w:anchor="_Toc114576312" w:history="1">
            <w:r w:rsidR="00FE534B" w:rsidRPr="009E2F25">
              <w:rPr>
                <w:rStyle w:val="Hyperlink"/>
                <w:rFonts w:ascii="Calibri" w:hAnsi="Calibri" w:cs="Calibri"/>
              </w:rPr>
              <w:t>10.7.4</w:t>
            </w:r>
            <w:r w:rsidR="00FE534B">
              <w:rPr>
                <w:rFonts w:asciiTheme="minorHAnsi" w:eastAsiaTheme="minorEastAsia" w:hAnsiTheme="minorHAnsi"/>
                <w:szCs w:val="22"/>
                <w:lang w:eastAsia="en-AU"/>
              </w:rPr>
              <w:tab/>
            </w:r>
            <w:r w:rsidR="00FE534B" w:rsidRPr="009E2F25">
              <w:rPr>
                <w:rStyle w:val="Hyperlink"/>
                <w:rFonts w:ascii="Calibri" w:hAnsi="Calibri" w:cs="Calibri"/>
              </w:rPr>
              <w:t>Performance measures</w:t>
            </w:r>
            <w:r w:rsidR="00FE534B">
              <w:rPr>
                <w:webHidden/>
              </w:rPr>
              <w:tab/>
            </w:r>
            <w:r w:rsidR="00FE534B">
              <w:rPr>
                <w:webHidden/>
              </w:rPr>
              <w:fldChar w:fldCharType="begin"/>
            </w:r>
            <w:r w:rsidR="00FE534B">
              <w:rPr>
                <w:webHidden/>
              </w:rPr>
              <w:instrText xml:space="preserve"> PAGEREF _Toc114576312 \h </w:instrText>
            </w:r>
            <w:r w:rsidR="00FE534B">
              <w:rPr>
                <w:webHidden/>
              </w:rPr>
            </w:r>
            <w:r w:rsidR="00FE534B">
              <w:rPr>
                <w:webHidden/>
              </w:rPr>
              <w:fldChar w:fldCharType="separate"/>
            </w:r>
            <w:r w:rsidR="00FE534B">
              <w:rPr>
                <w:webHidden/>
              </w:rPr>
              <w:t>51</w:t>
            </w:r>
            <w:r w:rsidR="00FE534B">
              <w:rPr>
                <w:webHidden/>
              </w:rPr>
              <w:fldChar w:fldCharType="end"/>
            </w:r>
          </w:hyperlink>
        </w:p>
        <w:p w14:paraId="175D5FC5" w14:textId="732B4CC4" w:rsidR="00FE534B" w:rsidRDefault="00A438FF">
          <w:pPr>
            <w:pStyle w:val="TOC3"/>
            <w:tabs>
              <w:tab w:val="left" w:pos="1911"/>
            </w:tabs>
            <w:rPr>
              <w:rFonts w:asciiTheme="minorHAnsi" w:eastAsiaTheme="minorEastAsia" w:hAnsiTheme="minorHAnsi"/>
              <w:szCs w:val="22"/>
              <w:lang w:eastAsia="en-AU"/>
            </w:rPr>
          </w:pPr>
          <w:hyperlink w:anchor="_Toc114576313" w:history="1">
            <w:r w:rsidR="00FE534B" w:rsidRPr="009E2F25">
              <w:rPr>
                <w:rStyle w:val="Hyperlink"/>
                <w:rFonts w:ascii="Calibri" w:hAnsi="Calibri" w:cs="Calibri"/>
              </w:rPr>
              <w:t>10.7.5</w:t>
            </w:r>
            <w:r w:rsidR="00FE534B">
              <w:rPr>
                <w:rFonts w:asciiTheme="minorHAnsi" w:eastAsiaTheme="minorEastAsia" w:hAnsiTheme="minorHAnsi"/>
                <w:szCs w:val="22"/>
                <w:lang w:eastAsia="en-AU"/>
              </w:rPr>
              <w:tab/>
            </w:r>
            <w:r w:rsidR="00FE534B" w:rsidRPr="009E2F25">
              <w:rPr>
                <w:rStyle w:val="Hyperlink"/>
                <w:rFonts w:ascii="Calibri" w:hAnsi="Calibri" w:cs="Calibri"/>
              </w:rPr>
              <w:t>Presentation of new or modified performance measures</w:t>
            </w:r>
            <w:r w:rsidR="00FE534B">
              <w:rPr>
                <w:webHidden/>
              </w:rPr>
              <w:tab/>
            </w:r>
            <w:r w:rsidR="00FE534B">
              <w:rPr>
                <w:webHidden/>
              </w:rPr>
              <w:fldChar w:fldCharType="begin"/>
            </w:r>
            <w:r w:rsidR="00FE534B">
              <w:rPr>
                <w:webHidden/>
              </w:rPr>
              <w:instrText xml:space="preserve"> PAGEREF _Toc114576313 \h </w:instrText>
            </w:r>
            <w:r w:rsidR="00FE534B">
              <w:rPr>
                <w:webHidden/>
              </w:rPr>
            </w:r>
            <w:r w:rsidR="00FE534B">
              <w:rPr>
                <w:webHidden/>
              </w:rPr>
              <w:fldChar w:fldCharType="separate"/>
            </w:r>
            <w:r w:rsidR="00FE534B">
              <w:rPr>
                <w:webHidden/>
              </w:rPr>
              <w:t>52</w:t>
            </w:r>
            <w:r w:rsidR="00FE534B">
              <w:rPr>
                <w:webHidden/>
              </w:rPr>
              <w:fldChar w:fldCharType="end"/>
            </w:r>
          </w:hyperlink>
        </w:p>
        <w:p w14:paraId="742FD943" w14:textId="29A5949A" w:rsidR="00FE534B" w:rsidRDefault="00A438FF">
          <w:pPr>
            <w:pStyle w:val="TOC1"/>
            <w:rPr>
              <w:rFonts w:asciiTheme="minorHAnsi" w:eastAsiaTheme="minorEastAsia" w:hAnsiTheme="minorHAnsi"/>
              <w:sz w:val="22"/>
              <w:szCs w:val="22"/>
              <w:lang w:eastAsia="en-AU"/>
            </w:rPr>
          </w:pPr>
          <w:hyperlink w:anchor="_Toc114576314" w:history="1">
            <w:r w:rsidR="00FE534B" w:rsidRPr="009E2F25">
              <w:rPr>
                <w:rStyle w:val="Hyperlink"/>
                <w:rFonts w:ascii="Calibri" w:hAnsi="Calibri" w:cs="Calibri"/>
              </w:rPr>
              <w:t>11.</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Budgeted financial statements</w:t>
            </w:r>
            <w:r w:rsidR="00FE534B">
              <w:rPr>
                <w:webHidden/>
              </w:rPr>
              <w:tab/>
            </w:r>
            <w:r w:rsidR="00FE534B">
              <w:rPr>
                <w:webHidden/>
              </w:rPr>
              <w:fldChar w:fldCharType="begin"/>
            </w:r>
            <w:r w:rsidR="00FE534B">
              <w:rPr>
                <w:webHidden/>
              </w:rPr>
              <w:instrText xml:space="preserve"> PAGEREF _Toc114576314 \h </w:instrText>
            </w:r>
            <w:r w:rsidR="00FE534B">
              <w:rPr>
                <w:webHidden/>
              </w:rPr>
            </w:r>
            <w:r w:rsidR="00FE534B">
              <w:rPr>
                <w:webHidden/>
              </w:rPr>
              <w:fldChar w:fldCharType="separate"/>
            </w:r>
            <w:r w:rsidR="00FE534B">
              <w:rPr>
                <w:webHidden/>
              </w:rPr>
              <w:t>53</w:t>
            </w:r>
            <w:r w:rsidR="00FE534B">
              <w:rPr>
                <w:webHidden/>
              </w:rPr>
              <w:fldChar w:fldCharType="end"/>
            </w:r>
          </w:hyperlink>
        </w:p>
        <w:p w14:paraId="6AAED13B" w14:textId="03510984" w:rsidR="00FE534B" w:rsidRDefault="00A438FF">
          <w:pPr>
            <w:pStyle w:val="TOC2"/>
            <w:rPr>
              <w:rFonts w:asciiTheme="minorHAnsi" w:eastAsiaTheme="minorEastAsia" w:hAnsiTheme="minorHAnsi"/>
              <w:szCs w:val="22"/>
              <w:lang w:eastAsia="en-AU"/>
            </w:rPr>
          </w:pPr>
          <w:hyperlink w:anchor="_Toc114576315" w:history="1">
            <w:r w:rsidR="00FE534B" w:rsidRPr="009E2F25">
              <w:rPr>
                <w:rStyle w:val="Hyperlink"/>
                <w:rFonts w:ascii="Calibri" w:hAnsi="Calibri" w:cs="Calibri"/>
              </w:rPr>
              <w:t>11.1</w:t>
            </w:r>
            <w:r w:rsidR="00FE534B">
              <w:rPr>
                <w:rFonts w:asciiTheme="minorHAnsi" w:eastAsiaTheme="minorEastAsia" w:hAnsiTheme="minorHAnsi"/>
                <w:szCs w:val="22"/>
                <w:lang w:eastAsia="en-AU"/>
              </w:rPr>
              <w:tab/>
            </w:r>
            <w:r w:rsidR="00FE534B" w:rsidRPr="009E2F25">
              <w:rPr>
                <w:rStyle w:val="Hyperlink"/>
                <w:rFonts w:ascii="Calibri" w:hAnsi="Calibri" w:cs="Calibri"/>
              </w:rPr>
              <w:t>Tables constituting the budgeted financial Statements</w:t>
            </w:r>
            <w:r w:rsidR="00FE534B">
              <w:rPr>
                <w:webHidden/>
              </w:rPr>
              <w:tab/>
            </w:r>
            <w:r w:rsidR="00FE534B">
              <w:rPr>
                <w:webHidden/>
              </w:rPr>
              <w:fldChar w:fldCharType="begin"/>
            </w:r>
            <w:r w:rsidR="00FE534B">
              <w:rPr>
                <w:webHidden/>
              </w:rPr>
              <w:instrText xml:space="preserve"> PAGEREF _Toc114576315 \h </w:instrText>
            </w:r>
            <w:r w:rsidR="00FE534B">
              <w:rPr>
                <w:webHidden/>
              </w:rPr>
            </w:r>
            <w:r w:rsidR="00FE534B">
              <w:rPr>
                <w:webHidden/>
              </w:rPr>
              <w:fldChar w:fldCharType="separate"/>
            </w:r>
            <w:r w:rsidR="00FE534B">
              <w:rPr>
                <w:webHidden/>
              </w:rPr>
              <w:t>53</w:t>
            </w:r>
            <w:r w:rsidR="00FE534B">
              <w:rPr>
                <w:webHidden/>
              </w:rPr>
              <w:fldChar w:fldCharType="end"/>
            </w:r>
          </w:hyperlink>
        </w:p>
        <w:p w14:paraId="4F9DA1DE" w14:textId="69C2D356" w:rsidR="00FE534B" w:rsidRDefault="00A438FF">
          <w:pPr>
            <w:pStyle w:val="TOC2"/>
            <w:rPr>
              <w:rFonts w:asciiTheme="minorHAnsi" w:eastAsiaTheme="minorEastAsia" w:hAnsiTheme="minorHAnsi"/>
              <w:szCs w:val="22"/>
              <w:lang w:eastAsia="en-AU"/>
            </w:rPr>
          </w:pPr>
          <w:hyperlink w:anchor="_Toc114576316" w:history="1">
            <w:r w:rsidR="00FE534B" w:rsidRPr="009E2F25">
              <w:rPr>
                <w:rStyle w:val="Hyperlink"/>
                <w:rFonts w:ascii="Calibri" w:hAnsi="Calibri" w:cs="Calibri"/>
              </w:rPr>
              <w:t>11.2</w:t>
            </w:r>
            <w:r w:rsidR="00FE534B">
              <w:rPr>
                <w:rFonts w:asciiTheme="minorHAnsi" w:eastAsiaTheme="minorEastAsia" w:hAnsiTheme="minorHAnsi"/>
                <w:szCs w:val="22"/>
                <w:lang w:eastAsia="en-AU"/>
              </w:rPr>
              <w:tab/>
            </w:r>
            <w:r w:rsidR="00FE534B" w:rsidRPr="009E2F25">
              <w:rPr>
                <w:rStyle w:val="Hyperlink"/>
                <w:rFonts w:ascii="Calibri" w:hAnsi="Calibri" w:cs="Calibri"/>
              </w:rPr>
              <w:t>Departmental comprehensive income statement (showing net cost of services)</w:t>
            </w:r>
            <w:r w:rsidR="00FE534B">
              <w:rPr>
                <w:webHidden/>
              </w:rPr>
              <w:tab/>
            </w:r>
            <w:r w:rsidR="00FE534B">
              <w:rPr>
                <w:webHidden/>
              </w:rPr>
              <w:fldChar w:fldCharType="begin"/>
            </w:r>
            <w:r w:rsidR="00FE534B">
              <w:rPr>
                <w:webHidden/>
              </w:rPr>
              <w:instrText xml:space="preserve"> PAGEREF _Toc114576316 \h </w:instrText>
            </w:r>
            <w:r w:rsidR="00FE534B">
              <w:rPr>
                <w:webHidden/>
              </w:rPr>
            </w:r>
            <w:r w:rsidR="00FE534B">
              <w:rPr>
                <w:webHidden/>
              </w:rPr>
              <w:fldChar w:fldCharType="separate"/>
            </w:r>
            <w:r w:rsidR="00FE534B">
              <w:rPr>
                <w:webHidden/>
              </w:rPr>
              <w:t>54</w:t>
            </w:r>
            <w:r w:rsidR="00FE534B">
              <w:rPr>
                <w:webHidden/>
              </w:rPr>
              <w:fldChar w:fldCharType="end"/>
            </w:r>
          </w:hyperlink>
        </w:p>
        <w:p w14:paraId="6D57AEE4" w14:textId="6C6C4882" w:rsidR="00FE534B" w:rsidRDefault="00A438FF">
          <w:pPr>
            <w:pStyle w:val="TOC2"/>
            <w:rPr>
              <w:rFonts w:asciiTheme="minorHAnsi" w:eastAsiaTheme="minorEastAsia" w:hAnsiTheme="minorHAnsi"/>
              <w:szCs w:val="22"/>
              <w:lang w:eastAsia="en-AU"/>
            </w:rPr>
          </w:pPr>
          <w:hyperlink w:anchor="_Toc114576317" w:history="1">
            <w:r w:rsidR="00FE534B" w:rsidRPr="009E2F25">
              <w:rPr>
                <w:rStyle w:val="Hyperlink"/>
                <w:rFonts w:ascii="Calibri" w:hAnsi="Calibri" w:cs="Calibri"/>
              </w:rPr>
              <w:t>11.3</w:t>
            </w:r>
            <w:r w:rsidR="00FE534B">
              <w:rPr>
                <w:rFonts w:asciiTheme="minorHAnsi" w:eastAsiaTheme="minorEastAsia" w:hAnsiTheme="minorHAnsi"/>
                <w:szCs w:val="22"/>
                <w:lang w:eastAsia="en-AU"/>
              </w:rPr>
              <w:tab/>
            </w:r>
            <w:r w:rsidR="00FE534B" w:rsidRPr="009E2F25">
              <w:rPr>
                <w:rStyle w:val="Hyperlink"/>
                <w:rFonts w:ascii="Calibri" w:hAnsi="Calibri" w:cs="Calibri"/>
              </w:rPr>
              <w:t>Budgeted departmental balance sheet</w:t>
            </w:r>
            <w:r w:rsidR="00FE534B">
              <w:rPr>
                <w:webHidden/>
              </w:rPr>
              <w:tab/>
            </w:r>
            <w:r w:rsidR="00FE534B">
              <w:rPr>
                <w:webHidden/>
              </w:rPr>
              <w:fldChar w:fldCharType="begin"/>
            </w:r>
            <w:r w:rsidR="00FE534B">
              <w:rPr>
                <w:webHidden/>
              </w:rPr>
              <w:instrText xml:space="preserve"> PAGEREF _Toc114576317 \h </w:instrText>
            </w:r>
            <w:r w:rsidR="00FE534B">
              <w:rPr>
                <w:webHidden/>
              </w:rPr>
            </w:r>
            <w:r w:rsidR="00FE534B">
              <w:rPr>
                <w:webHidden/>
              </w:rPr>
              <w:fldChar w:fldCharType="separate"/>
            </w:r>
            <w:r w:rsidR="00FE534B">
              <w:rPr>
                <w:webHidden/>
              </w:rPr>
              <w:t>55</w:t>
            </w:r>
            <w:r w:rsidR="00FE534B">
              <w:rPr>
                <w:webHidden/>
              </w:rPr>
              <w:fldChar w:fldCharType="end"/>
            </w:r>
          </w:hyperlink>
        </w:p>
        <w:p w14:paraId="57DD5A96" w14:textId="024495B0" w:rsidR="00FE534B" w:rsidRDefault="00A438FF">
          <w:pPr>
            <w:pStyle w:val="TOC2"/>
            <w:rPr>
              <w:rFonts w:asciiTheme="minorHAnsi" w:eastAsiaTheme="minorEastAsia" w:hAnsiTheme="minorHAnsi"/>
              <w:szCs w:val="22"/>
              <w:lang w:eastAsia="en-AU"/>
            </w:rPr>
          </w:pPr>
          <w:hyperlink w:anchor="_Toc114576318" w:history="1">
            <w:r w:rsidR="00FE534B" w:rsidRPr="009E2F25">
              <w:rPr>
                <w:rStyle w:val="Hyperlink"/>
                <w:rFonts w:ascii="Calibri" w:hAnsi="Calibri" w:cs="Calibri"/>
              </w:rPr>
              <w:t>11.4</w:t>
            </w:r>
            <w:r w:rsidR="00FE534B">
              <w:rPr>
                <w:rFonts w:asciiTheme="minorHAnsi" w:eastAsiaTheme="minorEastAsia" w:hAnsiTheme="minorHAnsi"/>
                <w:szCs w:val="22"/>
                <w:lang w:eastAsia="en-AU"/>
              </w:rPr>
              <w:tab/>
            </w:r>
            <w:r w:rsidR="00FE534B" w:rsidRPr="009E2F25">
              <w:rPr>
                <w:rStyle w:val="Hyperlink"/>
                <w:rFonts w:ascii="Calibri" w:hAnsi="Calibri" w:cs="Calibri"/>
              </w:rPr>
              <w:t>Departmental statement of changes in equity</w:t>
            </w:r>
            <w:r w:rsidR="00FE534B">
              <w:rPr>
                <w:webHidden/>
              </w:rPr>
              <w:tab/>
            </w:r>
            <w:r w:rsidR="00FE534B">
              <w:rPr>
                <w:webHidden/>
              </w:rPr>
              <w:fldChar w:fldCharType="begin"/>
            </w:r>
            <w:r w:rsidR="00FE534B">
              <w:rPr>
                <w:webHidden/>
              </w:rPr>
              <w:instrText xml:space="preserve"> PAGEREF _Toc114576318 \h </w:instrText>
            </w:r>
            <w:r w:rsidR="00FE534B">
              <w:rPr>
                <w:webHidden/>
              </w:rPr>
            </w:r>
            <w:r w:rsidR="00FE534B">
              <w:rPr>
                <w:webHidden/>
              </w:rPr>
              <w:fldChar w:fldCharType="separate"/>
            </w:r>
            <w:r w:rsidR="00FE534B">
              <w:rPr>
                <w:webHidden/>
              </w:rPr>
              <w:t>55</w:t>
            </w:r>
            <w:r w:rsidR="00FE534B">
              <w:rPr>
                <w:webHidden/>
              </w:rPr>
              <w:fldChar w:fldCharType="end"/>
            </w:r>
          </w:hyperlink>
        </w:p>
        <w:p w14:paraId="61E90CC6" w14:textId="03F34189" w:rsidR="00FE534B" w:rsidRDefault="00A438FF">
          <w:pPr>
            <w:pStyle w:val="TOC2"/>
            <w:rPr>
              <w:rFonts w:asciiTheme="minorHAnsi" w:eastAsiaTheme="minorEastAsia" w:hAnsiTheme="minorHAnsi"/>
              <w:szCs w:val="22"/>
              <w:lang w:eastAsia="en-AU"/>
            </w:rPr>
          </w:pPr>
          <w:hyperlink w:anchor="_Toc114576319" w:history="1">
            <w:r w:rsidR="00FE534B" w:rsidRPr="009E2F25">
              <w:rPr>
                <w:rStyle w:val="Hyperlink"/>
                <w:rFonts w:ascii="Calibri" w:hAnsi="Calibri" w:cs="Calibri"/>
              </w:rPr>
              <w:t>11.5</w:t>
            </w:r>
            <w:r w:rsidR="00FE534B">
              <w:rPr>
                <w:rFonts w:asciiTheme="minorHAnsi" w:eastAsiaTheme="minorEastAsia" w:hAnsiTheme="minorHAnsi"/>
                <w:szCs w:val="22"/>
                <w:lang w:eastAsia="en-AU"/>
              </w:rPr>
              <w:tab/>
            </w:r>
            <w:r w:rsidR="00FE534B" w:rsidRPr="009E2F25">
              <w:rPr>
                <w:rStyle w:val="Hyperlink"/>
                <w:rFonts w:ascii="Calibri" w:hAnsi="Calibri" w:cs="Calibri"/>
              </w:rPr>
              <w:t>Budgeted departmental statement of cash flows</w:t>
            </w:r>
            <w:r w:rsidR="00FE534B">
              <w:rPr>
                <w:webHidden/>
              </w:rPr>
              <w:tab/>
            </w:r>
            <w:r w:rsidR="00FE534B">
              <w:rPr>
                <w:webHidden/>
              </w:rPr>
              <w:fldChar w:fldCharType="begin"/>
            </w:r>
            <w:r w:rsidR="00FE534B">
              <w:rPr>
                <w:webHidden/>
              </w:rPr>
              <w:instrText xml:space="preserve"> PAGEREF _Toc114576319 \h </w:instrText>
            </w:r>
            <w:r w:rsidR="00FE534B">
              <w:rPr>
                <w:webHidden/>
              </w:rPr>
            </w:r>
            <w:r w:rsidR="00FE534B">
              <w:rPr>
                <w:webHidden/>
              </w:rPr>
              <w:fldChar w:fldCharType="separate"/>
            </w:r>
            <w:r w:rsidR="00FE534B">
              <w:rPr>
                <w:webHidden/>
              </w:rPr>
              <w:t>56</w:t>
            </w:r>
            <w:r w:rsidR="00FE534B">
              <w:rPr>
                <w:webHidden/>
              </w:rPr>
              <w:fldChar w:fldCharType="end"/>
            </w:r>
          </w:hyperlink>
        </w:p>
        <w:p w14:paraId="449BF16E" w14:textId="3EA04F4D" w:rsidR="00FE534B" w:rsidRDefault="00A438FF">
          <w:pPr>
            <w:pStyle w:val="TOC2"/>
            <w:rPr>
              <w:rFonts w:asciiTheme="minorHAnsi" w:eastAsiaTheme="minorEastAsia" w:hAnsiTheme="minorHAnsi"/>
              <w:szCs w:val="22"/>
              <w:lang w:eastAsia="en-AU"/>
            </w:rPr>
          </w:pPr>
          <w:hyperlink w:anchor="_Toc114576320" w:history="1">
            <w:r w:rsidR="00FE534B" w:rsidRPr="009E2F25">
              <w:rPr>
                <w:rStyle w:val="Hyperlink"/>
                <w:rFonts w:ascii="Calibri" w:hAnsi="Calibri" w:cs="Calibri"/>
              </w:rPr>
              <w:t>11.6</w:t>
            </w:r>
            <w:r w:rsidR="00FE534B">
              <w:rPr>
                <w:rFonts w:asciiTheme="minorHAnsi" w:eastAsiaTheme="minorEastAsia" w:hAnsiTheme="minorHAnsi"/>
                <w:szCs w:val="22"/>
                <w:lang w:eastAsia="en-AU"/>
              </w:rPr>
              <w:tab/>
            </w:r>
            <w:r w:rsidR="00FE534B" w:rsidRPr="009E2F25">
              <w:rPr>
                <w:rStyle w:val="Hyperlink"/>
                <w:rFonts w:ascii="Calibri" w:hAnsi="Calibri" w:cs="Calibri"/>
              </w:rPr>
              <w:t>Departmental capital budget statement</w:t>
            </w:r>
            <w:r w:rsidR="00FE534B">
              <w:rPr>
                <w:webHidden/>
              </w:rPr>
              <w:tab/>
            </w:r>
            <w:r w:rsidR="00FE534B">
              <w:rPr>
                <w:webHidden/>
              </w:rPr>
              <w:fldChar w:fldCharType="begin"/>
            </w:r>
            <w:r w:rsidR="00FE534B">
              <w:rPr>
                <w:webHidden/>
              </w:rPr>
              <w:instrText xml:space="preserve"> PAGEREF _Toc114576320 \h </w:instrText>
            </w:r>
            <w:r w:rsidR="00FE534B">
              <w:rPr>
                <w:webHidden/>
              </w:rPr>
            </w:r>
            <w:r w:rsidR="00FE534B">
              <w:rPr>
                <w:webHidden/>
              </w:rPr>
              <w:fldChar w:fldCharType="separate"/>
            </w:r>
            <w:r w:rsidR="00FE534B">
              <w:rPr>
                <w:webHidden/>
              </w:rPr>
              <w:t>56</w:t>
            </w:r>
            <w:r w:rsidR="00FE534B">
              <w:rPr>
                <w:webHidden/>
              </w:rPr>
              <w:fldChar w:fldCharType="end"/>
            </w:r>
          </w:hyperlink>
        </w:p>
        <w:p w14:paraId="2D89D936" w14:textId="007A4188" w:rsidR="00FE534B" w:rsidRDefault="00A438FF">
          <w:pPr>
            <w:pStyle w:val="TOC2"/>
            <w:rPr>
              <w:rFonts w:asciiTheme="minorHAnsi" w:eastAsiaTheme="minorEastAsia" w:hAnsiTheme="minorHAnsi"/>
              <w:szCs w:val="22"/>
              <w:lang w:eastAsia="en-AU"/>
            </w:rPr>
          </w:pPr>
          <w:hyperlink w:anchor="_Toc114576321" w:history="1">
            <w:r w:rsidR="00FE534B" w:rsidRPr="009E2F25">
              <w:rPr>
                <w:rStyle w:val="Hyperlink"/>
                <w:rFonts w:ascii="Calibri" w:hAnsi="Calibri" w:cs="Calibri"/>
              </w:rPr>
              <w:t>11.7</w:t>
            </w:r>
            <w:r w:rsidR="00FE534B">
              <w:rPr>
                <w:rFonts w:asciiTheme="minorHAnsi" w:eastAsiaTheme="minorEastAsia" w:hAnsiTheme="minorHAnsi"/>
                <w:szCs w:val="22"/>
                <w:lang w:eastAsia="en-AU"/>
              </w:rPr>
              <w:tab/>
            </w:r>
            <w:r w:rsidR="00FE534B" w:rsidRPr="009E2F25">
              <w:rPr>
                <w:rStyle w:val="Hyperlink"/>
                <w:rFonts w:ascii="Calibri" w:hAnsi="Calibri" w:cs="Calibri"/>
              </w:rPr>
              <w:t>Departmental statement of asset movements</w:t>
            </w:r>
            <w:r w:rsidR="00FE534B">
              <w:rPr>
                <w:webHidden/>
              </w:rPr>
              <w:tab/>
            </w:r>
            <w:r w:rsidR="00FE534B">
              <w:rPr>
                <w:webHidden/>
              </w:rPr>
              <w:fldChar w:fldCharType="begin"/>
            </w:r>
            <w:r w:rsidR="00FE534B">
              <w:rPr>
                <w:webHidden/>
              </w:rPr>
              <w:instrText xml:space="preserve"> PAGEREF _Toc114576321 \h </w:instrText>
            </w:r>
            <w:r w:rsidR="00FE534B">
              <w:rPr>
                <w:webHidden/>
              </w:rPr>
            </w:r>
            <w:r w:rsidR="00FE534B">
              <w:rPr>
                <w:webHidden/>
              </w:rPr>
              <w:fldChar w:fldCharType="separate"/>
            </w:r>
            <w:r w:rsidR="00FE534B">
              <w:rPr>
                <w:webHidden/>
              </w:rPr>
              <w:t>57</w:t>
            </w:r>
            <w:r w:rsidR="00FE534B">
              <w:rPr>
                <w:webHidden/>
              </w:rPr>
              <w:fldChar w:fldCharType="end"/>
            </w:r>
          </w:hyperlink>
        </w:p>
        <w:p w14:paraId="1C5EB4B3" w14:textId="318ACBB4" w:rsidR="00FE534B" w:rsidRDefault="00A438FF">
          <w:pPr>
            <w:pStyle w:val="TOC2"/>
            <w:rPr>
              <w:rFonts w:asciiTheme="minorHAnsi" w:eastAsiaTheme="minorEastAsia" w:hAnsiTheme="minorHAnsi"/>
              <w:szCs w:val="22"/>
              <w:lang w:eastAsia="en-AU"/>
            </w:rPr>
          </w:pPr>
          <w:hyperlink w:anchor="_Toc114576322" w:history="1">
            <w:r w:rsidR="00FE534B" w:rsidRPr="009E2F25">
              <w:rPr>
                <w:rStyle w:val="Hyperlink"/>
                <w:rFonts w:ascii="Calibri" w:hAnsi="Calibri" w:cs="Calibri"/>
              </w:rPr>
              <w:t>11.8</w:t>
            </w:r>
            <w:r w:rsidR="00FE534B">
              <w:rPr>
                <w:rFonts w:asciiTheme="minorHAnsi" w:eastAsiaTheme="minorEastAsia" w:hAnsiTheme="minorHAnsi"/>
                <w:szCs w:val="22"/>
                <w:lang w:eastAsia="en-AU"/>
              </w:rPr>
              <w:tab/>
            </w:r>
            <w:r w:rsidR="00FE534B" w:rsidRPr="009E2F25">
              <w:rPr>
                <w:rStyle w:val="Hyperlink"/>
                <w:rFonts w:ascii="Calibri" w:hAnsi="Calibri" w:cs="Calibri"/>
              </w:rPr>
              <w:t>Administered financial statements (Tables 3.7 to 3.11)</w:t>
            </w:r>
            <w:r w:rsidR="00FE534B">
              <w:rPr>
                <w:webHidden/>
              </w:rPr>
              <w:tab/>
            </w:r>
            <w:r w:rsidR="00FE534B">
              <w:rPr>
                <w:webHidden/>
              </w:rPr>
              <w:fldChar w:fldCharType="begin"/>
            </w:r>
            <w:r w:rsidR="00FE534B">
              <w:rPr>
                <w:webHidden/>
              </w:rPr>
              <w:instrText xml:space="preserve"> PAGEREF _Toc114576322 \h </w:instrText>
            </w:r>
            <w:r w:rsidR="00FE534B">
              <w:rPr>
                <w:webHidden/>
              </w:rPr>
            </w:r>
            <w:r w:rsidR="00FE534B">
              <w:rPr>
                <w:webHidden/>
              </w:rPr>
              <w:fldChar w:fldCharType="separate"/>
            </w:r>
            <w:r w:rsidR="00FE534B">
              <w:rPr>
                <w:webHidden/>
              </w:rPr>
              <w:t>57</w:t>
            </w:r>
            <w:r w:rsidR="00FE534B">
              <w:rPr>
                <w:webHidden/>
              </w:rPr>
              <w:fldChar w:fldCharType="end"/>
            </w:r>
          </w:hyperlink>
        </w:p>
        <w:p w14:paraId="784706D3" w14:textId="28480CA6" w:rsidR="00FE534B" w:rsidRDefault="00A438FF">
          <w:pPr>
            <w:pStyle w:val="TOC1"/>
            <w:rPr>
              <w:rFonts w:asciiTheme="minorHAnsi" w:eastAsiaTheme="minorEastAsia" w:hAnsiTheme="minorHAnsi"/>
              <w:sz w:val="22"/>
              <w:szCs w:val="22"/>
              <w:lang w:eastAsia="en-AU"/>
            </w:rPr>
          </w:pPr>
          <w:hyperlink w:anchor="_Toc114576323" w:history="1">
            <w:r w:rsidR="00FE534B" w:rsidRPr="009E2F25">
              <w:rPr>
                <w:rStyle w:val="Hyperlink"/>
                <w:rFonts w:ascii="Calibri" w:hAnsi="Calibri" w:cs="Calibri"/>
              </w:rPr>
              <w:t>12.</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Related issues</w:t>
            </w:r>
            <w:r w:rsidR="00FE534B">
              <w:rPr>
                <w:webHidden/>
              </w:rPr>
              <w:tab/>
            </w:r>
            <w:r w:rsidR="00FE534B">
              <w:rPr>
                <w:webHidden/>
              </w:rPr>
              <w:fldChar w:fldCharType="begin"/>
            </w:r>
            <w:r w:rsidR="00FE534B">
              <w:rPr>
                <w:webHidden/>
              </w:rPr>
              <w:instrText xml:space="preserve"> PAGEREF _Toc114576323 \h </w:instrText>
            </w:r>
            <w:r w:rsidR="00FE534B">
              <w:rPr>
                <w:webHidden/>
              </w:rPr>
            </w:r>
            <w:r w:rsidR="00FE534B">
              <w:rPr>
                <w:webHidden/>
              </w:rPr>
              <w:fldChar w:fldCharType="separate"/>
            </w:r>
            <w:r w:rsidR="00FE534B">
              <w:rPr>
                <w:webHidden/>
              </w:rPr>
              <w:t>58</w:t>
            </w:r>
            <w:r w:rsidR="00FE534B">
              <w:rPr>
                <w:webHidden/>
              </w:rPr>
              <w:fldChar w:fldCharType="end"/>
            </w:r>
          </w:hyperlink>
        </w:p>
        <w:p w14:paraId="57DDB7A6" w14:textId="2CA17A75" w:rsidR="00FE534B" w:rsidRDefault="00A438FF">
          <w:pPr>
            <w:pStyle w:val="TOC2"/>
            <w:rPr>
              <w:rFonts w:asciiTheme="minorHAnsi" w:eastAsiaTheme="minorEastAsia" w:hAnsiTheme="minorHAnsi"/>
              <w:szCs w:val="22"/>
              <w:lang w:eastAsia="en-AU"/>
            </w:rPr>
          </w:pPr>
          <w:hyperlink w:anchor="_Toc114576324" w:history="1">
            <w:r w:rsidR="00FE534B" w:rsidRPr="009E2F25">
              <w:rPr>
                <w:rStyle w:val="Hyperlink"/>
                <w:rFonts w:ascii="Calibri" w:hAnsi="Calibri" w:cs="Calibri"/>
              </w:rPr>
              <w:t>12.1</w:t>
            </w:r>
            <w:r w:rsidR="00FE534B">
              <w:rPr>
                <w:rFonts w:asciiTheme="minorHAnsi" w:eastAsiaTheme="minorEastAsia" w:hAnsiTheme="minorHAnsi"/>
                <w:szCs w:val="22"/>
                <w:lang w:eastAsia="en-AU"/>
              </w:rPr>
              <w:tab/>
            </w:r>
            <w:r w:rsidR="00FE534B" w:rsidRPr="009E2F25">
              <w:rPr>
                <w:rStyle w:val="Hyperlink"/>
                <w:rFonts w:ascii="Calibri" w:hAnsi="Calibri" w:cs="Calibri"/>
              </w:rPr>
              <w:t>Machinery of government changes</w:t>
            </w:r>
            <w:r w:rsidR="00FE534B">
              <w:rPr>
                <w:webHidden/>
              </w:rPr>
              <w:tab/>
            </w:r>
            <w:r w:rsidR="00FE534B">
              <w:rPr>
                <w:webHidden/>
              </w:rPr>
              <w:fldChar w:fldCharType="begin"/>
            </w:r>
            <w:r w:rsidR="00FE534B">
              <w:rPr>
                <w:webHidden/>
              </w:rPr>
              <w:instrText xml:space="preserve"> PAGEREF _Toc114576324 \h </w:instrText>
            </w:r>
            <w:r w:rsidR="00FE534B">
              <w:rPr>
                <w:webHidden/>
              </w:rPr>
            </w:r>
            <w:r w:rsidR="00FE534B">
              <w:rPr>
                <w:webHidden/>
              </w:rPr>
              <w:fldChar w:fldCharType="separate"/>
            </w:r>
            <w:r w:rsidR="00FE534B">
              <w:rPr>
                <w:webHidden/>
              </w:rPr>
              <w:t>58</w:t>
            </w:r>
            <w:r w:rsidR="00FE534B">
              <w:rPr>
                <w:webHidden/>
              </w:rPr>
              <w:fldChar w:fldCharType="end"/>
            </w:r>
          </w:hyperlink>
        </w:p>
        <w:p w14:paraId="6FDB43D4" w14:textId="28EE2763" w:rsidR="00FE534B" w:rsidRDefault="00A438FF">
          <w:pPr>
            <w:pStyle w:val="TOC3"/>
            <w:tabs>
              <w:tab w:val="left" w:pos="1911"/>
            </w:tabs>
            <w:rPr>
              <w:rFonts w:asciiTheme="minorHAnsi" w:eastAsiaTheme="minorEastAsia" w:hAnsiTheme="minorHAnsi"/>
              <w:szCs w:val="22"/>
              <w:lang w:eastAsia="en-AU"/>
            </w:rPr>
          </w:pPr>
          <w:hyperlink w:anchor="_Toc114576325" w:history="1">
            <w:r w:rsidR="00FE534B" w:rsidRPr="009E2F25">
              <w:rPr>
                <w:rStyle w:val="Hyperlink"/>
                <w:rFonts w:ascii="Calibri" w:hAnsi="Calibri" w:cs="Calibri"/>
              </w:rPr>
              <w:t>12.1.1</w:t>
            </w:r>
            <w:r w:rsidR="00FE534B">
              <w:rPr>
                <w:rFonts w:asciiTheme="minorHAnsi" w:eastAsiaTheme="minorEastAsia" w:hAnsiTheme="minorHAnsi"/>
                <w:szCs w:val="22"/>
                <w:lang w:eastAsia="en-AU"/>
              </w:rPr>
              <w:tab/>
            </w:r>
            <w:r w:rsidR="00FE534B" w:rsidRPr="009E2F25">
              <w:rPr>
                <w:rStyle w:val="Hyperlink"/>
                <w:rFonts w:ascii="Calibri" w:hAnsi="Calibri" w:cs="Calibri"/>
              </w:rPr>
              <w:t>Entity resource statement (Table 1.1)</w:t>
            </w:r>
            <w:r w:rsidR="00FE534B">
              <w:rPr>
                <w:webHidden/>
              </w:rPr>
              <w:tab/>
            </w:r>
            <w:r w:rsidR="00FE534B">
              <w:rPr>
                <w:webHidden/>
              </w:rPr>
              <w:fldChar w:fldCharType="begin"/>
            </w:r>
            <w:r w:rsidR="00FE534B">
              <w:rPr>
                <w:webHidden/>
              </w:rPr>
              <w:instrText xml:space="preserve"> PAGEREF _Toc114576325 \h </w:instrText>
            </w:r>
            <w:r w:rsidR="00FE534B">
              <w:rPr>
                <w:webHidden/>
              </w:rPr>
            </w:r>
            <w:r w:rsidR="00FE534B">
              <w:rPr>
                <w:webHidden/>
              </w:rPr>
              <w:fldChar w:fldCharType="separate"/>
            </w:r>
            <w:r w:rsidR="00FE534B">
              <w:rPr>
                <w:webHidden/>
              </w:rPr>
              <w:t>58</w:t>
            </w:r>
            <w:r w:rsidR="00FE534B">
              <w:rPr>
                <w:webHidden/>
              </w:rPr>
              <w:fldChar w:fldCharType="end"/>
            </w:r>
          </w:hyperlink>
        </w:p>
        <w:p w14:paraId="49C604C4" w14:textId="45938447" w:rsidR="00FE534B" w:rsidRDefault="00A438FF">
          <w:pPr>
            <w:pStyle w:val="TOC3"/>
            <w:tabs>
              <w:tab w:val="left" w:pos="1911"/>
            </w:tabs>
            <w:rPr>
              <w:rFonts w:asciiTheme="minorHAnsi" w:eastAsiaTheme="minorEastAsia" w:hAnsiTheme="minorHAnsi"/>
              <w:szCs w:val="22"/>
              <w:lang w:eastAsia="en-AU"/>
            </w:rPr>
          </w:pPr>
          <w:hyperlink w:anchor="_Toc114576326" w:history="1">
            <w:r w:rsidR="00FE534B" w:rsidRPr="009E2F25">
              <w:rPr>
                <w:rStyle w:val="Hyperlink"/>
                <w:rFonts w:ascii="Calibri" w:hAnsi="Calibri" w:cs="Calibri"/>
              </w:rPr>
              <w:t>12.1.2</w:t>
            </w:r>
            <w:r w:rsidR="00FE534B">
              <w:rPr>
                <w:rFonts w:asciiTheme="minorHAnsi" w:eastAsiaTheme="minorEastAsia" w:hAnsiTheme="minorHAnsi"/>
                <w:szCs w:val="22"/>
                <w:lang w:eastAsia="en-AU"/>
              </w:rPr>
              <w:tab/>
            </w:r>
            <w:r w:rsidR="00FE534B" w:rsidRPr="009E2F25">
              <w:rPr>
                <w:rStyle w:val="Hyperlink"/>
                <w:rFonts w:ascii="Calibri" w:hAnsi="Calibri" w:cs="Calibri"/>
              </w:rPr>
              <w:t>Outcome information</w:t>
            </w:r>
            <w:r w:rsidR="00FE534B">
              <w:rPr>
                <w:webHidden/>
              </w:rPr>
              <w:tab/>
            </w:r>
            <w:r w:rsidR="00FE534B">
              <w:rPr>
                <w:webHidden/>
              </w:rPr>
              <w:fldChar w:fldCharType="begin"/>
            </w:r>
            <w:r w:rsidR="00FE534B">
              <w:rPr>
                <w:webHidden/>
              </w:rPr>
              <w:instrText xml:space="preserve"> PAGEREF _Toc114576326 \h </w:instrText>
            </w:r>
            <w:r w:rsidR="00FE534B">
              <w:rPr>
                <w:webHidden/>
              </w:rPr>
            </w:r>
            <w:r w:rsidR="00FE534B">
              <w:rPr>
                <w:webHidden/>
              </w:rPr>
              <w:fldChar w:fldCharType="separate"/>
            </w:r>
            <w:r w:rsidR="00FE534B">
              <w:rPr>
                <w:webHidden/>
              </w:rPr>
              <w:t>59</w:t>
            </w:r>
            <w:r w:rsidR="00FE534B">
              <w:rPr>
                <w:webHidden/>
              </w:rPr>
              <w:fldChar w:fldCharType="end"/>
            </w:r>
          </w:hyperlink>
        </w:p>
        <w:p w14:paraId="4CB1AAA5" w14:textId="4AAD3D81" w:rsidR="00FE534B" w:rsidRDefault="00A438FF">
          <w:pPr>
            <w:pStyle w:val="TOC3"/>
            <w:tabs>
              <w:tab w:val="left" w:pos="1911"/>
            </w:tabs>
            <w:rPr>
              <w:rFonts w:asciiTheme="minorHAnsi" w:eastAsiaTheme="minorEastAsia" w:hAnsiTheme="minorHAnsi"/>
              <w:szCs w:val="22"/>
              <w:lang w:eastAsia="en-AU"/>
            </w:rPr>
          </w:pPr>
          <w:hyperlink w:anchor="_Toc114576327" w:history="1">
            <w:r w:rsidR="00FE534B" w:rsidRPr="009E2F25">
              <w:rPr>
                <w:rStyle w:val="Hyperlink"/>
                <w:rFonts w:ascii="Calibri" w:hAnsi="Calibri" w:cs="Calibri"/>
              </w:rPr>
              <w:t>12.1.3</w:t>
            </w:r>
            <w:r w:rsidR="00FE534B">
              <w:rPr>
                <w:rFonts w:asciiTheme="minorHAnsi" w:eastAsiaTheme="minorEastAsia" w:hAnsiTheme="minorHAnsi"/>
                <w:szCs w:val="22"/>
                <w:lang w:eastAsia="en-AU"/>
              </w:rPr>
              <w:tab/>
            </w:r>
            <w:r w:rsidR="00FE534B" w:rsidRPr="009E2F25">
              <w:rPr>
                <w:rStyle w:val="Hyperlink"/>
                <w:rFonts w:ascii="Calibri" w:hAnsi="Calibri" w:cs="Calibri"/>
              </w:rPr>
              <w:t>Budgeted financial statements</w:t>
            </w:r>
            <w:r w:rsidR="00FE534B">
              <w:rPr>
                <w:webHidden/>
              </w:rPr>
              <w:tab/>
            </w:r>
            <w:r w:rsidR="00FE534B">
              <w:rPr>
                <w:webHidden/>
              </w:rPr>
              <w:fldChar w:fldCharType="begin"/>
            </w:r>
            <w:r w:rsidR="00FE534B">
              <w:rPr>
                <w:webHidden/>
              </w:rPr>
              <w:instrText xml:space="preserve"> PAGEREF _Toc114576327 \h </w:instrText>
            </w:r>
            <w:r w:rsidR="00FE534B">
              <w:rPr>
                <w:webHidden/>
              </w:rPr>
            </w:r>
            <w:r w:rsidR="00FE534B">
              <w:rPr>
                <w:webHidden/>
              </w:rPr>
              <w:fldChar w:fldCharType="separate"/>
            </w:r>
            <w:r w:rsidR="00FE534B">
              <w:rPr>
                <w:webHidden/>
              </w:rPr>
              <w:t>59</w:t>
            </w:r>
            <w:r w:rsidR="00FE534B">
              <w:rPr>
                <w:webHidden/>
              </w:rPr>
              <w:fldChar w:fldCharType="end"/>
            </w:r>
          </w:hyperlink>
        </w:p>
        <w:p w14:paraId="56EC54CE" w14:textId="5FCB0788" w:rsidR="00FE534B" w:rsidRDefault="00A438FF">
          <w:pPr>
            <w:pStyle w:val="TOC3"/>
            <w:tabs>
              <w:tab w:val="left" w:pos="1911"/>
            </w:tabs>
            <w:rPr>
              <w:rFonts w:asciiTheme="minorHAnsi" w:eastAsiaTheme="minorEastAsia" w:hAnsiTheme="minorHAnsi"/>
              <w:szCs w:val="22"/>
              <w:lang w:eastAsia="en-AU"/>
            </w:rPr>
          </w:pPr>
          <w:hyperlink w:anchor="_Toc114576328" w:history="1">
            <w:r w:rsidR="00FE534B" w:rsidRPr="009E2F25">
              <w:rPr>
                <w:rStyle w:val="Hyperlink"/>
                <w:rFonts w:ascii="Calibri" w:hAnsi="Calibri" w:cs="Calibri"/>
              </w:rPr>
              <w:t>12.1.4</w:t>
            </w:r>
            <w:r w:rsidR="00FE534B">
              <w:rPr>
                <w:rFonts w:asciiTheme="minorHAnsi" w:eastAsiaTheme="minorEastAsia" w:hAnsiTheme="minorHAnsi"/>
                <w:szCs w:val="22"/>
                <w:lang w:eastAsia="en-AU"/>
              </w:rPr>
              <w:tab/>
            </w:r>
            <w:r w:rsidR="00FE534B" w:rsidRPr="009E2F25">
              <w:rPr>
                <w:rStyle w:val="Hyperlink"/>
                <w:rFonts w:ascii="Calibri" w:hAnsi="Calibri" w:cs="Calibri"/>
              </w:rPr>
              <w:t>Other important information</w:t>
            </w:r>
            <w:r w:rsidR="00FE534B">
              <w:rPr>
                <w:webHidden/>
              </w:rPr>
              <w:tab/>
            </w:r>
            <w:r w:rsidR="00FE534B">
              <w:rPr>
                <w:webHidden/>
              </w:rPr>
              <w:fldChar w:fldCharType="begin"/>
            </w:r>
            <w:r w:rsidR="00FE534B">
              <w:rPr>
                <w:webHidden/>
              </w:rPr>
              <w:instrText xml:space="preserve"> PAGEREF _Toc114576328 \h </w:instrText>
            </w:r>
            <w:r w:rsidR="00FE534B">
              <w:rPr>
                <w:webHidden/>
              </w:rPr>
            </w:r>
            <w:r w:rsidR="00FE534B">
              <w:rPr>
                <w:webHidden/>
              </w:rPr>
              <w:fldChar w:fldCharType="separate"/>
            </w:r>
            <w:r w:rsidR="00FE534B">
              <w:rPr>
                <w:webHidden/>
              </w:rPr>
              <w:t>59</w:t>
            </w:r>
            <w:r w:rsidR="00FE534B">
              <w:rPr>
                <w:webHidden/>
              </w:rPr>
              <w:fldChar w:fldCharType="end"/>
            </w:r>
          </w:hyperlink>
        </w:p>
        <w:p w14:paraId="437E4D02" w14:textId="0A25593F" w:rsidR="00FE534B" w:rsidRDefault="00A438FF">
          <w:pPr>
            <w:pStyle w:val="TOC1"/>
            <w:rPr>
              <w:rFonts w:asciiTheme="minorHAnsi" w:eastAsiaTheme="minorEastAsia" w:hAnsiTheme="minorHAnsi"/>
              <w:sz w:val="22"/>
              <w:szCs w:val="22"/>
              <w:lang w:eastAsia="en-AU"/>
            </w:rPr>
          </w:pPr>
          <w:hyperlink w:anchor="_Toc114576329" w:history="1">
            <w:r w:rsidR="00FE534B" w:rsidRPr="009E2F25">
              <w:rPr>
                <w:rStyle w:val="Hyperlink"/>
                <w:rFonts w:ascii="Calibri" w:hAnsi="Calibri" w:cs="Calibri"/>
              </w:rPr>
              <w:t>13.</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Working with the templates</w:t>
            </w:r>
            <w:r w:rsidR="00FE534B">
              <w:rPr>
                <w:webHidden/>
              </w:rPr>
              <w:tab/>
            </w:r>
            <w:r w:rsidR="00FE534B">
              <w:rPr>
                <w:webHidden/>
              </w:rPr>
              <w:fldChar w:fldCharType="begin"/>
            </w:r>
            <w:r w:rsidR="00FE534B">
              <w:rPr>
                <w:webHidden/>
              </w:rPr>
              <w:instrText xml:space="preserve"> PAGEREF _Toc114576329 \h </w:instrText>
            </w:r>
            <w:r w:rsidR="00FE534B">
              <w:rPr>
                <w:webHidden/>
              </w:rPr>
            </w:r>
            <w:r w:rsidR="00FE534B">
              <w:rPr>
                <w:webHidden/>
              </w:rPr>
              <w:fldChar w:fldCharType="separate"/>
            </w:r>
            <w:r w:rsidR="00FE534B">
              <w:rPr>
                <w:webHidden/>
              </w:rPr>
              <w:t>60</w:t>
            </w:r>
            <w:r w:rsidR="00FE534B">
              <w:rPr>
                <w:webHidden/>
              </w:rPr>
              <w:fldChar w:fldCharType="end"/>
            </w:r>
          </w:hyperlink>
        </w:p>
        <w:p w14:paraId="5F5D2E53" w14:textId="71874BC3" w:rsidR="00FE534B" w:rsidRDefault="00A438FF">
          <w:pPr>
            <w:pStyle w:val="TOC2"/>
            <w:rPr>
              <w:rFonts w:asciiTheme="minorHAnsi" w:eastAsiaTheme="minorEastAsia" w:hAnsiTheme="minorHAnsi"/>
              <w:szCs w:val="22"/>
              <w:lang w:eastAsia="en-AU"/>
            </w:rPr>
          </w:pPr>
          <w:hyperlink w:anchor="_Toc114576330" w:history="1">
            <w:r w:rsidR="00FE534B" w:rsidRPr="009E2F25">
              <w:rPr>
                <w:rStyle w:val="Hyperlink"/>
                <w:rFonts w:ascii="Calibri" w:hAnsi="Calibri" w:cs="Calibri"/>
              </w:rPr>
              <w:t>13.1</w:t>
            </w:r>
            <w:r w:rsidR="00FE534B">
              <w:rPr>
                <w:rFonts w:asciiTheme="minorHAnsi" w:eastAsiaTheme="minorEastAsia" w:hAnsiTheme="minorHAnsi"/>
                <w:szCs w:val="22"/>
                <w:lang w:eastAsia="en-AU"/>
              </w:rPr>
              <w:tab/>
            </w:r>
            <w:r w:rsidR="00FE534B" w:rsidRPr="009E2F25">
              <w:rPr>
                <w:rStyle w:val="Hyperlink"/>
                <w:rFonts w:ascii="Calibri" w:hAnsi="Calibri" w:cs="Calibri"/>
              </w:rPr>
              <w:t>Saving the files</w:t>
            </w:r>
            <w:r w:rsidR="00FE534B">
              <w:rPr>
                <w:webHidden/>
              </w:rPr>
              <w:tab/>
            </w:r>
            <w:r w:rsidR="00FE534B">
              <w:rPr>
                <w:webHidden/>
              </w:rPr>
              <w:fldChar w:fldCharType="begin"/>
            </w:r>
            <w:r w:rsidR="00FE534B">
              <w:rPr>
                <w:webHidden/>
              </w:rPr>
              <w:instrText xml:space="preserve"> PAGEREF _Toc114576330 \h </w:instrText>
            </w:r>
            <w:r w:rsidR="00FE534B">
              <w:rPr>
                <w:webHidden/>
              </w:rPr>
            </w:r>
            <w:r w:rsidR="00FE534B">
              <w:rPr>
                <w:webHidden/>
              </w:rPr>
              <w:fldChar w:fldCharType="separate"/>
            </w:r>
            <w:r w:rsidR="00FE534B">
              <w:rPr>
                <w:webHidden/>
              </w:rPr>
              <w:t>60</w:t>
            </w:r>
            <w:r w:rsidR="00FE534B">
              <w:rPr>
                <w:webHidden/>
              </w:rPr>
              <w:fldChar w:fldCharType="end"/>
            </w:r>
          </w:hyperlink>
        </w:p>
        <w:p w14:paraId="14C715E0" w14:textId="707A0104" w:rsidR="00FE534B" w:rsidRDefault="00A438FF">
          <w:pPr>
            <w:pStyle w:val="TOC2"/>
            <w:rPr>
              <w:rFonts w:asciiTheme="minorHAnsi" w:eastAsiaTheme="minorEastAsia" w:hAnsiTheme="minorHAnsi"/>
              <w:szCs w:val="22"/>
              <w:lang w:eastAsia="en-AU"/>
            </w:rPr>
          </w:pPr>
          <w:hyperlink w:anchor="_Toc114576331" w:history="1">
            <w:r w:rsidR="00FE534B" w:rsidRPr="009E2F25">
              <w:rPr>
                <w:rStyle w:val="Hyperlink"/>
                <w:rFonts w:ascii="Calibri" w:hAnsi="Calibri" w:cs="Calibri"/>
              </w:rPr>
              <w:t>13.2</w:t>
            </w:r>
            <w:r w:rsidR="00FE534B">
              <w:rPr>
                <w:rFonts w:asciiTheme="minorHAnsi" w:eastAsiaTheme="minorEastAsia" w:hAnsiTheme="minorHAnsi"/>
                <w:szCs w:val="22"/>
                <w:lang w:eastAsia="en-AU"/>
              </w:rPr>
              <w:tab/>
            </w:r>
            <w:r w:rsidR="00FE534B" w:rsidRPr="009E2F25">
              <w:rPr>
                <w:rStyle w:val="Hyperlink"/>
                <w:rFonts w:ascii="Calibri" w:hAnsi="Calibri" w:cs="Calibri"/>
              </w:rPr>
              <w:t>Excel table specifications</w:t>
            </w:r>
            <w:r w:rsidR="00FE534B">
              <w:rPr>
                <w:webHidden/>
              </w:rPr>
              <w:tab/>
            </w:r>
            <w:r w:rsidR="00FE534B">
              <w:rPr>
                <w:webHidden/>
              </w:rPr>
              <w:fldChar w:fldCharType="begin"/>
            </w:r>
            <w:r w:rsidR="00FE534B">
              <w:rPr>
                <w:webHidden/>
              </w:rPr>
              <w:instrText xml:space="preserve"> PAGEREF _Toc114576331 \h </w:instrText>
            </w:r>
            <w:r w:rsidR="00FE534B">
              <w:rPr>
                <w:webHidden/>
              </w:rPr>
            </w:r>
            <w:r w:rsidR="00FE534B">
              <w:rPr>
                <w:webHidden/>
              </w:rPr>
              <w:fldChar w:fldCharType="separate"/>
            </w:r>
            <w:r w:rsidR="00FE534B">
              <w:rPr>
                <w:webHidden/>
              </w:rPr>
              <w:t>60</w:t>
            </w:r>
            <w:r w:rsidR="00FE534B">
              <w:rPr>
                <w:webHidden/>
              </w:rPr>
              <w:fldChar w:fldCharType="end"/>
            </w:r>
          </w:hyperlink>
        </w:p>
        <w:p w14:paraId="349EDF2F" w14:textId="74176B60" w:rsidR="00FE534B" w:rsidRDefault="00A438FF">
          <w:pPr>
            <w:pStyle w:val="TOC3"/>
            <w:tabs>
              <w:tab w:val="left" w:pos="1911"/>
            </w:tabs>
            <w:rPr>
              <w:rFonts w:asciiTheme="minorHAnsi" w:eastAsiaTheme="minorEastAsia" w:hAnsiTheme="minorHAnsi"/>
              <w:szCs w:val="22"/>
              <w:lang w:eastAsia="en-AU"/>
            </w:rPr>
          </w:pPr>
          <w:hyperlink w:anchor="_Toc114576332" w:history="1">
            <w:r w:rsidR="00FE534B" w:rsidRPr="009E2F25">
              <w:rPr>
                <w:rStyle w:val="Hyperlink"/>
                <w:rFonts w:ascii="Calibri" w:hAnsi="Calibri" w:cs="Calibri"/>
              </w:rPr>
              <w:t>13.2.1</w:t>
            </w:r>
            <w:r w:rsidR="00FE534B">
              <w:rPr>
                <w:rFonts w:asciiTheme="minorHAnsi" w:eastAsiaTheme="minorEastAsia" w:hAnsiTheme="minorHAnsi"/>
                <w:szCs w:val="22"/>
                <w:lang w:eastAsia="en-AU"/>
              </w:rPr>
              <w:tab/>
            </w:r>
            <w:r w:rsidR="00FE534B" w:rsidRPr="009E2F25">
              <w:rPr>
                <w:rStyle w:val="Hyperlink"/>
                <w:rFonts w:ascii="Calibri" w:hAnsi="Calibri" w:cs="Calibri"/>
              </w:rPr>
              <w:t>Formatting an existing table to budget standards</w:t>
            </w:r>
            <w:r w:rsidR="00FE534B">
              <w:rPr>
                <w:webHidden/>
              </w:rPr>
              <w:tab/>
            </w:r>
            <w:r w:rsidR="00FE534B">
              <w:rPr>
                <w:webHidden/>
              </w:rPr>
              <w:fldChar w:fldCharType="begin"/>
            </w:r>
            <w:r w:rsidR="00FE534B">
              <w:rPr>
                <w:webHidden/>
              </w:rPr>
              <w:instrText xml:space="preserve"> PAGEREF _Toc114576332 \h </w:instrText>
            </w:r>
            <w:r w:rsidR="00FE534B">
              <w:rPr>
                <w:webHidden/>
              </w:rPr>
            </w:r>
            <w:r w:rsidR="00FE534B">
              <w:rPr>
                <w:webHidden/>
              </w:rPr>
              <w:fldChar w:fldCharType="separate"/>
            </w:r>
            <w:r w:rsidR="00FE534B">
              <w:rPr>
                <w:webHidden/>
              </w:rPr>
              <w:t>61</w:t>
            </w:r>
            <w:r w:rsidR="00FE534B">
              <w:rPr>
                <w:webHidden/>
              </w:rPr>
              <w:fldChar w:fldCharType="end"/>
            </w:r>
          </w:hyperlink>
        </w:p>
        <w:p w14:paraId="4DE4D960" w14:textId="136FBE35" w:rsidR="00FE534B" w:rsidRDefault="00A438FF">
          <w:pPr>
            <w:pStyle w:val="TOC3"/>
            <w:tabs>
              <w:tab w:val="left" w:pos="1911"/>
            </w:tabs>
            <w:rPr>
              <w:rFonts w:asciiTheme="minorHAnsi" w:eastAsiaTheme="minorEastAsia" w:hAnsiTheme="minorHAnsi"/>
              <w:szCs w:val="22"/>
              <w:lang w:eastAsia="en-AU"/>
            </w:rPr>
          </w:pPr>
          <w:hyperlink w:anchor="_Toc114576333" w:history="1">
            <w:r w:rsidR="00FE534B" w:rsidRPr="009E2F25">
              <w:rPr>
                <w:rStyle w:val="Hyperlink"/>
                <w:rFonts w:ascii="Calibri" w:hAnsi="Calibri" w:cs="Calibri"/>
              </w:rPr>
              <w:t>13.2.2</w:t>
            </w:r>
            <w:r w:rsidR="00FE534B">
              <w:rPr>
                <w:rFonts w:asciiTheme="minorHAnsi" w:eastAsiaTheme="minorEastAsia" w:hAnsiTheme="minorHAnsi"/>
                <w:szCs w:val="22"/>
                <w:lang w:eastAsia="en-AU"/>
              </w:rPr>
              <w:tab/>
            </w:r>
            <w:r w:rsidR="00FE534B" w:rsidRPr="009E2F25">
              <w:rPr>
                <w:rStyle w:val="Hyperlink"/>
                <w:rFonts w:ascii="Calibri" w:hAnsi="Calibri" w:cs="Calibri"/>
              </w:rPr>
              <w:t>Setting font and text alignment</w:t>
            </w:r>
            <w:r w:rsidR="00FE534B">
              <w:rPr>
                <w:webHidden/>
              </w:rPr>
              <w:tab/>
            </w:r>
            <w:r w:rsidR="00FE534B">
              <w:rPr>
                <w:webHidden/>
              </w:rPr>
              <w:fldChar w:fldCharType="begin"/>
            </w:r>
            <w:r w:rsidR="00FE534B">
              <w:rPr>
                <w:webHidden/>
              </w:rPr>
              <w:instrText xml:space="preserve"> PAGEREF _Toc114576333 \h </w:instrText>
            </w:r>
            <w:r w:rsidR="00FE534B">
              <w:rPr>
                <w:webHidden/>
              </w:rPr>
            </w:r>
            <w:r w:rsidR="00FE534B">
              <w:rPr>
                <w:webHidden/>
              </w:rPr>
              <w:fldChar w:fldCharType="separate"/>
            </w:r>
            <w:r w:rsidR="00FE534B">
              <w:rPr>
                <w:webHidden/>
              </w:rPr>
              <w:t>61</w:t>
            </w:r>
            <w:r w:rsidR="00FE534B">
              <w:rPr>
                <w:webHidden/>
              </w:rPr>
              <w:fldChar w:fldCharType="end"/>
            </w:r>
          </w:hyperlink>
        </w:p>
        <w:p w14:paraId="5F7426C4" w14:textId="74F880AF" w:rsidR="00FE534B" w:rsidRDefault="00A438FF">
          <w:pPr>
            <w:pStyle w:val="TOC3"/>
            <w:tabs>
              <w:tab w:val="left" w:pos="1911"/>
            </w:tabs>
            <w:rPr>
              <w:rFonts w:asciiTheme="minorHAnsi" w:eastAsiaTheme="minorEastAsia" w:hAnsiTheme="minorHAnsi"/>
              <w:szCs w:val="22"/>
              <w:lang w:eastAsia="en-AU"/>
            </w:rPr>
          </w:pPr>
          <w:hyperlink w:anchor="_Toc114576334" w:history="1">
            <w:r w:rsidR="00FE534B" w:rsidRPr="009E2F25">
              <w:rPr>
                <w:rStyle w:val="Hyperlink"/>
                <w:rFonts w:ascii="Calibri" w:hAnsi="Calibri" w:cs="Calibri"/>
              </w:rPr>
              <w:t>13.2.3</w:t>
            </w:r>
            <w:r w:rsidR="00FE534B">
              <w:rPr>
                <w:rFonts w:asciiTheme="minorHAnsi" w:eastAsiaTheme="minorEastAsia" w:hAnsiTheme="minorHAnsi"/>
                <w:szCs w:val="22"/>
                <w:lang w:eastAsia="en-AU"/>
              </w:rPr>
              <w:tab/>
            </w:r>
            <w:r w:rsidR="00FE534B" w:rsidRPr="009E2F25">
              <w:rPr>
                <w:rStyle w:val="Hyperlink"/>
                <w:rFonts w:ascii="Calibri" w:hAnsi="Calibri" w:cs="Calibri"/>
              </w:rPr>
              <w:t>Row height</w:t>
            </w:r>
            <w:r w:rsidR="00FE534B">
              <w:rPr>
                <w:webHidden/>
              </w:rPr>
              <w:tab/>
            </w:r>
            <w:r w:rsidR="00FE534B">
              <w:rPr>
                <w:webHidden/>
              </w:rPr>
              <w:fldChar w:fldCharType="begin"/>
            </w:r>
            <w:r w:rsidR="00FE534B">
              <w:rPr>
                <w:webHidden/>
              </w:rPr>
              <w:instrText xml:space="preserve"> PAGEREF _Toc114576334 \h </w:instrText>
            </w:r>
            <w:r w:rsidR="00FE534B">
              <w:rPr>
                <w:webHidden/>
              </w:rPr>
            </w:r>
            <w:r w:rsidR="00FE534B">
              <w:rPr>
                <w:webHidden/>
              </w:rPr>
              <w:fldChar w:fldCharType="separate"/>
            </w:r>
            <w:r w:rsidR="00FE534B">
              <w:rPr>
                <w:webHidden/>
              </w:rPr>
              <w:t>62</w:t>
            </w:r>
            <w:r w:rsidR="00FE534B">
              <w:rPr>
                <w:webHidden/>
              </w:rPr>
              <w:fldChar w:fldCharType="end"/>
            </w:r>
          </w:hyperlink>
        </w:p>
        <w:p w14:paraId="060026D1" w14:textId="7AC6A481" w:rsidR="00FE534B" w:rsidRDefault="00A438FF">
          <w:pPr>
            <w:pStyle w:val="TOC3"/>
            <w:tabs>
              <w:tab w:val="left" w:pos="1911"/>
            </w:tabs>
            <w:rPr>
              <w:rFonts w:asciiTheme="minorHAnsi" w:eastAsiaTheme="minorEastAsia" w:hAnsiTheme="minorHAnsi"/>
              <w:szCs w:val="22"/>
              <w:lang w:eastAsia="en-AU"/>
            </w:rPr>
          </w:pPr>
          <w:hyperlink w:anchor="_Toc114576335" w:history="1">
            <w:r w:rsidR="00FE534B" w:rsidRPr="009E2F25">
              <w:rPr>
                <w:rStyle w:val="Hyperlink"/>
                <w:rFonts w:ascii="Calibri" w:hAnsi="Calibri" w:cs="Calibri"/>
              </w:rPr>
              <w:t>13.2.4</w:t>
            </w:r>
            <w:r w:rsidR="00FE534B">
              <w:rPr>
                <w:rFonts w:asciiTheme="minorHAnsi" w:eastAsiaTheme="minorEastAsia" w:hAnsiTheme="minorHAnsi"/>
                <w:szCs w:val="22"/>
                <w:lang w:eastAsia="en-AU"/>
              </w:rPr>
              <w:tab/>
            </w:r>
            <w:r w:rsidR="00FE534B" w:rsidRPr="009E2F25">
              <w:rPr>
                <w:rStyle w:val="Hyperlink"/>
                <w:rFonts w:ascii="Calibri" w:hAnsi="Calibri" w:cs="Calibri"/>
              </w:rPr>
              <w:t>Table borders</w:t>
            </w:r>
            <w:r w:rsidR="00FE534B">
              <w:rPr>
                <w:webHidden/>
              </w:rPr>
              <w:tab/>
            </w:r>
            <w:r w:rsidR="00FE534B">
              <w:rPr>
                <w:webHidden/>
              </w:rPr>
              <w:fldChar w:fldCharType="begin"/>
            </w:r>
            <w:r w:rsidR="00FE534B">
              <w:rPr>
                <w:webHidden/>
              </w:rPr>
              <w:instrText xml:space="preserve"> PAGEREF _Toc114576335 \h </w:instrText>
            </w:r>
            <w:r w:rsidR="00FE534B">
              <w:rPr>
                <w:webHidden/>
              </w:rPr>
            </w:r>
            <w:r w:rsidR="00FE534B">
              <w:rPr>
                <w:webHidden/>
              </w:rPr>
              <w:fldChar w:fldCharType="separate"/>
            </w:r>
            <w:r w:rsidR="00FE534B">
              <w:rPr>
                <w:webHidden/>
              </w:rPr>
              <w:t>62</w:t>
            </w:r>
            <w:r w:rsidR="00FE534B">
              <w:rPr>
                <w:webHidden/>
              </w:rPr>
              <w:fldChar w:fldCharType="end"/>
            </w:r>
          </w:hyperlink>
        </w:p>
        <w:p w14:paraId="4EDDCBD5" w14:textId="2EC30C3E" w:rsidR="00FE534B" w:rsidRDefault="00A438FF">
          <w:pPr>
            <w:pStyle w:val="TOC3"/>
            <w:tabs>
              <w:tab w:val="left" w:pos="1911"/>
            </w:tabs>
            <w:rPr>
              <w:rFonts w:asciiTheme="minorHAnsi" w:eastAsiaTheme="minorEastAsia" w:hAnsiTheme="minorHAnsi"/>
              <w:szCs w:val="22"/>
              <w:lang w:eastAsia="en-AU"/>
            </w:rPr>
          </w:pPr>
          <w:hyperlink w:anchor="_Toc114576336" w:history="1">
            <w:r w:rsidR="00FE534B" w:rsidRPr="009E2F25">
              <w:rPr>
                <w:rStyle w:val="Hyperlink"/>
                <w:rFonts w:ascii="Calibri" w:hAnsi="Calibri" w:cs="Calibri"/>
              </w:rPr>
              <w:t>13.2.5</w:t>
            </w:r>
            <w:r w:rsidR="00FE534B">
              <w:rPr>
                <w:rFonts w:asciiTheme="minorHAnsi" w:eastAsiaTheme="minorEastAsia" w:hAnsiTheme="minorHAnsi"/>
                <w:szCs w:val="22"/>
                <w:lang w:eastAsia="en-AU"/>
              </w:rPr>
              <w:tab/>
            </w:r>
            <w:r w:rsidR="00FE534B" w:rsidRPr="009E2F25">
              <w:rPr>
                <w:rStyle w:val="Hyperlink"/>
                <w:rFonts w:ascii="Calibri" w:hAnsi="Calibri" w:cs="Calibri"/>
              </w:rPr>
              <w:t>Shading</w:t>
            </w:r>
            <w:r w:rsidR="00FE534B">
              <w:rPr>
                <w:webHidden/>
              </w:rPr>
              <w:tab/>
            </w:r>
            <w:r w:rsidR="00FE534B">
              <w:rPr>
                <w:webHidden/>
              </w:rPr>
              <w:fldChar w:fldCharType="begin"/>
            </w:r>
            <w:r w:rsidR="00FE534B">
              <w:rPr>
                <w:webHidden/>
              </w:rPr>
              <w:instrText xml:space="preserve"> PAGEREF _Toc114576336 \h </w:instrText>
            </w:r>
            <w:r w:rsidR="00FE534B">
              <w:rPr>
                <w:webHidden/>
              </w:rPr>
            </w:r>
            <w:r w:rsidR="00FE534B">
              <w:rPr>
                <w:webHidden/>
              </w:rPr>
              <w:fldChar w:fldCharType="separate"/>
            </w:r>
            <w:r w:rsidR="00FE534B">
              <w:rPr>
                <w:webHidden/>
              </w:rPr>
              <w:t>63</w:t>
            </w:r>
            <w:r w:rsidR="00FE534B">
              <w:rPr>
                <w:webHidden/>
              </w:rPr>
              <w:fldChar w:fldCharType="end"/>
            </w:r>
          </w:hyperlink>
        </w:p>
        <w:p w14:paraId="2DE19527" w14:textId="5D7E0FB8" w:rsidR="00FE534B" w:rsidRDefault="00A438FF">
          <w:pPr>
            <w:pStyle w:val="TOC3"/>
            <w:tabs>
              <w:tab w:val="left" w:pos="1911"/>
            </w:tabs>
            <w:rPr>
              <w:rFonts w:asciiTheme="minorHAnsi" w:eastAsiaTheme="minorEastAsia" w:hAnsiTheme="minorHAnsi"/>
              <w:szCs w:val="22"/>
              <w:lang w:eastAsia="en-AU"/>
            </w:rPr>
          </w:pPr>
          <w:hyperlink w:anchor="_Toc114576337" w:history="1">
            <w:r w:rsidR="00FE534B" w:rsidRPr="009E2F25">
              <w:rPr>
                <w:rStyle w:val="Hyperlink"/>
                <w:rFonts w:ascii="Calibri" w:hAnsi="Calibri" w:cs="Calibri"/>
              </w:rPr>
              <w:t>13.2.6</w:t>
            </w:r>
            <w:r w:rsidR="00FE534B">
              <w:rPr>
                <w:rFonts w:asciiTheme="minorHAnsi" w:eastAsiaTheme="minorEastAsia" w:hAnsiTheme="minorHAnsi"/>
                <w:szCs w:val="22"/>
                <w:lang w:eastAsia="en-AU"/>
              </w:rPr>
              <w:tab/>
            </w:r>
            <w:r w:rsidR="00FE534B" w:rsidRPr="009E2F25">
              <w:rPr>
                <w:rStyle w:val="Hyperlink"/>
                <w:rFonts w:ascii="Calibri" w:hAnsi="Calibri" w:cs="Calibri"/>
              </w:rPr>
              <w:t>Indenting text</w:t>
            </w:r>
            <w:r w:rsidR="00FE534B">
              <w:rPr>
                <w:webHidden/>
              </w:rPr>
              <w:tab/>
            </w:r>
            <w:r w:rsidR="00FE534B">
              <w:rPr>
                <w:webHidden/>
              </w:rPr>
              <w:fldChar w:fldCharType="begin"/>
            </w:r>
            <w:r w:rsidR="00FE534B">
              <w:rPr>
                <w:webHidden/>
              </w:rPr>
              <w:instrText xml:space="preserve"> PAGEREF _Toc114576337 \h </w:instrText>
            </w:r>
            <w:r w:rsidR="00FE534B">
              <w:rPr>
                <w:webHidden/>
              </w:rPr>
            </w:r>
            <w:r w:rsidR="00FE534B">
              <w:rPr>
                <w:webHidden/>
              </w:rPr>
              <w:fldChar w:fldCharType="separate"/>
            </w:r>
            <w:r w:rsidR="00FE534B">
              <w:rPr>
                <w:webHidden/>
              </w:rPr>
              <w:t>63</w:t>
            </w:r>
            <w:r w:rsidR="00FE534B">
              <w:rPr>
                <w:webHidden/>
              </w:rPr>
              <w:fldChar w:fldCharType="end"/>
            </w:r>
          </w:hyperlink>
        </w:p>
        <w:p w14:paraId="4223CCCA" w14:textId="538C49D9" w:rsidR="00FE534B" w:rsidRDefault="00A438FF">
          <w:pPr>
            <w:pStyle w:val="TOC3"/>
            <w:tabs>
              <w:tab w:val="left" w:pos="1911"/>
            </w:tabs>
            <w:rPr>
              <w:rFonts w:asciiTheme="minorHAnsi" w:eastAsiaTheme="minorEastAsia" w:hAnsiTheme="minorHAnsi"/>
              <w:szCs w:val="22"/>
              <w:lang w:eastAsia="en-AU"/>
            </w:rPr>
          </w:pPr>
          <w:hyperlink w:anchor="_Toc114576338" w:history="1">
            <w:r w:rsidR="00FE534B" w:rsidRPr="009E2F25">
              <w:rPr>
                <w:rStyle w:val="Hyperlink"/>
                <w:rFonts w:ascii="Calibri" w:hAnsi="Calibri" w:cs="Calibri"/>
              </w:rPr>
              <w:t>13.2.7</w:t>
            </w:r>
            <w:r w:rsidR="00FE534B">
              <w:rPr>
                <w:rFonts w:asciiTheme="minorHAnsi" w:eastAsiaTheme="minorEastAsia" w:hAnsiTheme="minorHAnsi"/>
                <w:szCs w:val="22"/>
                <w:lang w:eastAsia="en-AU"/>
              </w:rPr>
              <w:tab/>
            </w:r>
            <w:r w:rsidR="00FE534B" w:rsidRPr="009E2F25">
              <w:rPr>
                <w:rStyle w:val="Hyperlink"/>
                <w:rFonts w:ascii="Calibri" w:hAnsi="Calibri" w:cs="Calibri"/>
              </w:rPr>
              <w:t>Inserting linked excel tables into the word template</w:t>
            </w:r>
            <w:r w:rsidR="00FE534B">
              <w:rPr>
                <w:webHidden/>
              </w:rPr>
              <w:tab/>
            </w:r>
            <w:r w:rsidR="00FE534B">
              <w:rPr>
                <w:webHidden/>
              </w:rPr>
              <w:fldChar w:fldCharType="begin"/>
            </w:r>
            <w:r w:rsidR="00FE534B">
              <w:rPr>
                <w:webHidden/>
              </w:rPr>
              <w:instrText xml:space="preserve"> PAGEREF _Toc114576338 \h </w:instrText>
            </w:r>
            <w:r w:rsidR="00FE534B">
              <w:rPr>
                <w:webHidden/>
              </w:rPr>
            </w:r>
            <w:r w:rsidR="00FE534B">
              <w:rPr>
                <w:webHidden/>
              </w:rPr>
              <w:fldChar w:fldCharType="separate"/>
            </w:r>
            <w:r w:rsidR="00FE534B">
              <w:rPr>
                <w:webHidden/>
              </w:rPr>
              <w:t>63</w:t>
            </w:r>
            <w:r w:rsidR="00FE534B">
              <w:rPr>
                <w:webHidden/>
              </w:rPr>
              <w:fldChar w:fldCharType="end"/>
            </w:r>
          </w:hyperlink>
        </w:p>
        <w:p w14:paraId="72743021" w14:textId="4F214E40" w:rsidR="00FE534B" w:rsidRDefault="00A438FF">
          <w:pPr>
            <w:pStyle w:val="TOC2"/>
            <w:rPr>
              <w:rFonts w:asciiTheme="minorHAnsi" w:eastAsiaTheme="minorEastAsia" w:hAnsiTheme="minorHAnsi"/>
              <w:szCs w:val="22"/>
              <w:lang w:eastAsia="en-AU"/>
            </w:rPr>
          </w:pPr>
          <w:hyperlink w:anchor="_Toc114576339" w:history="1">
            <w:r w:rsidR="00FE534B" w:rsidRPr="009E2F25">
              <w:rPr>
                <w:rStyle w:val="Hyperlink"/>
                <w:rFonts w:ascii="Calibri" w:hAnsi="Calibri" w:cs="Calibri"/>
              </w:rPr>
              <w:t>13.3</w:t>
            </w:r>
            <w:r w:rsidR="00FE534B">
              <w:rPr>
                <w:rFonts w:asciiTheme="minorHAnsi" w:eastAsiaTheme="minorEastAsia" w:hAnsiTheme="minorHAnsi"/>
                <w:szCs w:val="22"/>
                <w:lang w:eastAsia="en-AU"/>
              </w:rPr>
              <w:tab/>
            </w:r>
            <w:r w:rsidR="00FE534B" w:rsidRPr="009E2F25">
              <w:rPr>
                <w:rStyle w:val="Hyperlink"/>
                <w:rFonts w:ascii="Calibri" w:hAnsi="Calibri" w:cs="Calibri"/>
              </w:rPr>
              <w:t>Preparing the word template for printing</w:t>
            </w:r>
            <w:r w:rsidR="00FE534B">
              <w:rPr>
                <w:webHidden/>
              </w:rPr>
              <w:tab/>
            </w:r>
            <w:r w:rsidR="00FE534B">
              <w:rPr>
                <w:webHidden/>
              </w:rPr>
              <w:fldChar w:fldCharType="begin"/>
            </w:r>
            <w:r w:rsidR="00FE534B">
              <w:rPr>
                <w:webHidden/>
              </w:rPr>
              <w:instrText xml:space="preserve"> PAGEREF _Toc114576339 \h </w:instrText>
            </w:r>
            <w:r w:rsidR="00FE534B">
              <w:rPr>
                <w:webHidden/>
              </w:rPr>
            </w:r>
            <w:r w:rsidR="00FE534B">
              <w:rPr>
                <w:webHidden/>
              </w:rPr>
              <w:fldChar w:fldCharType="separate"/>
            </w:r>
            <w:r w:rsidR="00FE534B">
              <w:rPr>
                <w:webHidden/>
              </w:rPr>
              <w:t>64</w:t>
            </w:r>
            <w:r w:rsidR="00FE534B">
              <w:rPr>
                <w:webHidden/>
              </w:rPr>
              <w:fldChar w:fldCharType="end"/>
            </w:r>
          </w:hyperlink>
        </w:p>
        <w:p w14:paraId="6E675E84" w14:textId="1EABC3BC" w:rsidR="00FE534B" w:rsidRDefault="00A438FF">
          <w:pPr>
            <w:pStyle w:val="TOC2"/>
            <w:rPr>
              <w:rFonts w:asciiTheme="minorHAnsi" w:eastAsiaTheme="minorEastAsia" w:hAnsiTheme="minorHAnsi"/>
              <w:szCs w:val="22"/>
              <w:lang w:eastAsia="en-AU"/>
            </w:rPr>
          </w:pPr>
          <w:hyperlink w:anchor="_Toc114576340" w:history="1">
            <w:r w:rsidR="00FE534B" w:rsidRPr="009E2F25">
              <w:rPr>
                <w:rStyle w:val="Hyperlink"/>
                <w:rFonts w:ascii="Calibri" w:hAnsi="Calibri" w:cs="Calibri"/>
              </w:rPr>
              <w:t>13.4</w:t>
            </w:r>
            <w:r w:rsidR="00FE534B">
              <w:rPr>
                <w:rFonts w:asciiTheme="minorHAnsi" w:eastAsiaTheme="minorEastAsia" w:hAnsiTheme="minorHAnsi"/>
                <w:szCs w:val="22"/>
                <w:lang w:eastAsia="en-AU"/>
              </w:rPr>
              <w:tab/>
            </w:r>
            <w:r w:rsidR="00FE534B" w:rsidRPr="009E2F25">
              <w:rPr>
                <w:rStyle w:val="Hyperlink"/>
                <w:rFonts w:ascii="Calibri" w:hAnsi="Calibri" w:cs="Calibri"/>
              </w:rPr>
              <w:t>Preparing the word template for online publication</w:t>
            </w:r>
            <w:r w:rsidR="00FE534B">
              <w:rPr>
                <w:webHidden/>
              </w:rPr>
              <w:tab/>
            </w:r>
            <w:r w:rsidR="00FE534B">
              <w:rPr>
                <w:webHidden/>
              </w:rPr>
              <w:fldChar w:fldCharType="begin"/>
            </w:r>
            <w:r w:rsidR="00FE534B">
              <w:rPr>
                <w:webHidden/>
              </w:rPr>
              <w:instrText xml:space="preserve"> PAGEREF _Toc114576340 \h </w:instrText>
            </w:r>
            <w:r w:rsidR="00FE534B">
              <w:rPr>
                <w:webHidden/>
              </w:rPr>
            </w:r>
            <w:r w:rsidR="00FE534B">
              <w:rPr>
                <w:webHidden/>
              </w:rPr>
              <w:fldChar w:fldCharType="separate"/>
            </w:r>
            <w:r w:rsidR="00FE534B">
              <w:rPr>
                <w:webHidden/>
              </w:rPr>
              <w:t>64</w:t>
            </w:r>
            <w:r w:rsidR="00FE534B">
              <w:rPr>
                <w:webHidden/>
              </w:rPr>
              <w:fldChar w:fldCharType="end"/>
            </w:r>
          </w:hyperlink>
        </w:p>
        <w:p w14:paraId="0EA1E9F6" w14:textId="340534EF" w:rsidR="00FE534B" w:rsidRDefault="00A438FF">
          <w:pPr>
            <w:pStyle w:val="TOC2"/>
            <w:rPr>
              <w:rFonts w:asciiTheme="minorHAnsi" w:eastAsiaTheme="minorEastAsia" w:hAnsiTheme="minorHAnsi"/>
              <w:szCs w:val="22"/>
              <w:lang w:eastAsia="en-AU"/>
            </w:rPr>
          </w:pPr>
          <w:hyperlink w:anchor="_Toc114576341" w:history="1">
            <w:r w:rsidR="00FE534B" w:rsidRPr="009E2F25">
              <w:rPr>
                <w:rStyle w:val="Hyperlink"/>
                <w:rFonts w:ascii="Calibri" w:hAnsi="Calibri" w:cs="Calibri"/>
              </w:rPr>
              <w:t>13.5</w:t>
            </w:r>
            <w:r w:rsidR="00FE534B">
              <w:rPr>
                <w:rFonts w:asciiTheme="minorHAnsi" w:eastAsiaTheme="minorEastAsia" w:hAnsiTheme="minorHAnsi"/>
                <w:szCs w:val="22"/>
                <w:lang w:eastAsia="en-AU"/>
              </w:rPr>
              <w:tab/>
            </w:r>
            <w:r w:rsidR="00FE534B" w:rsidRPr="009E2F25">
              <w:rPr>
                <w:rStyle w:val="Hyperlink"/>
                <w:rFonts w:ascii="Calibri" w:hAnsi="Calibri" w:cs="Calibri"/>
              </w:rPr>
              <w:t>Web accessibility requirements</w:t>
            </w:r>
            <w:r w:rsidR="00FE534B">
              <w:rPr>
                <w:webHidden/>
              </w:rPr>
              <w:tab/>
            </w:r>
            <w:r w:rsidR="00FE534B">
              <w:rPr>
                <w:webHidden/>
              </w:rPr>
              <w:fldChar w:fldCharType="begin"/>
            </w:r>
            <w:r w:rsidR="00FE534B">
              <w:rPr>
                <w:webHidden/>
              </w:rPr>
              <w:instrText xml:space="preserve"> PAGEREF _Toc114576341 \h </w:instrText>
            </w:r>
            <w:r w:rsidR="00FE534B">
              <w:rPr>
                <w:webHidden/>
              </w:rPr>
            </w:r>
            <w:r w:rsidR="00FE534B">
              <w:rPr>
                <w:webHidden/>
              </w:rPr>
              <w:fldChar w:fldCharType="separate"/>
            </w:r>
            <w:r w:rsidR="00FE534B">
              <w:rPr>
                <w:webHidden/>
              </w:rPr>
              <w:t>64</w:t>
            </w:r>
            <w:r w:rsidR="00FE534B">
              <w:rPr>
                <w:webHidden/>
              </w:rPr>
              <w:fldChar w:fldCharType="end"/>
            </w:r>
          </w:hyperlink>
        </w:p>
        <w:p w14:paraId="74994D84" w14:textId="6D6E86F9" w:rsidR="00FE534B" w:rsidRDefault="00A438FF">
          <w:pPr>
            <w:pStyle w:val="TOC3"/>
            <w:tabs>
              <w:tab w:val="left" w:pos="1911"/>
            </w:tabs>
            <w:rPr>
              <w:rFonts w:asciiTheme="minorHAnsi" w:eastAsiaTheme="minorEastAsia" w:hAnsiTheme="minorHAnsi"/>
              <w:szCs w:val="22"/>
              <w:lang w:eastAsia="en-AU"/>
            </w:rPr>
          </w:pPr>
          <w:hyperlink w:anchor="_Toc114576342" w:history="1">
            <w:r w:rsidR="00FE534B" w:rsidRPr="009E2F25">
              <w:rPr>
                <w:rStyle w:val="Hyperlink"/>
                <w:rFonts w:ascii="Calibri" w:hAnsi="Calibri" w:cs="Calibri"/>
              </w:rPr>
              <w:t>13.5.1</w:t>
            </w:r>
            <w:r w:rsidR="00FE534B">
              <w:rPr>
                <w:rFonts w:asciiTheme="minorHAnsi" w:eastAsiaTheme="minorEastAsia" w:hAnsiTheme="minorHAnsi"/>
                <w:szCs w:val="22"/>
                <w:lang w:eastAsia="en-AU"/>
              </w:rPr>
              <w:tab/>
            </w:r>
            <w:r w:rsidR="00FE534B" w:rsidRPr="009E2F25">
              <w:rPr>
                <w:rStyle w:val="Hyperlink"/>
                <w:rFonts w:ascii="Calibri" w:hAnsi="Calibri" w:cs="Calibri"/>
              </w:rPr>
              <w:t>Guide to making accessible soft copy documents</w:t>
            </w:r>
            <w:r w:rsidR="00FE534B">
              <w:rPr>
                <w:webHidden/>
              </w:rPr>
              <w:tab/>
            </w:r>
            <w:r w:rsidR="00FE534B">
              <w:rPr>
                <w:webHidden/>
              </w:rPr>
              <w:fldChar w:fldCharType="begin"/>
            </w:r>
            <w:r w:rsidR="00FE534B">
              <w:rPr>
                <w:webHidden/>
              </w:rPr>
              <w:instrText xml:space="preserve"> PAGEREF _Toc114576342 \h </w:instrText>
            </w:r>
            <w:r w:rsidR="00FE534B">
              <w:rPr>
                <w:webHidden/>
              </w:rPr>
            </w:r>
            <w:r w:rsidR="00FE534B">
              <w:rPr>
                <w:webHidden/>
              </w:rPr>
              <w:fldChar w:fldCharType="separate"/>
            </w:r>
            <w:r w:rsidR="00FE534B">
              <w:rPr>
                <w:webHidden/>
              </w:rPr>
              <w:t>65</w:t>
            </w:r>
            <w:r w:rsidR="00FE534B">
              <w:rPr>
                <w:webHidden/>
              </w:rPr>
              <w:fldChar w:fldCharType="end"/>
            </w:r>
          </w:hyperlink>
        </w:p>
        <w:p w14:paraId="383FC846" w14:textId="6B8E9CD2" w:rsidR="00FE534B" w:rsidRDefault="00A438FF">
          <w:pPr>
            <w:pStyle w:val="TOC1"/>
            <w:rPr>
              <w:rFonts w:asciiTheme="minorHAnsi" w:eastAsiaTheme="minorEastAsia" w:hAnsiTheme="minorHAnsi"/>
              <w:sz w:val="22"/>
              <w:szCs w:val="22"/>
              <w:lang w:eastAsia="en-AU"/>
            </w:rPr>
          </w:pPr>
          <w:hyperlink w:anchor="_Toc114576343" w:history="1">
            <w:r w:rsidR="00FE534B" w:rsidRPr="009E2F25">
              <w:rPr>
                <w:rStyle w:val="Hyperlink"/>
                <w:rFonts w:ascii="Calibri" w:hAnsi="Calibri" w:cs="Calibri"/>
              </w:rPr>
              <w:t>14.</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Contacts</w:t>
            </w:r>
            <w:r w:rsidR="00FE534B">
              <w:rPr>
                <w:webHidden/>
              </w:rPr>
              <w:tab/>
            </w:r>
            <w:r w:rsidR="00FE534B">
              <w:rPr>
                <w:webHidden/>
              </w:rPr>
              <w:fldChar w:fldCharType="begin"/>
            </w:r>
            <w:r w:rsidR="00FE534B">
              <w:rPr>
                <w:webHidden/>
              </w:rPr>
              <w:instrText xml:space="preserve"> PAGEREF _Toc114576343 \h </w:instrText>
            </w:r>
            <w:r w:rsidR="00FE534B">
              <w:rPr>
                <w:webHidden/>
              </w:rPr>
            </w:r>
            <w:r w:rsidR="00FE534B">
              <w:rPr>
                <w:webHidden/>
              </w:rPr>
              <w:fldChar w:fldCharType="separate"/>
            </w:r>
            <w:r w:rsidR="00FE534B">
              <w:rPr>
                <w:webHidden/>
              </w:rPr>
              <w:t>67</w:t>
            </w:r>
            <w:r w:rsidR="00FE534B">
              <w:rPr>
                <w:webHidden/>
              </w:rPr>
              <w:fldChar w:fldCharType="end"/>
            </w:r>
          </w:hyperlink>
        </w:p>
        <w:p w14:paraId="01F30112" w14:textId="1F88E533" w:rsidR="00FE534B" w:rsidRDefault="00A438FF">
          <w:pPr>
            <w:pStyle w:val="TOC2"/>
            <w:rPr>
              <w:rFonts w:asciiTheme="minorHAnsi" w:eastAsiaTheme="minorEastAsia" w:hAnsiTheme="minorHAnsi"/>
              <w:szCs w:val="22"/>
              <w:lang w:eastAsia="en-AU"/>
            </w:rPr>
          </w:pPr>
          <w:hyperlink w:anchor="_Toc114576344" w:history="1">
            <w:r w:rsidR="00FE534B" w:rsidRPr="009E2F25">
              <w:rPr>
                <w:rStyle w:val="Hyperlink"/>
                <w:rFonts w:ascii="Calibri" w:hAnsi="Calibri" w:cs="Calibri"/>
              </w:rPr>
              <w:t>14.1</w:t>
            </w:r>
            <w:r w:rsidR="00FE534B">
              <w:rPr>
                <w:rFonts w:asciiTheme="minorHAnsi" w:eastAsiaTheme="minorEastAsia" w:hAnsiTheme="minorHAnsi"/>
                <w:szCs w:val="22"/>
                <w:lang w:eastAsia="en-AU"/>
              </w:rPr>
              <w:tab/>
            </w:r>
            <w:r w:rsidR="00FE534B" w:rsidRPr="009E2F25">
              <w:rPr>
                <w:rStyle w:val="Hyperlink"/>
                <w:rFonts w:ascii="Calibri" w:hAnsi="Calibri" w:cs="Calibri"/>
              </w:rPr>
              <w:t>Department of Finance</w:t>
            </w:r>
            <w:r w:rsidR="00FE534B">
              <w:rPr>
                <w:webHidden/>
              </w:rPr>
              <w:tab/>
            </w:r>
            <w:r w:rsidR="00FE534B">
              <w:rPr>
                <w:webHidden/>
              </w:rPr>
              <w:fldChar w:fldCharType="begin"/>
            </w:r>
            <w:r w:rsidR="00FE534B">
              <w:rPr>
                <w:webHidden/>
              </w:rPr>
              <w:instrText xml:space="preserve"> PAGEREF _Toc114576344 \h </w:instrText>
            </w:r>
            <w:r w:rsidR="00FE534B">
              <w:rPr>
                <w:webHidden/>
              </w:rPr>
            </w:r>
            <w:r w:rsidR="00FE534B">
              <w:rPr>
                <w:webHidden/>
              </w:rPr>
              <w:fldChar w:fldCharType="separate"/>
            </w:r>
            <w:r w:rsidR="00FE534B">
              <w:rPr>
                <w:webHidden/>
              </w:rPr>
              <w:t>67</w:t>
            </w:r>
            <w:r w:rsidR="00FE534B">
              <w:rPr>
                <w:webHidden/>
              </w:rPr>
              <w:fldChar w:fldCharType="end"/>
            </w:r>
          </w:hyperlink>
        </w:p>
        <w:p w14:paraId="627CC8A2" w14:textId="2F4A9FF7" w:rsidR="00FE534B" w:rsidRDefault="00A438FF">
          <w:pPr>
            <w:pStyle w:val="TOC2"/>
            <w:rPr>
              <w:rFonts w:asciiTheme="minorHAnsi" w:eastAsiaTheme="minorEastAsia" w:hAnsiTheme="minorHAnsi"/>
              <w:szCs w:val="22"/>
              <w:lang w:eastAsia="en-AU"/>
            </w:rPr>
          </w:pPr>
          <w:hyperlink w:anchor="_Toc114576345" w:history="1">
            <w:r w:rsidR="00FE534B" w:rsidRPr="009E2F25">
              <w:rPr>
                <w:rStyle w:val="Hyperlink"/>
                <w:rFonts w:ascii="Calibri" w:hAnsi="Calibri" w:cs="Calibri"/>
              </w:rPr>
              <w:t>14.2</w:t>
            </w:r>
            <w:r w:rsidR="00FE534B">
              <w:rPr>
                <w:rFonts w:asciiTheme="minorHAnsi" w:eastAsiaTheme="minorEastAsia" w:hAnsiTheme="minorHAnsi"/>
                <w:szCs w:val="22"/>
                <w:lang w:eastAsia="en-AU"/>
              </w:rPr>
              <w:tab/>
            </w:r>
            <w:r w:rsidR="00FE534B" w:rsidRPr="009E2F25">
              <w:rPr>
                <w:rStyle w:val="Hyperlink"/>
                <w:rFonts w:ascii="Calibri" w:hAnsi="Calibri" w:cs="Calibri"/>
              </w:rPr>
              <w:t>Treasury</w:t>
            </w:r>
            <w:r w:rsidR="00FE534B">
              <w:rPr>
                <w:webHidden/>
              </w:rPr>
              <w:tab/>
            </w:r>
            <w:r w:rsidR="00FE534B">
              <w:rPr>
                <w:webHidden/>
              </w:rPr>
              <w:fldChar w:fldCharType="begin"/>
            </w:r>
            <w:r w:rsidR="00FE534B">
              <w:rPr>
                <w:webHidden/>
              </w:rPr>
              <w:instrText xml:space="preserve"> PAGEREF _Toc114576345 \h </w:instrText>
            </w:r>
            <w:r w:rsidR="00FE534B">
              <w:rPr>
                <w:webHidden/>
              </w:rPr>
            </w:r>
            <w:r w:rsidR="00FE534B">
              <w:rPr>
                <w:webHidden/>
              </w:rPr>
              <w:fldChar w:fldCharType="separate"/>
            </w:r>
            <w:r w:rsidR="00FE534B">
              <w:rPr>
                <w:webHidden/>
              </w:rPr>
              <w:t>68</w:t>
            </w:r>
            <w:r w:rsidR="00FE534B">
              <w:rPr>
                <w:webHidden/>
              </w:rPr>
              <w:fldChar w:fldCharType="end"/>
            </w:r>
          </w:hyperlink>
        </w:p>
        <w:p w14:paraId="6829D86D" w14:textId="5D2C994D" w:rsidR="00FE534B" w:rsidRDefault="00A438FF">
          <w:pPr>
            <w:pStyle w:val="TOC2"/>
            <w:rPr>
              <w:rFonts w:asciiTheme="minorHAnsi" w:eastAsiaTheme="minorEastAsia" w:hAnsiTheme="minorHAnsi"/>
              <w:szCs w:val="22"/>
              <w:lang w:eastAsia="en-AU"/>
            </w:rPr>
          </w:pPr>
          <w:hyperlink w:anchor="_Toc114576346" w:history="1">
            <w:r w:rsidR="00FE534B" w:rsidRPr="009E2F25">
              <w:rPr>
                <w:rStyle w:val="Hyperlink"/>
                <w:rFonts w:ascii="Calibri" w:hAnsi="Calibri" w:cs="Calibri"/>
              </w:rPr>
              <w:t>14.3</w:t>
            </w:r>
            <w:r w:rsidR="00FE534B">
              <w:rPr>
                <w:rFonts w:asciiTheme="minorHAnsi" w:eastAsiaTheme="minorEastAsia" w:hAnsiTheme="minorHAnsi"/>
                <w:szCs w:val="22"/>
                <w:lang w:eastAsia="en-AU"/>
              </w:rPr>
              <w:tab/>
            </w:r>
            <w:r w:rsidR="00FE534B" w:rsidRPr="009E2F25">
              <w:rPr>
                <w:rStyle w:val="Hyperlink"/>
                <w:rFonts w:ascii="Calibri" w:hAnsi="Calibri" w:cs="Calibri"/>
              </w:rPr>
              <w:t>CanPrint</w:t>
            </w:r>
            <w:r w:rsidR="00FE534B">
              <w:rPr>
                <w:webHidden/>
              </w:rPr>
              <w:tab/>
            </w:r>
            <w:r w:rsidR="00FE534B">
              <w:rPr>
                <w:webHidden/>
              </w:rPr>
              <w:fldChar w:fldCharType="begin"/>
            </w:r>
            <w:r w:rsidR="00FE534B">
              <w:rPr>
                <w:webHidden/>
              </w:rPr>
              <w:instrText xml:space="preserve"> PAGEREF _Toc114576346 \h </w:instrText>
            </w:r>
            <w:r w:rsidR="00FE534B">
              <w:rPr>
                <w:webHidden/>
              </w:rPr>
            </w:r>
            <w:r w:rsidR="00FE534B">
              <w:rPr>
                <w:webHidden/>
              </w:rPr>
              <w:fldChar w:fldCharType="separate"/>
            </w:r>
            <w:r w:rsidR="00FE534B">
              <w:rPr>
                <w:webHidden/>
              </w:rPr>
              <w:t>68</w:t>
            </w:r>
            <w:r w:rsidR="00FE534B">
              <w:rPr>
                <w:webHidden/>
              </w:rPr>
              <w:fldChar w:fldCharType="end"/>
            </w:r>
          </w:hyperlink>
        </w:p>
        <w:p w14:paraId="2860BBD2" w14:textId="7FE28FAB" w:rsidR="00FE534B" w:rsidRDefault="00A438FF">
          <w:pPr>
            <w:pStyle w:val="TOC2"/>
            <w:rPr>
              <w:rFonts w:asciiTheme="minorHAnsi" w:eastAsiaTheme="minorEastAsia" w:hAnsiTheme="minorHAnsi"/>
              <w:szCs w:val="22"/>
              <w:lang w:eastAsia="en-AU"/>
            </w:rPr>
          </w:pPr>
          <w:hyperlink w:anchor="_Toc114576347" w:history="1">
            <w:r w:rsidR="00FE534B" w:rsidRPr="009E2F25">
              <w:rPr>
                <w:rStyle w:val="Hyperlink"/>
                <w:rFonts w:ascii="Calibri" w:hAnsi="Calibri" w:cs="Calibri"/>
              </w:rPr>
              <w:t>14.4</w:t>
            </w:r>
            <w:r w:rsidR="00FE534B">
              <w:rPr>
                <w:rFonts w:asciiTheme="minorHAnsi" w:eastAsiaTheme="minorEastAsia" w:hAnsiTheme="minorHAnsi"/>
                <w:szCs w:val="22"/>
                <w:lang w:eastAsia="en-AU"/>
              </w:rPr>
              <w:tab/>
            </w:r>
            <w:r w:rsidR="00FE534B" w:rsidRPr="009E2F25">
              <w:rPr>
                <w:rStyle w:val="Hyperlink"/>
                <w:rFonts w:ascii="Calibri" w:hAnsi="Calibri" w:cs="Calibri"/>
              </w:rPr>
              <w:t>Senate Table Office</w:t>
            </w:r>
            <w:r w:rsidR="00FE534B">
              <w:rPr>
                <w:webHidden/>
              </w:rPr>
              <w:tab/>
            </w:r>
            <w:r w:rsidR="00FE534B">
              <w:rPr>
                <w:webHidden/>
              </w:rPr>
              <w:fldChar w:fldCharType="begin"/>
            </w:r>
            <w:r w:rsidR="00FE534B">
              <w:rPr>
                <w:webHidden/>
              </w:rPr>
              <w:instrText xml:space="preserve"> PAGEREF _Toc114576347 \h </w:instrText>
            </w:r>
            <w:r w:rsidR="00FE534B">
              <w:rPr>
                <w:webHidden/>
              </w:rPr>
            </w:r>
            <w:r w:rsidR="00FE534B">
              <w:rPr>
                <w:webHidden/>
              </w:rPr>
              <w:fldChar w:fldCharType="separate"/>
            </w:r>
            <w:r w:rsidR="00FE534B">
              <w:rPr>
                <w:webHidden/>
              </w:rPr>
              <w:t>68</w:t>
            </w:r>
            <w:r w:rsidR="00FE534B">
              <w:rPr>
                <w:webHidden/>
              </w:rPr>
              <w:fldChar w:fldCharType="end"/>
            </w:r>
          </w:hyperlink>
        </w:p>
        <w:p w14:paraId="2212222F" w14:textId="71DE5DF1" w:rsidR="00FE534B" w:rsidRDefault="00A438FF">
          <w:pPr>
            <w:pStyle w:val="TOC1"/>
            <w:rPr>
              <w:rFonts w:asciiTheme="minorHAnsi" w:eastAsiaTheme="minorEastAsia" w:hAnsiTheme="minorHAnsi"/>
              <w:sz w:val="22"/>
              <w:szCs w:val="22"/>
              <w:lang w:eastAsia="en-AU"/>
            </w:rPr>
          </w:pPr>
          <w:hyperlink w:anchor="_Toc114576348" w:history="1">
            <w:r w:rsidR="00FE534B" w:rsidRPr="009E2F25">
              <w:rPr>
                <w:rStyle w:val="Hyperlink"/>
                <w:rFonts w:ascii="Calibri" w:hAnsi="Calibri" w:cs="Calibri"/>
              </w:rPr>
              <w:t>15.</w:t>
            </w:r>
            <w:r w:rsidR="00FE534B">
              <w:rPr>
                <w:rFonts w:asciiTheme="minorHAnsi" w:eastAsiaTheme="minorEastAsia" w:hAnsiTheme="minorHAnsi"/>
                <w:sz w:val="22"/>
                <w:szCs w:val="22"/>
                <w:lang w:eastAsia="en-AU"/>
              </w:rPr>
              <w:tab/>
            </w:r>
            <w:r w:rsidR="00FE534B" w:rsidRPr="009E2F25">
              <w:rPr>
                <w:rStyle w:val="Hyperlink"/>
                <w:rFonts w:ascii="Calibri" w:hAnsi="Calibri" w:cs="Calibri"/>
              </w:rPr>
              <w:t>Glossary of terms</w:t>
            </w:r>
            <w:r w:rsidR="00FE534B">
              <w:rPr>
                <w:webHidden/>
              </w:rPr>
              <w:tab/>
            </w:r>
            <w:r w:rsidR="00FE534B">
              <w:rPr>
                <w:webHidden/>
              </w:rPr>
              <w:fldChar w:fldCharType="begin"/>
            </w:r>
            <w:r w:rsidR="00FE534B">
              <w:rPr>
                <w:webHidden/>
              </w:rPr>
              <w:instrText xml:space="preserve"> PAGEREF _Toc114576348 \h </w:instrText>
            </w:r>
            <w:r w:rsidR="00FE534B">
              <w:rPr>
                <w:webHidden/>
              </w:rPr>
            </w:r>
            <w:r w:rsidR="00FE534B">
              <w:rPr>
                <w:webHidden/>
              </w:rPr>
              <w:fldChar w:fldCharType="separate"/>
            </w:r>
            <w:r w:rsidR="00FE534B">
              <w:rPr>
                <w:webHidden/>
              </w:rPr>
              <w:t>69</w:t>
            </w:r>
            <w:r w:rsidR="00FE534B">
              <w:rPr>
                <w:webHidden/>
              </w:rPr>
              <w:fldChar w:fldCharType="end"/>
            </w:r>
          </w:hyperlink>
        </w:p>
        <w:p w14:paraId="707EDD9F" w14:textId="23C8202D" w:rsidR="00D81DFB" w:rsidRPr="00150391" w:rsidRDefault="006F618C" w:rsidP="003B52E6">
          <w:pPr>
            <w:rPr>
              <w:rFonts w:cs="Calibri"/>
            </w:rPr>
          </w:pPr>
          <w:r w:rsidRPr="00150391">
            <w:rPr>
              <w:rFonts w:cs="Calibri"/>
              <w:b/>
              <w:bCs/>
              <w:noProof/>
            </w:rPr>
            <w:fldChar w:fldCharType="end"/>
          </w:r>
        </w:p>
      </w:sdtContent>
    </w:sdt>
    <w:p w14:paraId="165BF6C7" w14:textId="77777777" w:rsidR="00E47F62" w:rsidRPr="00150391" w:rsidRDefault="00E47F62" w:rsidP="000A7DEC">
      <w:pPr>
        <w:rPr>
          <w:rFonts w:cs="Calibri"/>
          <w:sz w:val="44"/>
          <w:szCs w:val="44"/>
        </w:rPr>
        <w:sectPr w:rsidR="00E47F62" w:rsidRPr="00150391" w:rsidSect="006F618C">
          <w:headerReference w:type="even" r:id="rId16"/>
          <w:headerReference w:type="default" r:id="rId17"/>
          <w:footerReference w:type="default" r:id="rId18"/>
          <w:headerReference w:type="first" r:id="rId19"/>
          <w:pgSz w:w="11900" w:h="16840" w:code="9"/>
          <w:pgMar w:top="1418" w:right="843" w:bottom="1701" w:left="1418" w:header="510" w:footer="510" w:gutter="0"/>
          <w:cols w:space="708"/>
          <w:vAlign w:val="center"/>
          <w:docGrid w:linePitch="360"/>
        </w:sectPr>
      </w:pPr>
    </w:p>
    <w:p w14:paraId="6116E305" w14:textId="60436B75" w:rsidR="00A10310" w:rsidRPr="00150391" w:rsidRDefault="53BF0693" w:rsidP="00325AB0">
      <w:pPr>
        <w:pStyle w:val="Heading1Numbered"/>
        <w:spacing w:before="120"/>
        <w:rPr>
          <w:rFonts w:ascii="Calibri" w:hAnsi="Calibri" w:cs="Calibri"/>
        </w:rPr>
      </w:pPr>
      <w:bookmarkStart w:id="7" w:name="_Toc534389757"/>
      <w:bookmarkStart w:id="8" w:name="_Toc534389898"/>
      <w:bookmarkStart w:id="9" w:name="_Toc534406194"/>
      <w:bookmarkStart w:id="10" w:name="_Toc534441471"/>
      <w:bookmarkStart w:id="11" w:name="_Toc534442812"/>
      <w:bookmarkStart w:id="12" w:name="_Toc534442953"/>
      <w:bookmarkStart w:id="13" w:name="_Toc534443094"/>
      <w:bookmarkStart w:id="14" w:name="_Toc534458849"/>
      <w:bookmarkStart w:id="15" w:name="_Toc534459638"/>
      <w:bookmarkStart w:id="16" w:name="_Toc534519133"/>
      <w:bookmarkStart w:id="17" w:name="_Toc534520043"/>
      <w:bookmarkStart w:id="18" w:name="_Toc534520313"/>
      <w:bookmarkStart w:id="19" w:name="_Toc534527525"/>
      <w:bookmarkStart w:id="20" w:name="_Toc534528255"/>
      <w:bookmarkStart w:id="21" w:name="_Toc534803473"/>
      <w:bookmarkStart w:id="22" w:name="_Toc534814164"/>
      <w:bookmarkStart w:id="23" w:name="_Toc536108534"/>
      <w:bookmarkStart w:id="24" w:name="_Toc536802085"/>
      <w:bookmarkStart w:id="25" w:name="Purpose"/>
      <w:bookmarkStart w:id="26" w:name="_Toc63347665"/>
      <w:bookmarkStart w:id="27" w:name="_Toc114576247"/>
      <w:bookmarkStart w:id="28" w:name="_Ref329146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5"/>
      <w:bookmarkEnd w:id="4"/>
      <w:bookmarkEnd w:id="3"/>
      <w:bookmarkEnd w:id="2"/>
      <w:bookmarkEnd w:id="1"/>
      <w:r w:rsidRPr="00150391">
        <w:rPr>
          <w:rFonts w:ascii="Calibri" w:hAnsi="Calibri" w:cs="Calibri"/>
        </w:rPr>
        <w:t>Key Information</w:t>
      </w:r>
      <w:bookmarkEnd w:id="26"/>
      <w:bookmarkEnd w:id="27"/>
    </w:p>
    <w:p w14:paraId="333A84D9" w14:textId="192CCD8F" w:rsidR="00771BA6" w:rsidRPr="0073409A" w:rsidRDefault="00771BA6" w:rsidP="002B4935">
      <w:pPr>
        <w:pStyle w:val="Numbered"/>
        <w:rPr>
          <w:rFonts w:cs="Calibri"/>
        </w:rPr>
      </w:pPr>
      <w:r w:rsidRPr="0073409A">
        <w:rPr>
          <w:rFonts w:cs="Calibri"/>
        </w:rPr>
        <w:t>The PB Statement’s Excel and Word templates and covers (Attachments B, C and E) will be provided once they have been finalised.  When Attachments B, C and E are finalised, this EM will be reissued with these templates. The covers will be distributed separately to PB statement Portfolio Coordinators, as they cannot be uploaded onto CBMS, consistent with previous Budgets.</w:t>
      </w:r>
    </w:p>
    <w:p w14:paraId="226C16ED" w14:textId="32E91795" w:rsidR="00E32817" w:rsidRPr="00150391" w:rsidRDefault="00E32817" w:rsidP="00EE20DF">
      <w:pPr>
        <w:pStyle w:val="Numbered"/>
        <w:rPr>
          <w:rFonts w:cs="Calibri"/>
        </w:rPr>
      </w:pPr>
      <w:r w:rsidRPr="00150391">
        <w:rPr>
          <w:rFonts w:cs="Calibri"/>
        </w:rPr>
        <w:t>The primary purpose of the P</w:t>
      </w:r>
      <w:r w:rsidR="00A53D43" w:rsidRPr="00150391">
        <w:rPr>
          <w:rFonts w:cs="Calibri"/>
        </w:rPr>
        <w:t xml:space="preserve">ortfolio </w:t>
      </w:r>
      <w:r w:rsidRPr="00150391">
        <w:rPr>
          <w:rFonts w:cs="Calibri"/>
        </w:rPr>
        <w:t>B</w:t>
      </w:r>
      <w:r w:rsidR="00A53D43" w:rsidRPr="00150391">
        <w:rPr>
          <w:rFonts w:cs="Calibri"/>
        </w:rPr>
        <w:t>udget</w:t>
      </w:r>
      <w:r w:rsidRPr="00150391">
        <w:rPr>
          <w:rFonts w:cs="Calibri"/>
        </w:rPr>
        <w:t xml:space="preserve"> Statements</w:t>
      </w:r>
      <w:r w:rsidR="00A53D43" w:rsidRPr="00150391">
        <w:rPr>
          <w:rFonts w:cs="Calibri"/>
        </w:rPr>
        <w:t xml:space="preserve"> (PB Statements)</w:t>
      </w:r>
      <w:r w:rsidRPr="00150391">
        <w:rPr>
          <w:rFonts w:cs="Calibri"/>
        </w:rPr>
        <w:t xml:space="preserve"> is to aid the interpretation of A</w:t>
      </w:r>
      <w:r w:rsidRPr="00150391">
        <w:rPr>
          <w:rFonts w:cs="Calibri"/>
          <w:i/>
        </w:rPr>
        <w:t>ppropriation Bills (No. 1 and 2) 2022-2023</w:t>
      </w:r>
      <w:r w:rsidRPr="00150391">
        <w:rPr>
          <w:rFonts w:cs="Calibri"/>
        </w:rPr>
        <w:t xml:space="preserve"> and the </w:t>
      </w:r>
      <w:r w:rsidRPr="00150391">
        <w:rPr>
          <w:rFonts w:cs="Calibri"/>
          <w:i/>
        </w:rPr>
        <w:t>Appropriation (Parliamentary Departments) Bill (No. 1) 2022-2023</w:t>
      </w:r>
      <w:r w:rsidRPr="00150391">
        <w:rPr>
          <w:rFonts w:cs="Calibri"/>
        </w:rPr>
        <w:t xml:space="preserve"> (Appropriation Bills) as 'relevant documents' under the </w:t>
      </w:r>
      <w:r w:rsidRPr="00150391">
        <w:rPr>
          <w:rFonts w:cs="Calibri"/>
          <w:i/>
          <w:iCs/>
        </w:rPr>
        <w:t>Acts Interpretation Act 1901</w:t>
      </w:r>
      <w:r w:rsidRPr="00150391">
        <w:rPr>
          <w:rFonts w:cs="Calibri"/>
        </w:rPr>
        <w:t>.</w:t>
      </w:r>
    </w:p>
    <w:p w14:paraId="27B84E00" w14:textId="77777777" w:rsidR="00E32817" w:rsidRPr="00150391" w:rsidRDefault="00E32817" w:rsidP="00913329">
      <w:pPr>
        <w:pStyle w:val="Numbered"/>
        <w:rPr>
          <w:rFonts w:cs="Calibri"/>
        </w:rPr>
      </w:pPr>
      <w:r w:rsidRPr="00150391">
        <w:rPr>
          <w:rFonts w:cs="Calibri"/>
        </w:rPr>
        <w:t xml:space="preserve">PB Statements are an important means by which the </w:t>
      </w:r>
      <w:r w:rsidRPr="00150391">
        <w:rPr>
          <w:rFonts w:cs="Calibri"/>
          <w:i/>
          <w:iCs/>
        </w:rPr>
        <w:t>Executive Government</w:t>
      </w:r>
      <w:r w:rsidRPr="00150391">
        <w:rPr>
          <w:rFonts w:cs="Calibri"/>
        </w:rPr>
        <w:t xml:space="preserve"> (through Portfolio Ministers) is accountable to the Parliament. PB Statements inform Senators and Members of Parliament of changes in the proposed allocation of resources to entities within each portfolio.</w:t>
      </w:r>
    </w:p>
    <w:p w14:paraId="08F0C3CE" w14:textId="33A5FECF" w:rsidR="00767433" w:rsidRPr="00150391" w:rsidRDefault="00E32817" w:rsidP="00913329">
      <w:pPr>
        <w:pStyle w:val="Numbered"/>
        <w:numPr>
          <w:ilvl w:val="0"/>
          <w:numId w:val="0"/>
        </w:numPr>
        <w:ind w:left="360"/>
        <w:rPr>
          <w:rFonts w:cs="Calibri"/>
        </w:rPr>
      </w:pPr>
      <w:r w:rsidRPr="00150391">
        <w:rPr>
          <w:rFonts w:cs="Calibri"/>
        </w:rPr>
        <w:t>All Commonwealth entities in the General Government Sector (GGS) that receive annual appropriation funding (whether directly or through their portfolio department) must prepare a separate chapter in their PB Statements.</w:t>
      </w:r>
    </w:p>
    <w:p w14:paraId="44924149" w14:textId="44007972" w:rsidR="00564C0E" w:rsidRPr="009A4716" w:rsidRDefault="00005F3B" w:rsidP="00E32817">
      <w:pPr>
        <w:pStyle w:val="Numbered"/>
        <w:rPr>
          <w:rFonts w:cs="Calibri"/>
        </w:rPr>
      </w:pPr>
      <w:r w:rsidRPr="009A4716">
        <w:rPr>
          <w:rFonts w:cs="Calibri"/>
        </w:rPr>
        <w:t xml:space="preserve">The Government </w:t>
      </w:r>
      <w:r w:rsidR="00797162" w:rsidRPr="009A4716">
        <w:rPr>
          <w:rFonts w:cs="Calibri"/>
        </w:rPr>
        <w:t xml:space="preserve">announced that a </w:t>
      </w:r>
      <w:r w:rsidR="00F80EA6" w:rsidRPr="009A4716">
        <w:rPr>
          <w:rFonts w:cs="Calibri"/>
        </w:rPr>
        <w:t>B</w:t>
      </w:r>
      <w:r w:rsidR="00797162" w:rsidRPr="009A4716">
        <w:rPr>
          <w:rFonts w:cs="Calibri"/>
        </w:rPr>
        <w:t>udget will be presented on Tuesday, 25</w:t>
      </w:r>
      <w:r w:rsidR="005D285D" w:rsidRPr="009A4716">
        <w:rPr>
          <w:rFonts w:cs="Calibri"/>
        </w:rPr>
        <w:t> </w:t>
      </w:r>
      <w:r w:rsidR="00797162" w:rsidRPr="009A4716">
        <w:rPr>
          <w:rFonts w:cs="Calibri"/>
        </w:rPr>
        <w:t>October</w:t>
      </w:r>
      <w:r w:rsidR="005D285D" w:rsidRPr="009A4716">
        <w:rPr>
          <w:rFonts w:cs="Calibri"/>
        </w:rPr>
        <w:t> </w:t>
      </w:r>
      <w:r w:rsidR="00797162" w:rsidRPr="009A4716">
        <w:rPr>
          <w:rFonts w:cs="Calibri"/>
        </w:rPr>
        <w:t>2022.  In March</w:t>
      </w:r>
      <w:r w:rsidR="00F80EA6" w:rsidRPr="009A4716">
        <w:rPr>
          <w:rFonts w:cs="Calibri"/>
        </w:rPr>
        <w:t xml:space="preserve"> 2022</w:t>
      </w:r>
      <w:r w:rsidR="00797162" w:rsidRPr="009A4716">
        <w:rPr>
          <w:rFonts w:cs="Calibri"/>
        </w:rPr>
        <w:t xml:space="preserve"> </w:t>
      </w:r>
      <w:r w:rsidR="00797162" w:rsidRPr="009A4716">
        <w:rPr>
          <w:rFonts w:cs="Calibri"/>
          <w:i/>
        </w:rPr>
        <w:t>Supply Act</w:t>
      </w:r>
      <w:r w:rsidR="00311076">
        <w:rPr>
          <w:rFonts w:cs="Calibri"/>
          <w:i/>
        </w:rPr>
        <w:t>s</w:t>
      </w:r>
      <w:r w:rsidR="00797162" w:rsidRPr="009A4716">
        <w:rPr>
          <w:rFonts w:cs="Calibri"/>
          <w:i/>
        </w:rPr>
        <w:t xml:space="preserve"> (No.1</w:t>
      </w:r>
      <w:r w:rsidR="008D2653" w:rsidRPr="009A4716">
        <w:rPr>
          <w:rFonts w:cs="Calibri"/>
          <w:i/>
        </w:rPr>
        <w:t xml:space="preserve"> </w:t>
      </w:r>
      <w:r w:rsidR="00797162" w:rsidRPr="009A4716">
        <w:rPr>
          <w:rFonts w:cs="Calibri"/>
          <w:i/>
        </w:rPr>
        <w:t>and</w:t>
      </w:r>
      <w:r w:rsidR="008D2653" w:rsidRPr="009A4716">
        <w:rPr>
          <w:rFonts w:cs="Calibri"/>
          <w:i/>
        </w:rPr>
        <w:t xml:space="preserve"> </w:t>
      </w:r>
      <w:r w:rsidR="00797162" w:rsidRPr="009A4716">
        <w:rPr>
          <w:rFonts w:cs="Calibri"/>
          <w:i/>
        </w:rPr>
        <w:t>2) 2022-23</w:t>
      </w:r>
      <w:r w:rsidR="00797162" w:rsidRPr="009A4716">
        <w:rPr>
          <w:rFonts w:cs="Calibri"/>
        </w:rPr>
        <w:t xml:space="preserve"> were enacted to enable the ongoing business of government ahead of the passage of the </w:t>
      </w:r>
      <w:r w:rsidR="00DC3143" w:rsidRPr="009A4716">
        <w:rPr>
          <w:rFonts w:cs="Calibri"/>
          <w:i/>
        </w:rPr>
        <w:t>Appropriation</w:t>
      </w:r>
      <w:r w:rsidR="00797162" w:rsidRPr="009A4716">
        <w:rPr>
          <w:rFonts w:cs="Calibri"/>
          <w:i/>
        </w:rPr>
        <w:t xml:space="preserve"> Bills</w:t>
      </w:r>
      <w:r w:rsidR="00564C0E" w:rsidRPr="009A4716">
        <w:rPr>
          <w:rFonts w:cs="Calibri"/>
          <w:i/>
        </w:rPr>
        <w:t xml:space="preserve"> (No.1</w:t>
      </w:r>
      <w:r w:rsidR="00DC3143" w:rsidRPr="009A4716">
        <w:rPr>
          <w:rFonts w:cs="Calibri"/>
          <w:i/>
        </w:rPr>
        <w:t> </w:t>
      </w:r>
      <w:r w:rsidR="00564C0E" w:rsidRPr="009A4716">
        <w:rPr>
          <w:rFonts w:cs="Calibri"/>
          <w:i/>
        </w:rPr>
        <w:t>and 2) 2022-23</w:t>
      </w:r>
      <w:r w:rsidR="00797162" w:rsidRPr="009A4716">
        <w:rPr>
          <w:rFonts w:cs="Calibri"/>
        </w:rPr>
        <w:t>.</w:t>
      </w:r>
      <w:r w:rsidR="00F80EA6" w:rsidRPr="009A4716">
        <w:rPr>
          <w:rFonts w:cs="Calibri"/>
        </w:rPr>
        <w:t xml:space="preserve"> These Acts provide 12 </w:t>
      </w:r>
      <w:r w:rsidR="00150391" w:rsidRPr="009A4716">
        <w:rPr>
          <w:rFonts w:cs="Calibri"/>
        </w:rPr>
        <w:t>months’ worth</w:t>
      </w:r>
      <w:r w:rsidR="00F80EA6" w:rsidRPr="009A4716">
        <w:rPr>
          <w:rFonts w:cs="Calibri"/>
        </w:rPr>
        <w:t xml:space="preserve"> of funding for the 2022</w:t>
      </w:r>
      <w:r w:rsidR="00F80EA6" w:rsidRPr="009A4716">
        <w:rPr>
          <w:rFonts w:cs="Calibri"/>
        </w:rPr>
        <w:noBreakHyphen/>
        <w:t>23 financial year.</w:t>
      </w:r>
    </w:p>
    <w:p w14:paraId="5D65454A" w14:textId="0280D24B" w:rsidR="00564C0E" w:rsidRPr="009A4716" w:rsidRDefault="00DC3143" w:rsidP="00913329">
      <w:pPr>
        <w:pStyle w:val="Numbered"/>
        <w:numPr>
          <w:ilvl w:val="0"/>
          <w:numId w:val="0"/>
        </w:numPr>
        <w:ind w:left="360"/>
        <w:rPr>
          <w:rFonts w:cs="Calibri"/>
        </w:rPr>
      </w:pPr>
      <w:r w:rsidRPr="009A4716">
        <w:rPr>
          <w:rFonts w:cs="Calibri"/>
        </w:rPr>
        <w:t xml:space="preserve">There will also now be </w:t>
      </w:r>
      <w:r w:rsidR="006105A9">
        <w:rPr>
          <w:rFonts w:cs="Calibri"/>
        </w:rPr>
        <w:t>a</w:t>
      </w:r>
      <w:r w:rsidR="00797162" w:rsidRPr="002E70A1">
        <w:rPr>
          <w:rFonts w:cs="Calibri"/>
        </w:rPr>
        <w:t xml:space="preserve">dditional </w:t>
      </w:r>
      <w:r w:rsidR="00797162" w:rsidRPr="002E70A1">
        <w:rPr>
          <w:rFonts w:cs="Calibri"/>
          <w:i/>
        </w:rPr>
        <w:t xml:space="preserve">Supply Bills </w:t>
      </w:r>
      <w:r w:rsidRPr="002E70A1">
        <w:rPr>
          <w:rFonts w:cs="Calibri"/>
          <w:i/>
        </w:rPr>
        <w:t>(No.</w:t>
      </w:r>
      <w:r w:rsidR="006105A9" w:rsidRPr="002E70A1">
        <w:rPr>
          <w:rFonts w:cs="Calibri"/>
          <w:i/>
        </w:rPr>
        <w:t>3</w:t>
      </w:r>
      <w:r w:rsidRPr="002E70A1">
        <w:rPr>
          <w:rFonts w:cs="Calibri"/>
          <w:i/>
        </w:rPr>
        <w:t xml:space="preserve"> and </w:t>
      </w:r>
      <w:r w:rsidR="006105A9" w:rsidRPr="002E70A1">
        <w:rPr>
          <w:rFonts w:cs="Calibri"/>
          <w:i/>
        </w:rPr>
        <w:t>4</w:t>
      </w:r>
      <w:r w:rsidRPr="002E70A1">
        <w:rPr>
          <w:rFonts w:cs="Calibri"/>
          <w:i/>
        </w:rPr>
        <w:t xml:space="preserve">) </w:t>
      </w:r>
      <w:r w:rsidR="00564C0E" w:rsidRPr="002E70A1">
        <w:rPr>
          <w:rFonts w:cs="Calibri"/>
          <w:i/>
        </w:rPr>
        <w:t>202</w:t>
      </w:r>
      <w:r w:rsidR="00564C0E" w:rsidRPr="009A4716">
        <w:rPr>
          <w:rFonts w:cs="Calibri"/>
          <w:i/>
        </w:rPr>
        <w:t>2-23</w:t>
      </w:r>
      <w:r w:rsidR="00564C0E" w:rsidRPr="009A4716">
        <w:rPr>
          <w:rFonts w:cs="Calibri"/>
        </w:rPr>
        <w:t xml:space="preserve"> </w:t>
      </w:r>
      <w:r w:rsidRPr="009A4716">
        <w:rPr>
          <w:rFonts w:cs="Calibri"/>
        </w:rPr>
        <w:t xml:space="preserve">that </w:t>
      </w:r>
      <w:r w:rsidR="00797162" w:rsidRPr="009A4716">
        <w:rPr>
          <w:rFonts w:cs="Calibri"/>
        </w:rPr>
        <w:t>will be introduc</w:t>
      </w:r>
      <w:r w:rsidR="00F80EA6" w:rsidRPr="009A4716">
        <w:rPr>
          <w:rFonts w:cs="Calibri"/>
        </w:rPr>
        <w:t>ed</w:t>
      </w:r>
      <w:r w:rsidR="00797162" w:rsidRPr="009A4716">
        <w:rPr>
          <w:rFonts w:cs="Calibri"/>
        </w:rPr>
        <w:t xml:space="preserve"> </w:t>
      </w:r>
      <w:r w:rsidR="00F80EA6" w:rsidRPr="009A4716">
        <w:rPr>
          <w:rFonts w:cs="Calibri"/>
        </w:rPr>
        <w:t xml:space="preserve">at the same time as </w:t>
      </w:r>
      <w:r w:rsidR="00797162" w:rsidRPr="009A4716">
        <w:rPr>
          <w:rFonts w:cs="Calibri"/>
        </w:rPr>
        <w:t xml:space="preserve">the </w:t>
      </w:r>
      <w:r w:rsidR="0098710C" w:rsidRPr="009A4716">
        <w:rPr>
          <w:rFonts w:cs="Calibri"/>
          <w:i/>
        </w:rPr>
        <w:t xml:space="preserve">Appropriation </w:t>
      </w:r>
      <w:r w:rsidR="00797162" w:rsidRPr="009A4716">
        <w:rPr>
          <w:rFonts w:cs="Calibri"/>
          <w:i/>
        </w:rPr>
        <w:t>Bills</w:t>
      </w:r>
      <w:r w:rsidR="0098710C" w:rsidRPr="009A4716">
        <w:rPr>
          <w:rFonts w:cs="Calibri"/>
          <w:i/>
        </w:rPr>
        <w:t xml:space="preserve"> (No.1</w:t>
      </w:r>
      <w:r w:rsidR="008D2653" w:rsidRPr="009A4716">
        <w:rPr>
          <w:rFonts w:cs="Calibri"/>
          <w:i/>
        </w:rPr>
        <w:t xml:space="preserve"> </w:t>
      </w:r>
      <w:r w:rsidR="0098710C" w:rsidRPr="009A4716">
        <w:rPr>
          <w:rFonts w:cs="Calibri"/>
          <w:i/>
        </w:rPr>
        <w:t>and</w:t>
      </w:r>
      <w:r w:rsidR="008D2653" w:rsidRPr="009A4716">
        <w:rPr>
          <w:rFonts w:cs="Calibri"/>
          <w:i/>
        </w:rPr>
        <w:t xml:space="preserve"> </w:t>
      </w:r>
      <w:r w:rsidR="0098710C" w:rsidRPr="009A4716">
        <w:rPr>
          <w:rFonts w:cs="Calibri"/>
          <w:i/>
        </w:rPr>
        <w:t>2) 2022-23</w:t>
      </w:r>
      <w:r w:rsidRPr="009A4716">
        <w:rPr>
          <w:rFonts w:cs="Calibri"/>
        </w:rPr>
        <w:t xml:space="preserve"> </w:t>
      </w:r>
      <w:r w:rsidR="00F80EA6" w:rsidRPr="009A4716">
        <w:rPr>
          <w:rFonts w:cs="Calibri"/>
        </w:rPr>
        <w:t>for</w:t>
      </w:r>
      <w:r w:rsidRPr="009A4716">
        <w:rPr>
          <w:rFonts w:cs="Calibri"/>
        </w:rPr>
        <w:t xml:space="preserve"> the October 2022 Budget</w:t>
      </w:r>
      <w:r w:rsidR="00564C0E" w:rsidRPr="009A4716">
        <w:rPr>
          <w:rFonts w:cs="Calibri"/>
        </w:rPr>
        <w:t>.</w:t>
      </w:r>
      <w:r w:rsidR="00BB0775" w:rsidRPr="009A4716">
        <w:rPr>
          <w:rFonts w:cs="Calibri"/>
        </w:rPr>
        <w:t xml:space="preserve"> </w:t>
      </w:r>
      <w:r w:rsidR="00AD1A46" w:rsidRPr="009A4716">
        <w:rPr>
          <w:rFonts w:cs="Calibri"/>
        </w:rPr>
        <w:t xml:space="preserve">This </w:t>
      </w:r>
      <w:r w:rsidR="00BB0775" w:rsidRPr="009A4716">
        <w:rPr>
          <w:rFonts w:cs="Calibri"/>
        </w:rPr>
        <w:t>ensure</w:t>
      </w:r>
      <w:r w:rsidR="00AD1A46" w:rsidRPr="009A4716">
        <w:rPr>
          <w:rFonts w:cs="Calibri"/>
        </w:rPr>
        <w:t>s</w:t>
      </w:r>
      <w:r w:rsidR="00BB0775" w:rsidRPr="009A4716">
        <w:rPr>
          <w:rFonts w:cs="Calibri"/>
        </w:rPr>
        <w:t xml:space="preserve"> </w:t>
      </w:r>
      <w:r w:rsidR="0098710C" w:rsidRPr="009A4716">
        <w:rPr>
          <w:rFonts w:cs="Calibri"/>
        </w:rPr>
        <w:t xml:space="preserve">continuity </w:t>
      </w:r>
      <w:r w:rsidR="00F80EA6" w:rsidRPr="009A4716">
        <w:rPr>
          <w:rFonts w:cs="Calibri"/>
        </w:rPr>
        <w:t xml:space="preserve">of operations </w:t>
      </w:r>
      <w:r w:rsidR="00BB0775" w:rsidRPr="009A4716">
        <w:rPr>
          <w:rFonts w:cs="Calibri"/>
        </w:rPr>
        <w:t>ahead of the passage of the</w:t>
      </w:r>
      <w:r w:rsidR="0098710C" w:rsidRPr="009A4716">
        <w:rPr>
          <w:rFonts w:cs="Calibri"/>
        </w:rPr>
        <w:t xml:space="preserve"> </w:t>
      </w:r>
      <w:r w:rsidR="0098710C" w:rsidRPr="009A4716">
        <w:rPr>
          <w:rFonts w:cs="Calibri"/>
          <w:i/>
        </w:rPr>
        <w:t>Appropriation Bills (No.1 and 2) 2022-23</w:t>
      </w:r>
      <w:r w:rsidR="00BB0775" w:rsidRPr="009A4716">
        <w:rPr>
          <w:rFonts w:cs="Calibri"/>
        </w:rPr>
        <w:t>.</w:t>
      </w:r>
    </w:p>
    <w:p w14:paraId="15ABF56E" w14:textId="34E008E3" w:rsidR="00E95151" w:rsidRPr="009A4716" w:rsidRDefault="0098710C" w:rsidP="00913329">
      <w:pPr>
        <w:pStyle w:val="Numbered"/>
        <w:numPr>
          <w:ilvl w:val="0"/>
          <w:numId w:val="0"/>
        </w:numPr>
        <w:ind w:left="360"/>
        <w:rPr>
          <w:rFonts w:cs="Calibri"/>
        </w:rPr>
      </w:pPr>
      <w:r w:rsidRPr="009A4716">
        <w:rPr>
          <w:rFonts w:cs="Calibri"/>
        </w:rPr>
        <w:t>A</w:t>
      </w:r>
      <w:r w:rsidR="00797162" w:rsidRPr="009A4716">
        <w:rPr>
          <w:rFonts w:cs="Calibri"/>
        </w:rPr>
        <w:t xml:space="preserve">ll entities who are required to prepare </w:t>
      </w:r>
      <w:r w:rsidR="00A53D43" w:rsidRPr="009A4716">
        <w:rPr>
          <w:rFonts w:cs="Calibri"/>
        </w:rPr>
        <w:t xml:space="preserve">a </w:t>
      </w:r>
      <w:r w:rsidR="00005F3B" w:rsidRPr="009A4716">
        <w:rPr>
          <w:rFonts w:cs="Calibri"/>
        </w:rPr>
        <w:t>PB Statement</w:t>
      </w:r>
      <w:r w:rsidR="000619C0" w:rsidRPr="009A4716">
        <w:rPr>
          <w:rFonts w:cs="Calibri"/>
        </w:rPr>
        <w:t>s</w:t>
      </w:r>
      <w:r w:rsidR="00005F3B" w:rsidRPr="009A4716">
        <w:rPr>
          <w:rFonts w:cs="Calibri"/>
        </w:rPr>
        <w:t xml:space="preserve"> </w:t>
      </w:r>
      <w:r w:rsidR="00797162" w:rsidRPr="009A4716">
        <w:rPr>
          <w:rFonts w:cs="Calibri"/>
        </w:rPr>
        <w:t>chapter</w:t>
      </w:r>
      <w:r w:rsidR="00BB0775" w:rsidRPr="009A4716">
        <w:rPr>
          <w:rFonts w:cs="Calibri"/>
        </w:rPr>
        <w:t>,</w:t>
      </w:r>
      <w:r w:rsidR="00797162" w:rsidRPr="009A4716">
        <w:rPr>
          <w:rFonts w:cs="Calibri"/>
        </w:rPr>
        <w:t xml:space="preserve"> will </w:t>
      </w:r>
      <w:r w:rsidR="00BB0775" w:rsidRPr="009A4716">
        <w:rPr>
          <w:rFonts w:cs="Calibri"/>
        </w:rPr>
        <w:t xml:space="preserve">need to </w:t>
      </w:r>
      <w:r w:rsidR="00DD4138" w:rsidRPr="009A4716">
        <w:rPr>
          <w:rFonts w:cs="Calibri"/>
        </w:rPr>
        <w:t>prepare (</w:t>
      </w:r>
      <w:r w:rsidR="00797162" w:rsidRPr="009A4716">
        <w:rPr>
          <w:rFonts w:cs="Calibri"/>
        </w:rPr>
        <w:t>re</w:t>
      </w:r>
      <w:r w:rsidR="00BB0775" w:rsidRPr="009A4716">
        <w:rPr>
          <w:rFonts w:cs="Calibri"/>
        </w:rPr>
        <w:t>print</w:t>
      </w:r>
      <w:r w:rsidR="00DD4138" w:rsidRPr="009A4716">
        <w:rPr>
          <w:rFonts w:cs="Calibri"/>
        </w:rPr>
        <w:t>)</w:t>
      </w:r>
      <w:r w:rsidR="00BB0775" w:rsidRPr="009A4716">
        <w:rPr>
          <w:rFonts w:cs="Calibri"/>
        </w:rPr>
        <w:t xml:space="preserve"> </w:t>
      </w:r>
      <w:r w:rsidR="00797162" w:rsidRPr="009A4716">
        <w:rPr>
          <w:rFonts w:cs="Calibri"/>
        </w:rPr>
        <w:t xml:space="preserve">their chapter for the October </w:t>
      </w:r>
      <w:r w:rsidR="00AD1A46" w:rsidRPr="009A4716">
        <w:rPr>
          <w:rFonts w:cs="Calibri"/>
        </w:rPr>
        <w:t>2022</w:t>
      </w:r>
      <w:r w:rsidR="00A53D43" w:rsidRPr="009A4716">
        <w:rPr>
          <w:rFonts w:cs="Calibri"/>
        </w:rPr>
        <w:t>-23</w:t>
      </w:r>
      <w:r w:rsidR="00AD1A46" w:rsidRPr="009A4716">
        <w:rPr>
          <w:rFonts w:cs="Calibri"/>
        </w:rPr>
        <w:t xml:space="preserve"> </w:t>
      </w:r>
      <w:r w:rsidR="00BB0775" w:rsidRPr="009A4716">
        <w:rPr>
          <w:rFonts w:cs="Calibri"/>
        </w:rPr>
        <w:t>Bu</w:t>
      </w:r>
      <w:r w:rsidR="00564C0E" w:rsidRPr="009A4716">
        <w:rPr>
          <w:rFonts w:cs="Calibri"/>
        </w:rPr>
        <w:t>dge</w:t>
      </w:r>
      <w:r w:rsidR="00A834F4" w:rsidRPr="009A4716">
        <w:rPr>
          <w:rFonts w:cs="Calibri"/>
        </w:rPr>
        <w:t>t</w:t>
      </w:r>
      <w:r w:rsidR="00F80EA6" w:rsidRPr="009A4716">
        <w:rPr>
          <w:rFonts w:cs="Calibri"/>
        </w:rPr>
        <w:t xml:space="preserve"> </w:t>
      </w:r>
      <w:r w:rsidR="00564C0E" w:rsidRPr="009A4716">
        <w:rPr>
          <w:rFonts w:cs="Calibri"/>
        </w:rPr>
        <w:t>to support</w:t>
      </w:r>
      <w:r w:rsidR="0011020C" w:rsidRPr="009A4716">
        <w:rPr>
          <w:rFonts w:cs="Calibri"/>
        </w:rPr>
        <w:t xml:space="preserve"> the passage of the</w:t>
      </w:r>
      <w:r w:rsidR="00BB0775" w:rsidRPr="009A4716">
        <w:rPr>
          <w:rFonts w:cs="Calibri"/>
        </w:rPr>
        <w:t>:</w:t>
      </w:r>
    </w:p>
    <w:p w14:paraId="6D957CEC" w14:textId="3F2D23F1" w:rsidR="00BB0775" w:rsidRPr="009A4716" w:rsidRDefault="00B7120C">
      <w:pPr>
        <w:pStyle w:val="LetteredList"/>
        <w:ind w:left="714" w:hanging="357"/>
        <w:rPr>
          <w:rFonts w:cs="Calibri"/>
        </w:rPr>
      </w:pPr>
      <w:r w:rsidRPr="009A4716">
        <w:rPr>
          <w:rFonts w:cs="Calibri"/>
        </w:rPr>
        <w:t>Supply Acts (No.1</w:t>
      </w:r>
      <w:r w:rsidR="008D2653" w:rsidRPr="009A4716">
        <w:rPr>
          <w:rFonts w:cs="Calibri"/>
        </w:rPr>
        <w:t xml:space="preserve"> </w:t>
      </w:r>
      <w:r w:rsidRPr="009A4716">
        <w:rPr>
          <w:rFonts w:cs="Calibri"/>
        </w:rPr>
        <w:t>and</w:t>
      </w:r>
      <w:r w:rsidR="008D2653" w:rsidRPr="009A4716">
        <w:rPr>
          <w:rFonts w:cs="Calibri"/>
        </w:rPr>
        <w:t xml:space="preserve"> </w:t>
      </w:r>
      <w:r w:rsidRPr="009A4716">
        <w:rPr>
          <w:rFonts w:cs="Calibri"/>
        </w:rPr>
        <w:t>2)</w:t>
      </w:r>
      <w:r w:rsidR="00564C0E" w:rsidRPr="009A4716">
        <w:rPr>
          <w:rFonts w:cs="Calibri"/>
        </w:rPr>
        <w:t xml:space="preserve"> 2022-23</w:t>
      </w:r>
    </w:p>
    <w:p w14:paraId="2DCB0751" w14:textId="6F98A0F7" w:rsidR="00B7120C" w:rsidRPr="009A4716" w:rsidRDefault="00B7120C">
      <w:pPr>
        <w:pStyle w:val="LetteredList"/>
        <w:ind w:left="714" w:hanging="357"/>
        <w:rPr>
          <w:rFonts w:cs="Calibri"/>
        </w:rPr>
      </w:pPr>
      <w:r w:rsidRPr="009A4716">
        <w:rPr>
          <w:rFonts w:cs="Calibri"/>
        </w:rPr>
        <w:t>Supply Bills (No.</w:t>
      </w:r>
      <w:r w:rsidR="006105A9">
        <w:rPr>
          <w:rFonts w:cs="Calibri"/>
        </w:rPr>
        <w:t>3</w:t>
      </w:r>
      <w:r w:rsidR="008D2653" w:rsidRPr="009A4716">
        <w:rPr>
          <w:rFonts w:cs="Calibri"/>
        </w:rPr>
        <w:t xml:space="preserve"> and </w:t>
      </w:r>
      <w:r w:rsidR="006105A9">
        <w:rPr>
          <w:rFonts w:cs="Calibri"/>
        </w:rPr>
        <w:t>4</w:t>
      </w:r>
      <w:r w:rsidRPr="009A4716">
        <w:rPr>
          <w:rFonts w:cs="Calibri"/>
        </w:rPr>
        <w:t>)</w:t>
      </w:r>
      <w:r w:rsidR="00564C0E" w:rsidRPr="009A4716">
        <w:rPr>
          <w:rFonts w:cs="Calibri"/>
        </w:rPr>
        <w:t xml:space="preserve"> 2022-23</w:t>
      </w:r>
    </w:p>
    <w:p w14:paraId="2B2FB7C8" w14:textId="545D6B62" w:rsidR="00B7120C" w:rsidRPr="009A4716" w:rsidRDefault="0098710C">
      <w:pPr>
        <w:pStyle w:val="LetteredList"/>
        <w:ind w:left="714" w:hanging="357"/>
        <w:rPr>
          <w:rFonts w:cs="Calibri"/>
        </w:rPr>
      </w:pPr>
      <w:r w:rsidRPr="009A4716">
        <w:rPr>
          <w:rFonts w:cs="Calibri"/>
        </w:rPr>
        <w:t>Appropriation</w:t>
      </w:r>
      <w:r w:rsidR="00B7120C" w:rsidRPr="009A4716">
        <w:rPr>
          <w:rFonts w:cs="Calibri"/>
        </w:rPr>
        <w:t xml:space="preserve"> Bills (No.1</w:t>
      </w:r>
      <w:r w:rsidR="008D2653" w:rsidRPr="009A4716">
        <w:rPr>
          <w:rFonts w:cs="Calibri"/>
        </w:rPr>
        <w:t xml:space="preserve"> </w:t>
      </w:r>
      <w:r w:rsidR="00B7120C" w:rsidRPr="009A4716">
        <w:rPr>
          <w:rFonts w:cs="Calibri"/>
        </w:rPr>
        <w:t>and 2)</w:t>
      </w:r>
      <w:r w:rsidR="00564C0E" w:rsidRPr="009A4716">
        <w:rPr>
          <w:rFonts w:cs="Calibri"/>
        </w:rPr>
        <w:t xml:space="preserve"> 2022-23</w:t>
      </w:r>
    </w:p>
    <w:p w14:paraId="347FA7BD" w14:textId="179B6ADB" w:rsidR="00564C0E" w:rsidRPr="009A4716" w:rsidRDefault="00564C0E" w:rsidP="00564C0E">
      <w:pPr>
        <w:pStyle w:val="LetteredList"/>
        <w:ind w:left="714" w:hanging="357"/>
        <w:rPr>
          <w:rFonts w:cs="Calibri"/>
        </w:rPr>
      </w:pPr>
      <w:r w:rsidRPr="009A4716">
        <w:rPr>
          <w:rFonts w:cs="Calibri"/>
        </w:rPr>
        <w:t>Supply (Parliamentary) Acts (No.1</w:t>
      </w:r>
      <w:r w:rsidR="008D2653" w:rsidRPr="009A4716">
        <w:rPr>
          <w:rFonts w:cs="Calibri"/>
        </w:rPr>
        <w:t xml:space="preserve"> </w:t>
      </w:r>
      <w:r w:rsidRPr="009A4716">
        <w:rPr>
          <w:rFonts w:cs="Calibri"/>
        </w:rPr>
        <w:t>and</w:t>
      </w:r>
      <w:r w:rsidR="008D2653" w:rsidRPr="009A4716">
        <w:rPr>
          <w:rFonts w:cs="Calibri"/>
        </w:rPr>
        <w:t xml:space="preserve"> </w:t>
      </w:r>
      <w:r w:rsidRPr="009A4716">
        <w:rPr>
          <w:rFonts w:cs="Calibri"/>
        </w:rPr>
        <w:t>2) 2022-23</w:t>
      </w:r>
    </w:p>
    <w:p w14:paraId="2052C0B9" w14:textId="0842FCCE" w:rsidR="00564C0E" w:rsidRPr="009A4716" w:rsidRDefault="00564C0E" w:rsidP="00564C0E">
      <w:pPr>
        <w:pStyle w:val="LetteredList"/>
        <w:ind w:left="714" w:hanging="357"/>
        <w:rPr>
          <w:rFonts w:cs="Calibri"/>
        </w:rPr>
      </w:pPr>
      <w:r w:rsidRPr="009A4716">
        <w:rPr>
          <w:rFonts w:cs="Calibri"/>
        </w:rPr>
        <w:t>Supply (Parliamentary) Bills (No.</w:t>
      </w:r>
      <w:r w:rsidR="00C11E6E">
        <w:rPr>
          <w:rFonts w:cs="Calibri"/>
        </w:rPr>
        <w:t>3</w:t>
      </w:r>
      <w:r w:rsidR="008D2653" w:rsidRPr="009A4716">
        <w:rPr>
          <w:rFonts w:cs="Calibri"/>
        </w:rPr>
        <w:t xml:space="preserve"> </w:t>
      </w:r>
      <w:r w:rsidRPr="009A4716">
        <w:rPr>
          <w:rFonts w:cs="Calibri"/>
        </w:rPr>
        <w:t>and</w:t>
      </w:r>
      <w:r w:rsidR="008D2653" w:rsidRPr="009A4716">
        <w:rPr>
          <w:rFonts w:cs="Calibri"/>
        </w:rPr>
        <w:t xml:space="preserve"> </w:t>
      </w:r>
      <w:r w:rsidR="00C11E6E">
        <w:rPr>
          <w:rFonts w:cs="Calibri"/>
        </w:rPr>
        <w:t>4</w:t>
      </w:r>
      <w:r w:rsidRPr="009A4716">
        <w:rPr>
          <w:rFonts w:cs="Calibri"/>
        </w:rPr>
        <w:t>) 2022-23</w:t>
      </w:r>
      <w:r w:rsidR="00AD1A46" w:rsidRPr="009A4716">
        <w:rPr>
          <w:rFonts w:cs="Calibri"/>
        </w:rPr>
        <w:t xml:space="preserve"> and</w:t>
      </w:r>
    </w:p>
    <w:p w14:paraId="35ABB8E2" w14:textId="19C4B7F9" w:rsidR="00564C0E" w:rsidRPr="009A4716" w:rsidRDefault="0098710C">
      <w:pPr>
        <w:pStyle w:val="LetteredList"/>
        <w:ind w:left="714" w:hanging="357"/>
        <w:rPr>
          <w:rFonts w:cs="Calibri"/>
        </w:rPr>
      </w:pPr>
      <w:r w:rsidRPr="009A4716">
        <w:rPr>
          <w:rFonts w:cs="Calibri"/>
        </w:rPr>
        <w:t xml:space="preserve">Appropriation (Parliamentary) </w:t>
      </w:r>
      <w:r w:rsidR="00564C0E" w:rsidRPr="009A4716">
        <w:rPr>
          <w:rFonts w:cs="Calibri"/>
        </w:rPr>
        <w:t>Bills (No.1</w:t>
      </w:r>
      <w:r w:rsidR="008D2653" w:rsidRPr="009A4716">
        <w:rPr>
          <w:rFonts w:cs="Calibri"/>
        </w:rPr>
        <w:t xml:space="preserve"> </w:t>
      </w:r>
      <w:r w:rsidR="00564C0E" w:rsidRPr="009A4716">
        <w:rPr>
          <w:rFonts w:cs="Calibri"/>
        </w:rPr>
        <w:t>and</w:t>
      </w:r>
      <w:r w:rsidR="008D2653" w:rsidRPr="009A4716">
        <w:rPr>
          <w:rFonts w:cs="Calibri"/>
        </w:rPr>
        <w:t xml:space="preserve"> </w:t>
      </w:r>
      <w:r w:rsidR="00564C0E" w:rsidRPr="009A4716">
        <w:rPr>
          <w:rFonts w:cs="Calibri"/>
        </w:rPr>
        <w:t>2) 2022-23</w:t>
      </w:r>
      <w:r w:rsidR="00005F3B" w:rsidRPr="009A4716">
        <w:rPr>
          <w:rFonts w:cs="Calibri"/>
        </w:rPr>
        <w:t>.</w:t>
      </w:r>
    </w:p>
    <w:p w14:paraId="1029A9CE" w14:textId="0CE92CB4" w:rsidR="00AD1A46" w:rsidRPr="009A4716" w:rsidRDefault="00771BA6">
      <w:pPr>
        <w:pStyle w:val="LetteredList"/>
        <w:numPr>
          <w:ilvl w:val="0"/>
          <w:numId w:val="0"/>
        </w:numPr>
        <w:ind w:left="357"/>
        <w:rPr>
          <w:rFonts w:cs="Calibri"/>
        </w:rPr>
      </w:pPr>
      <w:r w:rsidRPr="009A4716">
        <w:rPr>
          <w:rFonts w:cs="Calibri"/>
        </w:rPr>
        <w:t xml:space="preserve">For information concerning the sign off requirements for the bills listed above please refer to </w:t>
      </w:r>
      <w:r w:rsidRPr="009A4716">
        <w:rPr>
          <w:rFonts w:cs="Calibri"/>
          <w:i/>
        </w:rPr>
        <w:t>EM</w:t>
      </w:r>
      <w:r w:rsidR="00433742">
        <w:rPr>
          <w:rFonts w:cs="Calibri"/>
          <w:i/>
        </w:rPr>
        <w:t> </w:t>
      </w:r>
      <w:r w:rsidRPr="009A4716">
        <w:rPr>
          <w:rFonts w:cs="Calibri"/>
          <w:i/>
        </w:rPr>
        <w:t>2022-33 October 2022-23 Budget Annual Appropriations Bills and Budget Paper No.4 Sign-off Requirements</w:t>
      </w:r>
      <w:r w:rsidRPr="009A4716">
        <w:rPr>
          <w:rFonts w:cs="Calibri"/>
        </w:rPr>
        <w:t>.</w:t>
      </w:r>
    </w:p>
    <w:p w14:paraId="46100F88" w14:textId="762D5B8F" w:rsidR="0079164B" w:rsidRPr="00150391" w:rsidRDefault="53BF0693">
      <w:pPr>
        <w:pStyle w:val="Numbered"/>
        <w:rPr>
          <w:rFonts w:cs="Calibri"/>
        </w:rPr>
      </w:pPr>
      <w:r w:rsidRPr="00150391">
        <w:rPr>
          <w:rFonts w:cs="Calibri"/>
        </w:rPr>
        <w:t xml:space="preserve">Entities </w:t>
      </w:r>
      <w:r w:rsidRPr="00150391">
        <w:rPr>
          <w:rFonts w:cs="Calibri"/>
          <w:b/>
        </w:rPr>
        <w:t>must</w:t>
      </w:r>
      <w:r w:rsidRPr="00150391">
        <w:rPr>
          <w:rFonts w:cs="Calibri"/>
        </w:rPr>
        <w:t xml:space="preserve"> use the templates at </w:t>
      </w:r>
      <w:r w:rsidRPr="00150391">
        <w:rPr>
          <w:rFonts w:cs="Calibri"/>
          <w:u w:val="single"/>
        </w:rPr>
        <w:t>Attachments B</w:t>
      </w:r>
      <w:r w:rsidRPr="00150391">
        <w:rPr>
          <w:rFonts w:cs="Calibri"/>
        </w:rPr>
        <w:t xml:space="preserve">, </w:t>
      </w:r>
      <w:r w:rsidRPr="00150391">
        <w:rPr>
          <w:rFonts w:cs="Calibri"/>
          <w:u w:val="single"/>
        </w:rPr>
        <w:t>C</w:t>
      </w:r>
      <w:r w:rsidRPr="00150391">
        <w:rPr>
          <w:rFonts w:cs="Calibri"/>
        </w:rPr>
        <w:t xml:space="preserve"> and </w:t>
      </w:r>
      <w:r w:rsidR="00DE5324" w:rsidRPr="00150391">
        <w:rPr>
          <w:rFonts w:cs="Calibri"/>
          <w:u w:val="single"/>
        </w:rPr>
        <w:t>E</w:t>
      </w:r>
      <w:r w:rsidR="00DE5324" w:rsidRPr="00150391">
        <w:rPr>
          <w:rFonts w:cs="Calibri"/>
        </w:rPr>
        <w:t xml:space="preserve"> </w:t>
      </w:r>
      <w:r w:rsidRPr="00150391">
        <w:rPr>
          <w:rFonts w:cs="Calibri"/>
        </w:rPr>
        <w:t>to prepare their Portfolio Budget Statements (PB Statements), which are consistent with the presentation of the Budget Papers (BP</w:t>
      </w:r>
      <w:r w:rsidR="00A834F4" w:rsidRPr="00150391">
        <w:rPr>
          <w:rFonts w:cs="Calibri"/>
        </w:rPr>
        <w:t>s</w:t>
      </w:r>
      <w:r w:rsidRPr="00150391">
        <w:rPr>
          <w:rFonts w:cs="Calibri"/>
        </w:rPr>
        <w:t>).</w:t>
      </w:r>
    </w:p>
    <w:p w14:paraId="7130B0A4" w14:textId="2E505063" w:rsidR="006C22B7" w:rsidRPr="00150391" w:rsidRDefault="006C79AA" w:rsidP="53BF0693">
      <w:pPr>
        <w:pStyle w:val="Numbered"/>
        <w:rPr>
          <w:rFonts w:cs="Calibri"/>
        </w:rPr>
      </w:pPr>
      <w:r w:rsidRPr="00150391">
        <w:rPr>
          <w:rFonts w:cs="Calibri"/>
        </w:rPr>
        <w:t>The Department of the Treasury (</w:t>
      </w:r>
      <w:r w:rsidR="006C22B7" w:rsidRPr="00150391">
        <w:rPr>
          <w:rFonts w:cs="Calibri"/>
        </w:rPr>
        <w:t>Treasury</w:t>
      </w:r>
      <w:r w:rsidRPr="00150391">
        <w:rPr>
          <w:rFonts w:cs="Calibri"/>
        </w:rPr>
        <w:t>)</w:t>
      </w:r>
      <w:r w:rsidR="006C22B7" w:rsidRPr="00150391">
        <w:rPr>
          <w:rFonts w:cs="Calibri"/>
        </w:rPr>
        <w:t xml:space="preserve"> will provide separate advice to </w:t>
      </w:r>
      <w:r w:rsidR="00396887" w:rsidRPr="00150391">
        <w:rPr>
          <w:rFonts w:cs="Calibri"/>
        </w:rPr>
        <w:t>portfolio department</w:t>
      </w:r>
      <w:r w:rsidR="006C22B7" w:rsidRPr="00150391">
        <w:rPr>
          <w:rFonts w:cs="Calibri"/>
        </w:rPr>
        <w:t xml:space="preserve">s </w:t>
      </w:r>
      <w:r w:rsidR="00C31DF0" w:rsidRPr="00150391">
        <w:rPr>
          <w:rFonts w:cs="Calibri"/>
        </w:rPr>
        <w:t xml:space="preserve">on the format of the </w:t>
      </w:r>
      <w:r w:rsidR="00945487" w:rsidRPr="00150391">
        <w:rPr>
          <w:rFonts w:cs="Calibri"/>
        </w:rPr>
        <w:t>g</w:t>
      </w:r>
      <w:r w:rsidR="00C31DF0" w:rsidRPr="00150391">
        <w:rPr>
          <w:rFonts w:cs="Calibri"/>
        </w:rPr>
        <w:t xml:space="preserve">overnment’s media and stakeholder Budget lockups, </w:t>
      </w:r>
      <w:r w:rsidR="006C22B7" w:rsidRPr="00150391">
        <w:rPr>
          <w:rFonts w:cs="Calibri"/>
        </w:rPr>
        <w:t xml:space="preserve">to supplement the advice provided in section </w:t>
      </w:r>
      <w:r w:rsidR="006C22B7" w:rsidRPr="002B4935">
        <w:rPr>
          <w:rStyle w:val="CrossReferenceChar"/>
          <w:rFonts w:cs="Calibri"/>
          <w:color w:val="0070C0"/>
        </w:rPr>
        <w:fldChar w:fldCharType="begin"/>
      </w:r>
      <w:r w:rsidR="006C22B7" w:rsidRPr="002B4935">
        <w:rPr>
          <w:rStyle w:val="CrossReferenceChar"/>
          <w:rFonts w:cs="Calibri"/>
          <w:color w:val="0070C0"/>
        </w:rPr>
        <w:instrText xml:space="preserve"> REF _Ref63325980 \w \h </w:instrText>
      </w:r>
      <w:r w:rsidR="002914FA" w:rsidRPr="002B4935">
        <w:rPr>
          <w:rStyle w:val="CrossReferenceChar"/>
          <w:rFonts w:cs="Calibri"/>
          <w:color w:val="0070C0"/>
        </w:rPr>
        <w:instrText xml:space="preserve"> \* MERGEFORMAT </w:instrText>
      </w:r>
      <w:r w:rsidR="006C22B7" w:rsidRPr="002B4935">
        <w:rPr>
          <w:rStyle w:val="CrossReferenceChar"/>
          <w:rFonts w:cs="Calibri"/>
          <w:color w:val="0070C0"/>
        </w:rPr>
      </w:r>
      <w:r w:rsidR="006C22B7" w:rsidRPr="002B4935">
        <w:rPr>
          <w:rStyle w:val="CrossReferenceChar"/>
          <w:rFonts w:cs="Calibri"/>
          <w:color w:val="0070C0"/>
        </w:rPr>
        <w:fldChar w:fldCharType="separate"/>
      </w:r>
      <w:r w:rsidR="0073409A">
        <w:rPr>
          <w:rStyle w:val="CrossReferenceChar"/>
          <w:rFonts w:cs="Calibri"/>
          <w:color w:val="0070C0"/>
        </w:rPr>
        <w:t>6.6</w:t>
      </w:r>
      <w:r w:rsidR="006C22B7" w:rsidRPr="002B4935">
        <w:rPr>
          <w:rStyle w:val="CrossReferenceChar"/>
          <w:rFonts w:cs="Calibri"/>
          <w:color w:val="0070C0"/>
        </w:rPr>
        <w:fldChar w:fldCharType="end"/>
      </w:r>
      <w:r w:rsidR="006C22B7" w:rsidRPr="002B4935">
        <w:rPr>
          <w:rStyle w:val="CrossReferenceChar"/>
          <w:rFonts w:cs="Calibri"/>
          <w:color w:val="0070C0"/>
        </w:rPr>
        <w:t xml:space="preserve"> </w:t>
      </w:r>
      <w:r w:rsidR="006C22B7" w:rsidRPr="002B4935">
        <w:rPr>
          <w:rStyle w:val="CrossReferenceChar"/>
          <w:rFonts w:cs="Calibri"/>
          <w:color w:val="0070C0"/>
        </w:rPr>
        <w:fldChar w:fldCharType="begin"/>
      </w:r>
      <w:r w:rsidR="006C22B7" w:rsidRPr="002B4935">
        <w:rPr>
          <w:rStyle w:val="CrossReferenceChar"/>
          <w:rFonts w:cs="Calibri"/>
          <w:color w:val="0070C0"/>
        </w:rPr>
        <w:instrText xml:space="preserve"> REF _Ref63325985 \h </w:instrText>
      </w:r>
      <w:r w:rsidR="00BE026B" w:rsidRPr="002B4935">
        <w:rPr>
          <w:rStyle w:val="CrossReferenceChar"/>
          <w:rFonts w:cs="Calibri"/>
          <w:color w:val="0070C0"/>
        </w:rPr>
        <w:instrText xml:space="preserve"> \* MERGEFORMAT </w:instrText>
      </w:r>
      <w:r w:rsidR="006C22B7" w:rsidRPr="002B4935">
        <w:rPr>
          <w:rStyle w:val="CrossReferenceChar"/>
          <w:rFonts w:cs="Calibri"/>
          <w:color w:val="0070C0"/>
        </w:rPr>
      </w:r>
      <w:r w:rsidR="006C22B7" w:rsidRPr="002B4935">
        <w:rPr>
          <w:rStyle w:val="CrossReferenceChar"/>
          <w:rFonts w:cs="Calibri"/>
          <w:color w:val="0070C0"/>
        </w:rPr>
        <w:fldChar w:fldCharType="separate"/>
      </w:r>
      <w:r w:rsidR="0073409A" w:rsidRPr="0073409A">
        <w:rPr>
          <w:rStyle w:val="CrossReferenceChar"/>
          <w:color w:val="0070C0"/>
        </w:rPr>
        <w:t>Number of books</w:t>
      </w:r>
      <w:r w:rsidR="006C22B7" w:rsidRPr="002B4935">
        <w:rPr>
          <w:rStyle w:val="CrossReferenceChar"/>
          <w:rFonts w:cs="Calibri"/>
          <w:color w:val="0070C0"/>
        </w:rPr>
        <w:fldChar w:fldCharType="end"/>
      </w:r>
      <w:r w:rsidR="002C09BA" w:rsidRPr="00150391">
        <w:rPr>
          <w:rFonts w:cs="Calibri"/>
        </w:rPr>
        <w:t xml:space="preserve">. </w:t>
      </w:r>
    </w:p>
    <w:p w14:paraId="73F5746B" w14:textId="01456076" w:rsidR="006C22B7" w:rsidRPr="00150391" w:rsidRDefault="53BF0693" w:rsidP="53BF0693">
      <w:pPr>
        <w:pStyle w:val="Numbered"/>
        <w:numPr>
          <w:ilvl w:val="0"/>
          <w:numId w:val="0"/>
        </w:numPr>
        <w:ind w:left="360"/>
        <w:rPr>
          <w:rFonts w:cs="Calibri"/>
        </w:rPr>
      </w:pPr>
      <w:r w:rsidRPr="00150391">
        <w:rPr>
          <w:rFonts w:cs="Calibri"/>
        </w:rPr>
        <w:t>The advice from Treasury will confirm:</w:t>
      </w:r>
    </w:p>
    <w:p w14:paraId="2A801BFE" w14:textId="75B298D1" w:rsidR="006C22B7" w:rsidRPr="00150391" w:rsidRDefault="53BF0693" w:rsidP="00952272">
      <w:pPr>
        <w:pStyle w:val="LetteredList"/>
        <w:numPr>
          <w:ilvl w:val="0"/>
          <w:numId w:val="287"/>
        </w:numPr>
        <w:rPr>
          <w:rFonts w:cs="Calibri"/>
        </w:rPr>
      </w:pPr>
      <w:r w:rsidRPr="00150391">
        <w:rPr>
          <w:rFonts w:cs="Calibri"/>
        </w:rPr>
        <w:t>the number of books required</w:t>
      </w:r>
      <w:r w:rsidR="00C715DE" w:rsidRPr="00150391">
        <w:rPr>
          <w:rFonts w:cs="Calibri"/>
        </w:rPr>
        <w:t xml:space="preserve"> and</w:t>
      </w:r>
    </w:p>
    <w:p w14:paraId="0FBEA124" w14:textId="5D924B2F" w:rsidR="006C22B7" w:rsidRPr="00150391" w:rsidRDefault="53BF0693" w:rsidP="53BF0693">
      <w:pPr>
        <w:pStyle w:val="LetteredList"/>
        <w:rPr>
          <w:rFonts w:cs="Calibri"/>
        </w:rPr>
      </w:pPr>
      <w:r w:rsidRPr="00150391">
        <w:rPr>
          <w:rFonts w:cs="Calibri"/>
        </w:rPr>
        <w:t>the</w:t>
      </w:r>
      <w:r w:rsidR="001112CD" w:rsidRPr="00150391">
        <w:rPr>
          <w:rFonts w:cs="Calibri"/>
        </w:rPr>
        <w:t>ir</w:t>
      </w:r>
      <w:r w:rsidRPr="00150391">
        <w:rPr>
          <w:rFonts w:cs="Calibri"/>
        </w:rPr>
        <w:t xml:space="preserve"> delivery arrangements.</w:t>
      </w:r>
    </w:p>
    <w:p w14:paraId="19FE5A86" w14:textId="6DE4BC73" w:rsidR="007A0E16" w:rsidRPr="00150391" w:rsidRDefault="53BF0693">
      <w:pPr>
        <w:pStyle w:val="Numbered"/>
        <w:rPr>
          <w:rFonts w:cs="Calibri"/>
        </w:rPr>
      </w:pPr>
      <w:r w:rsidRPr="00150391">
        <w:rPr>
          <w:rFonts w:cs="Calibri"/>
        </w:rPr>
        <w:t>Guidance on, and the templates for</w:t>
      </w:r>
      <w:r w:rsidR="00C31DF0" w:rsidRPr="00150391">
        <w:rPr>
          <w:rFonts w:cs="Calibri"/>
        </w:rPr>
        <w:t xml:space="preserve"> the preparation of</w:t>
      </w:r>
      <w:r w:rsidRPr="00150391">
        <w:rPr>
          <w:rFonts w:cs="Calibri"/>
        </w:rPr>
        <w:t xml:space="preserve"> the </w:t>
      </w:r>
      <w:r w:rsidR="00197D38" w:rsidRPr="00150391">
        <w:rPr>
          <w:rFonts w:cs="Calibri"/>
        </w:rPr>
        <w:t>2022</w:t>
      </w:r>
      <w:r w:rsidRPr="00150391">
        <w:rPr>
          <w:rFonts w:cs="Calibri"/>
        </w:rPr>
        <w:t>-</w:t>
      </w:r>
      <w:r w:rsidR="00197D38" w:rsidRPr="00150391">
        <w:rPr>
          <w:rFonts w:cs="Calibri"/>
        </w:rPr>
        <w:t xml:space="preserve">23 </w:t>
      </w:r>
      <w:r w:rsidRPr="00150391">
        <w:rPr>
          <w:rFonts w:cs="Calibri"/>
        </w:rPr>
        <w:t xml:space="preserve">PB Statements are provided in </w:t>
      </w:r>
      <w:r w:rsidRPr="00150391">
        <w:rPr>
          <w:rFonts w:cs="Calibri"/>
          <w:u w:val="single"/>
        </w:rPr>
        <w:t>Attachments A</w:t>
      </w:r>
      <w:r w:rsidRPr="00150391">
        <w:rPr>
          <w:rFonts w:cs="Calibri"/>
        </w:rPr>
        <w:t xml:space="preserve"> to </w:t>
      </w:r>
      <w:r w:rsidR="009979D4" w:rsidRPr="00150391">
        <w:rPr>
          <w:rFonts w:cs="Calibri"/>
          <w:u w:val="single"/>
        </w:rPr>
        <w:t>E</w:t>
      </w:r>
      <w:r w:rsidRPr="00150391">
        <w:rPr>
          <w:rFonts w:cs="Calibri"/>
        </w:rPr>
        <w:t xml:space="preserve">. In particular, </w:t>
      </w:r>
      <w:r w:rsidRPr="00150391">
        <w:rPr>
          <w:rFonts w:cs="Calibri"/>
          <w:u w:val="single"/>
        </w:rPr>
        <w:t>Attachment A</w:t>
      </w:r>
      <w:r w:rsidRPr="00150391">
        <w:rPr>
          <w:rFonts w:cs="Calibri"/>
        </w:rPr>
        <w:t xml:space="preserve"> (this guide) provides information on the printing and online publication requirements, sourcing and presentation of information and key contacts.</w:t>
      </w:r>
    </w:p>
    <w:p w14:paraId="4DE39248" w14:textId="5A28B0D1" w:rsidR="00EF30BE" w:rsidRPr="00150391" w:rsidRDefault="00F045F2" w:rsidP="0062612F">
      <w:pPr>
        <w:pStyle w:val="Numbered"/>
        <w:rPr>
          <w:rFonts w:cs="Calibri"/>
        </w:rPr>
      </w:pPr>
      <w:r w:rsidRPr="00150391">
        <w:rPr>
          <w:rFonts w:cs="Calibri"/>
          <w:u w:val="single"/>
        </w:rPr>
        <w:t xml:space="preserve">Attachments </w:t>
      </w:r>
      <w:r w:rsidR="00681C3A" w:rsidRPr="00150391">
        <w:rPr>
          <w:rFonts w:cs="Calibri"/>
          <w:u w:val="single"/>
        </w:rPr>
        <w:t>B</w:t>
      </w:r>
      <w:r w:rsidRPr="00150391">
        <w:rPr>
          <w:rFonts w:cs="Calibri"/>
        </w:rPr>
        <w:t xml:space="preserve"> </w:t>
      </w:r>
      <w:r w:rsidR="00681C3A" w:rsidRPr="00150391">
        <w:rPr>
          <w:rFonts w:cs="Calibri"/>
        </w:rPr>
        <w:t xml:space="preserve">and </w:t>
      </w:r>
      <w:r w:rsidR="00821C9C" w:rsidRPr="00150391">
        <w:rPr>
          <w:rFonts w:cs="Calibri"/>
          <w:u w:val="single"/>
        </w:rPr>
        <w:t>C</w:t>
      </w:r>
      <w:r w:rsidRPr="00150391">
        <w:rPr>
          <w:rFonts w:cs="Calibri"/>
        </w:rPr>
        <w:t xml:space="preserve"> </w:t>
      </w:r>
      <w:r w:rsidR="000E77EC" w:rsidRPr="00150391">
        <w:rPr>
          <w:rFonts w:cs="Calibri"/>
        </w:rPr>
        <w:t xml:space="preserve">of </w:t>
      </w:r>
      <w:r w:rsidRPr="00150391">
        <w:rPr>
          <w:rFonts w:cs="Calibri"/>
        </w:rPr>
        <w:t>th</w:t>
      </w:r>
      <w:r w:rsidR="000E77EC" w:rsidRPr="00150391">
        <w:rPr>
          <w:rFonts w:cs="Calibri"/>
        </w:rPr>
        <w:t>is</w:t>
      </w:r>
      <w:r w:rsidRPr="00150391">
        <w:rPr>
          <w:rFonts w:cs="Calibri"/>
        </w:rPr>
        <w:t xml:space="preserve"> </w:t>
      </w:r>
      <w:r w:rsidR="00DB0943" w:rsidRPr="00150391">
        <w:rPr>
          <w:rFonts w:cs="Calibri"/>
        </w:rPr>
        <w:t xml:space="preserve">guide </w:t>
      </w:r>
      <w:r w:rsidRPr="00150391">
        <w:rPr>
          <w:rFonts w:cs="Calibri"/>
        </w:rPr>
        <w:t>are</w:t>
      </w:r>
      <w:r w:rsidR="00CE25D4" w:rsidRPr="00150391">
        <w:rPr>
          <w:rFonts w:cs="Calibri"/>
        </w:rPr>
        <w:t xml:space="preserve"> Microsoft Excel (</w:t>
      </w:r>
      <w:r w:rsidR="000E77EC" w:rsidRPr="00150391">
        <w:rPr>
          <w:rFonts w:cs="Calibri"/>
        </w:rPr>
        <w:t>Excel</w:t>
      </w:r>
      <w:r w:rsidR="00CE25D4" w:rsidRPr="00150391">
        <w:rPr>
          <w:rFonts w:cs="Calibri"/>
        </w:rPr>
        <w:t xml:space="preserve">) </w:t>
      </w:r>
      <w:r w:rsidR="000E77EC" w:rsidRPr="00150391">
        <w:rPr>
          <w:rFonts w:cs="Calibri"/>
        </w:rPr>
        <w:t xml:space="preserve">and </w:t>
      </w:r>
      <w:r w:rsidR="00CE25D4" w:rsidRPr="00150391">
        <w:rPr>
          <w:rFonts w:cs="Calibri"/>
        </w:rPr>
        <w:t xml:space="preserve">Microsoft </w:t>
      </w:r>
      <w:r w:rsidR="000E77EC" w:rsidRPr="00150391">
        <w:rPr>
          <w:rFonts w:cs="Calibri"/>
        </w:rPr>
        <w:t xml:space="preserve">Word </w:t>
      </w:r>
      <w:r w:rsidR="00CE25D4" w:rsidRPr="00150391">
        <w:rPr>
          <w:rFonts w:cs="Calibri"/>
        </w:rPr>
        <w:t xml:space="preserve">(Word) </w:t>
      </w:r>
      <w:r w:rsidR="000E77EC" w:rsidRPr="00150391">
        <w:rPr>
          <w:rFonts w:cs="Calibri"/>
        </w:rPr>
        <w:t>templates</w:t>
      </w:r>
      <w:r w:rsidR="00701E93" w:rsidRPr="00150391">
        <w:rPr>
          <w:rFonts w:cs="Calibri"/>
        </w:rPr>
        <w:t>, and</w:t>
      </w:r>
      <w:r w:rsidR="002D4E01" w:rsidRPr="00150391">
        <w:rPr>
          <w:rFonts w:cs="Calibri"/>
        </w:rPr>
        <w:t xml:space="preserve"> </w:t>
      </w:r>
      <w:r w:rsidR="002D4E01" w:rsidRPr="00150391">
        <w:rPr>
          <w:rFonts w:cs="Calibri"/>
          <w:u w:val="single"/>
        </w:rPr>
        <w:t>Attachment D</w:t>
      </w:r>
      <w:r w:rsidR="002D4E01" w:rsidRPr="00150391">
        <w:rPr>
          <w:rFonts w:cs="Calibri"/>
        </w:rPr>
        <w:t xml:space="preserve"> is a checklist for preparing files for online publication. These attachments </w:t>
      </w:r>
      <w:r w:rsidR="00C779E6" w:rsidRPr="00150391">
        <w:rPr>
          <w:rFonts w:cs="Calibri"/>
        </w:rPr>
        <w:t xml:space="preserve">are </w:t>
      </w:r>
      <w:r w:rsidRPr="00150391">
        <w:rPr>
          <w:rFonts w:cs="Calibri"/>
        </w:rPr>
        <w:t xml:space="preserve">available through </w:t>
      </w:r>
      <w:r w:rsidR="00676137" w:rsidRPr="00150391">
        <w:rPr>
          <w:rFonts w:cs="Calibri"/>
        </w:rPr>
        <w:t>the Central Budget Management System (</w:t>
      </w:r>
      <w:r w:rsidRPr="00150391">
        <w:rPr>
          <w:rFonts w:cs="Calibri"/>
        </w:rPr>
        <w:t>CBMS</w:t>
      </w:r>
      <w:r w:rsidR="00676137" w:rsidRPr="00150391">
        <w:rPr>
          <w:rFonts w:cs="Calibri"/>
        </w:rPr>
        <w:t>)</w:t>
      </w:r>
      <w:r w:rsidRPr="00150391">
        <w:rPr>
          <w:rFonts w:cs="Calibri"/>
        </w:rPr>
        <w:t>. Covers</w:t>
      </w:r>
      <w:r w:rsidR="00701E93" w:rsidRPr="00150391">
        <w:rPr>
          <w:rFonts w:cs="Calibri"/>
        </w:rPr>
        <w:t>,</w:t>
      </w:r>
      <w:r w:rsidRPr="00150391">
        <w:rPr>
          <w:rFonts w:cs="Calibri"/>
        </w:rPr>
        <w:t xml:space="preserve"> </w:t>
      </w:r>
      <w:r w:rsidR="00701E93" w:rsidRPr="00150391">
        <w:rPr>
          <w:rFonts w:cs="Calibri"/>
          <w:u w:val="single"/>
        </w:rPr>
        <w:t>Attachment E</w:t>
      </w:r>
      <w:r w:rsidR="00701E93" w:rsidRPr="00150391">
        <w:rPr>
          <w:rFonts w:cs="Calibri"/>
        </w:rPr>
        <w:t xml:space="preserve"> to this guide, </w:t>
      </w:r>
      <w:r w:rsidRPr="00150391">
        <w:rPr>
          <w:rFonts w:cs="Calibri"/>
        </w:rPr>
        <w:t xml:space="preserve">for the </w:t>
      </w:r>
      <w:r w:rsidR="00197D38" w:rsidRPr="00150391">
        <w:rPr>
          <w:rFonts w:cs="Calibri"/>
        </w:rPr>
        <w:t>2022</w:t>
      </w:r>
      <w:r w:rsidR="00861BB4" w:rsidRPr="00150391">
        <w:rPr>
          <w:rFonts w:cs="Calibri"/>
        </w:rPr>
        <w:t>-</w:t>
      </w:r>
      <w:r w:rsidR="00197D38" w:rsidRPr="00150391">
        <w:rPr>
          <w:rFonts w:cs="Calibri"/>
        </w:rPr>
        <w:t xml:space="preserve">23 </w:t>
      </w:r>
      <w:r w:rsidRPr="00150391">
        <w:rPr>
          <w:rFonts w:cs="Calibri"/>
        </w:rPr>
        <w:t>PB</w:t>
      </w:r>
      <w:r w:rsidR="00D17C25" w:rsidRPr="00150391">
        <w:rPr>
          <w:rFonts w:cs="Calibri"/>
        </w:rPr>
        <w:t xml:space="preserve"> </w:t>
      </w:r>
      <w:r w:rsidRPr="00150391">
        <w:rPr>
          <w:rFonts w:cs="Calibri"/>
        </w:rPr>
        <w:t>S</w:t>
      </w:r>
      <w:r w:rsidR="00D17C25" w:rsidRPr="00150391">
        <w:rPr>
          <w:rFonts w:cs="Calibri"/>
        </w:rPr>
        <w:t>tatements</w:t>
      </w:r>
      <w:r w:rsidR="00C779E6" w:rsidRPr="00150391">
        <w:rPr>
          <w:rFonts w:cs="Calibri"/>
        </w:rPr>
        <w:t xml:space="preserve"> </w:t>
      </w:r>
      <w:r w:rsidR="008D06CA" w:rsidRPr="00150391">
        <w:rPr>
          <w:rFonts w:cs="Calibri"/>
        </w:rPr>
        <w:t xml:space="preserve">will be sent by email from </w:t>
      </w:r>
      <w:hyperlink r:id="rId20">
        <w:r w:rsidR="00701E93" w:rsidRPr="002B4935">
          <w:rPr>
            <w:rStyle w:val="Hyperlink"/>
            <w:rFonts w:ascii="Calibri" w:hAnsi="Calibri" w:cs="Calibri"/>
            <w:color w:val="0070C0"/>
          </w:rPr>
          <w:t>budget_framework@finance.gov.au</w:t>
        </w:r>
      </w:hyperlink>
      <w:r w:rsidRPr="00150391">
        <w:rPr>
          <w:rFonts w:cs="Calibri"/>
        </w:rPr>
        <w:t xml:space="preserve">. Refer to section </w:t>
      </w:r>
      <w:r w:rsidR="00681C3A" w:rsidRPr="002B4935">
        <w:rPr>
          <w:rStyle w:val="CrossReferenceChar"/>
          <w:rFonts w:cs="Calibri"/>
          <w:color w:val="0070C0"/>
        </w:rPr>
        <w:fldChar w:fldCharType="begin"/>
      </w:r>
      <w:r w:rsidR="00681C3A" w:rsidRPr="002B4935">
        <w:rPr>
          <w:rStyle w:val="CrossReferenceChar"/>
          <w:rFonts w:cs="Calibri"/>
          <w:color w:val="0070C0"/>
        </w:rPr>
        <w:instrText xml:space="preserve"> REF _Ref46251134 \r \h  \* MERGEFORMAT </w:instrText>
      </w:r>
      <w:r w:rsidR="00681C3A" w:rsidRPr="002B4935">
        <w:rPr>
          <w:rStyle w:val="CrossReferenceChar"/>
          <w:rFonts w:cs="Calibri"/>
          <w:color w:val="0070C0"/>
        </w:rPr>
      </w:r>
      <w:r w:rsidR="00681C3A" w:rsidRPr="002B4935">
        <w:rPr>
          <w:rStyle w:val="CrossReferenceChar"/>
          <w:rFonts w:cs="Calibri"/>
          <w:color w:val="0070C0"/>
        </w:rPr>
        <w:fldChar w:fldCharType="separate"/>
      </w:r>
      <w:r w:rsidR="0073409A">
        <w:rPr>
          <w:rStyle w:val="CrossReferenceChar"/>
          <w:rFonts w:cs="Calibri"/>
          <w:color w:val="0070C0"/>
        </w:rPr>
        <w:t>6.4</w:t>
      </w:r>
      <w:r w:rsidR="00681C3A" w:rsidRPr="002B4935">
        <w:rPr>
          <w:rStyle w:val="CrossReferenceChar"/>
          <w:rFonts w:cs="Calibri"/>
          <w:color w:val="0070C0"/>
        </w:rPr>
        <w:fldChar w:fldCharType="end"/>
      </w:r>
      <w:r w:rsidR="00681C3A" w:rsidRPr="002B4935">
        <w:rPr>
          <w:rStyle w:val="CrossReferenceChar"/>
          <w:rFonts w:cs="Calibri"/>
          <w:color w:val="0070C0"/>
        </w:rPr>
        <w:t> </w:t>
      </w:r>
      <w:r w:rsidR="00A224CD" w:rsidRPr="002B4935">
        <w:rPr>
          <w:rStyle w:val="CrossReferenceChar"/>
          <w:rFonts w:cs="Calibri"/>
          <w:color w:val="0070C0"/>
        </w:rPr>
        <w:fldChar w:fldCharType="begin"/>
      </w:r>
      <w:r w:rsidR="00A224CD" w:rsidRPr="002B4935">
        <w:rPr>
          <w:rStyle w:val="CrossReferenceChar"/>
          <w:rFonts w:cs="Calibri"/>
          <w:color w:val="0070C0"/>
        </w:rPr>
        <w:instrText xml:space="preserve"> REF _Ref46311770 \h  \* MERGEFORMAT </w:instrText>
      </w:r>
      <w:r w:rsidR="00A224CD" w:rsidRPr="002B4935">
        <w:rPr>
          <w:rStyle w:val="CrossReferenceChar"/>
          <w:rFonts w:cs="Calibri"/>
          <w:color w:val="0070C0"/>
        </w:rPr>
      </w:r>
      <w:r w:rsidR="00A224CD" w:rsidRPr="002B4935">
        <w:rPr>
          <w:rStyle w:val="CrossReferenceChar"/>
          <w:rFonts w:cs="Calibri"/>
          <w:color w:val="0070C0"/>
        </w:rPr>
        <w:fldChar w:fldCharType="separate"/>
      </w:r>
      <w:r w:rsidR="0073409A" w:rsidRPr="0073409A">
        <w:rPr>
          <w:rStyle w:val="CrossReferenceChar"/>
          <w:color w:val="0070C0"/>
        </w:rPr>
        <w:t>Obtaining templates and covers</w:t>
      </w:r>
      <w:r w:rsidR="00A224CD" w:rsidRPr="002B4935">
        <w:rPr>
          <w:rStyle w:val="CrossReferenceChar"/>
          <w:rFonts w:cs="Calibri"/>
          <w:color w:val="0070C0"/>
        </w:rPr>
        <w:fldChar w:fldCharType="end"/>
      </w:r>
      <w:r w:rsidR="00A224CD" w:rsidRPr="00150391">
        <w:rPr>
          <w:rFonts w:cs="Calibri"/>
          <w:i/>
          <w:iCs/>
        </w:rPr>
        <w:t xml:space="preserve"> </w:t>
      </w:r>
      <w:r w:rsidR="00E70395" w:rsidRPr="00150391">
        <w:rPr>
          <w:rFonts w:cs="Calibri"/>
        </w:rPr>
        <w:t xml:space="preserve">in </w:t>
      </w:r>
      <w:r w:rsidR="00821C9C" w:rsidRPr="00150391">
        <w:rPr>
          <w:rFonts w:cs="Calibri"/>
        </w:rPr>
        <w:t>this guide</w:t>
      </w:r>
      <w:r w:rsidRPr="00150391">
        <w:rPr>
          <w:rFonts w:cs="Calibri"/>
        </w:rPr>
        <w:t xml:space="preserve"> on how to access these templates.</w:t>
      </w:r>
    </w:p>
    <w:p w14:paraId="2E6FB890" w14:textId="74CA6EB9" w:rsidR="007868A4" w:rsidRPr="00150391" w:rsidRDefault="53BF0693">
      <w:pPr>
        <w:pStyle w:val="Numbered"/>
        <w:rPr>
          <w:rFonts w:cs="Calibri"/>
        </w:rPr>
      </w:pPr>
      <w:r w:rsidRPr="00150391">
        <w:rPr>
          <w:rFonts w:cs="Calibri"/>
        </w:rPr>
        <w:t>Portfolio entities are responsible for ensuring the consistency, accuracy and completeness of information presented in the PB Statements. Figures published must match those reported in CBMS, as CBMS information is used to prepare the Appropriation Bills and BP</w:t>
      </w:r>
      <w:r w:rsidR="00A834F4" w:rsidRPr="00150391">
        <w:rPr>
          <w:rFonts w:cs="Calibri"/>
        </w:rPr>
        <w:t>s</w:t>
      </w:r>
      <w:r w:rsidR="00E32817" w:rsidRPr="00150391">
        <w:rPr>
          <w:rFonts w:cs="Calibri"/>
        </w:rPr>
        <w:t xml:space="preserve"> in particular BP2 and BP4</w:t>
      </w:r>
      <w:r w:rsidRPr="00150391">
        <w:rPr>
          <w:rFonts w:cs="Calibri"/>
        </w:rPr>
        <w:t>.</w:t>
      </w:r>
    </w:p>
    <w:p w14:paraId="0F082F14" w14:textId="23EB2C71" w:rsidR="00692A3D" w:rsidRPr="00150391" w:rsidRDefault="53BF0693" w:rsidP="0062612F">
      <w:pPr>
        <w:pStyle w:val="Numbered"/>
        <w:rPr>
          <w:rFonts w:cs="Calibri"/>
        </w:rPr>
      </w:pPr>
      <w:r w:rsidRPr="00150391">
        <w:rPr>
          <w:rFonts w:cs="Calibri"/>
        </w:rPr>
        <w:t xml:space="preserve">PB Statement financial tables will be published on </w:t>
      </w:r>
      <w:hyperlink r:id="rId21" w:history="1">
        <w:r w:rsidR="000574BC" w:rsidRPr="002B4935">
          <w:rPr>
            <w:rStyle w:val="Hyperlink"/>
            <w:rFonts w:ascii="Calibri" w:hAnsi="Calibri" w:cs="Calibri"/>
            <w:color w:val="0070C0"/>
          </w:rPr>
          <w:t>data.gov.au</w:t>
        </w:r>
      </w:hyperlink>
      <w:r w:rsidR="000574BC" w:rsidRPr="00150391">
        <w:rPr>
          <w:rFonts w:cs="Calibri"/>
        </w:rPr>
        <w:t xml:space="preserve"> </w:t>
      </w:r>
      <w:r w:rsidRPr="00150391">
        <w:rPr>
          <w:rFonts w:cs="Calibri"/>
        </w:rPr>
        <w:t>on Budget night Tuesday, </w:t>
      </w:r>
      <w:r w:rsidR="00DA4A69" w:rsidRPr="00150391">
        <w:rPr>
          <w:rFonts w:cs="Calibri"/>
        </w:rPr>
        <w:t>25</w:t>
      </w:r>
      <w:r w:rsidR="00F35BAB" w:rsidRPr="00150391">
        <w:rPr>
          <w:rFonts w:cs="Calibri"/>
        </w:rPr>
        <w:t xml:space="preserve"> </w:t>
      </w:r>
      <w:r w:rsidR="00DA4A69" w:rsidRPr="00150391">
        <w:rPr>
          <w:rFonts w:cs="Calibri"/>
        </w:rPr>
        <w:t>Oc</w:t>
      </w:r>
      <w:r w:rsidR="00E95151" w:rsidRPr="00150391">
        <w:rPr>
          <w:rFonts w:cs="Calibri"/>
        </w:rPr>
        <w:t>t</w:t>
      </w:r>
      <w:r w:rsidR="00DA4A69" w:rsidRPr="00150391">
        <w:rPr>
          <w:rFonts w:cs="Calibri"/>
        </w:rPr>
        <w:t xml:space="preserve">ober </w:t>
      </w:r>
      <w:r w:rsidR="00197D38" w:rsidRPr="00150391">
        <w:rPr>
          <w:rFonts w:cs="Calibri"/>
        </w:rPr>
        <w:t>2022</w:t>
      </w:r>
      <w:r w:rsidRPr="00150391">
        <w:rPr>
          <w:rFonts w:cs="Calibri"/>
        </w:rPr>
        <w:t xml:space="preserve">. Portfolios are to provide </w:t>
      </w:r>
      <w:r w:rsidR="00C31DF0" w:rsidRPr="00150391">
        <w:rPr>
          <w:rFonts w:cs="Calibri"/>
        </w:rPr>
        <w:t xml:space="preserve">a </w:t>
      </w:r>
      <w:r w:rsidRPr="00150391">
        <w:rPr>
          <w:rFonts w:cs="Calibri"/>
        </w:rPr>
        <w:t xml:space="preserve">version of these tables with all extraneous material removed (such as comments, links to other spreadsheets and formulas) in Excel format to </w:t>
      </w:r>
      <w:hyperlink r:id="rId22">
        <w:r w:rsidRPr="002B4935">
          <w:rPr>
            <w:rStyle w:val="Hyperlink"/>
            <w:rFonts w:ascii="Calibri" w:hAnsi="Calibri" w:cs="Calibri"/>
            <w:color w:val="0070C0"/>
          </w:rPr>
          <w:t>budget_framework@finance.gov.au</w:t>
        </w:r>
      </w:hyperlink>
      <w:r w:rsidR="008E5F87" w:rsidRPr="002B4935">
        <w:rPr>
          <w:rStyle w:val="Hyperlink"/>
          <w:rFonts w:ascii="Calibri" w:hAnsi="Calibri" w:cs="Calibri"/>
          <w:color w:val="0070C0"/>
          <w:u w:val="none"/>
        </w:rPr>
        <w:t xml:space="preserve"> </w:t>
      </w:r>
      <w:r w:rsidR="008E5F87" w:rsidRPr="002B4935">
        <w:rPr>
          <w:rStyle w:val="Hyperlink"/>
          <w:rFonts w:ascii="Calibri" w:hAnsi="Calibri" w:cs="Calibri"/>
          <w:u w:val="none"/>
        </w:rPr>
        <w:t xml:space="preserve">by </w:t>
      </w:r>
      <w:r w:rsidR="00E32817" w:rsidRPr="002B4935">
        <w:rPr>
          <w:rStyle w:val="Hyperlink"/>
          <w:rFonts w:ascii="Calibri" w:hAnsi="Calibri" w:cs="Calibri"/>
          <w:u w:val="none"/>
        </w:rPr>
        <w:t>Monday, 24</w:t>
      </w:r>
      <w:r w:rsidR="008E5F87" w:rsidRPr="002B4935">
        <w:rPr>
          <w:rStyle w:val="Hyperlink"/>
          <w:rFonts w:ascii="Calibri" w:hAnsi="Calibri" w:cs="Calibri"/>
          <w:u w:val="none"/>
        </w:rPr>
        <w:t xml:space="preserve"> October 2022</w:t>
      </w:r>
      <w:r w:rsidRPr="00771BA6">
        <w:rPr>
          <w:rFonts w:cs="Calibri"/>
        </w:rPr>
        <w:t>, w</w:t>
      </w:r>
      <w:r w:rsidRPr="00150391">
        <w:rPr>
          <w:rFonts w:cs="Calibri"/>
        </w:rPr>
        <w:t xml:space="preserve">ho will coordinate the publication of these files on </w:t>
      </w:r>
      <w:hyperlink r:id="rId23" w:history="1">
        <w:r w:rsidR="000574BC" w:rsidRPr="002B4935">
          <w:rPr>
            <w:rStyle w:val="Hyperlink"/>
            <w:rFonts w:ascii="Calibri" w:hAnsi="Calibri" w:cs="Calibri"/>
            <w:color w:val="0070C0"/>
          </w:rPr>
          <w:t>data.gov.au</w:t>
        </w:r>
      </w:hyperlink>
      <w:r w:rsidRPr="00150391">
        <w:rPr>
          <w:rFonts w:cs="Calibri"/>
        </w:rPr>
        <w:t>.</w:t>
      </w:r>
    </w:p>
    <w:p w14:paraId="35588D56" w14:textId="2F1D817C" w:rsidR="008D06CA" w:rsidRPr="00150391" w:rsidRDefault="007868A4" w:rsidP="00913329">
      <w:pPr>
        <w:pStyle w:val="Numbered"/>
        <w:widowControl/>
        <w:numPr>
          <w:ilvl w:val="0"/>
          <w:numId w:val="0"/>
        </w:numPr>
        <w:ind w:left="357"/>
        <w:rPr>
          <w:rFonts w:cs="Calibri"/>
        </w:rPr>
      </w:pPr>
      <w:r w:rsidRPr="00150391">
        <w:rPr>
          <w:rFonts w:cs="Calibri"/>
        </w:rPr>
        <w:t xml:space="preserve">When preparing files for online publication </w:t>
      </w:r>
      <w:r w:rsidR="00681C3A" w:rsidRPr="00150391">
        <w:rPr>
          <w:rFonts w:cs="Calibri"/>
        </w:rPr>
        <w:t xml:space="preserve">please </w:t>
      </w:r>
      <w:r w:rsidRPr="00150391">
        <w:rPr>
          <w:rFonts w:cs="Calibri"/>
        </w:rPr>
        <w:t xml:space="preserve">refer to section </w:t>
      </w:r>
      <w:r w:rsidR="00681C3A" w:rsidRPr="002B4935">
        <w:rPr>
          <w:rStyle w:val="CrossReferenceChar"/>
          <w:rFonts w:cs="Calibri"/>
          <w:color w:val="0070C0"/>
        </w:rPr>
        <w:fldChar w:fldCharType="begin"/>
      </w:r>
      <w:r w:rsidR="00681C3A" w:rsidRPr="002B4935">
        <w:rPr>
          <w:rStyle w:val="CrossReferenceChar"/>
          <w:rFonts w:cs="Calibri"/>
          <w:color w:val="0070C0"/>
        </w:rPr>
        <w:instrText xml:space="preserve"> REF _Ref46251412 \r \h  \* MERGEFORMAT </w:instrText>
      </w:r>
      <w:r w:rsidR="00681C3A" w:rsidRPr="002B4935">
        <w:rPr>
          <w:rStyle w:val="CrossReferenceChar"/>
          <w:rFonts w:cs="Calibri"/>
          <w:color w:val="0070C0"/>
        </w:rPr>
      </w:r>
      <w:r w:rsidR="00681C3A" w:rsidRPr="002B4935">
        <w:rPr>
          <w:rStyle w:val="CrossReferenceChar"/>
          <w:rFonts w:cs="Calibri"/>
          <w:color w:val="0070C0"/>
        </w:rPr>
        <w:fldChar w:fldCharType="separate"/>
      </w:r>
      <w:r w:rsidR="0073409A">
        <w:rPr>
          <w:rStyle w:val="CrossReferenceChar"/>
          <w:rFonts w:cs="Calibri"/>
          <w:color w:val="0070C0"/>
        </w:rPr>
        <w:t>6.9</w:t>
      </w:r>
      <w:r w:rsidR="00681C3A" w:rsidRPr="002B4935">
        <w:rPr>
          <w:rStyle w:val="CrossReferenceChar"/>
          <w:rFonts w:cs="Calibri"/>
          <w:color w:val="0070C0"/>
        </w:rPr>
        <w:fldChar w:fldCharType="end"/>
      </w:r>
      <w:r w:rsidR="00681C3A" w:rsidRPr="002B4935">
        <w:rPr>
          <w:rStyle w:val="CrossReferenceChar"/>
          <w:rFonts w:cs="Calibri"/>
          <w:color w:val="0070C0"/>
        </w:rPr>
        <w:t> </w:t>
      </w:r>
      <w:r w:rsidR="0013119E" w:rsidRPr="002B4935">
        <w:rPr>
          <w:rStyle w:val="CrossReferenceChar"/>
          <w:rFonts w:cs="Calibri"/>
          <w:color w:val="0070C0"/>
        </w:rPr>
        <w:fldChar w:fldCharType="begin"/>
      </w:r>
      <w:r w:rsidR="0013119E" w:rsidRPr="002B4935">
        <w:rPr>
          <w:rStyle w:val="CrossReferenceChar"/>
          <w:rFonts w:cs="Calibri"/>
          <w:color w:val="0070C0"/>
        </w:rPr>
        <w:instrText xml:space="preserve"> REF _Ref46251417 \h  \* MERGEFORMAT </w:instrText>
      </w:r>
      <w:r w:rsidR="0013119E" w:rsidRPr="002B4935">
        <w:rPr>
          <w:rStyle w:val="CrossReferenceChar"/>
          <w:rFonts w:cs="Calibri"/>
          <w:color w:val="0070C0"/>
        </w:rPr>
      </w:r>
      <w:r w:rsidR="0013119E" w:rsidRPr="002B4935">
        <w:rPr>
          <w:rStyle w:val="CrossReferenceChar"/>
          <w:rFonts w:cs="Calibri"/>
          <w:color w:val="0070C0"/>
        </w:rPr>
        <w:fldChar w:fldCharType="separate"/>
      </w:r>
      <w:r w:rsidR="0073409A" w:rsidRPr="0073409A">
        <w:rPr>
          <w:rStyle w:val="CrossReferenceChar"/>
          <w:color w:val="0070C0"/>
        </w:rPr>
        <w:t>Online publication</w:t>
      </w:r>
      <w:r w:rsidR="0013119E" w:rsidRPr="002B4935">
        <w:rPr>
          <w:rStyle w:val="CrossReferenceChar"/>
          <w:rFonts w:cs="Calibri"/>
          <w:color w:val="0070C0"/>
        </w:rPr>
        <w:fldChar w:fldCharType="end"/>
      </w:r>
      <w:r w:rsidRPr="00150391">
        <w:rPr>
          <w:rFonts w:cs="Calibri"/>
        </w:rPr>
        <w:t xml:space="preserve"> and use the </w:t>
      </w:r>
      <w:r w:rsidR="004B5F4F" w:rsidRPr="00150391">
        <w:rPr>
          <w:rFonts w:cs="Calibri"/>
        </w:rPr>
        <w:t>checklist</w:t>
      </w:r>
      <w:r w:rsidRPr="00150391">
        <w:rPr>
          <w:rFonts w:cs="Calibri"/>
        </w:rPr>
        <w:t xml:space="preserve"> in </w:t>
      </w:r>
      <w:r w:rsidR="00024B8C" w:rsidRPr="00150391">
        <w:rPr>
          <w:rFonts w:cs="Calibri"/>
        </w:rPr>
        <w:t>section</w:t>
      </w:r>
      <w:r w:rsidR="00F91621" w:rsidRPr="00150391">
        <w:rPr>
          <w:rFonts w:cs="Calibri"/>
        </w:rPr>
        <w:t xml:space="preserve"> </w:t>
      </w:r>
      <w:r w:rsidR="00F91621" w:rsidRPr="002B4935">
        <w:rPr>
          <w:rStyle w:val="CrossReferenceChar"/>
          <w:rFonts w:cs="Calibri"/>
          <w:color w:val="0070C0"/>
        </w:rPr>
        <w:fldChar w:fldCharType="begin"/>
      </w:r>
      <w:r w:rsidR="00F91621" w:rsidRPr="002B4935">
        <w:rPr>
          <w:rStyle w:val="CrossReferenceChar"/>
          <w:rFonts w:cs="Calibri"/>
          <w:color w:val="0070C0"/>
        </w:rPr>
        <w:instrText xml:space="preserve"> REF _Ref46250929 \w \h </w:instrText>
      </w:r>
      <w:r w:rsidR="00922DA3" w:rsidRPr="002B4935">
        <w:rPr>
          <w:rStyle w:val="CrossReferenceChar"/>
          <w:rFonts w:cs="Calibri"/>
          <w:color w:val="0070C0"/>
        </w:rPr>
        <w:instrText xml:space="preserve"> \* MERGEFORMAT </w:instrText>
      </w:r>
      <w:r w:rsidR="00F91621" w:rsidRPr="002B4935">
        <w:rPr>
          <w:rStyle w:val="CrossReferenceChar"/>
          <w:rFonts w:cs="Calibri"/>
          <w:color w:val="0070C0"/>
        </w:rPr>
      </w:r>
      <w:r w:rsidR="00F91621" w:rsidRPr="002B4935">
        <w:rPr>
          <w:rStyle w:val="CrossReferenceChar"/>
          <w:rFonts w:cs="Calibri"/>
          <w:color w:val="0070C0"/>
        </w:rPr>
        <w:fldChar w:fldCharType="separate"/>
      </w:r>
      <w:r w:rsidR="0073409A">
        <w:rPr>
          <w:rStyle w:val="CrossReferenceChar"/>
          <w:rFonts w:cs="Calibri"/>
          <w:color w:val="0070C0"/>
        </w:rPr>
        <w:t>6.9.3</w:t>
      </w:r>
      <w:r w:rsidR="00F91621" w:rsidRPr="002B4935">
        <w:rPr>
          <w:rStyle w:val="CrossReferenceChar"/>
          <w:rFonts w:cs="Calibri"/>
          <w:color w:val="0070C0"/>
        </w:rPr>
        <w:fldChar w:fldCharType="end"/>
      </w:r>
      <w:r w:rsidR="00F91621" w:rsidRPr="002B4935">
        <w:rPr>
          <w:rStyle w:val="CrossReferenceChar"/>
          <w:rFonts w:cs="Calibri"/>
          <w:color w:val="0070C0"/>
        </w:rPr>
        <w:t xml:space="preserve"> </w:t>
      </w:r>
      <w:r w:rsidR="00F91621" w:rsidRPr="002B4935">
        <w:rPr>
          <w:rStyle w:val="CrossReferenceChar"/>
          <w:rFonts w:cs="Calibri"/>
          <w:color w:val="0070C0"/>
        </w:rPr>
        <w:fldChar w:fldCharType="begin"/>
      </w:r>
      <w:r w:rsidR="00F91621" w:rsidRPr="002B4935">
        <w:rPr>
          <w:rStyle w:val="CrossReferenceChar"/>
          <w:rFonts w:cs="Calibri"/>
          <w:color w:val="0070C0"/>
        </w:rPr>
        <w:instrText xml:space="preserve"> REF _Ref46250929 \h </w:instrText>
      </w:r>
      <w:r w:rsidR="00922DA3" w:rsidRPr="002B4935">
        <w:rPr>
          <w:rStyle w:val="CrossReferenceChar"/>
          <w:rFonts w:cs="Calibri"/>
          <w:color w:val="0070C0"/>
        </w:rPr>
        <w:instrText xml:space="preserve"> \* MERGEFORMAT </w:instrText>
      </w:r>
      <w:r w:rsidR="00F91621" w:rsidRPr="002B4935">
        <w:rPr>
          <w:rStyle w:val="CrossReferenceChar"/>
          <w:rFonts w:cs="Calibri"/>
          <w:color w:val="0070C0"/>
        </w:rPr>
      </w:r>
      <w:r w:rsidR="00F91621" w:rsidRPr="002B4935">
        <w:rPr>
          <w:rStyle w:val="CrossReferenceChar"/>
          <w:rFonts w:cs="Calibri"/>
          <w:color w:val="0070C0"/>
        </w:rPr>
        <w:fldChar w:fldCharType="separate"/>
      </w:r>
      <w:r w:rsidR="0073409A" w:rsidRPr="0073409A">
        <w:rPr>
          <w:rStyle w:val="CrossReferenceChar"/>
          <w:color w:val="0070C0"/>
        </w:rPr>
        <w:t>Checklist for preparing files for online publication on data.gov.au</w:t>
      </w:r>
      <w:r w:rsidR="00F91621" w:rsidRPr="002B4935">
        <w:rPr>
          <w:rStyle w:val="CrossReferenceChar"/>
          <w:rFonts w:cs="Calibri"/>
          <w:color w:val="0070C0"/>
        </w:rPr>
        <w:fldChar w:fldCharType="end"/>
      </w:r>
      <w:r w:rsidR="260627E5" w:rsidRPr="00150391">
        <w:rPr>
          <w:rFonts w:cs="Calibri"/>
        </w:rPr>
        <w:t xml:space="preserve"> section</w:t>
      </w:r>
      <w:r w:rsidR="00701E93" w:rsidRPr="00150391">
        <w:rPr>
          <w:rFonts w:cs="Calibri"/>
        </w:rPr>
        <w:t>.</w:t>
      </w:r>
    </w:p>
    <w:p w14:paraId="2C80062C" w14:textId="24A00A17" w:rsidR="00B84E62" w:rsidRPr="00150391" w:rsidRDefault="53BF0693">
      <w:pPr>
        <w:pStyle w:val="Numbered"/>
        <w:rPr>
          <w:rFonts w:cs="Calibri"/>
        </w:rPr>
      </w:pPr>
      <w:r w:rsidRPr="00150391">
        <w:rPr>
          <w:rFonts w:cs="Calibri"/>
        </w:rPr>
        <w:t xml:space="preserve">Entities may need to use their internal financial </w:t>
      </w:r>
      <w:r w:rsidR="003854D9" w:rsidRPr="00150391">
        <w:rPr>
          <w:rFonts w:cs="Calibri"/>
        </w:rPr>
        <w:t xml:space="preserve">management </w:t>
      </w:r>
      <w:r w:rsidRPr="00150391">
        <w:rPr>
          <w:rFonts w:cs="Calibri"/>
        </w:rPr>
        <w:t xml:space="preserve">information systems </w:t>
      </w:r>
      <w:r w:rsidR="00C779E6" w:rsidRPr="00150391">
        <w:rPr>
          <w:rFonts w:cs="Calibri"/>
        </w:rPr>
        <w:t xml:space="preserve">to prepare tables for </w:t>
      </w:r>
      <w:r w:rsidR="00C779E6" w:rsidRPr="00150391">
        <w:rPr>
          <w:rFonts w:cs="Calibri"/>
          <w:i/>
          <w:iCs/>
        </w:rPr>
        <w:t>Section 2: Outcomes and Planned Performance</w:t>
      </w:r>
      <w:r w:rsidR="00C779E6" w:rsidRPr="00150391">
        <w:rPr>
          <w:rFonts w:cs="Calibri"/>
        </w:rPr>
        <w:t>.</w:t>
      </w:r>
    </w:p>
    <w:p w14:paraId="467993E9" w14:textId="66507D99" w:rsidR="0042016D" w:rsidRPr="00150391" w:rsidRDefault="53BF0693">
      <w:pPr>
        <w:pStyle w:val="Numbered"/>
        <w:rPr>
          <w:rFonts w:cs="Calibri"/>
        </w:rPr>
      </w:pPr>
      <w:r w:rsidRPr="00150391">
        <w:rPr>
          <w:rFonts w:cs="Calibri"/>
        </w:rPr>
        <w:t xml:space="preserve">CBMS can be used to pre-populate some of the information contained in the </w:t>
      </w:r>
      <w:r w:rsidR="00681C3A" w:rsidRPr="00150391">
        <w:rPr>
          <w:rFonts w:cs="Calibri"/>
        </w:rPr>
        <w:t>PB </w:t>
      </w:r>
      <w:r w:rsidR="00C779E6" w:rsidRPr="00150391">
        <w:rPr>
          <w:rFonts w:cs="Calibri"/>
        </w:rPr>
        <w:t xml:space="preserve">Statements tables for </w:t>
      </w:r>
      <w:r w:rsidR="00C779E6" w:rsidRPr="00150391">
        <w:rPr>
          <w:rFonts w:cs="Calibri"/>
          <w:i/>
          <w:iCs/>
        </w:rPr>
        <w:t>Section 2: Outcomes and Planned Performance</w:t>
      </w:r>
      <w:r w:rsidR="00C779E6" w:rsidRPr="00150391">
        <w:rPr>
          <w:rFonts w:cs="Calibri"/>
        </w:rPr>
        <w:t xml:space="preserve"> </w:t>
      </w:r>
      <w:r w:rsidRPr="00150391">
        <w:rPr>
          <w:rFonts w:cs="Calibri"/>
        </w:rPr>
        <w:t xml:space="preserve">and </w:t>
      </w:r>
      <w:r w:rsidR="00681C3A" w:rsidRPr="00150391">
        <w:rPr>
          <w:rFonts w:cs="Calibri"/>
          <w:i/>
          <w:iCs/>
        </w:rPr>
        <w:t>section </w:t>
      </w:r>
      <w:r w:rsidRPr="00150391">
        <w:rPr>
          <w:rFonts w:cs="Calibri"/>
          <w:i/>
          <w:iCs/>
        </w:rPr>
        <w:t>3</w:t>
      </w:r>
      <w:r w:rsidR="00681C3A" w:rsidRPr="00150391">
        <w:rPr>
          <w:rFonts w:cs="Calibri"/>
          <w:i/>
          <w:iCs/>
        </w:rPr>
        <w:t>: </w:t>
      </w:r>
      <w:r w:rsidR="00C779E6" w:rsidRPr="00150391">
        <w:rPr>
          <w:rFonts w:cs="Calibri"/>
          <w:i/>
          <w:iCs/>
        </w:rPr>
        <w:t>Budgeted Financial Statements</w:t>
      </w:r>
      <w:r w:rsidRPr="00150391">
        <w:rPr>
          <w:rFonts w:cs="Calibri"/>
        </w:rPr>
        <w:t>. The tables will be numbered in CBMS as they appear in this guide and further information can be found on:</w:t>
      </w:r>
    </w:p>
    <w:p w14:paraId="412C27E3" w14:textId="4D82D57D" w:rsidR="00B51CD3" w:rsidRPr="00150391" w:rsidRDefault="009772EE">
      <w:pPr>
        <w:pStyle w:val="LetteredList"/>
        <w:numPr>
          <w:ilvl w:val="0"/>
          <w:numId w:val="253"/>
        </w:numPr>
        <w:rPr>
          <w:rFonts w:cs="Calibri"/>
        </w:rPr>
      </w:pPr>
      <w:r w:rsidRPr="00150391">
        <w:rPr>
          <w:rFonts w:cs="Calibri"/>
        </w:rPr>
        <w:t>t</w:t>
      </w:r>
      <w:r w:rsidR="53BF0693" w:rsidRPr="00150391">
        <w:rPr>
          <w:rFonts w:cs="Calibri"/>
        </w:rPr>
        <w:t>he chart of account mappings which explain how the tables are derived</w:t>
      </w:r>
      <w:r w:rsidRPr="00150391">
        <w:rPr>
          <w:rFonts w:cs="Calibri"/>
        </w:rPr>
        <w:t xml:space="preserve"> </w:t>
      </w:r>
      <w:r w:rsidR="00701E93" w:rsidRPr="00150391">
        <w:rPr>
          <w:rFonts w:cs="Calibri"/>
        </w:rPr>
        <w:t>at</w:t>
      </w:r>
    </w:p>
    <w:p w14:paraId="56030BED" w14:textId="140EC038" w:rsidR="0042016D" w:rsidRPr="009A4716" w:rsidRDefault="00930135" w:rsidP="009A4716">
      <w:pPr>
        <w:pStyle w:val="Reports3"/>
        <w:rPr>
          <w:rFonts w:cs="Calibri"/>
        </w:rPr>
      </w:pPr>
      <w:r w:rsidRPr="009A4716">
        <w:rPr>
          <w:rFonts w:cs="Calibri"/>
        </w:rPr>
        <w:t xml:space="preserve">User </w:t>
      </w:r>
      <w:r w:rsidR="00A11FAD" w:rsidRPr="009A4716">
        <w:rPr>
          <w:rFonts w:cs="Calibri"/>
        </w:rPr>
        <w:t xml:space="preserve">Support </w:t>
      </w:r>
      <w:r w:rsidR="00A11FAD" w:rsidRPr="009A4716">
        <w:rPr>
          <w:rFonts w:cs="Calibri"/>
        </w:rPr>
        <w:sym w:font="Wingdings" w:char="F0E0"/>
      </w:r>
      <w:r w:rsidR="00A11FAD" w:rsidRPr="009A4716">
        <w:rPr>
          <w:rFonts w:cs="Calibri"/>
        </w:rPr>
        <w:t xml:space="preserve"> </w:t>
      </w:r>
      <w:r w:rsidR="0042016D" w:rsidRPr="009A4716">
        <w:rPr>
          <w:rFonts w:cs="Calibri"/>
        </w:rPr>
        <w:t xml:space="preserve">CBMS User Reference Material </w:t>
      </w:r>
      <w:r w:rsidR="0042016D" w:rsidRPr="009A4716">
        <w:rPr>
          <w:rFonts w:cs="Calibri"/>
        </w:rPr>
        <w:sym w:font="Wingdings" w:char="F0E0"/>
      </w:r>
      <w:r w:rsidR="0042016D" w:rsidRPr="009A4716">
        <w:rPr>
          <w:rFonts w:cs="Calibri"/>
        </w:rPr>
        <w:t xml:space="preserve"> Reference Material </w:t>
      </w:r>
      <w:r w:rsidR="0042016D" w:rsidRPr="009A4716">
        <w:rPr>
          <w:rFonts w:cs="Calibri"/>
        </w:rPr>
        <w:sym w:font="Wingdings" w:char="F0E0"/>
      </w:r>
      <w:r w:rsidR="0042016D" w:rsidRPr="009A4716">
        <w:rPr>
          <w:rFonts w:cs="Calibri"/>
        </w:rPr>
        <w:t xml:space="preserve"> CBMS </w:t>
      </w:r>
      <w:r w:rsidR="0042016D" w:rsidRPr="009A4716">
        <w:rPr>
          <w:rFonts w:cs="Calibri"/>
        </w:rPr>
        <w:sym w:font="Wingdings" w:char="F0E0"/>
      </w:r>
      <w:r w:rsidR="0042016D" w:rsidRPr="009A4716">
        <w:rPr>
          <w:rFonts w:cs="Calibri"/>
        </w:rPr>
        <w:t xml:space="preserve"> Annual Estimates </w:t>
      </w:r>
      <w:r w:rsidR="0042016D" w:rsidRPr="009A4716">
        <w:rPr>
          <w:rFonts w:cs="Calibri"/>
        </w:rPr>
        <w:sym w:font="Wingdings" w:char="F0E0"/>
      </w:r>
      <w:r w:rsidR="0042016D" w:rsidRPr="009A4716">
        <w:rPr>
          <w:rFonts w:cs="Calibri"/>
        </w:rPr>
        <w:t xml:space="preserve"> PBS</w:t>
      </w:r>
      <w:r w:rsidR="00A11FAD" w:rsidRPr="009A4716">
        <w:rPr>
          <w:rFonts w:cs="Calibri"/>
        </w:rPr>
        <w:t xml:space="preserve"> &amp;</w:t>
      </w:r>
      <w:r w:rsidR="0042016D" w:rsidRPr="009A4716">
        <w:rPr>
          <w:rFonts w:cs="Calibri"/>
        </w:rPr>
        <w:t xml:space="preserve"> PAES Mappings</w:t>
      </w:r>
    </w:p>
    <w:p w14:paraId="4DED627B" w14:textId="02E44947" w:rsidR="007868A4" w:rsidRPr="00150391" w:rsidRDefault="00701E93" w:rsidP="00A8355D">
      <w:pPr>
        <w:pStyle w:val="Numbered"/>
        <w:numPr>
          <w:ilvl w:val="0"/>
          <w:numId w:val="0"/>
        </w:numPr>
        <w:ind w:left="360"/>
        <w:rPr>
          <w:rFonts w:cs="Calibri"/>
        </w:rPr>
      </w:pPr>
      <w:r w:rsidRPr="00150391">
        <w:rPr>
          <w:rFonts w:cs="Calibri"/>
          <w:iCs/>
        </w:rPr>
        <w:t>Additional</w:t>
      </w:r>
      <w:r w:rsidRPr="00150391">
        <w:rPr>
          <w:rFonts w:cs="Calibri"/>
        </w:rPr>
        <w:t xml:space="preserve"> </w:t>
      </w:r>
      <w:r w:rsidR="53BF0693" w:rsidRPr="00150391">
        <w:rPr>
          <w:rFonts w:cs="Calibri"/>
        </w:rPr>
        <w:t>reports to run/</w:t>
      </w:r>
      <w:r w:rsidRPr="00150391">
        <w:rPr>
          <w:rFonts w:cs="Calibri"/>
        </w:rPr>
        <w:t xml:space="preserve">and </w:t>
      </w:r>
      <w:r w:rsidR="53BF0693" w:rsidRPr="00150391">
        <w:rPr>
          <w:rFonts w:cs="Calibri"/>
        </w:rPr>
        <w:t>the CBMS file paths for the sources of information are</w:t>
      </w:r>
      <w:r w:rsidRPr="00150391">
        <w:rPr>
          <w:rFonts w:cs="Calibri"/>
        </w:rPr>
        <w:t xml:space="preserve"> provided</w:t>
      </w:r>
      <w:r w:rsidR="53BF0693" w:rsidRPr="00150391">
        <w:rPr>
          <w:rFonts w:cs="Calibri"/>
        </w:rPr>
        <w:t xml:space="preserve"> in the relevant parts of this guide below.</w:t>
      </w:r>
    </w:p>
    <w:p w14:paraId="26E7EB4B" w14:textId="55A2D1CF" w:rsidR="007322F2" w:rsidRPr="002B4935" w:rsidRDefault="53BF0693">
      <w:pPr>
        <w:pStyle w:val="Numbered"/>
        <w:rPr>
          <w:rFonts w:cs="Calibri"/>
        </w:rPr>
      </w:pPr>
      <w:r w:rsidRPr="00150391">
        <w:rPr>
          <w:rFonts w:cs="Calibri"/>
        </w:rPr>
        <w:t xml:space="preserve">When preparing the PB Statements, entities should use data from the Budget Estimates update </w:t>
      </w:r>
      <w:r w:rsidRPr="002B4935">
        <w:rPr>
          <w:rFonts w:cs="Calibri"/>
        </w:rPr>
        <w:t xml:space="preserve">round in CBMS labelled </w:t>
      </w:r>
      <w:r w:rsidRPr="009A4716">
        <w:rPr>
          <w:rFonts w:cs="Calibri"/>
          <w:b/>
        </w:rPr>
        <w:t>"</w:t>
      </w:r>
      <w:r w:rsidR="00197D38" w:rsidRPr="009A4716">
        <w:rPr>
          <w:rFonts w:cs="Calibri"/>
          <w:b/>
        </w:rPr>
        <w:t>2023</w:t>
      </w:r>
      <w:r w:rsidRPr="009A4716">
        <w:rPr>
          <w:rFonts w:cs="Calibri"/>
          <w:b/>
        </w:rPr>
        <w:t>.0</w:t>
      </w:r>
      <w:r w:rsidR="009119D0" w:rsidRPr="009A4716">
        <w:rPr>
          <w:rFonts w:cs="Calibri"/>
          <w:b/>
        </w:rPr>
        <w:t>6</w:t>
      </w:r>
      <w:r w:rsidRPr="009A4716">
        <w:rPr>
          <w:rFonts w:cs="Calibri"/>
          <w:b/>
        </w:rPr>
        <w:t xml:space="preserve"> – </w:t>
      </w:r>
      <w:r w:rsidR="00197D38" w:rsidRPr="009A4716">
        <w:rPr>
          <w:rFonts w:cs="Calibri"/>
          <w:b/>
        </w:rPr>
        <w:t>2022</w:t>
      </w:r>
      <w:r w:rsidRPr="009A4716">
        <w:rPr>
          <w:rFonts w:cs="Calibri"/>
          <w:b/>
        </w:rPr>
        <w:t>/</w:t>
      </w:r>
      <w:r w:rsidR="00197D38" w:rsidRPr="009A4716">
        <w:rPr>
          <w:rFonts w:cs="Calibri"/>
          <w:b/>
        </w:rPr>
        <w:t>23</w:t>
      </w:r>
      <w:r w:rsidR="00B3139B" w:rsidRPr="009A4716">
        <w:rPr>
          <w:rFonts w:cs="Calibri"/>
          <w:b/>
        </w:rPr>
        <w:t xml:space="preserve"> Oct Budget</w:t>
      </w:r>
      <w:r w:rsidRPr="009A4716">
        <w:rPr>
          <w:rFonts w:cs="Calibri"/>
          <w:b/>
        </w:rPr>
        <w:t>"</w:t>
      </w:r>
      <w:r w:rsidRPr="002B4935">
        <w:rPr>
          <w:rFonts w:cs="Calibri"/>
        </w:rPr>
        <w:t>.</w:t>
      </w:r>
    </w:p>
    <w:p w14:paraId="29B0710B" w14:textId="0ADBE1E4" w:rsidR="009119D0" w:rsidRPr="002B4935" w:rsidRDefault="009119D0" w:rsidP="00736B4A">
      <w:pPr>
        <w:pStyle w:val="Numbered"/>
        <w:numPr>
          <w:ilvl w:val="0"/>
          <w:numId w:val="0"/>
        </w:numPr>
        <w:ind w:left="360"/>
        <w:rPr>
          <w:rFonts w:cs="Calibri"/>
        </w:rPr>
      </w:pPr>
      <w:r w:rsidRPr="002B4935">
        <w:rPr>
          <w:rFonts w:cs="Calibri"/>
        </w:rPr>
        <w:t xml:space="preserve">2021-22 </w:t>
      </w:r>
      <w:r w:rsidR="00212C70" w:rsidRPr="002B4935">
        <w:rPr>
          <w:rFonts w:cs="Calibri"/>
        </w:rPr>
        <w:t xml:space="preserve">end of year results </w:t>
      </w:r>
      <w:r w:rsidRPr="002B4935">
        <w:rPr>
          <w:rFonts w:cs="Calibri"/>
        </w:rPr>
        <w:t xml:space="preserve">will be available prior to the </w:t>
      </w:r>
      <w:r w:rsidR="00212C70" w:rsidRPr="002B4935">
        <w:rPr>
          <w:rFonts w:cs="Calibri"/>
        </w:rPr>
        <w:t>release</w:t>
      </w:r>
      <w:r w:rsidRPr="002B4935">
        <w:rPr>
          <w:rFonts w:cs="Calibri"/>
        </w:rPr>
        <w:t xml:space="preserve"> of the </w:t>
      </w:r>
      <w:r w:rsidR="00A53D43" w:rsidRPr="002B4935">
        <w:rPr>
          <w:rFonts w:cs="Calibri"/>
        </w:rPr>
        <w:t xml:space="preserve">October </w:t>
      </w:r>
      <w:r w:rsidRPr="002B4935">
        <w:rPr>
          <w:rFonts w:cs="Calibri"/>
        </w:rPr>
        <w:t>2022</w:t>
      </w:r>
      <w:r w:rsidRPr="002B4935">
        <w:rPr>
          <w:rFonts w:cs="Calibri"/>
        </w:rPr>
        <w:noBreakHyphen/>
        <w:t>23</w:t>
      </w:r>
      <w:r w:rsidR="00A53D43" w:rsidRPr="002B4935">
        <w:rPr>
          <w:rFonts w:cs="Calibri"/>
        </w:rPr>
        <w:t xml:space="preserve"> </w:t>
      </w:r>
      <w:r w:rsidRPr="002B4935">
        <w:rPr>
          <w:rFonts w:cs="Calibri"/>
        </w:rPr>
        <w:t xml:space="preserve">Budget. Finance will </w:t>
      </w:r>
      <w:r w:rsidR="008B6D4D" w:rsidRPr="002B4935">
        <w:rPr>
          <w:rFonts w:cs="Calibri"/>
        </w:rPr>
        <w:t>copy</w:t>
      </w:r>
      <w:r w:rsidR="003D2E2A" w:rsidRPr="002B4935">
        <w:rPr>
          <w:rFonts w:cs="Calibri"/>
        </w:rPr>
        <w:t xml:space="preserve"> the </w:t>
      </w:r>
      <w:r w:rsidRPr="002B4935">
        <w:rPr>
          <w:rFonts w:cs="Calibri"/>
        </w:rPr>
        <w:t>2021-22 actual account balances (including income statement, balance sheet</w:t>
      </w:r>
      <w:r w:rsidR="00312453" w:rsidRPr="002B4935">
        <w:rPr>
          <w:rFonts w:cs="Calibri"/>
        </w:rPr>
        <w:t>, c</w:t>
      </w:r>
      <w:r w:rsidRPr="002B4935">
        <w:rPr>
          <w:rFonts w:cs="Calibri"/>
        </w:rPr>
        <w:t xml:space="preserve">ash flow </w:t>
      </w:r>
      <w:r w:rsidR="00312453" w:rsidRPr="002B4935">
        <w:rPr>
          <w:rFonts w:cs="Calibri"/>
        </w:rPr>
        <w:t xml:space="preserve">and special </w:t>
      </w:r>
      <w:r w:rsidRPr="002B4935">
        <w:rPr>
          <w:rFonts w:cs="Calibri"/>
        </w:rPr>
        <w:t>account</w:t>
      </w:r>
      <w:r w:rsidR="00312453" w:rsidRPr="002B4935">
        <w:rPr>
          <w:rFonts w:cs="Calibri"/>
        </w:rPr>
        <w:t xml:space="preserve"> balances</w:t>
      </w:r>
      <w:r w:rsidRPr="002B4935">
        <w:rPr>
          <w:rFonts w:cs="Calibri"/>
        </w:rPr>
        <w:t xml:space="preserve">) from the Annual Actuals module into the Annual Estimates module early </w:t>
      </w:r>
      <w:r w:rsidR="008B6D4D" w:rsidRPr="002B4935">
        <w:rPr>
          <w:rFonts w:cs="Calibri"/>
        </w:rPr>
        <w:t xml:space="preserve">in </w:t>
      </w:r>
      <w:r w:rsidRPr="002B4935">
        <w:rPr>
          <w:rFonts w:cs="Calibri"/>
        </w:rPr>
        <w:t>September, following the submission of 20</w:t>
      </w:r>
      <w:r w:rsidR="003D2E2A" w:rsidRPr="002B4935">
        <w:rPr>
          <w:rFonts w:cs="Calibri"/>
        </w:rPr>
        <w:t>21</w:t>
      </w:r>
      <w:r w:rsidR="003D2E2A" w:rsidRPr="002B4935">
        <w:rPr>
          <w:rFonts w:cs="Calibri"/>
        </w:rPr>
        <w:noBreakHyphen/>
        <w:t>22 </w:t>
      </w:r>
      <w:r w:rsidRPr="002B4935">
        <w:rPr>
          <w:rFonts w:cs="Calibri"/>
        </w:rPr>
        <w:t>financial statements in CBMS.</w:t>
      </w:r>
      <w:r w:rsidR="00312453" w:rsidRPr="002B4935">
        <w:rPr>
          <w:rFonts w:cs="Calibri"/>
        </w:rPr>
        <w:br/>
      </w:r>
      <w:r w:rsidR="00312453" w:rsidRPr="002B4935">
        <w:rPr>
          <w:rFonts w:cs="Calibri"/>
        </w:rPr>
        <w:br/>
      </w:r>
      <w:r w:rsidRPr="002B4935">
        <w:rPr>
          <w:rFonts w:cs="Calibri"/>
        </w:rPr>
        <w:t xml:space="preserve">Entities </w:t>
      </w:r>
      <w:r w:rsidR="003D2E2A" w:rsidRPr="002B4935">
        <w:rPr>
          <w:rFonts w:cs="Calibri"/>
        </w:rPr>
        <w:t xml:space="preserve">are advised </w:t>
      </w:r>
      <w:r w:rsidRPr="002B4935">
        <w:rPr>
          <w:rFonts w:cs="Calibri"/>
        </w:rPr>
        <w:t>not</w:t>
      </w:r>
      <w:r w:rsidR="005A1496" w:rsidRPr="002B4935">
        <w:rPr>
          <w:rFonts w:cs="Calibri"/>
        </w:rPr>
        <w:t xml:space="preserve"> to</w:t>
      </w:r>
      <w:r w:rsidRPr="002B4935">
        <w:rPr>
          <w:rFonts w:cs="Calibri"/>
        </w:rPr>
        <w:t xml:space="preserve"> change the PB</w:t>
      </w:r>
      <w:r w:rsidR="008A54D7" w:rsidRPr="002B4935">
        <w:rPr>
          <w:rFonts w:cs="Calibri"/>
        </w:rPr>
        <w:t xml:space="preserve"> </w:t>
      </w:r>
      <w:r w:rsidRPr="002B4935">
        <w:rPr>
          <w:rFonts w:cs="Calibri"/>
        </w:rPr>
        <w:t>S</w:t>
      </w:r>
      <w:r w:rsidR="008A54D7" w:rsidRPr="002B4935">
        <w:rPr>
          <w:rFonts w:cs="Calibri"/>
        </w:rPr>
        <w:t>tatement</w:t>
      </w:r>
      <w:r w:rsidRPr="002B4935">
        <w:rPr>
          <w:rFonts w:cs="Calibri"/>
        </w:rPr>
        <w:t xml:space="preserve"> table's column labelling from '20</w:t>
      </w:r>
      <w:r w:rsidR="003D2E2A" w:rsidRPr="002B4935">
        <w:rPr>
          <w:rFonts w:cs="Calibri"/>
        </w:rPr>
        <w:t>21-</w:t>
      </w:r>
      <w:r w:rsidR="003D2E2A" w:rsidRPr="002B4935">
        <w:rPr>
          <w:rFonts w:cs="Calibri"/>
        </w:rPr>
        <w:noBreakHyphen/>
        <w:t>22 </w:t>
      </w:r>
      <w:r w:rsidRPr="002B4935">
        <w:rPr>
          <w:rFonts w:cs="Calibri"/>
        </w:rPr>
        <w:t>Estimated Actuals'.</w:t>
      </w:r>
    </w:p>
    <w:p w14:paraId="70ED7C93" w14:textId="79F5BFD3" w:rsidR="009119D0" w:rsidRPr="002B4935" w:rsidRDefault="00B00396" w:rsidP="00212C70">
      <w:pPr>
        <w:pStyle w:val="Numbered"/>
        <w:numPr>
          <w:ilvl w:val="0"/>
          <w:numId w:val="0"/>
        </w:numPr>
        <w:ind w:left="360"/>
        <w:rPr>
          <w:rFonts w:cs="Calibri"/>
        </w:rPr>
      </w:pPr>
      <w:r w:rsidRPr="002B4935">
        <w:rPr>
          <w:rFonts w:cs="Calibri"/>
        </w:rPr>
        <w:t>R</w:t>
      </w:r>
      <w:r w:rsidR="009119D0" w:rsidRPr="002B4935">
        <w:rPr>
          <w:rFonts w:cs="Calibri"/>
        </w:rPr>
        <w:t>eport</w:t>
      </w:r>
      <w:r w:rsidRPr="002B4935">
        <w:rPr>
          <w:rFonts w:cs="Calibri"/>
        </w:rPr>
        <w:t>ing</w:t>
      </w:r>
      <w:r w:rsidR="009119D0" w:rsidRPr="002B4935">
        <w:rPr>
          <w:rFonts w:cs="Calibri"/>
        </w:rPr>
        <w:t xml:space="preserve"> 20</w:t>
      </w:r>
      <w:r w:rsidR="003D2E2A" w:rsidRPr="002B4935">
        <w:rPr>
          <w:rFonts w:cs="Calibri"/>
        </w:rPr>
        <w:t>21</w:t>
      </w:r>
      <w:r w:rsidR="009119D0" w:rsidRPr="002B4935">
        <w:rPr>
          <w:rFonts w:cs="Calibri"/>
        </w:rPr>
        <w:t>-2</w:t>
      </w:r>
      <w:r w:rsidR="003D2E2A" w:rsidRPr="002B4935">
        <w:rPr>
          <w:rFonts w:cs="Calibri"/>
        </w:rPr>
        <w:t>2</w:t>
      </w:r>
      <w:r w:rsidR="009119D0" w:rsidRPr="002B4935">
        <w:rPr>
          <w:rFonts w:cs="Calibri"/>
        </w:rPr>
        <w:t xml:space="preserve"> </w:t>
      </w:r>
      <w:r w:rsidR="00736B4A" w:rsidRPr="002B4935">
        <w:rPr>
          <w:rFonts w:cs="Calibri"/>
        </w:rPr>
        <w:t xml:space="preserve">budgets as </w:t>
      </w:r>
      <w:r w:rsidR="009119D0" w:rsidRPr="002B4935">
        <w:rPr>
          <w:rFonts w:cs="Calibri"/>
        </w:rPr>
        <w:t>'Estimated Actuals' will</w:t>
      </w:r>
      <w:r w:rsidR="00164D9D" w:rsidRPr="002B4935">
        <w:rPr>
          <w:rFonts w:cs="Calibri"/>
        </w:rPr>
        <w:t xml:space="preserve"> </w:t>
      </w:r>
      <w:r w:rsidR="009119D0" w:rsidRPr="002B4935">
        <w:rPr>
          <w:rFonts w:cs="Calibri"/>
        </w:rPr>
        <w:t xml:space="preserve">provide leeway for any late changes to an entity's financial statements that may not be reflected in </w:t>
      </w:r>
      <w:r w:rsidR="00736B4A" w:rsidRPr="002B4935">
        <w:rPr>
          <w:rFonts w:cs="Calibri"/>
        </w:rPr>
        <w:t>the Annual Actuals module</w:t>
      </w:r>
      <w:r w:rsidR="009119D0" w:rsidRPr="002B4935">
        <w:rPr>
          <w:rFonts w:cs="Calibri"/>
        </w:rPr>
        <w:t xml:space="preserve">. </w:t>
      </w:r>
      <w:r w:rsidR="008B6D4D" w:rsidRPr="002B4935">
        <w:rPr>
          <w:rFonts w:cs="Calibri"/>
        </w:rPr>
        <w:t>The</w:t>
      </w:r>
      <w:r w:rsidR="00271A28" w:rsidRPr="002B4935">
        <w:rPr>
          <w:rFonts w:cs="Calibri"/>
        </w:rPr>
        <w:t xml:space="preserve"> </w:t>
      </w:r>
      <w:r w:rsidR="00A53D43" w:rsidRPr="002B4935">
        <w:rPr>
          <w:rFonts w:cs="Calibri"/>
        </w:rPr>
        <w:t xml:space="preserve">October </w:t>
      </w:r>
      <w:r w:rsidR="009119D0" w:rsidRPr="002B4935">
        <w:rPr>
          <w:rFonts w:cs="Calibri"/>
        </w:rPr>
        <w:t>202</w:t>
      </w:r>
      <w:r w:rsidR="003D2E2A" w:rsidRPr="002B4935">
        <w:rPr>
          <w:rFonts w:cs="Calibri"/>
        </w:rPr>
        <w:t>2</w:t>
      </w:r>
      <w:r w:rsidR="009119D0" w:rsidRPr="002B4935">
        <w:rPr>
          <w:rFonts w:cs="Calibri"/>
        </w:rPr>
        <w:t>-2</w:t>
      </w:r>
      <w:r w:rsidR="003D2E2A" w:rsidRPr="002B4935">
        <w:rPr>
          <w:rFonts w:cs="Calibri"/>
        </w:rPr>
        <w:t>3</w:t>
      </w:r>
      <w:r w:rsidR="009119D0" w:rsidRPr="002B4935">
        <w:rPr>
          <w:rFonts w:cs="Calibri"/>
        </w:rPr>
        <w:t xml:space="preserve"> PB</w:t>
      </w:r>
      <w:r w:rsidR="003854D9" w:rsidRPr="002B4935">
        <w:rPr>
          <w:rFonts w:cs="Calibri"/>
        </w:rPr>
        <w:t> </w:t>
      </w:r>
      <w:r w:rsidR="009119D0" w:rsidRPr="002B4935">
        <w:rPr>
          <w:rFonts w:cs="Calibri"/>
        </w:rPr>
        <w:t xml:space="preserve">Statements </w:t>
      </w:r>
      <w:r w:rsidR="00271A28" w:rsidRPr="002B4935">
        <w:rPr>
          <w:rFonts w:cs="Calibri"/>
        </w:rPr>
        <w:t xml:space="preserve">will </w:t>
      </w:r>
      <w:r w:rsidR="009119D0" w:rsidRPr="002B4935">
        <w:rPr>
          <w:rFonts w:cs="Calibri"/>
        </w:rPr>
        <w:t xml:space="preserve">be tabled on </w:t>
      </w:r>
      <w:r w:rsidR="00DA4A69" w:rsidRPr="002B4935">
        <w:rPr>
          <w:rFonts w:cs="Calibri"/>
        </w:rPr>
        <w:t xml:space="preserve">Tuesday, </w:t>
      </w:r>
      <w:r w:rsidR="003D2E2A" w:rsidRPr="002B4935">
        <w:rPr>
          <w:rFonts w:cs="Calibri"/>
        </w:rPr>
        <w:t>25</w:t>
      </w:r>
      <w:r w:rsidR="009119D0" w:rsidRPr="002B4935">
        <w:rPr>
          <w:rFonts w:cs="Calibri"/>
        </w:rPr>
        <w:t xml:space="preserve"> October</w:t>
      </w:r>
      <w:r w:rsidR="00736B4A" w:rsidRPr="002B4935">
        <w:rPr>
          <w:rFonts w:cs="Calibri"/>
        </w:rPr>
        <w:t> </w:t>
      </w:r>
      <w:r w:rsidR="009119D0" w:rsidRPr="002B4935">
        <w:rPr>
          <w:rFonts w:cs="Calibri"/>
        </w:rPr>
        <w:t>202</w:t>
      </w:r>
      <w:r w:rsidR="003D2E2A" w:rsidRPr="002B4935">
        <w:rPr>
          <w:rFonts w:cs="Calibri"/>
        </w:rPr>
        <w:t>2</w:t>
      </w:r>
      <w:r w:rsidR="009119D0" w:rsidRPr="002B4935">
        <w:rPr>
          <w:rFonts w:cs="Calibri"/>
        </w:rPr>
        <w:t xml:space="preserve"> </w:t>
      </w:r>
      <w:r w:rsidR="00736B4A" w:rsidRPr="002B4935">
        <w:rPr>
          <w:rFonts w:cs="Calibri"/>
        </w:rPr>
        <w:t xml:space="preserve">after entities are expected to </w:t>
      </w:r>
      <w:r w:rsidR="009119D0" w:rsidRPr="002B4935">
        <w:rPr>
          <w:rFonts w:cs="Calibri"/>
        </w:rPr>
        <w:t>provide their 20</w:t>
      </w:r>
      <w:r w:rsidR="00271A28" w:rsidRPr="002B4935">
        <w:rPr>
          <w:rFonts w:cs="Calibri"/>
        </w:rPr>
        <w:t>21</w:t>
      </w:r>
      <w:r w:rsidR="009119D0" w:rsidRPr="002B4935">
        <w:rPr>
          <w:rFonts w:cs="Calibri"/>
        </w:rPr>
        <w:t>-2</w:t>
      </w:r>
      <w:r w:rsidR="00271A28" w:rsidRPr="002B4935">
        <w:rPr>
          <w:rFonts w:cs="Calibri"/>
        </w:rPr>
        <w:t>2</w:t>
      </w:r>
      <w:r w:rsidR="009119D0" w:rsidRPr="002B4935">
        <w:rPr>
          <w:rFonts w:cs="Calibri"/>
        </w:rPr>
        <w:t xml:space="preserve"> Annual Report </w:t>
      </w:r>
      <w:r w:rsidR="00736B4A" w:rsidRPr="002B4935">
        <w:rPr>
          <w:rFonts w:cs="Calibri"/>
        </w:rPr>
        <w:t xml:space="preserve">to their Minister </w:t>
      </w:r>
      <w:r w:rsidR="009119D0" w:rsidRPr="002B4935">
        <w:rPr>
          <w:rFonts w:cs="Calibri"/>
        </w:rPr>
        <w:t>on 15 October 202</w:t>
      </w:r>
      <w:r w:rsidR="00736B4A" w:rsidRPr="002B4935">
        <w:rPr>
          <w:rFonts w:cs="Calibri"/>
        </w:rPr>
        <w:t>2</w:t>
      </w:r>
      <w:r w:rsidR="009119D0" w:rsidRPr="002B4935">
        <w:rPr>
          <w:rFonts w:cs="Calibri"/>
        </w:rPr>
        <w:t xml:space="preserve"> (as required by s46 of the </w:t>
      </w:r>
      <w:r w:rsidR="009119D0" w:rsidRPr="002B4935">
        <w:rPr>
          <w:rFonts w:cs="Calibri"/>
          <w:i/>
        </w:rPr>
        <w:t>Public Governance, Performance and Accountability Act 2013</w:t>
      </w:r>
      <w:r w:rsidR="009119D0" w:rsidRPr="002B4935">
        <w:rPr>
          <w:rFonts w:cs="Calibri"/>
        </w:rPr>
        <w:t xml:space="preserve"> (PGPA Act)</w:t>
      </w:r>
      <w:r w:rsidR="008B6D4D" w:rsidRPr="002B4935">
        <w:rPr>
          <w:rFonts w:cs="Calibri"/>
        </w:rPr>
        <w:t xml:space="preserve">).  </w:t>
      </w:r>
      <w:r w:rsidR="00736B4A" w:rsidRPr="002B4935">
        <w:rPr>
          <w:rFonts w:cs="Calibri"/>
        </w:rPr>
        <w:t>However, t</w:t>
      </w:r>
      <w:r w:rsidR="008B6D4D" w:rsidRPr="002B4935">
        <w:rPr>
          <w:rFonts w:cs="Calibri"/>
        </w:rPr>
        <w:t xml:space="preserve">his </w:t>
      </w:r>
      <w:r w:rsidR="002C73BC" w:rsidRPr="002B4935">
        <w:rPr>
          <w:rFonts w:cs="Calibri"/>
        </w:rPr>
        <w:t>will be</w:t>
      </w:r>
      <w:r w:rsidR="00736B4A" w:rsidRPr="002B4935">
        <w:rPr>
          <w:rFonts w:cs="Calibri"/>
        </w:rPr>
        <w:t xml:space="preserve"> </w:t>
      </w:r>
      <w:r w:rsidR="00164D9D" w:rsidRPr="002B4935">
        <w:rPr>
          <w:rFonts w:cs="Calibri"/>
        </w:rPr>
        <w:t xml:space="preserve">before annual reports are </w:t>
      </w:r>
      <w:r w:rsidR="00736B4A" w:rsidRPr="002B4935">
        <w:rPr>
          <w:rFonts w:cs="Calibri"/>
        </w:rPr>
        <w:t xml:space="preserve">expected to be </w:t>
      </w:r>
      <w:r w:rsidR="00164D9D" w:rsidRPr="002B4935">
        <w:rPr>
          <w:rFonts w:cs="Calibri"/>
        </w:rPr>
        <w:t xml:space="preserve">tabled </w:t>
      </w:r>
      <w:r w:rsidR="008B6D4D" w:rsidRPr="002B4935">
        <w:rPr>
          <w:rFonts w:cs="Calibri"/>
        </w:rPr>
        <w:t>in</w:t>
      </w:r>
      <w:r w:rsidR="00164D9D" w:rsidRPr="002B4935">
        <w:rPr>
          <w:rFonts w:cs="Calibri"/>
        </w:rPr>
        <w:t xml:space="preserve"> Parliament</w:t>
      </w:r>
      <w:r w:rsidR="00F472D8" w:rsidRPr="002B4935">
        <w:rPr>
          <w:rFonts w:cs="Calibri"/>
        </w:rPr>
        <w:t>.</w:t>
      </w:r>
    </w:p>
    <w:p w14:paraId="61D0FB7A" w14:textId="28415440" w:rsidR="009119D0" w:rsidRPr="00150391" w:rsidRDefault="009119D0" w:rsidP="00212C70">
      <w:pPr>
        <w:pStyle w:val="Numbered"/>
        <w:numPr>
          <w:ilvl w:val="0"/>
          <w:numId w:val="0"/>
        </w:numPr>
        <w:ind w:left="360"/>
        <w:rPr>
          <w:rFonts w:cs="Calibri"/>
        </w:rPr>
      </w:pPr>
      <w:r w:rsidRPr="002B4935">
        <w:rPr>
          <w:rFonts w:cs="Calibri"/>
        </w:rPr>
        <w:t xml:space="preserve">This approach prevents entities actively pre-empting the announcement of their actual results to be reported </w:t>
      </w:r>
      <w:r w:rsidR="005C535D" w:rsidRPr="002B4935">
        <w:rPr>
          <w:rFonts w:cs="Calibri"/>
        </w:rPr>
        <w:t xml:space="preserve">to parliament </w:t>
      </w:r>
      <w:r w:rsidRPr="002B4935">
        <w:rPr>
          <w:rFonts w:cs="Calibri"/>
        </w:rPr>
        <w:t>in their Annual Report</w:t>
      </w:r>
      <w:r w:rsidR="005C535D" w:rsidRPr="002B4935">
        <w:rPr>
          <w:rFonts w:cs="Calibri"/>
        </w:rPr>
        <w:t xml:space="preserve"> and ensures entities are consistent with how they report their budget estimates within their PB</w:t>
      </w:r>
      <w:r w:rsidR="008A54D7" w:rsidRPr="002B4935">
        <w:rPr>
          <w:rFonts w:cs="Calibri"/>
        </w:rPr>
        <w:t xml:space="preserve"> </w:t>
      </w:r>
      <w:r w:rsidR="005C535D" w:rsidRPr="002B4935">
        <w:rPr>
          <w:rFonts w:cs="Calibri"/>
        </w:rPr>
        <w:t>S</w:t>
      </w:r>
      <w:r w:rsidR="008A54D7" w:rsidRPr="002B4935">
        <w:rPr>
          <w:rFonts w:cs="Calibri"/>
        </w:rPr>
        <w:t>tatement</w:t>
      </w:r>
      <w:r w:rsidR="002850A2" w:rsidRPr="002B4935">
        <w:rPr>
          <w:rFonts w:cs="Calibri"/>
        </w:rPr>
        <w:t xml:space="preserve"> from a whole</w:t>
      </w:r>
      <w:r w:rsidR="00A53D43" w:rsidRPr="002B4935">
        <w:rPr>
          <w:rFonts w:cs="Calibri"/>
        </w:rPr>
        <w:t>-</w:t>
      </w:r>
      <w:r w:rsidR="002850A2" w:rsidRPr="002B4935">
        <w:rPr>
          <w:rFonts w:cs="Calibri"/>
        </w:rPr>
        <w:t>of</w:t>
      </w:r>
      <w:r w:rsidR="00A53D43" w:rsidRPr="002B4935">
        <w:rPr>
          <w:rFonts w:cs="Calibri"/>
        </w:rPr>
        <w:t>-</w:t>
      </w:r>
      <w:r w:rsidR="002850A2" w:rsidRPr="002B4935">
        <w:rPr>
          <w:rFonts w:cs="Calibri"/>
        </w:rPr>
        <w:t>government perspective</w:t>
      </w:r>
      <w:r w:rsidR="005C535D" w:rsidRPr="002B4935">
        <w:rPr>
          <w:rFonts w:cs="Calibri"/>
        </w:rPr>
        <w:t>.</w:t>
      </w:r>
      <w:r w:rsidR="00312453" w:rsidRPr="002B4935">
        <w:rPr>
          <w:rFonts w:cs="Calibri"/>
        </w:rPr>
        <w:br/>
      </w:r>
      <w:r w:rsidR="00312453" w:rsidRPr="002B4935">
        <w:rPr>
          <w:rFonts w:cs="Calibri"/>
        </w:rPr>
        <w:br/>
        <w:t xml:space="preserve">For </w:t>
      </w:r>
      <w:r w:rsidR="00AD1A46" w:rsidRPr="002B4935">
        <w:rPr>
          <w:rFonts w:cs="Calibri"/>
        </w:rPr>
        <w:t xml:space="preserve">further </w:t>
      </w:r>
      <w:r w:rsidR="00312453" w:rsidRPr="002B4935">
        <w:rPr>
          <w:rFonts w:cs="Calibri"/>
        </w:rPr>
        <w:t xml:space="preserve">specific information concerning this point please refer to </w:t>
      </w:r>
      <w:r w:rsidR="00312453" w:rsidRPr="002B4935">
        <w:rPr>
          <w:rFonts w:cs="Calibri"/>
          <w:i/>
        </w:rPr>
        <w:t>EM 2022-27 October</w:t>
      </w:r>
      <w:r w:rsidR="00736B4A" w:rsidRPr="002B4935">
        <w:rPr>
          <w:rFonts w:cs="Calibri"/>
          <w:i/>
        </w:rPr>
        <w:t> </w:t>
      </w:r>
      <w:r w:rsidR="00312453" w:rsidRPr="002B4935">
        <w:rPr>
          <w:rFonts w:cs="Calibri"/>
          <w:i/>
        </w:rPr>
        <w:t>2022 Budget Estimates and the 2021-22 Final Budget Outcome (FBO)</w:t>
      </w:r>
      <w:r w:rsidR="00312453" w:rsidRPr="002B4935">
        <w:rPr>
          <w:rFonts w:cs="Calibri"/>
        </w:rPr>
        <w:t>.</w:t>
      </w:r>
    </w:p>
    <w:p w14:paraId="0B6F0857" w14:textId="2BB24E79" w:rsidR="00590388" w:rsidRPr="00150391" w:rsidRDefault="00A83328" w:rsidP="00F81743">
      <w:pPr>
        <w:pStyle w:val="Numbered"/>
        <w:rPr>
          <w:rFonts w:cs="Calibri"/>
        </w:rPr>
      </w:pPr>
      <w:r>
        <w:t xml:space="preserve">For a list of all changes to the October 2022-23 Portfolio Budget Statements template shells for </w:t>
      </w:r>
      <w:r w:rsidR="0060490E">
        <w:rPr>
          <w:rFonts w:cs="Calibri"/>
        </w:rPr>
        <w:t xml:space="preserve">both </w:t>
      </w:r>
      <w:r w:rsidR="003523C8" w:rsidRPr="002E70A1">
        <w:rPr>
          <w:rFonts w:cs="Calibri"/>
          <w:u w:val="single"/>
        </w:rPr>
        <w:t>Attachment</w:t>
      </w:r>
      <w:r>
        <w:rPr>
          <w:rFonts w:cs="Calibri"/>
          <w:u w:val="single"/>
        </w:rPr>
        <w:t>s</w:t>
      </w:r>
      <w:r w:rsidR="003523C8" w:rsidRPr="002E70A1">
        <w:rPr>
          <w:rFonts w:cs="Calibri"/>
          <w:u w:val="single"/>
        </w:rPr>
        <w:t xml:space="preserve"> B</w:t>
      </w:r>
      <w:r w:rsidR="003523C8">
        <w:rPr>
          <w:rFonts w:cs="Calibri"/>
        </w:rPr>
        <w:t xml:space="preserve"> and </w:t>
      </w:r>
      <w:r w:rsidR="003523C8">
        <w:rPr>
          <w:rFonts w:cs="Calibri"/>
          <w:u w:val="single"/>
        </w:rPr>
        <w:t>C</w:t>
      </w:r>
      <w:r w:rsidR="003523C8">
        <w:rPr>
          <w:rFonts w:cs="Calibri"/>
        </w:rPr>
        <w:t xml:space="preserve"> please refer to section </w:t>
      </w:r>
      <w:r w:rsidR="003523C8" w:rsidRPr="002E70A1">
        <w:rPr>
          <w:rStyle w:val="CrossReferenceChar"/>
        </w:rPr>
        <w:fldChar w:fldCharType="begin"/>
      </w:r>
      <w:r w:rsidR="003523C8" w:rsidRPr="002E70A1">
        <w:rPr>
          <w:rStyle w:val="CrossReferenceChar"/>
        </w:rPr>
        <w:instrText xml:space="preserve"> REF _Ref114216974 \w \h </w:instrText>
      </w:r>
      <w:r w:rsidR="003523C8">
        <w:rPr>
          <w:rStyle w:val="CrossReferenceChar"/>
        </w:rPr>
        <w:instrText xml:space="preserve"> \* MERGEFORMAT </w:instrText>
      </w:r>
      <w:r w:rsidR="003523C8" w:rsidRPr="002E70A1">
        <w:rPr>
          <w:rStyle w:val="CrossReferenceChar"/>
        </w:rPr>
      </w:r>
      <w:r w:rsidR="003523C8" w:rsidRPr="002E70A1">
        <w:rPr>
          <w:rStyle w:val="CrossReferenceChar"/>
        </w:rPr>
        <w:fldChar w:fldCharType="separate"/>
      </w:r>
      <w:r w:rsidR="003523C8" w:rsidRPr="002E70A1">
        <w:rPr>
          <w:rStyle w:val="CrossReferenceChar"/>
        </w:rPr>
        <w:t>2</w:t>
      </w:r>
      <w:r w:rsidR="003523C8" w:rsidRPr="002E70A1">
        <w:rPr>
          <w:rStyle w:val="CrossReferenceChar"/>
        </w:rPr>
        <w:fldChar w:fldCharType="end"/>
      </w:r>
      <w:r w:rsidR="003523C8" w:rsidRPr="002E70A1">
        <w:rPr>
          <w:rStyle w:val="CrossReferenceChar"/>
        </w:rPr>
        <w:t xml:space="preserve"> </w:t>
      </w:r>
      <w:r w:rsidR="003523C8" w:rsidRPr="002E70A1">
        <w:rPr>
          <w:rStyle w:val="CrossReferenceChar"/>
        </w:rPr>
        <w:fldChar w:fldCharType="begin"/>
      </w:r>
      <w:r w:rsidR="003523C8" w:rsidRPr="002E70A1">
        <w:rPr>
          <w:rStyle w:val="CrossReferenceChar"/>
        </w:rPr>
        <w:instrText xml:space="preserve"> REF _Ref114216979 \h </w:instrText>
      </w:r>
      <w:r w:rsidR="003523C8">
        <w:rPr>
          <w:rStyle w:val="CrossReferenceChar"/>
        </w:rPr>
        <w:instrText xml:space="preserve"> \* MERGEFORMAT </w:instrText>
      </w:r>
      <w:r w:rsidR="003523C8" w:rsidRPr="002E70A1">
        <w:rPr>
          <w:rStyle w:val="CrossReferenceChar"/>
        </w:rPr>
      </w:r>
      <w:r w:rsidR="003523C8" w:rsidRPr="002E70A1">
        <w:rPr>
          <w:rStyle w:val="CrossReferenceChar"/>
        </w:rPr>
        <w:fldChar w:fldCharType="separate"/>
      </w:r>
      <w:r w:rsidR="003523C8" w:rsidRPr="002E70A1">
        <w:rPr>
          <w:rStyle w:val="CrossReferenceChar"/>
        </w:rPr>
        <w:t>Changes to the 2022-23 PB Statements</w:t>
      </w:r>
      <w:r w:rsidR="003523C8" w:rsidRPr="002E70A1">
        <w:rPr>
          <w:rStyle w:val="CrossReferenceChar"/>
        </w:rPr>
        <w:fldChar w:fldCharType="end"/>
      </w:r>
      <w:r w:rsidR="003523C8" w:rsidRPr="002E70A1">
        <w:rPr>
          <w:rStyle w:val="CrossReferenceChar"/>
        </w:rPr>
        <w:t xml:space="preserve"> </w:t>
      </w:r>
      <w:r w:rsidR="003523C8" w:rsidRPr="002E70A1">
        <w:rPr>
          <w:rStyle w:val="CrossReferenceChar"/>
        </w:rPr>
        <w:fldChar w:fldCharType="begin"/>
      </w:r>
      <w:r w:rsidR="003523C8" w:rsidRPr="002E70A1">
        <w:rPr>
          <w:rStyle w:val="CrossReferenceChar"/>
        </w:rPr>
        <w:instrText xml:space="preserve"> REF _Ref114216982 \p \h </w:instrText>
      </w:r>
      <w:r w:rsidR="003523C8">
        <w:rPr>
          <w:rStyle w:val="CrossReferenceChar"/>
        </w:rPr>
        <w:instrText xml:space="preserve"> \* MERGEFORMAT </w:instrText>
      </w:r>
      <w:r w:rsidR="003523C8" w:rsidRPr="002E70A1">
        <w:rPr>
          <w:rStyle w:val="CrossReferenceChar"/>
        </w:rPr>
      </w:r>
      <w:r w:rsidR="003523C8" w:rsidRPr="002E70A1">
        <w:rPr>
          <w:rStyle w:val="CrossReferenceChar"/>
        </w:rPr>
        <w:fldChar w:fldCharType="separate"/>
      </w:r>
      <w:r w:rsidR="003523C8" w:rsidRPr="002E70A1">
        <w:rPr>
          <w:rStyle w:val="CrossReferenceChar"/>
        </w:rPr>
        <w:t>below</w:t>
      </w:r>
      <w:r w:rsidR="003523C8" w:rsidRPr="002E70A1">
        <w:rPr>
          <w:rStyle w:val="CrossReferenceChar"/>
        </w:rPr>
        <w:fldChar w:fldCharType="end"/>
      </w:r>
      <w:r w:rsidR="003523C8">
        <w:rPr>
          <w:rFonts w:cs="Calibri"/>
        </w:rPr>
        <w:t>.</w:t>
      </w:r>
    </w:p>
    <w:p w14:paraId="6A34EF04" w14:textId="7C70B8D0" w:rsidR="00847707" w:rsidRPr="00150391" w:rsidRDefault="008A0045" w:rsidP="00913329">
      <w:pPr>
        <w:pStyle w:val="Numbered"/>
        <w:rPr>
          <w:rFonts w:cs="Calibri"/>
        </w:rPr>
      </w:pPr>
      <w:r w:rsidRPr="00150391">
        <w:rPr>
          <w:rFonts w:cs="Calibri"/>
        </w:rPr>
        <w:t xml:space="preserve">With the performance reporting table included in the word template under the heading labelled </w:t>
      </w:r>
      <w:r w:rsidRPr="00150391">
        <w:rPr>
          <w:rFonts w:cs="Calibri"/>
          <w:i/>
        </w:rPr>
        <w:t>Table 2.X.3 Performance measure for Outcome X</w:t>
      </w:r>
      <w:r w:rsidR="00847707" w:rsidRPr="00150391">
        <w:rPr>
          <w:rFonts w:cs="Calibri"/>
          <w:i/>
        </w:rPr>
        <w:t xml:space="preserve"> </w:t>
      </w:r>
      <w:r w:rsidR="00847707" w:rsidRPr="00150391">
        <w:rPr>
          <w:rFonts w:cs="Calibri"/>
        </w:rPr>
        <w:t>the following changes have been incorporated:</w:t>
      </w:r>
    </w:p>
    <w:p w14:paraId="59886683" w14:textId="6253589A" w:rsidR="00847707" w:rsidRPr="00150391" w:rsidRDefault="00847707" w:rsidP="002E70A1">
      <w:pPr>
        <w:pStyle w:val="LetteredList"/>
      </w:pPr>
      <w:r w:rsidRPr="00150391">
        <w:t>the ‘Current Year 2021-22’ has been relabelled to ‘Prior year 2021-22’</w:t>
      </w:r>
      <w:r w:rsidR="00A40A6D">
        <w:t>,</w:t>
      </w:r>
      <w:r w:rsidRPr="00150391">
        <w:t xml:space="preserve"> and</w:t>
      </w:r>
    </w:p>
    <w:p w14:paraId="63F22CE9" w14:textId="2DB79D97" w:rsidR="009119D0" w:rsidRPr="00150391" w:rsidRDefault="008A0045" w:rsidP="002E70A1">
      <w:pPr>
        <w:pStyle w:val="LetteredList"/>
      </w:pPr>
      <w:r w:rsidRPr="00150391">
        <w:t xml:space="preserve">the </w:t>
      </w:r>
      <w:r w:rsidR="00847707" w:rsidRPr="00150391">
        <w:t xml:space="preserve">Prior year’s </w:t>
      </w:r>
      <w:r w:rsidRPr="00150391">
        <w:t xml:space="preserve">measure </w:t>
      </w:r>
      <w:r w:rsidR="00847707" w:rsidRPr="00150391">
        <w:t>titled</w:t>
      </w:r>
      <w:r w:rsidRPr="00150391">
        <w:t xml:space="preserve"> ‘</w:t>
      </w:r>
      <w:r w:rsidR="00847707" w:rsidRPr="00150391">
        <w:t>E</w:t>
      </w:r>
      <w:r w:rsidRPr="00150391">
        <w:t>xpected performance results’ has been amended to ‘</w:t>
      </w:r>
      <w:r w:rsidR="00847707" w:rsidRPr="00150391">
        <w:t>A</w:t>
      </w:r>
      <w:r w:rsidRPr="00150391">
        <w:t xml:space="preserve">ctual performance results’ </w:t>
      </w:r>
      <w:r w:rsidR="00847707" w:rsidRPr="00150391">
        <w:t xml:space="preserve">in the October </w:t>
      </w:r>
      <w:r w:rsidRPr="00150391">
        <w:t>2021-22 PB statement word template.</w:t>
      </w:r>
    </w:p>
    <w:p w14:paraId="599CB7A0" w14:textId="77777777" w:rsidR="002B4935" w:rsidRDefault="00D10947" w:rsidP="00913329">
      <w:pPr>
        <w:pStyle w:val="Numbered"/>
        <w:numPr>
          <w:ilvl w:val="0"/>
          <w:numId w:val="0"/>
        </w:numPr>
        <w:ind w:left="360"/>
        <w:rPr>
          <w:rFonts w:cs="Calibri"/>
        </w:rPr>
      </w:pPr>
      <w:r w:rsidRPr="00150391">
        <w:rPr>
          <w:rFonts w:cs="Calibri"/>
        </w:rPr>
        <w:t xml:space="preserve">The changes bring the PB statement performance reporting </w:t>
      </w:r>
      <w:r w:rsidR="00346128" w:rsidRPr="00150391">
        <w:rPr>
          <w:rFonts w:cs="Calibri"/>
        </w:rPr>
        <w:t xml:space="preserve">information </w:t>
      </w:r>
      <w:r w:rsidRPr="00150391">
        <w:rPr>
          <w:rFonts w:cs="Calibri"/>
        </w:rPr>
        <w:t>into closer alignment with entities</w:t>
      </w:r>
      <w:r w:rsidR="00346128" w:rsidRPr="00150391">
        <w:rPr>
          <w:rFonts w:cs="Calibri"/>
        </w:rPr>
        <w:t>’</w:t>
      </w:r>
      <w:r w:rsidRPr="00150391">
        <w:rPr>
          <w:rFonts w:cs="Calibri"/>
        </w:rPr>
        <w:t xml:space="preserve"> </w:t>
      </w:r>
      <w:r w:rsidR="00346128" w:rsidRPr="00150391">
        <w:rPr>
          <w:rFonts w:cs="Calibri"/>
        </w:rPr>
        <w:t>2021-22 annual reports</w:t>
      </w:r>
      <w:r w:rsidRPr="00150391">
        <w:rPr>
          <w:rFonts w:cs="Calibri"/>
        </w:rPr>
        <w:t xml:space="preserve">.  This is required due to the </w:t>
      </w:r>
      <w:r w:rsidR="00346128" w:rsidRPr="00150391">
        <w:rPr>
          <w:rFonts w:cs="Calibri"/>
        </w:rPr>
        <w:t xml:space="preserve">timing for when the </w:t>
      </w:r>
      <w:r w:rsidR="00A53D43" w:rsidRPr="00150391">
        <w:rPr>
          <w:rFonts w:cs="Calibri"/>
        </w:rPr>
        <w:t xml:space="preserve">October </w:t>
      </w:r>
      <w:r w:rsidRPr="00150391">
        <w:rPr>
          <w:rFonts w:cs="Calibri"/>
        </w:rPr>
        <w:t xml:space="preserve">2022-23 PB statements </w:t>
      </w:r>
      <w:r w:rsidR="00346128" w:rsidRPr="00150391">
        <w:rPr>
          <w:rFonts w:cs="Calibri"/>
        </w:rPr>
        <w:t xml:space="preserve">are </w:t>
      </w:r>
      <w:r w:rsidRPr="00150391">
        <w:rPr>
          <w:rFonts w:cs="Calibri"/>
        </w:rPr>
        <w:t xml:space="preserve">tabled </w:t>
      </w:r>
      <w:r w:rsidR="00346128" w:rsidRPr="00150391">
        <w:rPr>
          <w:rFonts w:cs="Calibri"/>
        </w:rPr>
        <w:t xml:space="preserve">which will occur </w:t>
      </w:r>
      <w:r w:rsidRPr="00150391">
        <w:rPr>
          <w:rFonts w:cs="Calibri"/>
        </w:rPr>
        <w:t xml:space="preserve">after the </w:t>
      </w:r>
      <w:r w:rsidR="00346128" w:rsidRPr="00150391">
        <w:rPr>
          <w:rFonts w:cs="Calibri"/>
        </w:rPr>
        <w:t xml:space="preserve">close </w:t>
      </w:r>
      <w:r w:rsidR="002D26AC" w:rsidRPr="00150391">
        <w:rPr>
          <w:rFonts w:cs="Calibri"/>
        </w:rPr>
        <w:t xml:space="preserve">of the </w:t>
      </w:r>
      <w:r w:rsidRPr="00150391">
        <w:rPr>
          <w:rFonts w:cs="Calibri"/>
        </w:rPr>
        <w:t>202</w:t>
      </w:r>
      <w:r w:rsidR="002D26AC" w:rsidRPr="00150391">
        <w:rPr>
          <w:rFonts w:cs="Calibri"/>
        </w:rPr>
        <w:t>1-22 financial year.</w:t>
      </w:r>
    </w:p>
    <w:p w14:paraId="782568B8" w14:textId="258E4D77" w:rsidR="00D10947" w:rsidRDefault="002B4935" w:rsidP="0073409A">
      <w:pPr>
        <w:ind w:left="360"/>
      </w:pPr>
      <w:r w:rsidRPr="002B4935">
        <w:t>For further information, entities should refer to section</w:t>
      </w:r>
      <w:r>
        <w:t xml:space="preserve"> </w:t>
      </w:r>
      <w:r w:rsidRPr="0073409A">
        <w:rPr>
          <w:color w:val="0070C0"/>
          <w:u w:val="single"/>
        </w:rPr>
        <w:fldChar w:fldCharType="begin"/>
      </w:r>
      <w:r w:rsidRPr="0073409A">
        <w:rPr>
          <w:color w:val="0070C0"/>
          <w:u w:val="single"/>
        </w:rPr>
        <w:instrText xml:space="preserve"> REF _Ref112926220 \r \h  \* MERGEFORMAT </w:instrText>
      </w:r>
      <w:r w:rsidRPr="0073409A">
        <w:rPr>
          <w:color w:val="0070C0"/>
          <w:u w:val="single"/>
        </w:rPr>
      </w:r>
      <w:r w:rsidRPr="0073409A">
        <w:rPr>
          <w:color w:val="0070C0"/>
          <w:u w:val="single"/>
        </w:rPr>
        <w:fldChar w:fldCharType="separate"/>
      </w:r>
      <w:r w:rsidR="0073409A">
        <w:rPr>
          <w:color w:val="0070C0"/>
          <w:u w:val="single"/>
        </w:rPr>
        <w:t>10.7</w:t>
      </w:r>
      <w:r w:rsidRPr="0073409A">
        <w:rPr>
          <w:color w:val="0070C0"/>
          <w:u w:val="single"/>
        </w:rPr>
        <w:fldChar w:fldCharType="end"/>
      </w:r>
      <w:r w:rsidRPr="0073409A">
        <w:rPr>
          <w:color w:val="0070C0"/>
          <w:u w:val="single"/>
        </w:rPr>
        <w:t xml:space="preserve"> </w:t>
      </w:r>
      <w:r w:rsidRPr="0073409A">
        <w:rPr>
          <w:color w:val="0070C0"/>
          <w:u w:val="single"/>
        </w:rPr>
        <w:fldChar w:fldCharType="begin"/>
      </w:r>
      <w:r w:rsidRPr="0073409A">
        <w:rPr>
          <w:color w:val="0070C0"/>
          <w:u w:val="single"/>
        </w:rPr>
        <w:instrText xml:space="preserve"> REF _Ref112926229 \h  \* MERGEFORMAT </w:instrText>
      </w:r>
      <w:r w:rsidRPr="0073409A">
        <w:rPr>
          <w:color w:val="0070C0"/>
          <w:u w:val="single"/>
        </w:rPr>
      </w:r>
      <w:r w:rsidRPr="0073409A">
        <w:rPr>
          <w:color w:val="0070C0"/>
          <w:u w:val="single"/>
        </w:rPr>
        <w:fldChar w:fldCharType="separate"/>
      </w:r>
      <w:r w:rsidR="0073409A" w:rsidRPr="0073409A">
        <w:rPr>
          <w:color w:val="0070C0"/>
          <w:u w:val="single"/>
        </w:rPr>
        <w:t>Overview of table 2.X.3 – performance information</w:t>
      </w:r>
      <w:r w:rsidRPr="0073409A">
        <w:rPr>
          <w:color w:val="0070C0"/>
          <w:u w:val="single"/>
        </w:rPr>
        <w:fldChar w:fldCharType="end"/>
      </w:r>
      <w:r>
        <w:t xml:space="preserve"> </w:t>
      </w:r>
      <w:r>
        <w:fldChar w:fldCharType="begin"/>
      </w:r>
      <w:r>
        <w:instrText xml:space="preserve"> REF _Ref112926234 \p \h  \* MERGEFORMAT </w:instrText>
      </w:r>
      <w:r>
        <w:fldChar w:fldCharType="separate"/>
      </w:r>
      <w:r w:rsidR="0073409A">
        <w:t>below</w:t>
      </w:r>
      <w:r>
        <w:fldChar w:fldCharType="end"/>
      </w:r>
      <w:r>
        <w:t>.</w:t>
      </w:r>
    </w:p>
    <w:p w14:paraId="5F3E9F87" w14:textId="77777777" w:rsidR="00E011DC" w:rsidRDefault="00E011DC" w:rsidP="0073409A">
      <w:pPr>
        <w:ind w:left="360"/>
      </w:pPr>
    </w:p>
    <w:p w14:paraId="1A4ABB4C" w14:textId="77777777" w:rsidR="002741D3" w:rsidRPr="00150391" w:rsidRDefault="002741D3" w:rsidP="00913329">
      <w:pPr>
        <w:rPr>
          <w:rFonts w:cs="Calibri"/>
        </w:rPr>
      </w:pPr>
      <w:r w:rsidRPr="00150391">
        <w:rPr>
          <w:rFonts w:cs="Calibri"/>
        </w:rPr>
        <w:br w:type="page"/>
      </w:r>
    </w:p>
    <w:p w14:paraId="3FFFFFF1" w14:textId="72794E32" w:rsidR="00B751D1" w:rsidRPr="00150391" w:rsidRDefault="53BF0693" w:rsidP="00CF6BE7">
      <w:pPr>
        <w:pStyle w:val="Heading1Numbered"/>
        <w:rPr>
          <w:rFonts w:ascii="Calibri" w:hAnsi="Calibri" w:cs="Calibri"/>
        </w:rPr>
      </w:pPr>
      <w:bookmarkStart w:id="29" w:name="_Toc86764894"/>
      <w:bookmarkStart w:id="30" w:name="_Toc87979813"/>
      <w:bookmarkStart w:id="31" w:name="_Toc86764895"/>
      <w:bookmarkStart w:id="32" w:name="_Toc87979814"/>
      <w:bookmarkStart w:id="33" w:name="_Toc86764896"/>
      <w:bookmarkStart w:id="34" w:name="_Toc87979815"/>
      <w:bookmarkStart w:id="35" w:name="_Toc86764897"/>
      <w:bookmarkStart w:id="36" w:name="_Toc87979816"/>
      <w:bookmarkStart w:id="37" w:name="_Toc61874954"/>
      <w:bookmarkStart w:id="38" w:name="_Toc62648805"/>
      <w:bookmarkStart w:id="39" w:name="_Toc61874955"/>
      <w:bookmarkStart w:id="40" w:name="_Toc62648806"/>
      <w:bookmarkStart w:id="41" w:name="_Toc61874956"/>
      <w:bookmarkStart w:id="42" w:name="_Toc62648807"/>
      <w:bookmarkStart w:id="43" w:name="_Toc61874957"/>
      <w:bookmarkStart w:id="44" w:name="_Toc62648808"/>
      <w:bookmarkStart w:id="45" w:name="_Toc114576248"/>
      <w:bookmarkStart w:id="46" w:name="_Toc63347666"/>
      <w:bookmarkStart w:id="47" w:name="_Toc86418226"/>
      <w:bookmarkStart w:id="48" w:name="_Ref114216974"/>
      <w:bookmarkStart w:id="49" w:name="_Ref114216979"/>
      <w:bookmarkStart w:id="50" w:name="_Ref11421698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50391">
        <w:rPr>
          <w:rFonts w:ascii="Calibri" w:hAnsi="Calibri" w:cs="Calibri"/>
        </w:rPr>
        <w:t xml:space="preserve">Changes </w:t>
      </w:r>
      <w:r w:rsidR="008623FE" w:rsidRPr="00150391">
        <w:rPr>
          <w:rFonts w:ascii="Calibri" w:hAnsi="Calibri" w:cs="Calibri"/>
        </w:rPr>
        <w:t>to</w:t>
      </w:r>
      <w:r w:rsidRPr="00150391">
        <w:rPr>
          <w:rFonts w:ascii="Calibri" w:hAnsi="Calibri" w:cs="Calibri"/>
        </w:rPr>
        <w:t xml:space="preserve"> </w:t>
      </w:r>
      <w:r w:rsidR="008623FE" w:rsidRPr="00150391">
        <w:rPr>
          <w:rFonts w:ascii="Calibri" w:hAnsi="Calibri" w:cs="Calibri"/>
        </w:rPr>
        <w:t xml:space="preserve">the </w:t>
      </w:r>
      <w:r w:rsidRPr="00150391">
        <w:rPr>
          <w:rFonts w:ascii="Calibri" w:hAnsi="Calibri" w:cs="Calibri"/>
        </w:rPr>
        <w:t>202</w:t>
      </w:r>
      <w:r w:rsidR="004B35D0" w:rsidRPr="00150391">
        <w:rPr>
          <w:rFonts w:ascii="Calibri" w:hAnsi="Calibri" w:cs="Calibri"/>
        </w:rPr>
        <w:t>2</w:t>
      </w:r>
      <w:r w:rsidRPr="00150391">
        <w:rPr>
          <w:rFonts w:ascii="Calibri" w:hAnsi="Calibri" w:cs="Calibri"/>
        </w:rPr>
        <w:t>-2</w:t>
      </w:r>
      <w:r w:rsidR="004B35D0" w:rsidRPr="00150391">
        <w:rPr>
          <w:rFonts w:ascii="Calibri" w:hAnsi="Calibri" w:cs="Calibri"/>
        </w:rPr>
        <w:t>3</w:t>
      </w:r>
      <w:r w:rsidRPr="00150391">
        <w:rPr>
          <w:rFonts w:ascii="Calibri" w:hAnsi="Calibri" w:cs="Calibri"/>
        </w:rPr>
        <w:t xml:space="preserve"> PB Statement</w:t>
      </w:r>
      <w:bookmarkEnd w:id="45"/>
      <w:bookmarkEnd w:id="28"/>
      <w:bookmarkEnd w:id="46"/>
      <w:bookmarkEnd w:id="47"/>
      <w:bookmarkEnd w:id="48"/>
      <w:bookmarkEnd w:id="49"/>
      <w:bookmarkEnd w:id="50"/>
    </w:p>
    <w:p w14:paraId="58A1F38E" w14:textId="5205BFE2" w:rsidR="00E011DC" w:rsidRPr="002E70A1" w:rsidRDefault="00DF4B7F" w:rsidP="002E70A1">
      <w:pPr>
        <w:pStyle w:val="Heading2Numbered"/>
      </w:pPr>
      <w:bookmarkStart w:id="51" w:name="1.2_Who_should_prepare_PB_Statements"/>
      <w:bookmarkStart w:id="52" w:name="_Toc29980636"/>
      <w:bookmarkStart w:id="53" w:name="_Toc30405511"/>
      <w:bookmarkStart w:id="54" w:name="_Toc30581252"/>
      <w:bookmarkStart w:id="55" w:name="_Toc32829914"/>
      <w:bookmarkStart w:id="56" w:name="_Toc32917416"/>
      <w:bookmarkStart w:id="57" w:name="_Toc32918222"/>
      <w:bookmarkStart w:id="58" w:name="_Toc32999605"/>
      <w:bookmarkStart w:id="59" w:name="_Toc33099324"/>
      <w:bookmarkStart w:id="60" w:name="_Toc33195954"/>
      <w:bookmarkStart w:id="61" w:name="_Toc33196256"/>
      <w:bookmarkStart w:id="62" w:name="_Toc29394517"/>
      <w:bookmarkStart w:id="63" w:name="_Toc29394815"/>
      <w:bookmarkStart w:id="64" w:name="_Toc29394946"/>
      <w:bookmarkStart w:id="65" w:name="_Toc29395342"/>
      <w:bookmarkStart w:id="66" w:name="_Toc29395428"/>
      <w:bookmarkStart w:id="67" w:name="_Toc29396859"/>
      <w:bookmarkStart w:id="68" w:name="_Toc29478096"/>
      <w:bookmarkStart w:id="69" w:name="_Toc29481833"/>
      <w:bookmarkStart w:id="70" w:name="_Toc29544135"/>
      <w:bookmarkStart w:id="71" w:name="_Toc29544722"/>
      <w:bookmarkStart w:id="72" w:name="_Toc29544797"/>
      <w:bookmarkStart w:id="73" w:name="_Toc29546661"/>
      <w:bookmarkStart w:id="74" w:name="_Toc29980637"/>
      <w:bookmarkStart w:id="75" w:name="_Toc30405512"/>
      <w:bookmarkStart w:id="76" w:name="_Toc30581253"/>
      <w:bookmarkStart w:id="77" w:name="_Toc32829915"/>
      <w:bookmarkStart w:id="78" w:name="_Toc32917417"/>
      <w:bookmarkStart w:id="79" w:name="_Toc32918223"/>
      <w:bookmarkStart w:id="80" w:name="_Toc32999606"/>
      <w:bookmarkStart w:id="81" w:name="_Toc33099325"/>
      <w:bookmarkStart w:id="82" w:name="_Toc33195955"/>
      <w:bookmarkStart w:id="83" w:name="_Toc33196257"/>
      <w:bookmarkStart w:id="84" w:name="_Toc29980638"/>
      <w:bookmarkStart w:id="85" w:name="_Toc30405513"/>
      <w:bookmarkStart w:id="86" w:name="_Toc30581254"/>
      <w:bookmarkStart w:id="87" w:name="_Toc32829916"/>
      <w:bookmarkStart w:id="88" w:name="_Toc32917418"/>
      <w:bookmarkStart w:id="89" w:name="_Toc32918224"/>
      <w:bookmarkStart w:id="90" w:name="_Toc32999607"/>
      <w:bookmarkStart w:id="91" w:name="_Toc33099326"/>
      <w:bookmarkStart w:id="92" w:name="_Toc33195956"/>
      <w:bookmarkStart w:id="93" w:name="_Toc33196258"/>
      <w:bookmarkStart w:id="94" w:name="_Toc63347667"/>
      <w:bookmarkStart w:id="95" w:name="_Toc86418227"/>
      <w:bookmarkStart w:id="96" w:name="_Toc114576249"/>
      <w:bookmarkStart w:id="97" w:name="_Toc50446880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 xml:space="preserve">Changes to </w:t>
      </w:r>
      <w:r w:rsidR="00BA785C" w:rsidRPr="002E70A1">
        <w:t>T</w:t>
      </w:r>
      <w:r w:rsidR="004B35D0" w:rsidRPr="002E70A1">
        <w:t>able</w:t>
      </w:r>
      <w:bookmarkEnd w:id="94"/>
      <w:bookmarkEnd w:id="95"/>
      <w:r w:rsidR="00BA785C" w:rsidRPr="002E70A1">
        <w:t xml:space="preserve"> 1.2 October 2022-23 Budget measures</w:t>
      </w:r>
      <w:bookmarkEnd w:id="96"/>
    </w:p>
    <w:p w14:paraId="3B78D9BD" w14:textId="7B7A555F" w:rsidR="00BA785C" w:rsidRPr="00BA785C" w:rsidRDefault="00BA785C" w:rsidP="002E70A1">
      <w:pPr>
        <w:pStyle w:val="Heading3Numbered"/>
      </w:pPr>
      <w:bookmarkStart w:id="98" w:name="_Toc114576250"/>
      <w:r>
        <w:t>Reporting of (nfp) in the PB statement</w:t>
      </w:r>
      <w:bookmarkEnd w:id="98"/>
    </w:p>
    <w:p w14:paraId="4033A71D" w14:textId="7F82512A" w:rsidR="004B35D0" w:rsidRPr="00150391" w:rsidRDefault="008623FE" w:rsidP="000A7DEC">
      <w:pPr>
        <w:rPr>
          <w:rFonts w:cs="Calibri"/>
        </w:rPr>
      </w:pPr>
      <w:r w:rsidRPr="00150391">
        <w:rPr>
          <w:rFonts w:cs="Calibri"/>
        </w:rPr>
        <w:t xml:space="preserve">Where an entity reports a measure </w:t>
      </w:r>
      <w:r w:rsidR="00945487" w:rsidRPr="00150391">
        <w:rPr>
          <w:rFonts w:cs="Calibri"/>
        </w:rPr>
        <w:t>as</w:t>
      </w:r>
      <w:r w:rsidR="00FD472D" w:rsidRPr="00150391">
        <w:rPr>
          <w:rFonts w:cs="Calibri"/>
        </w:rPr>
        <w:t xml:space="preserve"> not for publication (</w:t>
      </w:r>
      <w:r w:rsidRPr="00150391">
        <w:rPr>
          <w:rFonts w:cs="Calibri"/>
        </w:rPr>
        <w:t>nfp</w:t>
      </w:r>
      <w:r w:rsidR="00FD472D" w:rsidRPr="00150391">
        <w:rPr>
          <w:rFonts w:cs="Calibri"/>
        </w:rPr>
        <w:t>)</w:t>
      </w:r>
      <w:r w:rsidRPr="00150391">
        <w:rPr>
          <w:rFonts w:cs="Calibri"/>
        </w:rPr>
        <w:t xml:space="preserve"> in their PB statement, a brief explanation </w:t>
      </w:r>
      <w:r w:rsidR="00945487" w:rsidRPr="00150391">
        <w:rPr>
          <w:rFonts w:cs="Calibri"/>
        </w:rPr>
        <w:t xml:space="preserve">must </w:t>
      </w:r>
      <w:r w:rsidRPr="00150391">
        <w:rPr>
          <w:rFonts w:cs="Calibri"/>
        </w:rPr>
        <w:t xml:space="preserve">be included </w:t>
      </w:r>
      <w:r w:rsidR="00C146FF" w:rsidRPr="00150391">
        <w:rPr>
          <w:rFonts w:cs="Calibri"/>
        </w:rPr>
        <w:t xml:space="preserve">to </w:t>
      </w:r>
      <w:r w:rsidR="00701E93" w:rsidRPr="00150391">
        <w:rPr>
          <w:rFonts w:cs="Calibri"/>
        </w:rPr>
        <w:t>describe</w:t>
      </w:r>
      <w:r w:rsidR="00945487" w:rsidRPr="00150391">
        <w:rPr>
          <w:rFonts w:cs="Calibri"/>
        </w:rPr>
        <w:t xml:space="preserve"> </w:t>
      </w:r>
      <w:r w:rsidRPr="00150391">
        <w:rPr>
          <w:rFonts w:cs="Calibri"/>
        </w:rPr>
        <w:t xml:space="preserve">to </w:t>
      </w:r>
      <w:r w:rsidR="00945487" w:rsidRPr="00150391">
        <w:rPr>
          <w:rFonts w:cs="Calibri"/>
        </w:rPr>
        <w:t>r</w:t>
      </w:r>
      <w:r w:rsidR="006717AB" w:rsidRPr="00150391">
        <w:rPr>
          <w:rFonts w:cs="Calibri"/>
        </w:rPr>
        <w:t>eaders</w:t>
      </w:r>
      <w:r w:rsidRPr="00150391">
        <w:rPr>
          <w:rFonts w:cs="Calibri"/>
        </w:rPr>
        <w:t xml:space="preserve"> of the PB statement why the measure has been reported this way.</w:t>
      </w:r>
      <w:r w:rsidR="004E7A44" w:rsidRPr="00150391">
        <w:rPr>
          <w:rFonts w:cs="Calibri"/>
        </w:rPr>
        <w:t xml:space="preserve"> This is a new requirement for the 2022-23 and future Budgets.</w:t>
      </w:r>
    </w:p>
    <w:p w14:paraId="189ED968" w14:textId="55A0FC9E" w:rsidR="008623FE" w:rsidRDefault="008623FE" w:rsidP="000A7DEC">
      <w:pPr>
        <w:rPr>
          <w:rFonts w:cs="Calibri"/>
        </w:rPr>
      </w:pPr>
      <w:r w:rsidRPr="00150391">
        <w:rPr>
          <w:rFonts w:cs="Calibri"/>
        </w:rPr>
        <w:t xml:space="preserve">For further </w:t>
      </w:r>
      <w:r w:rsidR="002A50AB" w:rsidRPr="00150391">
        <w:rPr>
          <w:rFonts w:cs="Calibri"/>
        </w:rPr>
        <w:t>guidance</w:t>
      </w:r>
      <w:r w:rsidRPr="00150391">
        <w:rPr>
          <w:rFonts w:cs="Calibri"/>
        </w:rPr>
        <w:t xml:space="preserve">, please refer to section </w:t>
      </w:r>
      <w:r w:rsidRPr="002B4935">
        <w:rPr>
          <w:rFonts w:cs="Calibri"/>
          <w:color w:val="0070C0"/>
        </w:rPr>
        <w:fldChar w:fldCharType="begin"/>
      </w:r>
      <w:r w:rsidRPr="002B4935">
        <w:rPr>
          <w:rStyle w:val="CrossReferenceChar"/>
          <w:rFonts w:cs="Calibri"/>
          <w:color w:val="0070C0"/>
        </w:rPr>
        <w:instrText xml:space="preserve"> REF _Ref86420508 \n \h  \* MERGEFORMAT </w:instrText>
      </w:r>
      <w:r w:rsidRPr="002B4935">
        <w:rPr>
          <w:rFonts w:cs="Calibri"/>
          <w:color w:val="0070C0"/>
        </w:rPr>
      </w:r>
      <w:r w:rsidRPr="002B4935">
        <w:rPr>
          <w:rStyle w:val="CrossReferenceChar"/>
          <w:color w:val="0070C0"/>
        </w:rPr>
        <w:fldChar w:fldCharType="separate"/>
      </w:r>
      <w:r w:rsidR="0073409A">
        <w:rPr>
          <w:rStyle w:val="CrossReferenceChar"/>
          <w:rFonts w:cs="Calibri"/>
          <w:color w:val="0070C0"/>
        </w:rPr>
        <w:t>9.5</w:t>
      </w:r>
      <w:r w:rsidRPr="002B4935">
        <w:rPr>
          <w:rFonts w:cs="Calibri"/>
          <w:color w:val="0070C0"/>
        </w:rPr>
        <w:fldChar w:fldCharType="end"/>
      </w:r>
      <w:r w:rsidRPr="002B4935">
        <w:rPr>
          <w:rStyle w:val="CrossReferenceChar"/>
          <w:rFonts w:cs="Calibri"/>
          <w:color w:val="0070C0"/>
        </w:rPr>
        <w:t xml:space="preserve"> </w:t>
      </w:r>
      <w:r w:rsidRPr="002B4935">
        <w:rPr>
          <w:rFonts w:cs="Calibri"/>
          <w:color w:val="0070C0"/>
        </w:rPr>
        <w:fldChar w:fldCharType="begin"/>
      </w:r>
      <w:r w:rsidRPr="002B4935">
        <w:rPr>
          <w:rStyle w:val="CrossReferenceChar"/>
          <w:rFonts w:cs="Calibri"/>
          <w:color w:val="0070C0"/>
        </w:rPr>
        <w:instrText xml:space="preserve"> REF _Ref86420554 \h  \* MERGEFORMAT </w:instrText>
      </w:r>
      <w:r w:rsidRPr="002B4935">
        <w:rPr>
          <w:rFonts w:cs="Calibri"/>
          <w:color w:val="0070C0"/>
        </w:rPr>
      </w:r>
      <w:r w:rsidRPr="002B4935">
        <w:rPr>
          <w:rStyle w:val="CrossReferenceChar"/>
          <w:color w:val="0070C0"/>
        </w:rPr>
        <w:fldChar w:fldCharType="separate"/>
      </w:r>
      <w:r w:rsidR="0073409A" w:rsidRPr="0073409A">
        <w:rPr>
          <w:rStyle w:val="CrossReferenceChar"/>
          <w:color w:val="0070C0"/>
        </w:rPr>
        <w:t>Measures earmarked as ‘not for publication’</w:t>
      </w:r>
      <w:r w:rsidRPr="002B4935">
        <w:rPr>
          <w:rFonts w:cs="Calibri"/>
          <w:color w:val="0070C0"/>
        </w:rPr>
        <w:fldChar w:fldCharType="end"/>
      </w:r>
      <w:r w:rsidRPr="00150391">
        <w:rPr>
          <w:rFonts w:cs="Calibri"/>
        </w:rPr>
        <w:t xml:space="preserve"> </w:t>
      </w:r>
      <w:r w:rsidRPr="00150391">
        <w:rPr>
          <w:rFonts w:cs="Calibri"/>
        </w:rPr>
        <w:fldChar w:fldCharType="begin"/>
      </w:r>
      <w:r w:rsidRPr="00150391">
        <w:rPr>
          <w:rFonts w:cs="Calibri"/>
        </w:rPr>
        <w:instrText xml:space="preserve"> REF _Ref86420596 \p \h </w:instrText>
      </w:r>
      <w:r w:rsidR="00150391">
        <w:rPr>
          <w:rFonts w:cs="Calibri"/>
        </w:rPr>
        <w:instrText xml:space="preserve"> \* MERGEFORMAT </w:instrText>
      </w:r>
      <w:r w:rsidRPr="00150391">
        <w:rPr>
          <w:rFonts w:cs="Calibri"/>
        </w:rPr>
      </w:r>
      <w:r w:rsidRPr="00150391">
        <w:rPr>
          <w:rFonts w:cs="Calibri"/>
        </w:rPr>
        <w:fldChar w:fldCharType="separate"/>
      </w:r>
      <w:r w:rsidR="0073409A">
        <w:rPr>
          <w:rFonts w:cs="Calibri"/>
        </w:rPr>
        <w:t>below</w:t>
      </w:r>
      <w:r w:rsidRPr="00150391">
        <w:rPr>
          <w:rFonts w:cs="Calibri"/>
        </w:rPr>
        <w:fldChar w:fldCharType="end"/>
      </w:r>
      <w:r w:rsidRPr="00150391">
        <w:rPr>
          <w:rFonts w:cs="Calibri"/>
        </w:rPr>
        <w:t>.</w:t>
      </w:r>
    </w:p>
    <w:p w14:paraId="1C082AEB" w14:textId="440148A3" w:rsidR="00E011DC" w:rsidRDefault="00454729" w:rsidP="002E70A1">
      <w:pPr>
        <w:pStyle w:val="Heading3Numbered"/>
      </w:pPr>
      <w:bookmarkStart w:id="99" w:name="_Toc114576251"/>
      <w:r>
        <w:t>Table 1.2: Entity October 2022-23 Budget Measures</w:t>
      </w:r>
      <w:bookmarkEnd w:id="99"/>
    </w:p>
    <w:p w14:paraId="520252C0" w14:textId="1E672110" w:rsidR="0060490E" w:rsidRDefault="0060490E">
      <w:r>
        <w:t xml:space="preserve">The </w:t>
      </w:r>
      <w:r w:rsidR="00454729">
        <w:t xml:space="preserve">table’s </w:t>
      </w:r>
      <w:r>
        <w:t xml:space="preserve">title </w:t>
      </w:r>
      <w:r w:rsidR="00454729">
        <w:t xml:space="preserve">has been amended to read as </w:t>
      </w:r>
      <w:r>
        <w:rPr>
          <w:i/>
        </w:rPr>
        <w:t>‘</w:t>
      </w:r>
      <w:r w:rsidRPr="002E70A1">
        <w:rPr>
          <w:i/>
        </w:rPr>
        <w:t>Table 1.2 Entity October 2022-23 Budget measures</w:t>
      </w:r>
      <w:r>
        <w:rPr>
          <w:i/>
        </w:rPr>
        <w:t>’</w:t>
      </w:r>
      <w:r w:rsidR="00DF4B7F">
        <w:t xml:space="preserve"> with the </w:t>
      </w:r>
      <w:r w:rsidR="00BA785C" w:rsidRPr="00BA785C">
        <w:t xml:space="preserve">Part 1 sub-table </w:t>
      </w:r>
      <w:r w:rsidR="00454729">
        <w:t xml:space="preserve">title reading as </w:t>
      </w:r>
      <w:r w:rsidR="00DF4B7F" w:rsidRPr="002E70A1">
        <w:rPr>
          <w:i/>
        </w:rPr>
        <w:t>‘Part 1: M</w:t>
      </w:r>
      <w:r w:rsidR="00BA785C" w:rsidRPr="002E70A1">
        <w:rPr>
          <w:i/>
        </w:rPr>
        <w:t>easures announced since the March 2022-23 Budget</w:t>
      </w:r>
      <w:r w:rsidR="00DF4B7F" w:rsidRPr="002E70A1">
        <w:rPr>
          <w:i/>
        </w:rPr>
        <w:t>’</w:t>
      </w:r>
      <w:r w:rsidR="00BA785C" w:rsidRPr="00BA785C">
        <w:t>.</w:t>
      </w:r>
    </w:p>
    <w:p w14:paraId="73A45DFB" w14:textId="7F334E71" w:rsidR="0060490E" w:rsidRDefault="0060490E">
      <w:r w:rsidRPr="0060490E">
        <w:rPr>
          <w:noProof/>
          <w:lang w:eastAsia="en-AU"/>
        </w:rPr>
        <w:drawing>
          <wp:inline distT="0" distB="0" distL="0" distR="0" wp14:anchorId="6E555489" wp14:editId="0DBE42F7">
            <wp:extent cx="4078800" cy="1306800"/>
            <wp:effectExtent l="19050" t="19050" r="17145" b="273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8800" cy="1306800"/>
                    </a:xfrm>
                    <a:prstGeom prst="rect">
                      <a:avLst/>
                    </a:prstGeom>
                    <a:ln>
                      <a:solidFill>
                        <a:schemeClr val="tx1"/>
                      </a:solidFill>
                    </a:ln>
                  </pic:spPr>
                </pic:pic>
              </a:graphicData>
            </a:graphic>
          </wp:inline>
        </w:drawing>
      </w:r>
    </w:p>
    <w:p w14:paraId="4938482F" w14:textId="51662307" w:rsidR="00BA785C" w:rsidRDefault="00BA785C">
      <w:r w:rsidRPr="00BA785C">
        <w:t xml:space="preserve">A couple of the table’s footnotes </w:t>
      </w:r>
      <w:r w:rsidR="00DF4B7F">
        <w:t xml:space="preserve">containing </w:t>
      </w:r>
      <w:r w:rsidR="00DF4B7F" w:rsidRPr="002E70A1">
        <w:rPr>
          <w:i/>
        </w:rPr>
        <w:t>‘Budget Paper No.2’</w:t>
      </w:r>
      <w:r w:rsidR="00DF4B7F">
        <w:t xml:space="preserve"> references were </w:t>
      </w:r>
      <w:r w:rsidRPr="00BA785C">
        <w:t xml:space="preserve">amended </w:t>
      </w:r>
      <w:r w:rsidR="00454729">
        <w:t xml:space="preserve">as well </w:t>
      </w:r>
      <w:r w:rsidRPr="00BA785C">
        <w:t xml:space="preserve">to refer to the </w:t>
      </w:r>
      <w:r w:rsidRPr="002E70A1">
        <w:rPr>
          <w:i/>
        </w:rPr>
        <w:t>‘October Budget Paper No.2’</w:t>
      </w:r>
      <w:r w:rsidRPr="00BA785C">
        <w:t xml:space="preserve"> </w:t>
      </w:r>
      <w:r w:rsidR="00454729">
        <w:t>for added clarity</w:t>
      </w:r>
      <w:r w:rsidR="00DF4B7F">
        <w:t>.</w:t>
      </w:r>
    </w:p>
    <w:p w14:paraId="7CF4C8DF" w14:textId="4CCB90B7" w:rsidR="00BA785C" w:rsidRDefault="00DF4B7F" w:rsidP="002E70A1">
      <w:pPr>
        <w:pStyle w:val="Heading2Numbered"/>
      </w:pPr>
      <w:bookmarkStart w:id="100" w:name="_Toc114576252"/>
      <w:r>
        <w:t xml:space="preserve">All </w:t>
      </w:r>
      <w:r w:rsidR="001E5187">
        <w:t xml:space="preserve">Other </w:t>
      </w:r>
      <w:r>
        <w:t xml:space="preserve">changes to </w:t>
      </w:r>
      <w:r w:rsidR="001E5187">
        <w:t>PB statement</w:t>
      </w:r>
      <w:r w:rsidR="00A83328">
        <w:t xml:space="preserve"> template shells</w:t>
      </w:r>
      <w:bookmarkEnd w:id="100"/>
    </w:p>
    <w:p w14:paraId="1F9C8CE7" w14:textId="275E500C" w:rsidR="00DF4B7F" w:rsidRPr="00DF4B7F" w:rsidRDefault="00DF4B7F" w:rsidP="002E70A1">
      <w:pPr>
        <w:pStyle w:val="Heading3Numbered"/>
      </w:pPr>
      <w:bookmarkStart w:id="101" w:name="_Toc114576253"/>
      <w:r>
        <w:t>T</w:t>
      </w:r>
      <w:r w:rsidRPr="00DF4B7F">
        <w:t xml:space="preserve">able </w:t>
      </w:r>
      <w:r w:rsidR="00603360">
        <w:t>1.1 Entity Resource Statement</w:t>
      </w:r>
      <w:r w:rsidRPr="00DF4B7F">
        <w:t xml:space="preserve"> amendments</w:t>
      </w:r>
      <w:bookmarkEnd w:id="101"/>
    </w:p>
    <w:p w14:paraId="2D2E3DB5" w14:textId="6B649A78" w:rsidR="00BA785C" w:rsidRDefault="00603360" w:rsidP="00DF4B7F">
      <w:r>
        <w:t xml:space="preserve">The </w:t>
      </w:r>
      <w:r w:rsidR="00ED2D44">
        <w:t xml:space="preserve">entity resource statement </w:t>
      </w:r>
      <w:r>
        <w:t>shells for both the NCCE</w:t>
      </w:r>
      <w:r w:rsidR="00ED2D44">
        <w:t>s</w:t>
      </w:r>
      <w:r>
        <w:t xml:space="preserve"> and CCE</w:t>
      </w:r>
      <w:r w:rsidR="00ED2D44">
        <w:t xml:space="preserve">s were amended to incorporate the following </w:t>
      </w:r>
      <w:r w:rsidR="006C6D07">
        <w:t xml:space="preserve">title </w:t>
      </w:r>
      <w:r w:rsidR="00ED2D44">
        <w:t>changes</w:t>
      </w:r>
      <w:r w:rsidR="00DF4B7F">
        <w:t>.</w:t>
      </w:r>
    </w:p>
    <w:p w14:paraId="0E4C2054" w14:textId="1C6B3537" w:rsidR="003523C8" w:rsidRPr="003523C8" w:rsidRDefault="00050C5F" w:rsidP="002E70A1">
      <w:pPr>
        <w:pStyle w:val="Numbered"/>
        <w:numPr>
          <w:ilvl w:val="0"/>
          <w:numId w:val="292"/>
        </w:numPr>
      </w:pPr>
      <w:r w:rsidRPr="00050C5F">
        <w:t xml:space="preserve">NCCE Table 1.1 </w:t>
      </w:r>
      <w:r w:rsidR="006C6D07">
        <w:t>has</w:t>
      </w:r>
      <w:r w:rsidRPr="00050C5F">
        <w:t xml:space="preserve"> be</w:t>
      </w:r>
      <w:r w:rsidR="006C6D07">
        <w:t>en</w:t>
      </w:r>
      <w:r w:rsidRPr="00050C5F">
        <w:t xml:space="preserve"> </w:t>
      </w:r>
      <w:r w:rsidR="00DF4B7F">
        <w:t>re</w:t>
      </w:r>
      <w:r w:rsidRPr="00050C5F">
        <w:t xml:space="preserve">labelled </w:t>
      </w:r>
      <w:r w:rsidR="006C6D07">
        <w:t>to</w:t>
      </w:r>
      <w:r w:rsidRPr="00050C5F">
        <w:t>:</w:t>
      </w:r>
      <w:r w:rsidR="0060490E">
        <w:br/>
      </w:r>
      <w:r w:rsidR="0060490E" w:rsidRPr="0060490E">
        <w:rPr>
          <w:noProof/>
          <w:lang w:eastAsia="en-AU"/>
        </w:rPr>
        <w:drawing>
          <wp:inline distT="0" distB="0" distL="0" distR="0" wp14:anchorId="1C77AF83" wp14:editId="78510CA1">
            <wp:extent cx="4453200" cy="1378800"/>
            <wp:effectExtent l="19050" t="19050" r="24130" b="1206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53200" cy="1378800"/>
                    </a:xfrm>
                    <a:prstGeom prst="rect">
                      <a:avLst/>
                    </a:prstGeom>
                    <a:ln>
                      <a:solidFill>
                        <a:schemeClr val="tx1"/>
                      </a:solidFill>
                    </a:ln>
                  </pic:spPr>
                </pic:pic>
              </a:graphicData>
            </a:graphic>
          </wp:inline>
        </w:drawing>
      </w:r>
      <w:r w:rsidR="0060490E">
        <w:br/>
      </w:r>
    </w:p>
    <w:p w14:paraId="0FDF072F" w14:textId="0C497A75" w:rsidR="0060490E" w:rsidRPr="002E70A1" w:rsidRDefault="0060490E" w:rsidP="002E70A1">
      <w:pPr>
        <w:pStyle w:val="Numbered"/>
        <w:rPr>
          <w:rFonts w:ascii="Cambria" w:hAnsi="Cambria" w:cs="Cambria"/>
          <w:lang w:val="en-US"/>
        </w:rPr>
      </w:pPr>
      <w:r w:rsidRPr="0060490E">
        <w:t>CCE Table 1.1</w:t>
      </w:r>
      <w:r w:rsidR="006C6D07" w:rsidRPr="00050C5F">
        <w:t xml:space="preserve"> </w:t>
      </w:r>
      <w:r w:rsidR="006C6D07">
        <w:t>has</w:t>
      </w:r>
      <w:r w:rsidR="006C6D07" w:rsidRPr="00050C5F">
        <w:t xml:space="preserve"> be</w:t>
      </w:r>
      <w:r w:rsidR="006C6D07">
        <w:t>en</w:t>
      </w:r>
      <w:r w:rsidR="006C6D07" w:rsidRPr="00050C5F">
        <w:t xml:space="preserve"> </w:t>
      </w:r>
      <w:r w:rsidR="006C6D07">
        <w:t>re</w:t>
      </w:r>
      <w:r w:rsidR="006C6D07" w:rsidRPr="00050C5F">
        <w:t xml:space="preserve">labelled </w:t>
      </w:r>
      <w:r w:rsidR="006C6D07">
        <w:t>to</w:t>
      </w:r>
      <w:r w:rsidR="006C6D07" w:rsidRPr="00050C5F">
        <w:t>:</w:t>
      </w:r>
      <w:r w:rsidRPr="00272C28">
        <w:br/>
      </w:r>
      <w:r w:rsidR="00863BD1">
        <w:rPr>
          <w:noProof/>
          <w:lang w:eastAsia="en-AU"/>
        </w:rPr>
        <w:drawing>
          <wp:inline distT="0" distB="0" distL="0" distR="0" wp14:anchorId="3BF514F9" wp14:editId="3A641D07">
            <wp:extent cx="4500000" cy="1393200"/>
            <wp:effectExtent l="19050" t="19050" r="15240"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0000" cy="1393200"/>
                    </a:xfrm>
                    <a:prstGeom prst="rect">
                      <a:avLst/>
                    </a:prstGeom>
                    <a:noFill/>
                    <a:ln>
                      <a:solidFill>
                        <a:schemeClr val="tx1"/>
                      </a:solidFill>
                    </a:ln>
                  </pic:spPr>
                </pic:pic>
              </a:graphicData>
            </a:graphic>
          </wp:inline>
        </w:drawing>
      </w:r>
    </w:p>
    <w:p w14:paraId="79EB910C" w14:textId="7A24388B" w:rsidR="00EB4453" w:rsidRPr="002E70A1" w:rsidRDefault="006039C2" w:rsidP="002E70A1">
      <w:pPr>
        <w:pStyle w:val="Numbered"/>
      </w:pPr>
      <w:r>
        <w:t>For both of</w:t>
      </w:r>
      <w:r w:rsidR="00EB4453">
        <w:t xml:space="preserve"> NCEE and CCE footnote a) has been updated to include references to the </w:t>
      </w:r>
      <w:r>
        <w:t>‘</w:t>
      </w:r>
      <w:r w:rsidR="00EB4453" w:rsidRPr="002E70A1">
        <w:rPr>
          <w:i/>
        </w:rPr>
        <w:t>Supply Act (No.1) 2022-23</w:t>
      </w:r>
      <w:r w:rsidR="00EB4453">
        <w:t xml:space="preserve"> and </w:t>
      </w:r>
      <w:r w:rsidR="00EB4453" w:rsidRPr="002E70A1">
        <w:rPr>
          <w:i/>
        </w:rPr>
        <w:t>Supply Bill (No.3) 2022-23</w:t>
      </w:r>
      <w:r>
        <w:rPr>
          <w:i/>
        </w:rPr>
        <w:t>’</w:t>
      </w:r>
      <w:r w:rsidR="00EB4453">
        <w:t xml:space="preserve"> as well.</w:t>
      </w:r>
    </w:p>
    <w:p w14:paraId="29FC3975" w14:textId="7D6C60DE" w:rsidR="0060490E" w:rsidRDefault="00272C28" w:rsidP="002E70A1">
      <w:pPr>
        <w:pStyle w:val="Heading3Numbered"/>
      </w:pPr>
      <w:bookmarkStart w:id="102" w:name="_Toc114576254"/>
      <w:r>
        <w:t>All other a</w:t>
      </w:r>
      <w:r w:rsidR="00ED2D44">
        <w:t xml:space="preserve">mendments </w:t>
      </w:r>
      <w:r>
        <w:t xml:space="preserve">and references </w:t>
      </w:r>
      <w:r w:rsidR="00ED2D44">
        <w:t>to the Budget and Budget Paper</w:t>
      </w:r>
      <w:r>
        <w:t>s</w:t>
      </w:r>
      <w:bookmarkEnd w:id="102"/>
    </w:p>
    <w:p w14:paraId="3DF25FBC" w14:textId="77777777" w:rsidR="00FE534B" w:rsidRDefault="00272C28" w:rsidP="002E70A1">
      <w:pPr>
        <w:pStyle w:val="Numbered"/>
        <w:numPr>
          <w:ilvl w:val="0"/>
          <w:numId w:val="297"/>
        </w:numPr>
      </w:pPr>
      <w:r>
        <w:t>The PB statement’s boo</w:t>
      </w:r>
      <w:r w:rsidR="005410B3">
        <w:t xml:space="preserve">k title </w:t>
      </w:r>
      <w:r w:rsidR="006C6D07">
        <w:t xml:space="preserve">has been </w:t>
      </w:r>
      <w:r w:rsidR="005410B3">
        <w:t>amended to refer to the ‘October Portfolio Budget Statement</w:t>
      </w:r>
      <w:r w:rsidR="006C6D07">
        <w:t xml:space="preserve"> 2022-23</w:t>
      </w:r>
      <w:r w:rsidR="005410B3">
        <w:t>’.</w:t>
      </w:r>
    </w:p>
    <w:p w14:paraId="1047C534" w14:textId="1ADD7C33" w:rsidR="00272C28" w:rsidRDefault="00ED6FA4" w:rsidP="002E70A1">
      <w:pPr>
        <w:pStyle w:val="Numbered"/>
        <w:numPr>
          <w:ilvl w:val="0"/>
          <w:numId w:val="0"/>
        </w:numPr>
        <w:ind w:left="360"/>
      </w:pPr>
      <w:r>
        <w:t xml:space="preserve">Similarly all references to the ‘Portfolio Budget Statements’ within both the Word and Excel templates have been </w:t>
      </w:r>
      <w:r w:rsidR="006C6D07">
        <w:t>updated</w:t>
      </w:r>
      <w:r w:rsidR="00A0519A">
        <w:t>.</w:t>
      </w:r>
    </w:p>
    <w:p w14:paraId="116F1E9E" w14:textId="39090398" w:rsidR="00272C28" w:rsidRDefault="00ED2D44" w:rsidP="002E70A1">
      <w:pPr>
        <w:pStyle w:val="Numbered"/>
        <w:numPr>
          <w:ilvl w:val="0"/>
          <w:numId w:val="297"/>
        </w:numPr>
      </w:pPr>
      <w:r>
        <w:t>Where required</w:t>
      </w:r>
      <w:r w:rsidR="006C6D07">
        <w:t>,</w:t>
      </w:r>
      <w:r>
        <w:t xml:space="preserve"> all </w:t>
      </w:r>
      <w:r w:rsidR="00272C28">
        <w:t>references including footnote</w:t>
      </w:r>
      <w:r w:rsidR="006C6D07">
        <w:t>s</w:t>
      </w:r>
      <w:r w:rsidR="00272C28">
        <w:t xml:space="preserve"> </w:t>
      </w:r>
      <w:r w:rsidR="006C6D07">
        <w:t>were updated</w:t>
      </w:r>
      <w:r w:rsidR="00272C28">
        <w:t>:</w:t>
      </w:r>
    </w:p>
    <w:p w14:paraId="1873A691" w14:textId="4DC9D805" w:rsidR="00ED2D44" w:rsidRDefault="00272C28" w:rsidP="002E70A1">
      <w:pPr>
        <w:pStyle w:val="LetteredList"/>
        <w:numPr>
          <w:ilvl w:val="0"/>
          <w:numId w:val="298"/>
        </w:numPr>
      </w:pPr>
      <w:r w:rsidRPr="00272C28">
        <w:t xml:space="preserve">‘2022-23 Budget’ </w:t>
      </w:r>
      <w:r>
        <w:t>w</w:t>
      </w:r>
      <w:r w:rsidR="006C6D07">
        <w:t xml:space="preserve">ere </w:t>
      </w:r>
      <w:r>
        <w:t xml:space="preserve">amended to refer to the </w:t>
      </w:r>
      <w:r w:rsidRPr="00272C28">
        <w:t>‘October 2022-23 Budget’</w:t>
      </w:r>
      <w:r>
        <w:t xml:space="preserve"> and</w:t>
      </w:r>
    </w:p>
    <w:p w14:paraId="3B2AF71F" w14:textId="63DAE635" w:rsidR="00A0519A" w:rsidRPr="002E70A1" w:rsidRDefault="001C69C7" w:rsidP="00A0519A">
      <w:pPr>
        <w:pStyle w:val="LetteredList"/>
      </w:pPr>
      <w:r>
        <w:t xml:space="preserve">all Budget Paper references i.e. </w:t>
      </w:r>
      <w:r w:rsidR="00272C28" w:rsidRPr="00272C28">
        <w:t>‘Budget Paper no.x’ w</w:t>
      </w:r>
      <w:r w:rsidR="006C6D07">
        <w:t xml:space="preserve">ere </w:t>
      </w:r>
      <w:r w:rsidR="00272C28" w:rsidRPr="00272C28">
        <w:t>amended to</w:t>
      </w:r>
      <w:r w:rsidR="00272C28" w:rsidRPr="005410B3">
        <w:rPr>
          <w:rFonts w:cs="Times New Roman"/>
        </w:rPr>
        <w:t xml:space="preserve"> refer to the ‘October 2022-23 Budget</w:t>
      </w:r>
      <w:r w:rsidR="00272C28">
        <w:t xml:space="preserve"> Paper no.x</w:t>
      </w:r>
      <w:r w:rsidR="00272C28" w:rsidRPr="00272C28">
        <w:t>’.</w:t>
      </w:r>
    </w:p>
    <w:p w14:paraId="244DCEA5" w14:textId="74352C0D" w:rsidR="00A0519A" w:rsidRDefault="0062062A" w:rsidP="002E70A1">
      <w:pPr>
        <w:pStyle w:val="Numbered"/>
      </w:pPr>
      <w:r>
        <w:t>With</w:t>
      </w:r>
      <w:r w:rsidR="00A0519A" w:rsidRPr="00A0519A">
        <w:t xml:space="preserve"> </w:t>
      </w:r>
      <w:r w:rsidR="00A0519A">
        <w:t>the W</w:t>
      </w:r>
      <w:r w:rsidR="00A0519A" w:rsidRPr="00A0519A">
        <w:t>ord template</w:t>
      </w:r>
      <w:r w:rsidR="00A0519A">
        <w:t>,</w:t>
      </w:r>
      <w:r w:rsidR="00A0519A" w:rsidRPr="00A0519A">
        <w:t xml:space="preserve"> in the letter to the President of the Senate</w:t>
      </w:r>
      <w:r w:rsidR="00A0519A">
        <w:t xml:space="preserve">, references to the </w:t>
      </w:r>
      <w:r w:rsidR="00A83328">
        <w:t>‘</w:t>
      </w:r>
      <w:r w:rsidR="00A0519A">
        <w:t>October Portfolio Budget Statements</w:t>
      </w:r>
      <w:r w:rsidR="00A83328">
        <w:t>’</w:t>
      </w:r>
      <w:r w:rsidR="00A0519A">
        <w:t xml:space="preserve"> and the </w:t>
      </w:r>
      <w:r w:rsidR="00A83328">
        <w:t>‘</w:t>
      </w:r>
      <w:r w:rsidR="00A0519A">
        <w:t>October 2022-23 Budget</w:t>
      </w:r>
      <w:r w:rsidR="00A83328">
        <w:t>’</w:t>
      </w:r>
      <w:r w:rsidR="00A0519A">
        <w:t xml:space="preserve"> </w:t>
      </w:r>
      <w:r w:rsidR="00A83328">
        <w:t>were</w:t>
      </w:r>
      <w:r w:rsidR="00A0519A" w:rsidRPr="00A0519A">
        <w:t xml:space="preserve"> updated</w:t>
      </w:r>
      <w:r w:rsidR="00A0519A">
        <w:t>.</w:t>
      </w:r>
    </w:p>
    <w:p w14:paraId="36E7D839" w14:textId="1210FDDF" w:rsidR="00F10602" w:rsidRPr="00BA785C" w:rsidRDefault="00F10602" w:rsidP="002E70A1">
      <w:pPr>
        <w:pStyle w:val="Numbered"/>
      </w:pPr>
      <w:r>
        <w:t>Please note the</w:t>
      </w:r>
      <w:r w:rsidR="002F187B">
        <w:t>re have been</w:t>
      </w:r>
      <w:r>
        <w:t xml:space="preserve"> </w:t>
      </w:r>
      <w:r w:rsidRPr="00FA41F2">
        <w:rPr>
          <w:b/>
        </w:rPr>
        <w:t>changes to the font, colours and styles</w:t>
      </w:r>
      <w:r>
        <w:t xml:space="preserve"> in the Word template. </w:t>
      </w:r>
      <w:r w:rsidR="002F187B">
        <w:t xml:space="preserve">Entities should use the current version of the Word template to prepare their PB Statements. </w:t>
      </w:r>
    </w:p>
    <w:p w14:paraId="21CC1385" w14:textId="77777777" w:rsidR="00B6312C" w:rsidRPr="00150391" w:rsidRDefault="53BF0693" w:rsidP="00CF6BE7">
      <w:pPr>
        <w:pStyle w:val="Heading1Numbered"/>
        <w:rPr>
          <w:rFonts w:ascii="Calibri" w:hAnsi="Calibri" w:cs="Calibri"/>
        </w:rPr>
      </w:pPr>
      <w:bookmarkStart w:id="103" w:name="_Toc86764900"/>
      <w:bookmarkStart w:id="104" w:name="_Toc87979819"/>
      <w:bookmarkStart w:id="105" w:name="_Toc86764902"/>
      <w:bookmarkStart w:id="106" w:name="_Toc87979821"/>
      <w:bookmarkStart w:id="107" w:name="_Toc61874960"/>
      <w:bookmarkStart w:id="108" w:name="_Toc62648811"/>
      <w:bookmarkStart w:id="109" w:name="_Toc61874961"/>
      <w:bookmarkStart w:id="110" w:name="_Toc62648812"/>
      <w:bookmarkStart w:id="111" w:name="_Toc61874962"/>
      <w:bookmarkStart w:id="112" w:name="_Toc62648813"/>
      <w:bookmarkStart w:id="113" w:name="_Toc61874963"/>
      <w:bookmarkStart w:id="114" w:name="_Toc62648814"/>
      <w:bookmarkStart w:id="115" w:name="_Toc61874964"/>
      <w:bookmarkStart w:id="116" w:name="_Toc62648815"/>
      <w:bookmarkStart w:id="117" w:name="_Toc61874965"/>
      <w:bookmarkStart w:id="118" w:name="_Toc62648816"/>
      <w:bookmarkStart w:id="119" w:name="_Toc61874966"/>
      <w:bookmarkStart w:id="120" w:name="_Toc62648817"/>
      <w:bookmarkStart w:id="121" w:name="_Toc61874967"/>
      <w:bookmarkStart w:id="122" w:name="_Toc62648818"/>
      <w:bookmarkStart w:id="123" w:name="_Toc61874968"/>
      <w:bookmarkStart w:id="124" w:name="_Toc62648819"/>
      <w:bookmarkStart w:id="125" w:name="_Toc61874969"/>
      <w:bookmarkStart w:id="126" w:name="_Toc62648820"/>
      <w:bookmarkStart w:id="127" w:name="_Toc61874970"/>
      <w:bookmarkStart w:id="128" w:name="_Toc62648821"/>
      <w:bookmarkStart w:id="129" w:name="_Toc46327301"/>
      <w:bookmarkStart w:id="130" w:name="_Toc46327302"/>
      <w:bookmarkStart w:id="131" w:name="_Toc46327303"/>
      <w:bookmarkStart w:id="132" w:name="_Toc46327304"/>
      <w:bookmarkStart w:id="133" w:name="_Toc45801376"/>
      <w:bookmarkStart w:id="134" w:name="_Toc46241737"/>
      <w:bookmarkStart w:id="135" w:name="_Toc46248940"/>
      <w:bookmarkStart w:id="136" w:name="_Toc46249048"/>
      <w:bookmarkStart w:id="137" w:name="_Toc46250829"/>
      <w:bookmarkStart w:id="138" w:name="_Toc46311364"/>
      <w:bookmarkStart w:id="139" w:name="_Toc46311556"/>
      <w:bookmarkStart w:id="140" w:name="_Toc46311667"/>
      <w:bookmarkStart w:id="141" w:name="_Toc46327305"/>
      <w:bookmarkStart w:id="142" w:name="_Toc46929149"/>
      <w:bookmarkStart w:id="143" w:name="_Toc46327306"/>
      <w:bookmarkStart w:id="144" w:name="_Toc45801378"/>
      <w:bookmarkStart w:id="145" w:name="_Toc46241739"/>
      <w:bookmarkStart w:id="146" w:name="_Toc46248942"/>
      <w:bookmarkStart w:id="147" w:name="_Toc46249050"/>
      <w:bookmarkStart w:id="148" w:name="_Toc46250831"/>
      <w:bookmarkStart w:id="149" w:name="_Toc46311366"/>
      <w:bookmarkStart w:id="150" w:name="_Toc46311558"/>
      <w:bookmarkStart w:id="151" w:name="_Toc46311669"/>
      <w:bookmarkStart w:id="152" w:name="_Toc46327307"/>
      <w:bookmarkStart w:id="153" w:name="_Toc46929151"/>
      <w:bookmarkStart w:id="154" w:name="_Toc45801379"/>
      <w:bookmarkStart w:id="155" w:name="_Toc46241740"/>
      <w:bookmarkStart w:id="156" w:name="_Toc46248943"/>
      <w:bookmarkStart w:id="157" w:name="_Toc46249051"/>
      <w:bookmarkStart w:id="158" w:name="_Toc46250832"/>
      <w:bookmarkStart w:id="159" w:name="_Toc46311367"/>
      <w:bookmarkStart w:id="160" w:name="_Toc46311559"/>
      <w:bookmarkStart w:id="161" w:name="_Toc46311670"/>
      <w:bookmarkStart w:id="162" w:name="_Toc46327308"/>
      <w:bookmarkStart w:id="163" w:name="_Toc46929152"/>
      <w:bookmarkStart w:id="164" w:name="_Toc45801380"/>
      <w:bookmarkStart w:id="165" w:name="_Toc46241741"/>
      <w:bookmarkStart w:id="166" w:name="_Toc46248944"/>
      <w:bookmarkStart w:id="167" w:name="_Toc46249052"/>
      <w:bookmarkStart w:id="168" w:name="_Toc46250833"/>
      <w:bookmarkStart w:id="169" w:name="_Toc46311368"/>
      <w:bookmarkStart w:id="170" w:name="_Toc46311560"/>
      <w:bookmarkStart w:id="171" w:name="_Toc46311671"/>
      <w:bookmarkStart w:id="172" w:name="_Toc46327309"/>
      <w:bookmarkStart w:id="173" w:name="_Toc46929153"/>
      <w:bookmarkStart w:id="174" w:name="_Toc86764903"/>
      <w:bookmarkStart w:id="175" w:name="_Toc87979822"/>
      <w:bookmarkStart w:id="176" w:name="_Toc86764904"/>
      <w:bookmarkStart w:id="177" w:name="_Toc87979823"/>
      <w:bookmarkStart w:id="178" w:name="_Toc29980641"/>
      <w:bookmarkStart w:id="179" w:name="_Toc30405516"/>
      <w:bookmarkStart w:id="180" w:name="_Toc30581257"/>
      <w:bookmarkStart w:id="181" w:name="_Toc32829919"/>
      <w:bookmarkStart w:id="182" w:name="_Toc32917421"/>
      <w:bookmarkStart w:id="183" w:name="_Toc32918227"/>
      <w:bookmarkStart w:id="184" w:name="_Toc32999610"/>
      <w:bookmarkStart w:id="185" w:name="_Toc33099329"/>
      <w:bookmarkStart w:id="186" w:name="_Toc33195959"/>
      <w:bookmarkStart w:id="187" w:name="_Toc33196261"/>
      <w:bookmarkStart w:id="188" w:name="_Toc29980642"/>
      <w:bookmarkStart w:id="189" w:name="_Toc30405517"/>
      <w:bookmarkStart w:id="190" w:name="_Toc30581258"/>
      <w:bookmarkStart w:id="191" w:name="_Toc32829920"/>
      <w:bookmarkStart w:id="192" w:name="_Toc32917422"/>
      <w:bookmarkStart w:id="193" w:name="_Toc32918228"/>
      <w:bookmarkStart w:id="194" w:name="_Toc32999611"/>
      <w:bookmarkStart w:id="195" w:name="_Toc33099330"/>
      <w:bookmarkStart w:id="196" w:name="_Toc33195960"/>
      <w:bookmarkStart w:id="197" w:name="_Toc33196262"/>
      <w:bookmarkStart w:id="198" w:name="_Toc29980643"/>
      <w:bookmarkStart w:id="199" w:name="_Toc30405518"/>
      <w:bookmarkStart w:id="200" w:name="_Toc30581259"/>
      <w:bookmarkStart w:id="201" w:name="_Toc32829921"/>
      <w:bookmarkStart w:id="202" w:name="_Toc32917423"/>
      <w:bookmarkStart w:id="203" w:name="_Toc32918229"/>
      <w:bookmarkStart w:id="204" w:name="_Toc32999612"/>
      <w:bookmarkStart w:id="205" w:name="_Toc33099331"/>
      <w:bookmarkStart w:id="206" w:name="_Toc33195961"/>
      <w:bookmarkStart w:id="207" w:name="_Toc33196263"/>
      <w:bookmarkStart w:id="208" w:name="_Toc29980644"/>
      <w:bookmarkStart w:id="209" w:name="_Toc30405519"/>
      <w:bookmarkStart w:id="210" w:name="_Toc30581260"/>
      <w:bookmarkStart w:id="211" w:name="_Toc32829922"/>
      <w:bookmarkStart w:id="212" w:name="_Toc32917424"/>
      <w:bookmarkStart w:id="213" w:name="_Toc32918230"/>
      <w:bookmarkStart w:id="214" w:name="_Toc32999613"/>
      <w:bookmarkStart w:id="215" w:name="_Toc33099332"/>
      <w:bookmarkStart w:id="216" w:name="_Toc33195962"/>
      <w:bookmarkStart w:id="217" w:name="_Toc33196264"/>
      <w:bookmarkStart w:id="218" w:name="_Toc504468807"/>
      <w:bookmarkStart w:id="219" w:name="_Ref29395987"/>
      <w:bookmarkStart w:id="220" w:name="_Ref33521637"/>
      <w:bookmarkStart w:id="221" w:name="_Toc63347669"/>
      <w:bookmarkStart w:id="222" w:name="_Toc114576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150391">
        <w:rPr>
          <w:rFonts w:ascii="Calibri" w:hAnsi="Calibri" w:cs="Calibri"/>
        </w:rPr>
        <w:t>Purpose</w:t>
      </w:r>
      <w:bookmarkEnd w:id="218"/>
      <w:bookmarkEnd w:id="219"/>
      <w:bookmarkEnd w:id="220"/>
      <w:bookmarkEnd w:id="221"/>
      <w:bookmarkEnd w:id="222"/>
    </w:p>
    <w:p w14:paraId="2D158CD7" w14:textId="25C0B796" w:rsidR="00B6312C" w:rsidRPr="00150391" w:rsidRDefault="53BF0693" w:rsidP="00B6312C">
      <w:pPr>
        <w:rPr>
          <w:rFonts w:cs="Calibri"/>
        </w:rPr>
      </w:pPr>
      <w:r w:rsidRPr="00150391">
        <w:rPr>
          <w:rFonts w:cs="Calibri"/>
        </w:rPr>
        <w:t>PB Statements are formal ministerial documents signed by the responsible Portfolio Minister. Together with the BP</w:t>
      </w:r>
      <w:r w:rsidR="00A834F4" w:rsidRPr="00150391">
        <w:rPr>
          <w:rFonts w:cs="Calibri"/>
        </w:rPr>
        <w:t>s</w:t>
      </w:r>
      <w:r w:rsidRPr="00150391">
        <w:rPr>
          <w:rFonts w:cs="Calibri"/>
        </w:rPr>
        <w:t xml:space="preserve">, the PB Statements form a package of documents tabled in Parliament on Budget night to explain the </w:t>
      </w:r>
      <w:r w:rsidRPr="00150391">
        <w:rPr>
          <w:rFonts w:eastAsia="Times New Roman" w:cs="Calibri"/>
          <w:lang w:eastAsia="en-AU"/>
        </w:rPr>
        <w:t xml:space="preserve">allocation of resources to entities’ outcomes based on the </w:t>
      </w:r>
      <w:r w:rsidR="00945487" w:rsidRPr="00150391">
        <w:rPr>
          <w:rFonts w:cs="Calibri"/>
        </w:rPr>
        <w:t>g</w:t>
      </w:r>
      <w:r w:rsidR="006418EA" w:rsidRPr="00150391">
        <w:rPr>
          <w:rFonts w:cs="Calibri"/>
        </w:rPr>
        <w:t>overnment</w:t>
      </w:r>
      <w:r w:rsidRPr="00150391">
        <w:rPr>
          <w:rFonts w:cs="Calibri"/>
        </w:rPr>
        <w:t>’s decisions.</w:t>
      </w:r>
    </w:p>
    <w:p w14:paraId="2EC8DE70" w14:textId="22A199F4" w:rsidR="00B6312C" w:rsidRPr="00150391" w:rsidRDefault="53BF0693" w:rsidP="00B6312C">
      <w:pPr>
        <w:rPr>
          <w:rFonts w:cs="Calibri"/>
        </w:rPr>
      </w:pPr>
      <w:r w:rsidRPr="00150391">
        <w:rPr>
          <w:rFonts w:cs="Calibri"/>
        </w:rPr>
        <w:t>The Appropriation Acts</w:t>
      </w:r>
      <w:r w:rsidR="004E7A44" w:rsidRPr="00150391">
        <w:rPr>
          <w:rFonts w:cs="Calibri"/>
        </w:rPr>
        <w:t xml:space="preserve"> (the Acts)</w:t>
      </w:r>
      <w:r w:rsidRPr="00150391">
        <w:rPr>
          <w:rFonts w:cs="Calibri"/>
        </w:rPr>
        <w:t xml:space="preserve"> refer to the PB Statements as ‘relevant documents’ </w:t>
      </w:r>
      <w:r w:rsidR="004E7A44" w:rsidRPr="00150391">
        <w:rPr>
          <w:rFonts w:cs="Calibri"/>
        </w:rPr>
        <w:t xml:space="preserve">for </w:t>
      </w:r>
      <w:r w:rsidRPr="00150391">
        <w:rPr>
          <w:rFonts w:cs="Calibri"/>
        </w:rPr>
        <w:t xml:space="preserve">the interpretation of the Acts, according to section 15AB of the </w:t>
      </w:r>
      <w:r w:rsidRPr="00150391">
        <w:rPr>
          <w:rFonts w:cs="Calibri"/>
          <w:i/>
          <w:iCs/>
        </w:rPr>
        <w:t>Acts Interpretation Act 1901</w:t>
      </w:r>
      <w:r w:rsidRPr="00150391">
        <w:rPr>
          <w:rFonts w:cs="Calibri"/>
        </w:rPr>
        <w:t xml:space="preserve">. The PB Statements provide additional explanation to the Appropriation Bills and as a result, they must be consistent with the Bills, which once passed by Parliament, become law. Should a discrepancy occur between the Acts and the PB Statements, </w:t>
      </w:r>
      <w:r w:rsidRPr="00150391">
        <w:rPr>
          <w:rFonts w:cs="Calibri"/>
          <w:b/>
        </w:rPr>
        <w:t xml:space="preserve">the </w:t>
      </w:r>
      <w:r w:rsidRPr="00150391">
        <w:rPr>
          <w:rFonts w:cs="Calibri"/>
          <w:b/>
          <w:bCs/>
        </w:rPr>
        <w:t>Acts are definitive</w:t>
      </w:r>
      <w:r w:rsidRPr="00150391">
        <w:rPr>
          <w:rFonts w:cs="Calibri"/>
        </w:rPr>
        <w:t>.</w:t>
      </w:r>
    </w:p>
    <w:p w14:paraId="6B0A295B" w14:textId="77777777" w:rsidR="00B6312C" w:rsidRPr="00150391" w:rsidRDefault="53BF0693" w:rsidP="00B6312C">
      <w:pPr>
        <w:rPr>
          <w:rFonts w:cs="Calibri"/>
        </w:rPr>
      </w:pPr>
      <w:r w:rsidRPr="00150391">
        <w:rPr>
          <w:rFonts w:cs="Calibri"/>
        </w:rPr>
        <w:t xml:space="preserve">The PB Statements also provide information (financial and non-financial) at the </w:t>
      </w:r>
      <w:r w:rsidR="00396887" w:rsidRPr="00150391">
        <w:rPr>
          <w:rFonts w:cs="Calibri"/>
        </w:rPr>
        <w:t>portfolio</w:t>
      </w:r>
      <w:r w:rsidRPr="00150391">
        <w:rPr>
          <w:rFonts w:cs="Calibri"/>
        </w:rPr>
        <w:t xml:space="preserve"> and entity level on the ongoing policy and program delivery initiatives undertaken by the </w:t>
      </w:r>
      <w:r w:rsidR="006418EA" w:rsidRPr="00150391">
        <w:rPr>
          <w:rFonts w:cs="Calibri"/>
        </w:rPr>
        <w:t>government</w:t>
      </w:r>
      <w:r w:rsidRPr="00150391">
        <w:rPr>
          <w:rFonts w:cs="Calibri"/>
        </w:rPr>
        <w:t>.</w:t>
      </w:r>
    </w:p>
    <w:p w14:paraId="7FE16A83" w14:textId="6F2C1577" w:rsidR="00B6312C" w:rsidRPr="00150391" w:rsidRDefault="53BF0693" w:rsidP="00B6312C">
      <w:pPr>
        <w:rPr>
          <w:rFonts w:cs="Calibri"/>
        </w:rPr>
      </w:pPr>
      <w:r w:rsidRPr="00150391">
        <w:rPr>
          <w:rFonts w:cs="Calibri"/>
        </w:rPr>
        <w:t xml:space="preserve">Signing arrangements for PB Statements </w:t>
      </w:r>
      <w:r w:rsidR="00945487" w:rsidRPr="00150391">
        <w:rPr>
          <w:rFonts w:cs="Calibri"/>
        </w:rPr>
        <w:t xml:space="preserve">should </w:t>
      </w:r>
      <w:r w:rsidRPr="00150391">
        <w:rPr>
          <w:rFonts w:cs="Calibri"/>
        </w:rPr>
        <w:t xml:space="preserve">be determined by the senior </w:t>
      </w:r>
      <w:r w:rsidR="00945487" w:rsidRPr="00150391">
        <w:rPr>
          <w:rFonts w:cs="Calibri"/>
        </w:rPr>
        <w:t>Portfolio </w:t>
      </w:r>
      <w:r w:rsidRPr="00150391">
        <w:rPr>
          <w:rFonts w:cs="Calibri"/>
        </w:rPr>
        <w:t xml:space="preserve">Minister (the first Minister shown in the current Ministry List issued by the Department of the Prime Minister and Cabinet (PM&amp;C) at </w:t>
      </w:r>
      <w:hyperlink r:id="rId27">
        <w:r w:rsidRPr="002B4935">
          <w:rPr>
            <w:rStyle w:val="Hyperlink"/>
            <w:rFonts w:ascii="Calibri" w:hAnsi="Calibri" w:cs="Calibri"/>
            <w:color w:val="0070C0"/>
          </w:rPr>
          <w:t>www.pmc.gov.au/resource-centre/government/ministry-list</w:t>
        </w:r>
      </w:hyperlink>
      <w:r w:rsidRPr="00150391">
        <w:rPr>
          <w:rFonts w:cs="Calibri"/>
        </w:rPr>
        <w:t>). The responsible Portfolio Minister may delegate the signing of the document to an Assistant Minister.</w:t>
      </w:r>
    </w:p>
    <w:p w14:paraId="05C01782" w14:textId="09406D12" w:rsidR="00B751D1" w:rsidRPr="00150391" w:rsidRDefault="53BF0693" w:rsidP="00CF6BE7">
      <w:pPr>
        <w:pStyle w:val="Heading1Numbered"/>
        <w:rPr>
          <w:rFonts w:ascii="Calibri" w:hAnsi="Calibri" w:cs="Calibri"/>
        </w:rPr>
      </w:pPr>
      <w:bookmarkStart w:id="223" w:name="_Toc63347670"/>
      <w:bookmarkStart w:id="224" w:name="_Toc114576256"/>
      <w:r w:rsidRPr="00150391">
        <w:rPr>
          <w:rFonts w:ascii="Calibri" w:hAnsi="Calibri" w:cs="Calibri"/>
        </w:rPr>
        <w:t>W</w:t>
      </w:r>
      <w:r w:rsidR="00945487" w:rsidRPr="00150391">
        <w:rPr>
          <w:rFonts w:ascii="Calibri" w:hAnsi="Calibri" w:cs="Calibri"/>
        </w:rPr>
        <w:t xml:space="preserve">hich entities </w:t>
      </w:r>
      <w:r w:rsidRPr="00150391">
        <w:rPr>
          <w:rFonts w:ascii="Calibri" w:hAnsi="Calibri" w:cs="Calibri"/>
        </w:rPr>
        <w:t>should prepare PB Statements?</w:t>
      </w:r>
      <w:bookmarkEnd w:id="97"/>
      <w:bookmarkEnd w:id="223"/>
      <w:bookmarkEnd w:id="224"/>
    </w:p>
    <w:p w14:paraId="355289B4" w14:textId="511F0D19" w:rsidR="000B7C09" w:rsidRPr="00150391" w:rsidRDefault="53BF0693" w:rsidP="000A7DEC">
      <w:pPr>
        <w:rPr>
          <w:rFonts w:cs="Calibri"/>
        </w:rPr>
      </w:pPr>
      <w:r w:rsidRPr="00150391">
        <w:rPr>
          <w:rFonts w:cs="Calibri"/>
        </w:rPr>
        <w:t xml:space="preserve">All Commonwealth entities </w:t>
      </w:r>
      <w:r w:rsidR="00945487" w:rsidRPr="00150391">
        <w:rPr>
          <w:rFonts w:cs="Calibri"/>
        </w:rPr>
        <w:t>that</w:t>
      </w:r>
      <w:r w:rsidRPr="00150391">
        <w:rPr>
          <w:rFonts w:cs="Calibri"/>
        </w:rPr>
        <w:t xml:space="preserve"> receive Annual Appropriations (whether directly or through a </w:t>
      </w:r>
      <w:r w:rsidR="00396887" w:rsidRPr="00150391">
        <w:rPr>
          <w:rFonts w:cs="Calibri"/>
        </w:rPr>
        <w:t>portfolio department</w:t>
      </w:r>
      <w:r w:rsidRPr="00150391">
        <w:rPr>
          <w:rFonts w:cs="Calibri"/>
        </w:rPr>
        <w:t xml:space="preserve">) in Appropriation Bill No. 1 or 2; or through Appropriation (Parliamentary Departments) Bill No. 1 or 2 in the </w:t>
      </w:r>
      <w:r w:rsidR="00197D38" w:rsidRPr="00150391">
        <w:rPr>
          <w:rFonts w:cs="Calibri"/>
        </w:rPr>
        <w:t>2022</w:t>
      </w:r>
      <w:r w:rsidRPr="00150391">
        <w:rPr>
          <w:rFonts w:cs="Calibri"/>
        </w:rPr>
        <w:t>-</w:t>
      </w:r>
      <w:r w:rsidR="00197D38" w:rsidRPr="00150391">
        <w:rPr>
          <w:rFonts w:cs="Calibri"/>
        </w:rPr>
        <w:t xml:space="preserve">23 </w:t>
      </w:r>
      <w:r w:rsidRPr="00150391">
        <w:rPr>
          <w:rFonts w:cs="Calibri"/>
        </w:rPr>
        <w:t>Budget Appropriation Bills</w:t>
      </w:r>
      <w:r w:rsidR="00160E84">
        <w:rPr>
          <w:rFonts w:cs="Calibri"/>
        </w:rPr>
        <w:t>,</w:t>
      </w:r>
      <w:r w:rsidRPr="00150391">
        <w:rPr>
          <w:rFonts w:cs="Calibri"/>
        </w:rPr>
        <w:t xml:space="preserve"> are </w:t>
      </w:r>
      <w:r w:rsidRPr="00150391">
        <w:rPr>
          <w:rFonts w:cs="Calibri"/>
          <w:b/>
          <w:bCs/>
        </w:rPr>
        <w:t>required</w:t>
      </w:r>
      <w:r w:rsidRPr="00150391">
        <w:rPr>
          <w:rFonts w:cs="Calibri"/>
        </w:rPr>
        <w:t xml:space="preserve"> to produce a PB Statement</w:t>
      </w:r>
      <w:r w:rsidR="00DB782A" w:rsidRPr="00150391">
        <w:rPr>
          <w:rFonts w:cs="Calibri"/>
        </w:rPr>
        <w:t xml:space="preserve"> (or a chapter in a PB Statement)</w:t>
      </w:r>
      <w:r w:rsidRPr="00150391">
        <w:rPr>
          <w:rFonts w:cs="Calibri"/>
        </w:rPr>
        <w:t>.</w:t>
      </w:r>
    </w:p>
    <w:p w14:paraId="3A799010" w14:textId="77777777" w:rsidR="009D4EB9" w:rsidRPr="00150391" w:rsidRDefault="53BF0693" w:rsidP="000A7DEC">
      <w:pPr>
        <w:rPr>
          <w:rFonts w:cs="Calibri"/>
        </w:rPr>
      </w:pPr>
      <w:r w:rsidRPr="00150391">
        <w:rPr>
          <w:rFonts w:cs="Calibri"/>
        </w:rPr>
        <w:t>In some instances, the Department of Finance (Finance) may require a non-Budget appropriated entity to produce PB Statements (i.e. the Future Fund Management Agency) when there is greater scrutiny on its operations or Budget and forward estimates.</w:t>
      </w:r>
    </w:p>
    <w:p w14:paraId="64988F33" w14:textId="77777777" w:rsidR="009D4EB9" w:rsidRPr="00150391" w:rsidRDefault="53BF0693" w:rsidP="000A7DEC">
      <w:pPr>
        <w:rPr>
          <w:rFonts w:cs="Calibri"/>
        </w:rPr>
      </w:pPr>
      <w:r w:rsidRPr="00150391">
        <w:rPr>
          <w:rFonts w:cs="Calibri"/>
        </w:rPr>
        <w:t>Entities will normally be shown as separate chapters in the PB Statements, unless they are in the process of being merged or consolidated into another Department or entity at the start of the Budget year.</w:t>
      </w:r>
    </w:p>
    <w:p w14:paraId="4BBA8C1E" w14:textId="72BCEE33" w:rsidR="00895FC3" w:rsidRPr="00150391" w:rsidRDefault="53BF0693" w:rsidP="001D30A2">
      <w:pPr>
        <w:rPr>
          <w:rFonts w:cs="Calibri"/>
        </w:rPr>
      </w:pPr>
      <w:r w:rsidRPr="00150391">
        <w:rPr>
          <w:rFonts w:cs="Calibri"/>
        </w:rPr>
        <w:t xml:space="preserve">Where there is more than one department in a portfolio, the senior Portfolio Minister should determine how the portfolio </w:t>
      </w:r>
      <w:r w:rsidR="00EF4FBA" w:rsidRPr="00150391">
        <w:rPr>
          <w:rFonts w:cs="Calibri"/>
        </w:rPr>
        <w:t>is</w:t>
      </w:r>
      <w:r w:rsidRPr="00150391">
        <w:rPr>
          <w:rFonts w:cs="Calibri"/>
        </w:rPr>
        <w:t xml:space="preserve"> represented (i.e. whether there is to be a separate book for each department, or one consolidated book for the portfolio).</w:t>
      </w:r>
    </w:p>
    <w:p w14:paraId="70299A0C" w14:textId="77777777" w:rsidR="00FE534B" w:rsidRDefault="00FE534B" w:rsidP="000A7DEC">
      <w:pPr>
        <w:rPr>
          <w:rFonts w:cs="Calibri"/>
        </w:rPr>
      </w:pPr>
    </w:p>
    <w:p w14:paraId="4A862157" w14:textId="77777777" w:rsidR="00FE534B" w:rsidRDefault="00FE534B">
      <w:pPr>
        <w:suppressAutoHyphens w:val="0"/>
        <w:spacing w:before="0" w:after="120" w:line="440" w:lineRule="atLeast"/>
        <w:rPr>
          <w:rFonts w:cs="Calibri"/>
        </w:rPr>
      </w:pPr>
      <w:r>
        <w:rPr>
          <w:rFonts w:cs="Calibri"/>
        </w:rPr>
        <w:br w:type="page"/>
      </w:r>
    </w:p>
    <w:p w14:paraId="4E9E26A6" w14:textId="07079FB2" w:rsidR="001923C9" w:rsidRPr="00150391" w:rsidRDefault="53BF0693" w:rsidP="000A7DEC">
      <w:pPr>
        <w:rPr>
          <w:rFonts w:cs="Calibri"/>
        </w:rPr>
      </w:pPr>
      <w:r w:rsidRPr="00150391">
        <w:rPr>
          <w:rFonts w:cs="Calibri"/>
        </w:rPr>
        <w:t xml:space="preserve">Entities are to use the following </w:t>
      </w:r>
      <w:r w:rsidR="00396887" w:rsidRPr="00150391">
        <w:rPr>
          <w:rFonts w:cs="Calibri"/>
        </w:rPr>
        <w:t>portfolio</w:t>
      </w:r>
      <w:r w:rsidRPr="00150391">
        <w:rPr>
          <w:rFonts w:cs="Calibri"/>
        </w:rPr>
        <w:t xml:space="preserve"> numbers for the covers of their PB Statements:</w:t>
      </w:r>
    </w:p>
    <w:tbl>
      <w:tblPr>
        <w:tblStyle w:val="TableGrid"/>
        <w:tblW w:w="0" w:type="auto"/>
        <w:shd w:val="clear" w:color="auto" w:fill="D9D9D9" w:themeFill="background1" w:themeFillShade="D9"/>
        <w:tblLook w:val="04A0" w:firstRow="1" w:lastRow="0" w:firstColumn="1" w:lastColumn="0" w:noHBand="0" w:noVBand="1"/>
      </w:tblPr>
      <w:tblGrid>
        <w:gridCol w:w="9054"/>
      </w:tblGrid>
      <w:tr w:rsidR="00DC2750" w:rsidRPr="00150391" w14:paraId="35C61DF2" w14:textId="77777777" w:rsidTr="260627E5">
        <w:tc>
          <w:tcPr>
            <w:tcW w:w="9054" w:type="dxa"/>
            <w:shd w:val="clear" w:color="auto" w:fill="D9D9D9" w:themeFill="background1" w:themeFillShade="D9"/>
          </w:tcPr>
          <w:p w14:paraId="243DA0A6" w14:textId="733B362D" w:rsidR="00DC2750" w:rsidRPr="00150391" w:rsidRDefault="00DC2750" w:rsidP="00992E23">
            <w:pPr>
              <w:pStyle w:val="PortfolioNumberingText"/>
              <w:rPr>
                <w:rFonts w:cs="Calibri"/>
              </w:rPr>
            </w:pPr>
            <w:r w:rsidRPr="00150391">
              <w:rPr>
                <w:rFonts w:cs="Calibri"/>
              </w:rPr>
              <w:t>1.</w:t>
            </w:r>
            <w:r w:rsidR="00033997" w:rsidRPr="00150391">
              <w:rPr>
                <w:rFonts w:cs="Calibri"/>
              </w:rPr>
              <w:t>1</w:t>
            </w:r>
            <w:r w:rsidRPr="00150391">
              <w:rPr>
                <w:rFonts w:cs="Calibri"/>
              </w:rPr>
              <w:tab/>
            </w:r>
            <w:r w:rsidR="00CC6BB0" w:rsidRPr="00150391">
              <w:rPr>
                <w:rFonts w:cs="Calibri"/>
              </w:rPr>
              <w:t xml:space="preserve">Agriculture, </w:t>
            </w:r>
            <w:r w:rsidR="00577E79" w:rsidRPr="00150391">
              <w:rPr>
                <w:rFonts w:cs="Calibri"/>
              </w:rPr>
              <w:t>Fisheries and Forestry</w:t>
            </w:r>
            <w:r w:rsidR="00162A21" w:rsidRPr="00150391">
              <w:rPr>
                <w:rFonts w:cs="Calibri"/>
              </w:rPr>
              <w:t xml:space="preserve"> Portfolio</w:t>
            </w:r>
          </w:p>
          <w:p w14:paraId="6B48BAD2" w14:textId="6CFD6565" w:rsidR="00033997" w:rsidRPr="00150391" w:rsidRDefault="00033997" w:rsidP="00F0790E">
            <w:pPr>
              <w:pStyle w:val="PortfolioNumberingText"/>
              <w:rPr>
                <w:rFonts w:cs="Calibri"/>
              </w:rPr>
            </w:pPr>
            <w:r w:rsidRPr="00150391">
              <w:rPr>
                <w:rFonts w:cs="Calibri"/>
              </w:rPr>
              <w:t>1.2</w:t>
            </w:r>
            <w:r w:rsidR="0017521A" w:rsidRPr="00150391">
              <w:rPr>
                <w:rFonts w:cs="Calibri"/>
              </w:rPr>
              <w:tab/>
            </w:r>
            <w:r w:rsidR="00CC6BB0" w:rsidRPr="00150391">
              <w:rPr>
                <w:rFonts w:cs="Calibri"/>
              </w:rPr>
              <w:t>Attorney-General’s Portfolio</w:t>
            </w:r>
          </w:p>
          <w:p w14:paraId="5027BBB1" w14:textId="01995F74" w:rsidR="00577E79" w:rsidRPr="00150391" w:rsidRDefault="002362A7" w:rsidP="00B94A5D">
            <w:pPr>
              <w:pStyle w:val="PortfolioNumberingText"/>
              <w:rPr>
                <w:rFonts w:cs="Calibri"/>
              </w:rPr>
            </w:pPr>
            <w:r w:rsidRPr="00150391">
              <w:rPr>
                <w:rFonts w:cs="Calibri"/>
              </w:rPr>
              <w:t>1.3</w:t>
            </w:r>
            <w:r w:rsidR="00577E79" w:rsidRPr="00150391">
              <w:rPr>
                <w:rFonts w:cs="Calibri"/>
              </w:rPr>
              <w:tab/>
              <w:t>Climate Change, Energy, the Environment and Water</w:t>
            </w:r>
            <w:r w:rsidR="00162A21" w:rsidRPr="00150391">
              <w:rPr>
                <w:rFonts w:cs="Calibri"/>
              </w:rPr>
              <w:t xml:space="preserve"> Portfolio</w:t>
            </w:r>
          </w:p>
          <w:p w14:paraId="6034052B" w14:textId="419A646B" w:rsidR="00DC2750" w:rsidRPr="00150391" w:rsidRDefault="00DC2750">
            <w:pPr>
              <w:pStyle w:val="PortfolioNumberingText"/>
              <w:rPr>
                <w:rFonts w:cs="Calibri"/>
              </w:rPr>
            </w:pPr>
            <w:r w:rsidRPr="00150391">
              <w:rPr>
                <w:rFonts w:cs="Calibri"/>
              </w:rPr>
              <w:t>1.</w:t>
            </w:r>
            <w:r w:rsidR="002362A7" w:rsidRPr="00150391">
              <w:rPr>
                <w:rFonts w:cs="Calibri"/>
              </w:rPr>
              <w:t>4</w:t>
            </w:r>
            <w:r w:rsidRPr="00150391">
              <w:rPr>
                <w:rFonts w:cs="Calibri"/>
              </w:rPr>
              <w:t>A</w:t>
            </w:r>
            <w:r w:rsidRPr="00150391">
              <w:rPr>
                <w:rFonts w:cs="Calibri"/>
              </w:rPr>
              <w:tab/>
              <w:t>Defence Portfolio</w:t>
            </w:r>
          </w:p>
          <w:p w14:paraId="46B73EA1" w14:textId="5B0B3150" w:rsidR="00DC2750" w:rsidRPr="00150391" w:rsidRDefault="00DC2750">
            <w:pPr>
              <w:pStyle w:val="PortfolioNumberingText"/>
              <w:rPr>
                <w:rFonts w:cs="Calibri"/>
              </w:rPr>
            </w:pPr>
            <w:r w:rsidRPr="00150391">
              <w:rPr>
                <w:rFonts w:cs="Calibri"/>
              </w:rPr>
              <w:t>1.</w:t>
            </w:r>
            <w:r w:rsidR="002362A7" w:rsidRPr="00150391">
              <w:rPr>
                <w:rFonts w:cs="Calibri"/>
              </w:rPr>
              <w:t>4</w:t>
            </w:r>
            <w:r w:rsidRPr="00150391">
              <w:rPr>
                <w:rFonts w:cs="Calibri"/>
              </w:rPr>
              <w:t>B</w:t>
            </w:r>
            <w:r w:rsidRPr="00150391">
              <w:rPr>
                <w:rFonts w:cs="Calibri"/>
              </w:rPr>
              <w:tab/>
              <w:t xml:space="preserve">Defence Portfolio (Department of Veterans’ Affairs) – subject to confirmation </w:t>
            </w:r>
            <w:r w:rsidR="0017521A" w:rsidRPr="00150391">
              <w:rPr>
                <w:rFonts w:cs="Calibri"/>
              </w:rPr>
              <w:br/>
            </w:r>
            <w:r w:rsidRPr="00150391">
              <w:rPr>
                <w:rFonts w:cs="Calibri"/>
              </w:rPr>
              <w:t>by their senior Portfolio Minister</w:t>
            </w:r>
          </w:p>
          <w:p w14:paraId="059FFCAB" w14:textId="576FBF19" w:rsidR="00577E79" w:rsidRPr="00150391" w:rsidRDefault="00DC2750">
            <w:pPr>
              <w:pStyle w:val="PortfolioNumberingText"/>
              <w:rPr>
                <w:rFonts w:cs="Calibri"/>
              </w:rPr>
            </w:pPr>
            <w:r w:rsidRPr="00150391">
              <w:rPr>
                <w:rFonts w:cs="Calibri"/>
              </w:rPr>
              <w:t>1.</w:t>
            </w:r>
            <w:r w:rsidR="002362A7" w:rsidRPr="00150391">
              <w:rPr>
                <w:rFonts w:cs="Calibri"/>
              </w:rPr>
              <w:t>5</w:t>
            </w:r>
            <w:r w:rsidRPr="00150391">
              <w:rPr>
                <w:rFonts w:cs="Calibri"/>
              </w:rPr>
              <w:tab/>
            </w:r>
            <w:r w:rsidR="0017521A" w:rsidRPr="00150391">
              <w:rPr>
                <w:rFonts w:cs="Calibri"/>
              </w:rPr>
              <w:t>Education</w:t>
            </w:r>
            <w:r w:rsidR="00162A21" w:rsidRPr="00150391">
              <w:rPr>
                <w:rFonts w:cs="Calibri"/>
              </w:rPr>
              <w:t xml:space="preserve"> Portfolio</w:t>
            </w:r>
          </w:p>
          <w:p w14:paraId="7EEA7190" w14:textId="750317A4" w:rsidR="00DC2750" w:rsidRPr="00150391" w:rsidRDefault="002362A7">
            <w:pPr>
              <w:pStyle w:val="PortfolioNumberingText"/>
              <w:rPr>
                <w:rFonts w:cs="Calibri"/>
              </w:rPr>
            </w:pPr>
            <w:r w:rsidRPr="00150391">
              <w:rPr>
                <w:rFonts w:cs="Calibri"/>
              </w:rPr>
              <w:t>1.6</w:t>
            </w:r>
            <w:r w:rsidR="00577E79" w:rsidRPr="00150391">
              <w:rPr>
                <w:rFonts w:cs="Calibri"/>
              </w:rPr>
              <w:tab/>
              <w:t>Employment and Workplace Relations</w:t>
            </w:r>
            <w:r w:rsidR="00162A21" w:rsidRPr="00150391">
              <w:rPr>
                <w:rFonts w:cs="Calibri"/>
              </w:rPr>
              <w:t xml:space="preserve"> Portfolio</w:t>
            </w:r>
          </w:p>
          <w:p w14:paraId="0313A1AB" w14:textId="12AEEE8F" w:rsidR="00DC2750" w:rsidRPr="00150391" w:rsidRDefault="00DC2750">
            <w:pPr>
              <w:pStyle w:val="PortfolioNumberingText"/>
              <w:rPr>
                <w:rFonts w:cs="Calibri"/>
              </w:rPr>
            </w:pPr>
            <w:r w:rsidRPr="00150391">
              <w:rPr>
                <w:rFonts w:cs="Calibri"/>
              </w:rPr>
              <w:t>1.</w:t>
            </w:r>
            <w:r w:rsidR="002362A7" w:rsidRPr="00150391">
              <w:rPr>
                <w:rFonts w:cs="Calibri"/>
              </w:rPr>
              <w:t>7</w:t>
            </w:r>
            <w:r w:rsidRPr="00150391">
              <w:rPr>
                <w:rFonts w:cs="Calibri"/>
              </w:rPr>
              <w:tab/>
              <w:t>Finance Portfolio</w:t>
            </w:r>
          </w:p>
          <w:p w14:paraId="232DD671" w14:textId="5C02A0B7" w:rsidR="00DC2750" w:rsidRPr="00150391" w:rsidRDefault="00DC2750">
            <w:pPr>
              <w:pStyle w:val="PortfolioNumberingText"/>
              <w:rPr>
                <w:rFonts w:cs="Calibri"/>
              </w:rPr>
            </w:pPr>
            <w:r w:rsidRPr="00150391">
              <w:rPr>
                <w:rFonts w:cs="Calibri"/>
              </w:rPr>
              <w:t>1.</w:t>
            </w:r>
            <w:r w:rsidR="002362A7" w:rsidRPr="00150391">
              <w:rPr>
                <w:rFonts w:cs="Calibri"/>
              </w:rPr>
              <w:t>8</w:t>
            </w:r>
            <w:r w:rsidRPr="00150391">
              <w:rPr>
                <w:rFonts w:cs="Calibri"/>
              </w:rPr>
              <w:tab/>
              <w:t>Foreign Affairs and Trade Portfolio</w:t>
            </w:r>
          </w:p>
          <w:p w14:paraId="3088852C" w14:textId="6BDC723B" w:rsidR="00DC2750" w:rsidRPr="00150391" w:rsidRDefault="00DC2750">
            <w:pPr>
              <w:pStyle w:val="PortfolioNumberingText"/>
              <w:rPr>
                <w:rFonts w:cs="Calibri"/>
              </w:rPr>
            </w:pPr>
            <w:r w:rsidRPr="00150391">
              <w:rPr>
                <w:rFonts w:cs="Calibri"/>
              </w:rPr>
              <w:t>1.</w:t>
            </w:r>
            <w:r w:rsidR="002362A7" w:rsidRPr="00150391">
              <w:rPr>
                <w:rFonts w:cs="Calibri"/>
              </w:rPr>
              <w:t>9</w:t>
            </w:r>
            <w:r w:rsidRPr="00150391">
              <w:rPr>
                <w:rFonts w:cs="Calibri"/>
              </w:rPr>
              <w:tab/>
              <w:t>Health</w:t>
            </w:r>
            <w:r w:rsidR="002362A7" w:rsidRPr="00150391">
              <w:rPr>
                <w:rFonts w:cs="Calibri"/>
              </w:rPr>
              <w:t xml:space="preserve"> and Aged Care</w:t>
            </w:r>
            <w:r w:rsidRPr="00150391">
              <w:rPr>
                <w:rFonts w:cs="Calibri"/>
              </w:rPr>
              <w:t xml:space="preserve"> Portfolio</w:t>
            </w:r>
          </w:p>
          <w:p w14:paraId="0069A47B" w14:textId="031734E7" w:rsidR="00DC2750" w:rsidRPr="00150391" w:rsidRDefault="00DC2750">
            <w:pPr>
              <w:pStyle w:val="PortfolioNumberingText"/>
              <w:rPr>
                <w:rFonts w:cs="Calibri"/>
              </w:rPr>
            </w:pPr>
            <w:r w:rsidRPr="00150391">
              <w:rPr>
                <w:rFonts w:cs="Calibri"/>
              </w:rPr>
              <w:t>1.</w:t>
            </w:r>
            <w:r w:rsidR="002362A7" w:rsidRPr="00150391">
              <w:rPr>
                <w:rFonts w:cs="Calibri"/>
              </w:rPr>
              <w:t>10</w:t>
            </w:r>
            <w:r w:rsidRPr="00150391">
              <w:rPr>
                <w:rFonts w:cs="Calibri"/>
              </w:rPr>
              <w:tab/>
              <w:t>Home Affairs Portfolio</w:t>
            </w:r>
          </w:p>
          <w:p w14:paraId="6FD7BEB3" w14:textId="2C5531F3" w:rsidR="00DC2750" w:rsidRPr="00150391" w:rsidRDefault="00DC2750">
            <w:pPr>
              <w:pStyle w:val="PortfolioNumberingText"/>
              <w:rPr>
                <w:rFonts w:cs="Calibri"/>
              </w:rPr>
            </w:pPr>
            <w:r w:rsidRPr="00150391">
              <w:rPr>
                <w:rFonts w:cs="Calibri"/>
              </w:rPr>
              <w:t>1.</w:t>
            </w:r>
            <w:r w:rsidR="002362A7" w:rsidRPr="00150391">
              <w:rPr>
                <w:rFonts w:cs="Calibri"/>
              </w:rPr>
              <w:t>11</w:t>
            </w:r>
            <w:r w:rsidRPr="00150391">
              <w:rPr>
                <w:rFonts w:cs="Calibri"/>
              </w:rPr>
              <w:tab/>
            </w:r>
            <w:r w:rsidR="0017521A" w:rsidRPr="00150391">
              <w:rPr>
                <w:rFonts w:cs="Calibri"/>
              </w:rPr>
              <w:t>Industry, Science, Energy and Resources Portfolio</w:t>
            </w:r>
          </w:p>
          <w:p w14:paraId="42BBC5D3" w14:textId="5B69FB50" w:rsidR="00DC2750" w:rsidRPr="00150391" w:rsidRDefault="00DC2750">
            <w:pPr>
              <w:pStyle w:val="PortfolioNumberingText"/>
              <w:rPr>
                <w:rFonts w:cs="Calibri"/>
              </w:rPr>
            </w:pPr>
            <w:r w:rsidRPr="00150391">
              <w:rPr>
                <w:rFonts w:cs="Calibri"/>
              </w:rPr>
              <w:t>1.</w:t>
            </w:r>
            <w:r w:rsidR="00CC6BB0" w:rsidRPr="00150391">
              <w:rPr>
                <w:rFonts w:cs="Calibri"/>
              </w:rPr>
              <w:t>1</w:t>
            </w:r>
            <w:r w:rsidR="002362A7" w:rsidRPr="00150391">
              <w:rPr>
                <w:rFonts w:cs="Calibri"/>
              </w:rPr>
              <w:t>2</w:t>
            </w:r>
            <w:r w:rsidRPr="00150391">
              <w:rPr>
                <w:rFonts w:cs="Calibri"/>
              </w:rPr>
              <w:tab/>
            </w:r>
            <w:r w:rsidR="0017521A" w:rsidRPr="00150391">
              <w:rPr>
                <w:rFonts w:cs="Calibri"/>
              </w:rPr>
              <w:t xml:space="preserve">Infrastructure, Transport, Regional Development and Communications </w:t>
            </w:r>
            <w:r w:rsidR="002362A7" w:rsidRPr="00150391">
              <w:rPr>
                <w:rFonts w:cs="Calibri"/>
              </w:rPr>
              <w:t xml:space="preserve">and the Arts </w:t>
            </w:r>
            <w:r w:rsidR="0017521A" w:rsidRPr="00150391">
              <w:rPr>
                <w:rFonts w:cs="Calibri"/>
              </w:rPr>
              <w:t>Portfolio</w:t>
            </w:r>
          </w:p>
          <w:p w14:paraId="38A10DFD" w14:textId="0BDB1A36" w:rsidR="00DC2750" w:rsidRPr="00150391" w:rsidRDefault="00DC2750">
            <w:pPr>
              <w:pStyle w:val="PortfolioNumberingText"/>
              <w:rPr>
                <w:rFonts w:cs="Calibri"/>
              </w:rPr>
            </w:pPr>
            <w:r w:rsidRPr="00150391">
              <w:rPr>
                <w:rFonts w:cs="Calibri"/>
              </w:rPr>
              <w:t>1.1</w:t>
            </w:r>
            <w:r w:rsidR="002362A7" w:rsidRPr="00150391">
              <w:rPr>
                <w:rFonts w:cs="Calibri"/>
              </w:rPr>
              <w:t>3</w:t>
            </w:r>
            <w:r w:rsidRPr="00150391">
              <w:rPr>
                <w:rFonts w:cs="Calibri"/>
              </w:rPr>
              <w:tab/>
              <w:t>Prime Minister and Cabinet Portfolio</w:t>
            </w:r>
          </w:p>
          <w:p w14:paraId="15A270B0" w14:textId="6F893D8A" w:rsidR="00DC2750" w:rsidRPr="00150391" w:rsidRDefault="00DC2750">
            <w:pPr>
              <w:pStyle w:val="PortfolioNumberingText"/>
              <w:rPr>
                <w:rFonts w:cs="Calibri"/>
              </w:rPr>
            </w:pPr>
            <w:r w:rsidRPr="00150391">
              <w:rPr>
                <w:rFonts w:cs="Calibri"/>
              </w:rPr>
              <w:t>1.1</w:t>
            </w:r>
            <w:r w:rsidR="002362A7" w:rsidRPr="00150391">
              <w:rPr>
                <w:rFonts w:cs="Calibri"/>
              </w:rPr>
              <w:t>4</w:t>
            </w:r>
            <w:r w:rsidRPr="00150391">
              <w:rPr>
                <w:rFonts w:cs="Calibri"/>
              </w:rPr>
              <w:tab/>
              <w:t>Social Services Portfolio</w:t>
            </w:r>
          </w:p>
          <w:p w14:paraId="13C9D83F" w14:textId="7F0AD29C" w:rsidR="00DC2750" w:rsidRPr="00150391" w:rsidRDefault="00DC2750">
            <w:pPr>
              <w:pStyle w:val="PortfolioNumberingText"/>
              <w:rPr>
                <w:rFonts w:cs="Calibri"/>
              </w:rPr>
            </w:pPr>
            <w:r w:rsidRPr="00150391">
              <w:rPr>
                <w:rFonts w:cs="Calibri"/>
              </w:rPr>
              <w:t>1.1</w:t>
            </w:r>
            <w:r w:rsidR="002362A7" w:rsidRPr="00150391">
              <w:rPr>
                <w:rFonts w:cs="Calibri"/>
              </w:rPr>
              <w:t>5</w:t>
            </w:r>
            <w:r w:rsidRPr="00150391">
              <w:rPr>
                <w:rFonts w:cs="Calibri"/>
              </w:rPr>
              <w:tab/>
              <w:t>Treasury Portfolio</w:t>
            </w:r>
          </w:p>
          <w:p w14:paraId="4179A73A" w14:textId="77777777" w:rsidR="00DC2750" w:rsidRPr="00150391" w:rsidRDefault="00DC2750">
            <w:pPr>
              <w:pStyle w:val="PortfolioNumberingText"/>
              <w:rPr>
                <w:rFonts w:cs="Calibri"/>
              </w:rPr>
            </w:pPr>
            <w:r w:rsidRPr="00150391">
              <w:rPr>
                <w:rFonts w:cs="Calibri"/>
              </w:rPr>
              <w:t>1.1</w:t>
            </w:r>
            <w:r w:rsidR="00CC6BB0" w:rsidRPr="00150391">
              <w:rPr>
                <w:rFonts w:cs="Calibri"/>
              </w:rPr>
              <w:t>4</w:t>
            </w:r>
            <w:r w:rsidRPr="00150391">
              <w:rPr>
                <w:rFonts w:cs="Calibri"/>
              </w:rPr>
              <w:t xml:space="preserve">A </w:t>
            </w:r>
            <w:r w:rsidRPr="00150391">
              <w:rPr>
                <w:rFonts w:cs="Calibri"/>
              </w:rPr>
              <w:tab/>
              <w:t>Department of the House of Representatives</w:t>
            </w:r>
          </w:p>
          <w:p w14:paraId="73113AB4" w14:textId="77777777" w:rsidR="00DC2750" w:rsidRPr="00150391" w:rsidRDefault="00DC2750">
            <w:pPr>
              <w:pStyle w:val="PortfolioNumberingText"/>
              <w:rPr>
                <w:rFonts w:cs="Calibri"/>
              </w:rPr>
            </w:pPr>
            <w:r w:rsidRPr="00150391">
              <w:rPr>
                <w:rFonts w:cs="Calibri"/>
              </w:rPr>
              <w:t>1.1</w:t>
            </w:r>
            <w:r w:rsidR="00CC6BB0" w:rsidRPr="00150391">
              <w:rPr>
                <w:rFonts w:cs="Calibri"/>
              </w:rPr>
              <w:t>4</w:t>
            </w:r>
            <w:r w:rsidRPr="00150391">
              <w:rPr>
                <w:rFonts w:cs="Calibri"/>
              </w:rPr>
              <w:t>B</w:t>
            </w:r>
            <w:r w:rsidRPr="00150391">
              <w:rPr>
                <w:rFonts w:cs="Calibri"/>
              </w:rPr>
              <w:tab/>
              <w:t>Department of the Senate</w:t>
            </w:r>
          </w:p>
          <w:p w14:paraId="7705F509" w14:textId="77777777" w:rsidR="00DC2750" w:rsidRPr="00150391" w:rsidRDefault="00DC2750">
            <w:pPr>
              <w:pStyle w:val="PortfolioNumberingText"/>
              <w:rPr>
                <w:rFonts w:cs="Calibri"/>
              </w:rPr>
            </w:pPr>
            <w:r w:rsidRPr="00150391">
              <w:rPr>
                <w:rFonts w:cs="Calibri"/>
              </w:rPr>
              <w:t>1.1</w:t>
            </w:r>
            <w:r w:rsidR="00CC6BB0" w:rsidRPr="00150391">
              <w:rPr>
                <w:rFonts w:cs="Calibri"/>
              </w:rPr>
              <w:t>4</w:t>
            </w:r>
            <w:r w:rsidRPr="00150391">
              <w:rPr>
                <w:rFonts w:cs="Calibri"/>
              </w:rPr>
              <w:t>C</w:t>
            </w:r>
            <w:r w:rsidRPr="00150391">
              <w:rPr>
                <w:rFonts w:cs="Calibri"/>
              </w:rPr>
              <w:tab/>
              <w:t xml:space="preserve">Department of Parliamentary Services </w:t>
            </w:r>
          </w:p>
          <w:p w14:paraId="3A965EF8" w14:textId="77777777" w:rsidR="00DC2750" w:rsidRPr="00150391" w:rsidRDefault="00DC2750">
            <w:pPr>
              <w:pStyle w:val="PortfolioNumberingText"/>
              <w:rPr>
                <w:rFonts w:cs="Calibri"/>
              </w:rPr>
            </w:pPr>
            <w:r w:rsidRPr="00150391">
              <w:rPr>
                <w:rFonts w:cs="Calibri"/>
              </w:rPr>
              <w:t>1.1</w:t>
            </w:r>
            <w:r w:rsidR="00CC6BB0" w:rsidRPr="00150391">
              <w:rPr>
                <w:rFonts w:cs="Calibri"/>
              </w:rPr>
              <w:t>4</w:t>
            </w:r>
            <w:r w:rsidRPr="00150391">
              <w:rPr>
                <w:rFonts w:cs="Calibri"/>
              </w:rPr>
              <w:t xml:space="preserve">D </w:t>
            </w:r>
            <w:r w:rsidRPr="00150391">
              <w:rPr>
                <w:rFonts w:cs="Calibri"/>
              </w:rPr>
              <w:tab/>
              <w:t>Parliamentary Budget Office</w:t>
            </w:r>
          </w:p>
        </w:tc>
      </w:tr>
    </w:tbl>
    <w:p w14:paraId="4546853B" w14:textId="3B34E359" w:rsidR="002362A7" w:rsidRPr="00150391" w:rsidRDefault="00090962" w:rsidP="002362A7">
      <w:pPr>
        <w:pStyle w:val="Boxed2Text"/>
        <w:rPr>
          <w:rFonts w:cs="Calibri"/>
        </w:rPr>
        <w:sectPr w:rsidR="002362A7" w:rsidRPr="00150391" w:rsidSect="00C32EB7">
          <w:headerReference w:type="even" r:id="rId28"/>
          <w:headerReference w:type="default" r:id="rId29"/>
          <w:footerReference w:type="default" r:id="rId30"/>
          <w:headerReference w:type="first" r:id="rId31"/>
          <w:pgSz w:w="11900" w:h="16840" w:code="9"/>
          <w:pgMar w:top="1418" w:right="1418" w:bottom="1276" w:left="1418" w:header="510" w:footer="510" w:gutter="0"/>
          <w:cols w:space="708"/>
          <w:docGrid w:linePitch="360"/>
        </w:sectPr>
      </w:pPr>
      <w:bookmarkStart w:id="225" w:name="_Toc411852663"/>
      <w:r w:rsidRPr="00150391">
        <w:rPr>
          <w:rFonts w:cs="Calibri"/>
        </w:rPr>
        <w:t>T</w:t>
      </w:r>
      <w:r w:rsidR="53BF0693" w:rsidRPr="00150391">
        <w:rPr>
          <w:rFonts w:cs="Calibri"/>
        </w:rPr>
        <w:t>he portfolio numbers and names may change from time to time as a result of Administrative Arrangement</w:t>
      </w:r>
      <w:r w:rsidR="00767433" w:rsidRPr="00150391">
        <w:rPr>
          <w:rFonts w:cs="Calibri"/>
        </w:rPr>
        <w:t>s</w:t>
      </w:r>
      <w:r w:rsidR="53BF0693" w:rsidRPr="00150391">
        <w:rPr>
          <w:rFonts w:cs="Calibri"/>
        </w:rPr>
        <w:t xml:space="preserve"> Orders.</w:t>
      </w:r>
    </w:p>
    <w:p w14:paraId="6819A4D3" w14:textId="5083EA81" w:rsidR="00B751D1" w:rsidRPr="00150391" w:rsidRDefault="53BF0693" w:rsidP="002B4935">
      <w:pPr>
        <w:pStyle w:val="Heading1Numbered"/>
        <w:spacing w:before="120"/>
        <w:rPr>
          <w:rFonts w:ascii="Calibri" w:hAnsi="Calibri" w:cs="Calibri"/>
        </w:rPr>
      </w:pPr>
      <w:bookmarkStart w:id="226" w:name="_Toc534385662"/>
      <w:bookmarkStart w:id="227" w:name="_Toc534385802"/>
      <w:bookmarkStart w:id="228" w:name="_Toc534386354"/>
      <w:bookmarkStart w:id="229" w:name="_Toc534386561"/>
      <w:bookmarkStart w:id="230" w:name="_Toc534389760"/>
      <w:bookmarkStart w:id="231" w:name="_Toc534389901"/>
      <w:bookmarkStart w:id="232" w:name="_Toc534406197"/>
      <w:bookmarkStart w:id="233" w:name="_Toc534441474"/>
      <w:bookmarkStart w:id="234" w:name="_Toc534442815"/>
      <w:bookmarkStart w:id="235" w:name="_Toc534442956"/>
      <w:bookmarkStart w:id="236" w:name="_Toc534443097"/>
      <w:bookmarkStart w:id="237" w:name="_Toc534458852"/>
      <w:bookmarkStart w:id="238" w:name="_Toc534459641"/>
      <w:bookmarkStart w:id="239" w:name="_Toc534519136"/>
      <w:bookmarkStart w:id="240" w:name="_Toc534520046"/>
      <w:bookmarkStart w:id="241" w:name="_Toc534520316"/>
      <w:bookmarkStart w:id="242" w:name="_Toc534527528"/>
      <w:bookmarkStart w:id="243" w:name="_Toc534528258"/>
      <w:bookmarkStart w:id="244" w:name="_Toc534803476"/>
      <w:bookmarkStart w:id="245" w:name="_Toc534814167"/>
      <w:bookmarkStart w:id="246" w:name="_Toc536108537"/>
      <w:bookmarkStart w:id="247" w:name="_Toc536802088"/>
      <w:bookmarkStart w:id="248" w:name="_Toc422692"/>
      <w:bookmarkStart w:id="249" w:name="_Toc63347671"/>
      <w:bookmarkStart w:id="250" w:name="_Toc11457625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150391">
        <w:rPr>
          <w:rFonts w:ascii="Calibri" w:hAnsi="Calibri" w:cs="Calibri"/>
        </w:rPr>
        <w:t>Structure</w:t>
      </w:r>
      <w:bookmarkEnd w:id="249"/>
      <w:bookmarkEnd w:id="250"/>
    </w:p>
    <w:p w14:paraId="3AD518C8" w14:textId="550B1F99" w:rsidR="00FA0945" w:rsidRPr="00150391" w:rsidRDefault="53BF0693" w:rsidP="000A7DEC">
      <w:pPr>
        <w:rPr>
          <w:rFonts w:cs="Calibri"/>
        </w:rPr>
      </w:pPr>
      <w:r w:rsidRPr="00150391">
        <w:rPr>
          <w:rFonts w:cs="Calibri"/>
        </w:rPr>
        <w:t xml:space="preserve">The PB Statements contain four levels of information: </w:t>
      </w:r>
      <w:r w:rsidR="00396887" w:rsidRPr="00150391">
        <w:rPr>
          <w:rFonts w:cs="Calibri"/>
        </w:rPr>
        <w:t>portfolio, e</w:t>
      </w:r>
      <w:r w:rsidRPr="00150391">
        <w:rPr>
          <w:rFonts w:cs="Calibri"/>
        </w:rPr>
        <w:t xml:space="preserve">ntity, </w:t>
      </w:r>
      <w:r w:rsidR="00396887" w:rsidRPr="00150391">
        <w:rPr>
          <w:rFonts w:cs="Calibri"/>
        </w:rPr>
        <w:t>o</w:t>
      </w:r>
      <w:r w:rsidRPr="00150391">
        <w:rPr>
          <w:rFonts w:cs="Calibri"/>
        </w:rPr>
        <w:t xml:space="preserve">utcome and </w:t>
      </w:r>
      <w:r w:rsidR="00396887" w:rsidRPr="00150391">
        <w:rPr>
          <w:rFonts w:cs="Calibri"/>
        </w:rPr>
        <w:t>p</w:t>
      </w:r>
      <w:r w:rsidRPr="00150391">
        <w:rPr>
          <w:rFonts w:cs="Calibri"/>
        </w:rPr>
        <w:t xml:space="preserve">rogram. To ensure that PB Statements are clear and concise, entities should include information where it is most relevant. Guidance on the information required in each section of the </w:t>
      </w:r>
      <w:r w:rsidR="00733D89" w:rsidRPr="00150391">
        <w:rPr>
          <w:rFonts w:cs="Calibri"/>
        </w:rPr>
        <w:t>PB </w:t>
      </w:r>
      <w:r w:rsidRPr="00150391">
        <w:rPr>
          <w:rFonts w:cs="Calibri"/>
        </w:rPr>
        <w:t>Statements is included throughout this document.</w:t>
      </w:r>
    </w:p>
    <w:p w14:paraId="1C247A3D" w14:textId="77777777" w:rsidR="00FA0945" w:rsidRPr="00150391" w:rsidRDefault="53BF0693" w:rsidP="000A7DEC">
      <w:pPr>
        <w:rPr>
          <w:rFonts w:cs="Calibri"/>
        </w:rPr>
      </w:pPr>
      <w:r w:rsidRPr="00150391">
        <w:rPr>
          <w:rFonts w:cs="Calibri"/>
        </w:rPr>
        <w:t>Entities should produce PB Statements that present three key messages:</w:t>
      </w:r>
    </w:p>
    <w:p w14:paraId="3E7237DF" w14:textId="77777777" w:rsidR="00FA0945" w:rsidRPr="00150391" w:rsidRDefault="53BF0693" w:rsidP="001D30A2">
      <w:pPr>
        <w:pStyle w:val="Bullet1"/>
        <w:rPr>
          <w:rFonts w:ascii="Calibri" w:hAnsi="Calibri" w:cs="Calibri"/>
        </w:rPr>
      </w:pPr>
      <w:r w:rsidRPr="00150391">
        <w:rPr>
          <w:rFonts w:ascii="Calibri" w:hAnsi="Calibri" w:cs="Calibri"/>
        </w:rPr>
        <w:t xml:space="preserve">What does the </w:t>
      </w:r>
      <w:r w:rsidR="006418EA" w:rsidRPr="00150391">
        <w:rPr>
          <w:rFonts w:ascii="Calibri" w:hAnsi="Calibri" w:cs="Calibri"/>
        </w:rPr>
        <w:t>government</w:t>
      </w:r>
      <w:r w:rsidRPr="00150391">
        <w:rPr>
          <w:rFonts w:ascii="Calibri" w:hAnsi="Calibri" w:cs="Calibri"/>
        </w:rPr>
        <w:t xml:space="preserve"> (through the entity) want to achieve?</w:t>
      </w:r>
    </w:p>
    <w:p w14:paraId="3ED64B51" w14:textId="77777777" w:rsidR="00FA0945" w:rsidRPr="00150391" w:rsidRDefault="53BF0693" w:rsidP="001D30A2">
      <w:pPr>
        <w:pStyle w:val="Bullet1"/>
        <w:rPr>
          <w:rFonts w:ascii="Calibri" w:hAnsi="Calibri" w:cs="Calibri"/>
        </w:rPr>
      </w:pPr>
      <w:r w:rsidRPr="00150391">
        <w:rPr>
          <w:rFonts w:ascii="Calibri" w:hAnsi="Calibri" w:cs="Calibri"/>
        </w:rPr>
        <w:t>Through what means does it propose to achieve this?</w:t>
      </w:r>
    </w:p>
    <w:p w14:paraId="3E142C15" w14:textId="77777777" w:rsidR="00FA0945" w:rsidRPr="00150391" w:rsidRDefault="53BF0693" w:rsidP="001D30A2">
      <w:pPr>
        <w:pStyle w:val="Bullet1"/>
        <w:rPr>
          <w:rFonts w:ascii="Calibri" w:hAnsi="Calibri" w:cs="Calibri"/>
        </w:rPr>
      </w:pPr>
      <w:r w:rsidRPr="00150391">
        <w:rPr>
          <w:rFonts w:ascii="Calibri" w:hAnsi="Calibri" w:cs="Calibri"/>
        </w:rPr>
        <w:t>How will progress be measured?</w:t>
      </w:r>
    </w:p>
    <w:p w14:paraId="26EBEA50" w14:textId="26C82133" w:rsidR="004728A6" w:rsidRPr="00150391" w:rsidRDefault="53BF0693" w:rsidP="000A7DEC">
      <w:pPr>
        <w:rPr>
          <w:rFonts w:cs="Calibri"/>
        </w:rPr>
      </w:pPr>
      <w:r w:rsidRPr="00150391">
        <w:rPr>
          <w:rFonts w:cs="Calibri"/>
        </w:rPr>
        <w:t>Entities may publish additional information beyond the requirements of the PB Statements on their websites.</w:t>
      </w:r>
    </w:p>
    <w:p w14:paraId="4388B9E2" w14:textId="77777777" w:rsidR="00DC2750" w:rsidRPr="00150391" w:rsidRDefault="53BF0693" w:rsidP="000A7DEC">
      <w:pPr>
        <w:rPr>
          <w:rFonts w:cs="Calibri"/>
        </w:rPr>
      </w:pPr>
      <w:r w:rsidRPr="00150391">
        <w:rPr>
          <w:rFonts w:cs="Calibri"/>
        </w:rPr>
        <w:t>Entities should also include a cross-reference at the start of their PB Statements chapter to their corporate plans, which provide a more granular, operational level of detail.</w:t>
      </w:r>
    </w:p>
    <w:p w14:paraId="6F4FDD21" w14:textId="070E5D28" w:rsidR="00FC5FF9" w:rsidRPr="00150391" w:rsidRDefault="53BF0693" w:rsidP="000A7DEC">
      <w:pPr>
        <w:rPr>
          <w:rFonts w:cs="Calibri"/>
        </w:rPr>
      </w:pPr>
      <w:r w:rsidRPr="00150391">
        <w:rPr>
          <w:rFonts w:cs="Calibri"/>
        </w:rPr>
        <w:t xml:space="preserve">The </w:t>
      </w:r>
      <w:r w:rsidR="00197D38" w:rsidRPr="00150391">
        <w:rPr>
          <w:rFonts w:cs="Calibri"/>
        </w:rPr>
        <w:t>2022</w:t>
      </w:r>
      <w:r w:rsidRPr="00150391">
        <w:rPr>
          <w:rFonts w:cs="Calibri"/>
        </w:rPr>
        <w:t>-</w:t>
      </w:r>
      <w:r w:rsidR="00197D38" w:rsidRPr="00150391">
        <w:rPr>
          <w:rFonts w:cs="Calibri"/>
        </w:rPr>
        <w:t xml:space="preserve">23 </w:t>
      </w:r>
      <w:r w:rsidRPr="00150391">
        <w:rPr>
          <w:rFonts w:cs="Calibri"/>
        </w:rPr>
        <w:t>PB Statements will have the following structure:</w:t>
      </w:r>
    </w:p>
    <w:tbl>
      <w:tblPr>
        <w:tblW w:w="8784" w:type="dxa"/>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784"/>
      </w:tblGrid>
      <w:tr w:rsidR="00FA0945" w:rsidRPr="00150391" w14:paraId="34E0728F" w14:textId="77777777" w:rsidTr="260627E5">
        <w:trPr>
          <w:jc w:val="center"/>
        </w:trPr>
        <w:tc>
          <w:tcPr>
            <w:tcW w:w="8784" w:type="dxa"/>
            <w:shd w:val="clear" w:color="auto" w:fill="D9D9D9" w:themeFill="background1" w:themeFillShade="D9"/>
          </w:tcPr>
          <w:p w14:paraId="65E32682" w14:textId="77777777" w:rsidR="00FC5FF9" w:rsidRPr="00150391" w:rsidRDefault="53BF0693" w:rsidP="000A7DEC">
            <w:pPr>
              <w:pStyle w:val="TableText-Normal"/>
              <w:spacing w:before="0" w:after="60" w:line="240" w:lineRule="auto"/>
              <w:rPr>
                <w:rFonts w:cs="Calibri"/>
              </w:rPr>
            </w:pPr>
            <w:r w:rsidRPr="00150391">
              <w:rPr>
                <w:rFonts w:cs="Calibri"/>
              </w:rPr>
              <w:t>Portfolio reporting</w:t>
            </w:r>
          </w:p>
          <w:p w14:paraId="56493C3E" w14:textId="77777777" w:rsidR="00FA0945" w:rsidRPr="00150391" w:rsidRDefault="53BF0693" w:rsidP="000A7DEC">
            <w:pPr>
              <w:pStyle w:val="TableText-Normal"/>
              <w:spacing w:before="0" w:after="60" w:line="240" w:lineRule="auto"/>
              <w:rPr>
                <w:rFonts w:cs="Calibri"/>
              </w:rPr>
            </w:pPr>
            <w:r w:rsidRPr="00150391">
              <w:rPr>
                <w:rFonts w:cs="Calibri"/>
              </w:rPr>
              <w:t>User Guide to the Portfolio Budget Statements</w:t>
            </w:r>
          </w:p>
          <w:p w14:paraId="5298E965" w14:textId="77777777" w:rsidR="00FA0945" w:rsidRPr="00150391" w:rsidRDefault="53BF0693" w:rsidP="000A7DEC">
            <w:pPr>
              <w:pStyle w:val="TableText-Normal"/>
              <w:spacing w:before="0" w:after="60" w:line="240" w:lineRule="auto"/>
              <w:rPr>
                <w:rFonts w:cs="Calibri"/>
              </w:rPr>
            </w:pPr>
            <w:r w:rsidRPr="00150391">
              <w:rPr>
                <w:rFonts w:cs="Calibri"/>
              </w:rPr>
              <w:t>Portfolio overview</w:t>
            </w:r>
          </w:p>
          <w:p w14:paraId="4F3E9D7C" w14:textId="77777777" w:rsidR="00FA0945" w:rsidRPr="00150391" w:rsidRDefault="53BF0693" w:rsidP="000A7DEC">
            <w:pPr>
              <w:pStyle w:val="Bullet2"/>
              <w:spacing w:before="0" w:after="60"/>
              <w:rPr>
                <w:rFonts w:cs="Calibri"/>
              </w:rPr>
            </w:pPr>
            <w:r w:rsidRPr="00150391">
              <w:rPr>
                <w:rFonts w:cs="Calibri"/>
              </w:rPr>
              <w:t>Minister(s) and portfolio responsibilities</w:t>
            </w:r>
          </w:p>
          <w:p w14:paraId="302C7710" w14:textId="77777777" w:rsidR="00FA0945" w:rsidRPr="00150391" w:rsidRDefault="53BF0693" w:rsidP="000A7DEC">
            <w:pPr>
              <w:pStyle w:val="Bullet2"/>
              <w:spacing w:before="0" w:after="60"/>
              <w:rPr>
                <w:rFonts w:cs="Calibri"/>
              </w:rPr>
            </w:pPr>
            <w:r w:rsidRPr="00150391">
              <w:rPr>
                <w:rFonts w:cs="Calibri"/>
              </w:rPr>
              <w:t>Portfolio structure and outcomes</w:t>
            </w:r>
          </w:p>
        </w:tc>
      </w:tr>
      <w:tr w:rsidR="00FA0945" w:rsidRPr="00150391" w14:paraId="2DE4D8FA" w14:textId="77777777" w:rsidTr="260627E5">
        <w:trPr>
          <w:jc w:val="center"/>
        </w:trPr>
        <w:tc>
          <w:tcPr>
            <w:tcW w:w="8784" w:type="dxa"/>
            <w:shd w:val="clear" w:color="auto" w:fill="D9D9D9" w:themeFill="background1" w:themeFillShade="D9"/>
          </w:tcPr>
          <w:p w14:paraId="2197B84F" w14:textId="77777777" w:rsidR="00FA0945" w:rsidRPr="00150391" w:rsidRDefault="53BF0693" w:rsidP="000A7DEC">
            <w:pPr>
              <w:pStyle w:val="TableText-Normal"/>
              <w:spacing w:before="0" w:after="60" w:line="240" w:lineRule="auto"/>
              <w:rPr>
                <w:rFonts w:cs="Calibri"/>
              </w:rPr>
            </w:pPr>
            <w:r w:rsidRPr="00150391">
              <w:rPr>
                <w:rFonts w:cs="Calibri"/>
              </w:rPr>
              <w:t>Department/entity reporting</w:t>
            </w:r>
          </w:p>
          <w:p w14:paraId="548678CD" w14:textId="77777777" w:rsidR="00FA0945" w:rsidRPr="00150391" w:rsidRDefault="53BF0693" w:rsidP="000A7DEC">
            <w:pPr>
              <w:pStyle w:val="TableText-Normal"/>
              <w:spacing w:before="0" w:after="60" w:line="240" w:lineRule="auto"/>
              <w:rPr>
                <w:rFonts w:cs="Calibri"/>
              </w:rPr>
            </w:pPr>
            <w:r w:rsidRPr="00150391">
              <w:rPr>
                <w:rFonts w:cs="Calibri"/>
              </w:rPr>
              <w:t>Entity resources and planned performance</w:t>
            </w:r>
          </w:p>
          <w:p w14:paraId="45D542F7" w14:textId="77777777" w:rsidR="00FA0945" w:rsidRPr="00150391" w:rsidRDefault="53BF0693" w:rsidP="000A7DEC">
            <w:pPr>
              <w:pStyle w:val="Bullet2"/>
              <w:spacing w:before="0" w:after="60"/>
              <w:rPr>
                <w:rFonts w:cs="Calibri"/>
              </w:rPr>
            </w:pPr>
            <w:r w:rsidRPr="00150391">
              <w:rPr>
                <w:rFonts w:cs="Calibri"/>
                <w:u w:val="single"/>
              </w:rPr>
              <w:t>Section One</w:t>
            </w:r>
            <w:r w:rsidRPr="00150391">
              <w:rPr>
                <w:rFonts w:cs="Calibri"/>
              </w:rPr>
              <w:t>: Entity overview and resources</w:t>
            </w:r>
          </w:p>
          <w:p w14:paraId="2176C630" w14:textId="77777777" w:rsidR="00FA0945" w:rsidRPr="00150391" w:rsidRDefault="53BF0693" w:rsidP="000A7DEC">
            <w:pPr>
              <w:pStyle w:val="Bullet3"/>
              <w:spacing w:before="0" w:after="60"/>
              <w:rPr>
                <w:rFonts w:cs="Calibri"/>
              </w:rPr>
            </w:pPr>
            <w:r w:rsidRPr="00150391">
              <w:rPr>
                <w:rFonts w:cs="Calibri"/>
              </w:rPr>
              <w:t>Strategic direction statement</w:t>
            </w:r>
          </w:p>
          <w:p w14:paraId="649DEBB6" w14:textId="77777777" w:rsidR="00FA0945" w:rsidRPr="00150391" w:rsidRDefault="53BF0693" w:rsidP="000A7DEC">
            <w:pPr>
              <w:pStyle w:val="Bullet3"/>
              <w:spacing w:before="0" w:after="60"/>
              <w:rPr>
                <w:rFonts w:cs="Calibri"/>
              </w:rPr>
            </w:pPr>
            <w:r w:rsidRPr="00150391">
              <w:rPr>
                <w:rFonts w:cs="Calibri"/>
              </w:rPr>
              <w:t>Entity resource statement</w:t>
            </w:r>
          </w:p>
          <w:p w14:paraId="1968A1E0" w14:textId="77777777" w:rsidR="00FA0945" w:rsidRPr="00150391" w:rsidRDefault="53BF0693" w:rsidP="000A7DEC">
            <w:pPr>
              <w:pStyle w:val="Bullet3"/>
              <w:spacing w:before="0" w:after="60"/>
              <w:rPr>
                <w:rFonts w:cs="Calibri"/>
              </w:rPr>
            </w:pPr>
            <w:r w:rsidRPr="00150391">
              <w:rPr>
                <w:rFonts w:cs="Calibri"/>
              </w:rPr>
              <w:t>Budget measures</w:t>
            </w:r>
          </w:p>
          <w:p w14:paraId="5E16D269" w14:textId="77777777" w:rsidR="00FA0945" w:rsidRPr="00150391" w:rsidRDefault="53BF0693" w:rsidP="000A7DEC">
            <w:pPr>
              <w:pStyle w:val="Bullet3"/>
              <w:spacing w:before="0" w:after="60"/>
              <w:rPr>
                <w:rFonts w:cs="Calibri"/>
              </w:rPr>
            </w:pPr>
            <w:r w:rsidRPr="00150391">
              <w:rPr>
                <w:rFonts w:cs="Calibri"/>
              </w:rPr>
              <w:t>Changes in entity outcomes and programs (where applicable)</w:t>
            </w:r>
          </w:p>
          <w:p w14:paraId="2C92DD4A" w14:textId="77777777" w:rsidR="00FA0945" w:rsidRPr="00150391" w:rsidRDefault="53BF0693" w:rsidP="000A7DEC">
            <w:pPr>
              <w:pStyle w:val="Bullet2"/>
              <w:spacing w:before="0" w:after="60"/>
              <w:rPr>
                <w:rFonts w:cs="Calibri"/>
              </w:rPr>
            </w:pPr>
            <w:r w:rsidRPr="00150391">
              <w:rPr>
                <w:rFonts w:cs="Calibri"/>
                <w:u w:val="single"/>
              </w:rPr>
              <w:t>Section Two</w:t>
            </w:r>
            <w:r w:rsidRPr="00150391">
              <w:rPr>
                <w:rFonts w:cs="Calibri"/>
              </w:rPr>
              <w:t>: Outcomes and planned performance</w:t>
            </w:r>
          </w:p>
          <w:p w14:paraId="19401CE1" w14:textId="77777777" w:rsidR="00FA0945" w:rsidRPr="00150391" w:rsidRDefault="53BF0693" w:rsidP="000A7DEC">
            <w:pPr>
              <w:pStyle w:val="Bullet3"/>
              <w:spacing w:before="0" w:after="60"/>
              <w:rPr>
                <w:rFonts w:cs="Calibri"/>
              </w:rPr>
            </w:pPr>
            <w:r w:rsidRPr="00150391">
              <w:rPr>
                <w:rFonts w:cs="Calibri"/>
              </w:rPr>
              <w:t>Budgeted expenses and performance for Outcome X</w:t>
            </w:r>
          </w:p>
          <w:p w14:paraId="4BA091AB" w14:textId="77777777" w:rsidR="00FA0945" w:rsidRPr="00150391" w:rsidRDefault="53BF0693" w:rsidP="000A7DEC">
            <w:pPr>
              <w:pStyle w:val="Bullet4"/>
              <w:spacing w:before="0" w:after="60" w:line="240" w:lineRule="auto"/>
              <w:rPr>
                <w:rFonts w:cs="Calibri"/>
              </w:rPr>
            </w:pPr>
            <w:r w:rsidRPr="00150391">
              <w:rPr>
                <w:rFonts w:cs="Calibri"/>
              </w:rPr>
              <w:t>Linked programs</w:t>
            </w:r>
          </w:p>
          <w:p w14:paraId="6A013438" w14:textId="77777777" w:rsidR="00FA0945" w:rsidRPr="00150391" w:rsidRDefault="53BF0693" w:rsidP="000A7DEC">
            <w:pPr>
              <w:pStyle w:val="Bullet4"/>
              <w:spacing w:before="0" w:after="60" w:line="240" w:lineRule="auto"/>
              <w:rPr>
                <w:rFonts w:cs="Calibri"/>
              </w:rPr>
            </w:pPr>
            <w:r w:rsidRPr="00150391">
              <w:rPr>
                <w:rFonts w:cs="Calibri"/>
              </w:rPr>
              <w:t>Budgeted expenses for Outcome X</w:t>
            </w:r>
          </w:p>
          <w:p w14:paraId="4B3D4626" w14:textId="77777777" w:rsidR="00FA0945" w:rsidRPr="00150391" w:rsidRDefault="53BF0693" w:rsidP="000A7DEC">
            <w:pPr>
              <w:pStyle w:val="Bullet5"/>
              <w:spacing w:before="0" w:after="60" w:line="240" w:lineRule="auto"/>
              <w:rPr>
                <w:rFonts w:cs="Calibri"/>
              </w:rPr>
            </w:pPr>
            <w:r w:rsidRPr="00150391">
              <w:rPr>
                <w:rFonts w:cs="Calibri"/>
              </w:rPr>
              <w:t>Program components of Outcome X (optional)</w:t>
            </w:r>
          </w:p>
          <w:p w14:paraId="08B8F8AC" w14:textId="77777777" w:rsidR="00FA0945" w:rsidRPr="00150391" w:rsidRDefault="53BF0693" w:rsidP="000A7DEC">
            <w:pPr>
              <w:pStyle w:val="Bullet4"/>
              <w:spacing w:before="0" w:after="60" w:line="240" w:lineRule="auto"/>
              <w:rPr>
                <w:rFonts w:cs="Calibri"/>
              </w:rPr>
            </w:pPr>
            <w:r w:rsidRPr="00150391">
              <w:rPr>
                <w:rFonts w:cs="Calibri"/>
              </w:rPr>
              <w:t>Planned performance measures for Outcome X</w:t>
            </w:r>
          </w:p>
          <w:p w14:paraId="3B28A24C" w14:textId="77777777" w:rsidR="00FA0945" w:rsidRPr="00150391" w:rsidRDefault="53BF0693" w:rsidP="000A7DEC">
            <w:pPr>
              <w:pStyle w:val="Bullet2"/>
              <w:spacing w:before="0" w:after="60"/>
              <w:rPr>
                <w:rFonts w:cs="Calibri"/>
              </w:rPr>
            </w:pPr>
            <w:r w:rsidRPr="00150391">
              <w:rPr>
                <w:rFonts w:cs="Calibri"/>
                <w:u w:val="single"/>
              </w:rPr>
              <w:t>Section Three</w:t>
            </w:r>
            <w:r w:rsidRPr="00150391">
              <w:rPr>
                <w:rFonts w:cs="Calibri"/>
              </w:rPr>
              <w:t>: Budgeted financial statements</w:t>
            </w:r>
          </w:p>
          <w:p w14:paraId="20E6FFD9" w14:textId="77777777" w:rsidR="001923C9" w:rsidRPr="00150391" w:rsidRDefault="53BF0693" w:rsidP="000A7DEC">
            <w:pPr>
              <w:pStyle w:val="Bullet3"/>
              <w:spacing w:before="0" w:after="60"/>
              <w:rPr>
                <w:rFonts w:cs="Calibri"/>
              </w:rPr>
            </w:pPr>
            <w:r w:rsidRPr="00150391">
              <w:rPr>
                <w:rFonts w:cs="Calibri"/>
              </w:rPr>
              <w:t>Differences between entity resourcing and financial statements (optional)</w:t>
            </w:r>
          </w:p>
          <w:p w14:paraId="58F1F130" w14:textId="77777777" w:rsidR="001923C9" w:rsidRPr="00150391" w:rsidRDefault="53BF0693" w:rsidP="000A7DEC">
            <w:pPr>
              <w:pStyle w:val="Bullet3"/>
              <w:spacing w:before="0" w:after="60"/>
              <w:rPr>
                <w:rFonts w:cs="Calibri"/>
              </w:rPr>
            </w:pPr>
            <w:r w:rsidRPr="00150391">
              <w:rPr>
                <w:rFonts w:cs="Calibri"/>
              </w:rPr>
              <w:t>Explanatory notes and analysis of financial statements</w:t>
            </w:r>
          </w:p>
          <w:p w14:paraId="54BE919B" w14:textId="77777777" w:rsidR="00FA0945" w:rsidRPr="00150391" w:rsidRDefault="53BF0693" w:rsidP="000A7DEC">
            <w:pPr>
              <w:pStyle w:val="Bullet3"/>
              <w:spacing w:before="0" w:after="60"/>
              <w:rPr>
                <w:rFonts w:cs="Calibri"/>
              </w:rPr>
            </w:pPr>
            <w:r w:rsidRPr="00150391">
              <w:rPr>
                <w:rFonts w:cs="Calibri"/>
              </w:rPr>
              <w:t>Budgeted financial statement tables</w:t>
            </w:r>
          </w:p>
        </w:tc>
      </w:tr>
      <w:tr w:rsidR="00FA0945" w:rsidRPr="00150391" w14:paraId="05A851D3" w14:textId="77777777" w:rsidTr="260627E5">
        <w:trPr>
          <w:jc w:val="center"/>
        </w:trPr>
        <w:tc>
          <w:tcPr>
            <w:tcW w:w="8784" w:type="dxa"/>
            <w:shd w:val="clear" w:color="auto" w:fill="D9D9D9" w:themeFill="background1" w:themeFillShade="D9"/>
          </w:tcPr>
          <w:p w14:paraId="3F64B75A" w14:textId="77777777" w:rsidR="00FA0945" w:rsidRPr="00150391" w:rsidRDefault="53BF0693" w:rsidP="000A7DEC">
            <w:pPr>
              <w:pStyle w:val="TableText-Normal"/>
              <w:spacing w:before="0" w:after="60" w:line="240" w:lineRule="auto"/>
              <w:rPr>
                <w:rFonts w:cs="Calibri"/>
              </w:rPr>
            </w:pPr>
            <w:r w:rsidRPr="00150391">
              <w:rPr>
                <w:rFonts w:cs="Calibri"/>
              </w:rPr>
              <w:t>Portfolio glossary</w:t>
            </w:r>
          </w:p>
          <w:p w14:paraId="15DACAF2" w14:textId="77777777" w:rsidR="00FC5FF9" w:rsidRPr="00150391" w:rsidRDefault="53BF0693" w:rsidP="000A7DEC">
            <w:pPr>
              <w:pStyle w:val="TableText-Normal"/>
              <w:spacing w:before="0" w:after="60" w:line="240" w:lineRule="auto"/>
              <w:rPr>
                <w:rFonts w:cs="Calibri"/>
              </w:rPr>
            </w:pPr>
            <w:r w:rsidRPr="00150391">
              <w:rPr>
                <w:rFonts w:cs="Calibri"/>
              </w:rPr>
              <w:t>Index</w:t>
            </w:r>
          </w:p>
        </w:tc>
      </w:tr>
    </w:tbl>
    <w:p w14:paraId="2557D010" w14:textId="77777777" w:rsidR="00BC527A" w:rsidRPr="00150391" w:rsidRDefault="00FA0945" w:rsidP="00CF6BE7">
      <w:pPr>
        <w:pStyle w:val="Heading2Numbered"/>
        <w:rPr>
          <w:rFonts w:ascii="Calibri" w:hAnsi="Calibri" w:cs="Calibri"/>
        </w:rPr>
      </w:pPr>
      <w:r w:rsidRPr="00150391">
        <w:rPr>
          <w:rFonts w:ascii="Calibri" w:hAnsi="Calibri" w:cs="Calibri"/>
        </w:rPr>
        <w:br w:type="page"/>
      </w:r>
      <w:bookmarkStart w:id="251" w:name="_Toc114576258"/>
      <w:r w:rsidR="53BF0693" w:rsidRPr="00150391">
        <w:rPr>
          <w:rFonts w:ascii="Calibri" w:hAnsi="Calibri" w:cs="Calibri"/>
        </w:rPr>
        <w:t>Commonwealth performance framework diagram located in the PB Statements 'User Guide' chapter</w:t>
      </w:r>
      <w:bookmarkStart w:id="252" w:name="_Toc63347672"/>
      <w:bookmarkEnd w:id="252"/>
      <w:bookmarkEnd w:id="251"/>
    </w:p>
    <w:p w14:paraId="34D5C96F" w14:textId="66AE7B97" w:rsidR="00F10C66" w:rsidRPr="00150391" w:rsidRDefault="00EF4FBA" w:rsidP="000A7DEC">
      <w:pPr>
        <w:pStyle w:val="Boxed2Text"/>
        <w:rPr>
          <w:rFonts w:cs="Calibri"/>
        </w:rPr>
      </w:pPr>
      <w:r w:rsidRPr="00150391">
        <w:rPr>
          <w:rFonts w:cs="Calibri"/>
          <w:u w:val="single"/>
        </w:rPr>
        <w:t>Attachment C</w:t>
      </w:r>
      <w:r w:rsidRPr="00150391">
        <w:rPr>
          <w:rFonts w:cs="Calibri"/>
        </w:rPr>
        <w:t>, t</w:t>
      </w:r>
      <w:r w:rsidR="53BF0693" w:rsidRPr="00150391">
        <w:rPr>
          <w:rFonts w:cs="Calibri"/>
        </w:rPr>
        <w:t xml:space="preserve">he PB Statement template (in Word) includes the </w:t>
      </w:r>
      <w:r w:rsidR="53BF0693" w:rsidRPr="00150391">
        <w:rPr>
          <w:rFonts w:cs="Calibri"/>
          <w:i/>
          <w:iCs/>
        </w:rPr>
        <w:t>Commonwealth performance framework diagram</w:t>
      </w:r>
      <w:r w:rsidR="53BF0693" w:rsidRPr="00150391">
        <w:rPr>
          <w:rFonts w:cs="Calibri"/>
        </w:rPr>
        <w:t>. This diagram identifies the content of each publication and the relationships between them. This diagram must be included and not be moved, reworded or deleted from its position in the PB Statement template.</w:t>
      </w:r>
    </w:p>
    <w:p w14:paraId="089D7614" w14:textId="77777777" w:rsidR="00FA0945" w:rsidRPr="00150391" w:rsidRDefault="53BF0693" w:rsidP="00CF6BE7">
      <w:pPr>
        <w:pStyle w:val="Heading2Numbered"/>
        <w:rPr>
          <w:rFonts w:ascii="Calibri" w:hAnsi="Calibri" w:cs="Calibri"/>
        </w:rPr>
      </w:pPr>
      <w:bookmarkStart w:id="253" w:name="_Toc63347673"/>
      <w:bookmarkStart w:id="254" w:name="_Toc114576259"/>
      <w:r w:rsidRPr="00150391">
        <w:rPr>
          <w:rFonts w:ascii="Calibri" w:hAnsi="Calibri" w:cs="Calibri"/>
        </w:rPr>
        <w:t>Consistency of reporting – the “clear read” principle</w:t>
      </w:r>
      <w:bookmarkEnd w:id="253"/>
      <w:bookmarkEnd w:id="254"/>
    </w:p>
    <w:p w14:paraId="1BC78D13" w14:textId="77777777" w:rsidR="00FA0945" w:rsidRPr="00150391" w:rsidRDefault="53BF0693" w:rsidP="000A7DEC">
      <w:pPr>
        <w:rPr>
          <w:rFonts w:cs="Calibri"/>
        </w:rPr>
      </w:pPr>
      <w:r w:rsidRPr="00150391">
        <w:rPr>
          <w:rFonts w:cs="Calibri"/>
        </w:rPr>
        <w:t xml:space="preserve">The </w:t>
      </w:r>
      <w:r w:rsidRPr="00150391">
        <w:rPr>
          <w:rFonts w:cs="Calibri"/>
          <w:i/>
          <w:iCs/>
        </w:rPr>
        <w:t>Commonwealth Resource Management Framework</w:t>
      </w:r>
      <w:r w:rsidRPr="00150391">
        <w:rPr>
          <w:rFonts w:cs="Calibri"/>
        </w:rPr>
        <w:t xml:space="preserve"> is designed to support an accountable and transparent public sector. This is achieved by requiring reporting entities to provide a clear linkage (a “clear read”) between the allocation and use of public resources, and the results being achieved.</w:t>
      </w:r>
    </w:p>
    <w:p w14:paraId="517BC108" w14:textId="4D18801A" w:rsidR="00257FB6" w:rsidRPr="00150391" w:rsidRDefault="53BF0693" w:rsidP="00257FB6">
      <w:pPr>
        <w:rPr>
          <w:rFonts w:cs="Calibri"/>
        </w:rPr>
      </w:pPr>
      <w:r w:rsidRPr="00150391">
        <w:rPr>
          <w:rFonts w:cs="Calibri"/>
        </w:rPr>
        <w:t>To achieve this, there must be a clear linkage from the Appropriation Bills to the PB statements, to individual entities’ corporate plan and annual report. Entities should present performance information clearly and consistently (and ensure it is reconcilable) between publications within and across reporting cycles.</w:t>
      </w:r>
    </w:p>
    <w:p w14:paraId="13A9336A" w14:textId="77777777" w:rsidR="00257FB6" w:rsidRPr="00150391" w:rsidRDefault="53BF0693" w:rsidP="00257FB6">
      <w:pPr>
        <w:rPr>
          <w:rFonts w:cs="Calibri"/>
        </w:rPr>
      </w:pPr>
      <w:r w:rsidRPr="00150391">
        <w:rPr>
          <w:rFonts w:cs="Calibri"/>
        </w:rPr>
        <w:t xml:space="preserve">The </w:t>
      </w:r>
      <w:r w:rsidR="00197D38" w:rsidRPr="00150391">
        <w:rPr>
          <w:rFonts w:cs="Calibri"/>
        </w:rPr>
        <w:t>2022</w:t>
      </w:r>
      <w:r w:rsidRPr="00150391">
        <w:rPr>
          <w:rFonts w:cs="Calibri"/>
        </w:rPr>
        <w:t>-</w:t>
      </w:r>
      <w:r w:rsidR="00197D38" w:rsidRPr="00150391">
        <w:rPr>
          <w:rFonts w:cs="Calibri"/>
        </w:rPr>
        <w:t xml:space="preserve">23 </w:t>
      </w:r>
      <w:r w:rsidRPr="00150391">
        <w:rPr>
          <w:rFonts w:cs="Calibri"/>
        </w:rPr>
        <w:t>PB Statements will cover the current financial year (</w:t>
      </w:r>
      <w:r w:rsidR="00197D38" w:rsidRPr="00150391">
        <w:rPr>
          <w:rFonts w:cs="Calibri"/>
        </w:rPr>
        <w:t>2021</w:t>
      </w:r>
      <w:r w:rsidRPr="00150391">
        <w:rPr>
          <w:rFonts w:cs="Calibri"/>
        </w:rPr>
        <w:t>-</w:t>
      </w:r>
      <w:r w:rsidR="00197D38" w:rsidRPr="00150391">
        <w:rPr>
          <w:rFonts w:cs="Calibri"/>
        </w:rPr>
        <w:t>22</w:t>
      </w:r>
      <w:r w:rsidRPr="00150391">
        <w:rPr>
          <w:rFonts w:cs="Calibri"/>
        </w:rPr>
        <w:t>), the budget year (</w:t>
      </w:r>
      <w:r w:rsidR="00197D38" w:rsidRPr="00150391">
        <w:rPr>
          <w:rFonts w:cs="Calibri"/>
        </w:rPr>
        <w:t>2022</w:t>
      </w:r>
      <w:r w:rsidRPr="00150391">
        <w:rPr>
          <w:rFonts w:cs="Calibri"/>
        </w:rPr>
        <w:t>-</w:t>
      </w:r>
      <w:r w:rsidR="00197D38" w:rsidRPr="00150391">
        <w:rPr>
          <w:rFonts w:cs="Calibri"/>
        </w:rPr>
        <w:t>23</w:t>
      </w:r>
      <w:r w:rsidRPr="00150391">
        <w:rPr>
          <w:rFonts w:cs="Calibri"/>
        </w:rPr>
        <w:t>) and the forward estimates years (</w:t>
      </w:r>
      <w:r w:rsidR="00197D38" w:rsidRPr="00150391">
        <w:rPr>
          <w:rFonts w:cs="Calibri"/>
        </w:rPr>
        <w:t>2023</w:t>
      </w:r>
      <w:r w:rsidRPr="00150391">
        <w:rPr>
          <w:rFonts w:cs="Calibri"/>
        </w:rPr>
        <w:t>-</w:t>
      </w:r>
      <w:r w:rsidR="00197D38" w:rsidRPr="00150391">
        <w:rPr>
          <w:rFonts w:cs="Calibri"/>
        </w:rPr>
        <w:t>24</w:t>
      </w:r>
      <w:r w:rsidRPr="00150391">
        <w:rPr>
          <w:rFonts w:cs="Calibri"/>
        </w:rPr>
        <w:t xml:space="preserve">, </w:t>
      </w:r>
      <w:r w:rsidR="00197D38" w:rsidRPr="00150391">
        <w:rPr>
          <w:rFonts w:cs="Calibri"/>
        </w:rPr>
        <w:t>2024</w:t>
      </w:r>
      <w:r w:rsidRPr="00150391">
        <w:rPr>
          <w:rFonts w:cs="Calibri"/>
        </w:rPr>
        <w:t>-</w:t>
      </w:r>
      <w:r w:rsidR="00197D38" w:rsidRPr="00150391">
        <w:rPr>
          <w:rFonts w:cs="Calibri"/>
        </w:rPr>
        <w:t xml:space="preserve">25 </w:t>
      </w:r>
      <w:r w:rsidRPr="00150391">
        <w:rPr>
          <w:rFonts w:cs="Calibri"/>
        </w:rPr>
        <w:t xml:space="preserve">and </w:t>
      </w:r>
      <w:r w:rsidR="00197D38" w:rsidRPr="00150391">
        <w:rPr>
          <w:rFonts w:cs="Calibri"/>
        </w:rPr>
        <w:t>2025</w:t>
      </w:r>
      <w:r w:rsidRPr="00150391">
        <w:rPr>
          <w:rFonts w:cs="Calibri"/>
        </w:rPr>
        <w:t>-</w:t>
      </w:r>
      <w:r w:rsidR="00197D38" w:rsidRPr="00150391">
        <w:rPr>
          <w:rFonts w:cs="Calibri"/>
        </w:rPr>
        <w:t>26</w:t>
      </w:r>
      <w:r w:rsidRPr="00150391">
        <w:rPr>
          <w:rFonts w:cs="Calibri"/>
        </w:rPr>
        <w:t>).</w:t>
      </w:r>
    </w:p>
    <w:p w14:paraId="5D262560" w14:textId="77777777" w:rsidR="00E86EC8" w:rsidRPr="00150391" w:rsidRDefault="53BF0693" w:rsidP="00CF6BE7">
      <w:pPr>
        <w:pStyle w:val="Heading3Numbered"/>
        <w:rPr>
          <w:rFonts w:ascii="Calibri" w:hAnsi="Calibri" w:cs="Calibri"/>
        </w:rPr>
      </w:pPr>
      <w:bookmarkStart w:id="255" w:name="_Toc65165079"/>
      <w:bookmarkStart w:id="256" w:name="_Toc65230582"/>
      <w:bookmarkStart w:id="257" w:name="_Toc63347674"/>
      <w:bookmarkStart w:id="258" w:name="_Toc114576260"/>
      <w:bookmarkEnd w:id="255"/>
      <w:bookmarkEnd w:id="256"/>
      <w:r w:rsidRPr="00150391">
        <w:rPr>
          <w:rFonts w:ascii="Calibri" w:hAnsi="Calibri" w:cs="Calibri"/>
        </w:rPr>
        <w:t>‘Clear read’ linkages</w:t>
      </w:r>
      <w:bookmarkEnd w:id="257"/>
      <w:bookmarkEnd w:id="258"/>
    </w:p>
    <w:p w14:paraId="1B74B2BD" w14:textId="77777777" w:rsidR="00FA0945" w:rsidRPr="00150391" w:rsidRDefault="00E86EC8" w:rsidP="00E86EC8">
      <w:pPr>
        <w:pStyle w:val="BodyText1"/>
        <w:rPr>
          <w:rFonts w:ascii="Calibri" w:hAnsi="Calibri" w:cs="Calibri"/>
        </w:rPr>
      </w:pPr>
      <w:r w:rsidRPr="00150391">
        <w:rPr>
          <w:rFonts w:ascii="Calibri" w:hAnsi="Calibri" w:cs="Calibri"/>
          <w:noProof/>
          <w:lang w:eastAsia="en-AU"/>
        </w:rPr>
        <mc:AlternateContent>
          <mc:Choice Requires="wpc">
            <w:drawing>
              <wp:inline distT="0" distB="0" distL="0" distR="0" wp14:anchorId="7AFDF630" wp14:editId="0136E9F1">
                <wp:extent cx="5414963" cy="3757295"/>
                <wp:effectExtent l="0" t="0" r="14605" b="1460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9" name="Text Box 26"/>
                        <wps:cNvSpPr txBox="1">
                          <a:spLocks noChangeArrowheads="1"/>
                        </wps:cNvSpPr>
                        <wps:spPr bwMode="auto">
                          <a:xfrm>
                            <a:off x="444056" y="756391"/>
                            <a:ext cx="2534703" cy="1261004"/>
                          </a:xfrm>
                          <a:prstGeom prst="rect">
                            <a:avLst/>
                          </a:prstGeom>
                          <a:solidFill>
                            <a:srgbClr val="FFFFFF"/>
                          </a:solidFill>
                          <a:ln w="9525">
                            <a:solidFill>
                              <a:srgbClr val="000000"/>
                            </a:solidFill>
                            <a:miter lim="800000"/>
                            <a:headEnd/>
                            <a:tailEnd/>
                          </a:ln>
                        </wps:spPr>
                        <wps:txbx>
                          <w:txbxContent>
                            <w:p w14:paraId="72F31FD2" w14:textId="77777777" w:rsidR="00AA2CB0" w:rsidRPr="000A7DEC" w:rsidRDefault="00AA2CB0" w:rsidP="000A7DEC">
                              <w:pPr>
                                <w:pStyle w:val="TableText"/>
                                <w:rPr>
                                  <w:b/>
                                  <w:u w:val="single"/>
                                </w:rPr>
                              </w:pPr>
                              <w:r w:rsidRPr="000A7DEC">
                                <w:rPr>
                                  <w:b/>
                                  <w:u w:val="single"/>
                                </w:rPr>
                                <w:t>Budget statements</w:t>
                              </w:r>
                            </w:p>
                            <w:p w14:paraId="7418AE27" w14:textId="77777777" w:rsidR="00AA2CB0" w:rsidRPr="00CB2E1E" w:rsidRDefault="00AA2CB0" w:rsidP="000A7DEC">
                              <w:pPr>
                                <w:pStyle w:val="TableText"/>
                              </w:pPr>
                              <w:r w:rsidRPr="00CB2E1E">
                                <w:t>[PB Statements PAES, PSAES)]</w:t>
                              </w:r>
                            </w:p>
                            <w:p w14:paraId="71DDF98A" w14:textId="6347485C" w:rsidR="00AA2CB0" w:rsidRPr="00CB2E1E" w:rsidRDefault="00AA2CB0" w:rsidP="000A7DEC">
                              <w:pPr>
                                <w:pStyle w:val="TableText-Bullets"/>
                              </w:pPr>
                              <w:r w:rsidRPr="00CB2E1E">
                                <w:t xml:space="preserve">Appropriations available/received, budgeted financial information and performance </w:t>
                              </w:r>
                              <w:r>
                                <w:t>measures</w:t>
                              </w:r>
                            </w:p>
                          </w:txbxContent>
                        </wps:txbx>
                        <wps:bodyPr rot="0" vert="horz" wrap="square" lIns="91440" tIns="45720" rIns="91440" bIns="45720" anchor="t" anchorCtr="0" upright="1">
                          <a:noAutofit/>
                        </wps:bodyPr>
                      </wps:wsp>
                      <wps:wsp>
                        <wps:cNvPr id="40" name="Text Box 27"/>
                        <wps:cNvSpPr txBox="1">
                          <a:spLocks noChangeArrowheads="1"/>
                        </wps:cNvSpPr>
                        <wps:spPr bwMode="auto">
                          <a:xfrm>
                            <a:off x="3443966" y="930995"/>
                            <a:ext cx="1726877" cy="936715"/>
                          </a:xfrm>
                          <a:prstGeom prst="rect">
                            <a:avLst/>
                          </a:prstGeom>
                          <a:solidFill>
                            <a:srgbClr val="FFFFFF"/>
                          </a:solidFill>
                          <a:ln w="9525">
                            <a:solidFill>
                              <a:srgbClr val="000000"/>
                            </a:solidFill>
                            <a:miter lim="800000"/>
                            <a:headEnd/>
                            <a:tailEnd/>
                          </a:ln>
                        </wps:spPr>
                        <wps:txbx>
                          <w:txbxContent>
                            <w:p w14:paraId="3074ECED" w14:textId="77777777" w:rsidR="00AA2CB0" w:rsidRPr="000A7DEC" w:rsidRDefault="00AA2CB0" w:rsidP="000A7DEC">
                              <w:pPr>
                                <w:pStyle w:val="TableText"/>
                                <w:rPr>
                                  <w:b/>
                                  <w:u w:val="single"/>
                                </w:rPr>
                              </w:pPr>
                              <w:r w:rsidRPr="000A7DEC">
                                <w:rPr>
                                  <w:b/>
                                  <w:u w:val="single"/>
                                </w:rPr>
                                <w:t>Corporate plan</w:t>
                              </w:r>
                            </w:p>
                            <w:p w14:paraId="10B1FCA5" w14:textId="77777777" w:rsidR="00AA2CB0" w:rsidRPr="00CE4E65" w:rsidRDefault="00AA2CB0" w:rsidP="000A7DEC">
                              <w:pPr>
                                <w:pStyle w:val="TableText-Bullets"/>
                              </w:pPr>
                              <w:r w:rsidRPr="00875911">
                                <w:t>Purposes</w:t>
                              </w:r>
                            </w:p>
                            <w:p w14:paraId="1735FBEE" w14:textId="623D5728" w:rsidR="00AA2CB0" w:rsidRPr="00CB2E1E" w:rsidRDefault="00AA2CB0" w:rsidP="000A7DEC">
                              <w:pPr>
                                <w:pStyle w:val="TableText-Bullets"/>
                              </w:pPr>
                              <w:r w:rsidRPr="00CB2E1E">
                                <w:t xml:space="preserve">Performance </w:t>
                              </w:r>
                              <w:r>
                                <w:t>measures</w:t>
                              </w:r>
                            </w:p>
                          </w:txbxContent>
                        </wps:txbx>
                        <wps:bodyPr rot="0" vert="horz" wrap="square" lIns="91440" tIns="45720" rIns="91440" bIns="45720" anchor="t" anchorCtr="0" upright="1">
                          <a:noAutofit/>
                        </wps:bodyPr>
                      </wps:wsp>
                      <wps:wsp>
                        <wps:cNvPr id="41" name="Text Box 28"/>
                        <wps:cNvSpPr txBox="1">
                          <a:spLocks noChangeArrowheads="1"/>
                        </wps:cNvSpPr>
                        <wps:spPr bwMode="auto">
                          <a:xfrm>
                            <a:off x="1254477" y="2522570"/>
                            <a:ext cx="2981950" cy="1163605"/>
                          </a:xfrm>
                          <a:prstGeom prst="rect">
                            <a:avLst/>
                          </a:prstGeom>
                          <a:solidFill>
                            <a:srgbClr val="FFFFFF"/>
                          </a:solidFill>
                          <a:ln w="9525">
                            <a:solidFill>
                              <a:srgbClr val="000000"/>
                            </a:solidFill>
                            <a:miter lim="800000"/>
                            <a:headEnd/>
                            <a:tailEnd/>
                          </a:ln>
                        </wps:spPr>
                        <wps:txbx>
                          <w:txbxContent>
                            <w:p w14:paraId="3AC4317C" w14:textId="77777777" w:rsidR="00AA2CB0" w:rsidRPr="000A7DEC" w:rsidRDefault="00AA2CB0" w:rsidP="000A7DEC">
                              <w:pPr>
                                <w:pStyle w:val="TableText"/>
                                <w:rPr>
                                  <w:b/>
                                  <w:u w:val="single"/>
                                </w:rPr>
                              </w:pPr>
                              <w:r w:rsidRPr="000A7DEC">
                                <w:rPr>
                                  <w:b/>
                                  <w:u w:val="single"/>
                                </w:rPr>
                                <w:t>Annual report</w:t>
                              </w:r>
                            </w:p>
                            <w:p w14:paraId="13AB2AEB" w14:textId="77777777" w:rsidR="00AA2CB0" w:rsidRPr="00CB2E1E" w:rsidRDefault="00AA2CB0" w:rsidP="000A7DEC">
                              <w:pPr>
                                <w:pStyle w:val="TableText"/>
                              </w:pPr>
                              <w:r w:rsidRPr="00CB2E1E">
                                <w:t>[</w:t>
                              </w:r>
                              <w:r>
                                <w:t>I</w:t>
                              </w:r>
                              <w:r w:rsidRPr="00CB2E1E">
                                <w:t>ncludes annual performance statements]</w:t>
                              </w:r>
                            </w:p>
                            <w:p w14:paraId="289A3278" w14:textId="2EF5AAAB" w:rsidR="00AA2CB0" w:rsidRPr="00CB2E1E" w:rsidRDefault="00AA2CB0" w:rsidP="000A7DEC">
                              <w:pPr>
                                <w:pStyle w:val="TableText-Bullets"/>
                              </w:pPr>
                              <w:r w:rsidRPr="00CB2E1E">
                                <w:t xml:space="preserve">Use of appropriations, actual financial information and actual performance against </w:t>
                              </w:r>
                              <w:r>
                                <w:t>measures</w:t>
                              </w:r>
                            </w:p>
                          </w:txbxContent>
                        </wps:txbx>
                        <wps:bodyPr rot="0" vert="horz" wrap="square" lIns="91440" tIns="45720" rIns="91440" bIns="45720" anchor="t" anchorCtr="0" upright="1">
                          <a:noAutofit/>
                        </wps:bodyPr>
                      </wps:wsp>
                      <wps:wsp>
                        <wps:cNvPr id="42" name="AutoShape 29" descr="Arrow from Annual Appropriation Acts to Budget Statements"/>
                        <wps:cNvCnPr>
                          <a:cxnSpLocks noChangeShapeType="1"/>
                          <a:stCxn id="38" idx="2"/>
                          <a:endCxn id="39" idx="0"/>
                        </wps:cNvCnPr>
                        <wps:spPr bwMode="auto">
                          <a:xfrm flipH="1">
                            <a:off x="1711333" y="588396"/>
                            <a:ext cx="256062" cy="1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0" descr="Arrow from Budget Statements to Annual report"/>
                        <wps:cNvCnPr>
                          <a:cxnSpLocks noChangeShapeType="1"/>
                          <a:stCxn id="39" idx="2"/>
                          <a:endCxn id="41" idx="0"/>
                        </wps:cNvCnPr>
                        <wps:spPr bwMode="auto">
                          <a:xfrm>
                            <a:off x="1711333" y="2017395"/>
                            <a:ext cx="1034119" cy="505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1" descr="Arrow from Corporate plans to Annual report"/>
                        <wps:cNvCnPr>
                          <a:cxnSpLocks noChangeShapeType="1"/>
                          <a:stCxn id="40" idx="2"/>
                          <a:endCxn id="41" idx="0"/>
                        </wps:cNvCnPr>
                        <wps:spPr bwMode="auto">
                          <a:xfrm flipH="1">
                            <a:off x="2745452" y="1867710"/>
                            <a:ext cx="1561902" cy="654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2" descr="Double headed arrow between Budget Statements and Corporate Plans"/>
                        <wps:cNvCnPr>
                          <a:cxnSpLocks noChangeShapeType="1"/>
                        </wps:cNvCnPr>
                        <wps:spPr bwMode="auto">
                          <a:xfrm>
                            <a:off x="2994977" y="1295100"/>
                            <a:ext cx="431800" cy="63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Text Box 25"/>
                        <wps:cNvSpPr txBox="1">
                          <a:spLocks noChangeArrowheads="1"/>
                        </wps:cNvSpPr>
                        <wps:spPr bwMode="auto">
                          <a:xfrm>
                            <a:off x="890558" y="71092"/>
                            <a:ext cx="2153674" cy="517304"/>
                          </a:xfrm>
                          <a:prstGeom prst="rect">
                            <a:avLst/>
                          </a:prstGeom>
                          <a:solidFill>
                            <a:srgbClr val="FFFFFF"/>
                          </a:solidFill>
                          <a:ln w="9525">
                            <a:solidFill>
                              <a:srgbClr val="000000"/>
                            </a:solidFill>
                            <a:miter lim="800000"/>
                            <a:headEnd/>
                            <a:tailEnd/>
                          </a:ln>
                        </wps:spPr>
                        <wps:txbx>
                          <w:txbxContent>
                            <w:p w14:paraId="2E70230C" w14:textId="77777777" w:rsidR="00AA2CB0" w:rsidRPr="000A7DEC" w:rsidRDefault="00AA2CB0" w:rsidP="000A7DEC">
                              <w:pPr>
                                <w:pStyle w:val="TableText"/>
                                <w:jc w:val="center"/>
                                <w:rPr>
                                  <w:b/>
                                  <w:u w:val="single"/>
                                </w:rPr>
                              </w:pPr>
                              <w:r w:rsidRPr="000A7DEC">
                                <w:rPr>
                                  <w:b/>
                                  <w:u w:val="single"/>
                                </w:rPr>
                                <w:t>Annual Appropriation Acts</w:t>
                              </w:r>
                            </w:p>
                          </w:txbxContent>
                        </wps:txbx>
                        <wps:bodyPr rot="0" vert="horz" wrap="square" lIns="91440" tIns="45720" rIns="91440" bIns="45720" anchor="ctr" anchorCtr="0" upright="1">
                          <a:noAutofit/>
                        </wps:bodyPr>
                      </wps:wsp>
                    </wpc:wpc>
                  </a:graphicData>
                </a:graphic>
              </wp:inline>
            </w:drawing>
          </mc:Choice>
          <mc:Fallback>
            <w:pict>
              <v:group w14:anchorId="7AFDF630" id="Canvas 46" o:spid="_x0000_s1026" editas="canvas" style="width:426.4pt;height:295.85pt;mso-position-horizontal-relative:char;mso-position-vertical-relative:line" coordsize="54146,3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46;height:37572;visibility:visible;mso-wrap-style:square" filled="t" fillcolor="#d8d8d8 [2732]" stroked="t" strokecolor="black [3213]">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left:4440;top:7563;width:25347;height:1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72F31FD2" w14:textId="77777777" w:rsidR="00AA2CB0" w:rsidRPr="000A7DEC" w:rsidRDefault="00AA2CB0" w:rsidP="000A7DEC">
                        <w:pPr>
                          <w:pStyle w:val="TableText"/>
                          <w:rPr>
                            <w:b/>
                            <w:u w:val="single"/>
                          </w:rPr>
                        </w:pPr>
                        <w:r w:rsidRPr="000A7DEC">
                          <w:rPr>
                            <w:b/>
                            <w:u w:val="single"/>
                          </w:rPr>
                          <w:t>Budget statements</w:t>
                        </w:r>
                      </w:p>
                      <w:p w14:paraId="7418AE27" w14:textId="77777777" w:rsidR="00AA2CB0" w:rsidRPr="00CB2E1E" w:rsidRDefault="00AA2CB0" w:rsidP="000A7DEC">
                        <w:pPr>
                          <w:pStyle w:val="TableText"/>
                        </w:pPr>
                        <w:r w:rsidRPr="00CB2E1E">
                          <w:t>[PB Statements PAES, PSAES)]</w:t>
                        </w:r>
                      </w:p>
                      <w:p w14:paraId="71DDF98A" w14:textId="6347485C" w:rsidR="00AA2CB0" w:rsidRPr="00CB2E1E" w:rsidRDefault="00AA2CB0" w:rsidP="000A7DEC">
                        <w:pPr>
                          <w:pStyle w:val="TableText-Bullets"/>
                        </w:pPr>
                        <w:r w:rsidRPr="00CB2E1E">
                          <w:t xml:space="preserve">Appropriations available/received, budgeted financial information and performance </w:t>
                        </w:r>
                        <w:r>
                          <w:t>measures</w:t>
                        </w:r>
                      </w:p>
                    </w:txbxContent>
                  </v:textbox>
                </v:shape>
                <v:shape id="Text Box 27" o:spid="_x0000_s1029" type="#_x0000_t202" style="position:absolute;left:34439;top:9309;width:17269;height:9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3074ECED" w14:textId="77777777" w:rsidR="00AA2CB0" w:rsidRPr="000A7DEC" w:rsidRDefault="00AA2CB0" w:rsidP="000A7DEC">
                        <w:pPr>
                          <w:pStyle w:val="TableText"/>
                          <w:rPr>
                            <w:b/>
                            <w:u w:val="single"/>
                          </w:rPr>
                        </w:pPr>
                        <w:r w:rsidRPr="000A7DEC">
                          <w:rPr>
                            <w:b/>
                            <w:u w:val="single"/>
                          </w:rPr>
                          <w:t>Corporate plan</w:t>
                        </w:r>
                      </w:p>
                      <w:p w14:paraId="10B1FCA5" w14:textId="77777777" w:rsidR="00AA2CB0" w:rsidRPr="00CE4E65" w:rsidRDefault="00AA2CB0" w:rsidP="000A7DEC">
                        <w:pPr>
                          <w:pStyle w:val="TableText-Bullets"/>
                        </w:pPr>
                        <w:r w:rsidRPr="00875911">
                          <w:t>Purposes</w:t>
                        </w:r>
                      </w:p>
                      <w:p w14:paraId="1735FBEE" w14:textId="623D5728" w:rsidR="00AA2CB0" w:rsidRPr="00CB2E1E" w:rsidRDefault="00AA2CB0" w:rsidP="000A7DEC">
                        <w:pPr>
                          <w:pStyle w:val="TableText-Bullets"/>
                        </w:pPr>
                        <w:r w:rsidRPr="00CB2E1E">
                          <w:t xml:space="preserve">Performance </w:t>
                        </w:r>
                        <w:r>
                          <w:t>measures</w:t>
                        </w:r>
                      </w:p>
                    </w:txbxContent>
                  </v:textbox>
                </v:shape>
                <v:shape id="Text Box 28" o:spid="_x0000_s1030" type="#_x0000_t202" style="position:absolute;left:12544;top:25225;width:29820;height:1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3AC4317C" w14:textId="77777777" w:rsidR="00AA2CB0" w:rsidRPr="000A7DEC" w:rsidRDefault="00AA2CB0" w:rsidP="000A7DEC">
                        <w:pPr>
                          <w:pStyle w:val="TableText"/>
                          <w:rPr>
                            <w:b/>
                            <w:u w:val="single"/>
                          </w:rPr>
                        </w:pPr>
                        <w:r w:rsidRPr="000A7DEC">
                          <w:rPr>
                            <w:b/>
                            <w:u w:val="single"/>
                          </w:rPr>
                          <w:t>Annual report</w:t>
                        </w:r>
                      </w:p>
                      <w:p w14:paraId="13AB2AEB" w14:textId="77777777" w:rsidR="00AA2CB0" w:rsidRPr="00CB2E1E" w:rsidRDefault="00AA2CB0" w:rsidP="000A7DEC">
                        <w:pPr>
                          <w:pStyle w:val="TableText"/>
                        </w:pPr>
                        <w:r w:rsidRPr="00CB2E1E">
                          <w:t>[</w:t>
                        </w:r>
                        <w:r>
                          <w:t>I</w:t>
                        </w:r>
                        <w:r w:rsidRPr="00CB2E1E">
                          <w:t>ncludes annual performance statements]</w:t>
                        </w:r>
                      </w:p>
                      <w:p w14:paraId="289A3278" w14:textId="2EF5AAAB" w:rsidR="00AA2CB0" w:rsidRPr="00CB2E1E" w:rsidRDefault="00AA2CB0" w:rsidP="000A7DEC">
                        <w:pPr>
                          <w:pStyle w:val="TableText-Bullets"/>
                        </w:pPr>
                        <w:r w:rsidRPr="00CB2E1E">
                          <w:t xml:space="preserve">Use of appropriations, actual financial information and actual performance against </w:t>
                        </w:r>
                        <w:r>
                          <w:t>measures</w:t>
                        </w:r>
                      </w:p>
                    </w:txbxContent>
                  </v:textbox>
                </v:shape>
                <v:shapetype id="_x0000_t32" coordsize="21600,21600" o:spt="32" o:oned="t" path="m,l21600,21600e" filled="f">
                  <v:path arrowok="t" fillok="f" o:connecttype="none"/>
                  <o:lock v:ext="edit" shapetype="t"/>
                </v:shapetype>
                <v:shape id="AutoShape 29" o:spid="_x0000_s1031" type="#_x0000_t32" alt="Arrow from Annual Appropriation Acts to Budget Statements" style="position:absolute;left:17113;top:5883;width:2560;height:1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30" o:spid="_x0000_s1032" type="#_x0000_t32" alt="Arrow from Budget Statements to Annual report" style="position:absolute;left:17113;top:20173;width:10341;height:5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31" o:spid="_x0000_s1033" type="#_x0000_t32" alt="Arrow from Corporate plans to Annual report" style="position:absolute;left:27454;top:18677;width:15619;height:65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32" o:spid="_x0000_s1034" type="#_x0000_t32" alt="Double headed arrow between Budget Statements and Corporate Plans" style="position:absolute;left:29949;top:12951;width:431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AxAAAANsAAAAPAAAAZHJzL2Rvd25yZXYueG1sRI9Ba8JA&#10;FITvBf/D8gRvulFM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KBL+0DEAAAA2wAAAA8A&#10;AAAAAAAAAAAAAAAABwIAAGRycy9kb3ducmV2LnhtbFBLBQYAAAAAAwADALcAAAD4AgAAAAA=&#10;">
                  <v:stroke startarrow="block" endarrow="block"/>
                </v:shape>
                <v:shape id="Text Box 25" o:spid="_x0000_s1035" type="#_x0000_t202" style="position:absolute;left:8905;top:710;width:21537;height:5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14:paraId="2E70230C" w14:textId="77777777" w:rsidR="00AA2CB0" w:rsidRPr="000A7DEC" w:rsidRDefault="00AA2CB0" w:rsidP="000A7DEC">
                        <w:pPr>
                          <w:pStyle w:val="TableText"/>
                          <w:jc w:val="center"/>
                          <w:rPr>
                            <w:b/>
                            <w:u w:val="single"/>
                          </w:rPr>
                        </w:pPr>
                        <w:r w:rsidRPr="000A7DEC">
                          <w:rPr>
                            <w:b/>
                            <w:u w:val="single"/>
                          </w:rPr>
                          <w:t>Annual Appropriation Acts</w:t>
                        </w:r>
                      </w:p>
                    </w:txbxContent>
                  </v:textbox>
                </v:shape>
                <w10:anchorlock/>
              </v:group>
            </w:pict>
          </mc:Fallback>
        </mc:AlternateContent>
      </w:r>
    </w:p>
    <w:p w14:paraId="1EFD5389" w14:textId="71DD0D59" w:rsidR="00C90222" w:rsidRPr="00150391" w:rsidRDefault="00EF4FBA" w:rsidP="00EF4FBA">
      <w:pPr>
        <w:pStyle w:val="Heading3Numbered"/>
        <w:rPr>
          <w:rFonts w:ascii="Calibri" w:hAnsi="Calibri" w:cs="Calibri"/>
        </w:rPr>
      </w:pPr>
      <w:bookmarkStart w:id="259" w:name="_Ref65232223"/>
      <w:bookmarkStart w:id="260" w:name="_Toc114576261"/>
      <w:r w:rsidRPr="00150391">
        <w:rPr>
          <w:rFonts w:ascii="Calibri" w:hAnsi="Calibri" w:cs="Calibri"/>
        </w:rPr>
        <w:t>L</w:t>
      </w:r>
      <w:r w:rsidR="53BF0693" w:rsidRPr="00150391">
        <w:rPr>
          <w:rFonts w:ascii="Calibri" w:hAnsi="Calibri" w:cs="Calibri"/>
        </w:rPr>
        <w:t xml:space="preserve">ink </w:t>
      </w:r>
      <w:r w:rsidRPr="00150391">
        <w:rPr>
          <w:rFonts w:ascii="Calibri" w:hAnsi="Calibri" w:cs="Calibri"/>
        </w:rPr>
        <w:t xml:space="preserve">between </w:t>
      </w:r>
      <w:r w:rsidR="53BF0693" w:rsidRPr="00150391">
        <w:rPr>
          <w:rFonts w:ascii="Calibri" w:hAnsi="Calibri" w:cs="Calibri"/>
        </w:rPr>
        <w:t xml:space="preserve">budgetary </w:t>
      </w:r>
      <w:r w:rsidRPr="00150391">
        <w:rPr>
          <w:rFonts w:ascii="Calibri" w:hAnsi="Calibri" w:cs="Calibri"/>
        </w:rPr>
        <w:t xml:space="preserve">and financial </w:t>
      </w:r>
      <w:r w:rsidR="53BF0693" w:rsidRPr="00150391">
        <w:rPr>
          <w:rFonts w:ascii="Calibri" w:hAnsi="Calibri" w:cs="Calibri"/>
        </w:rPr>
        <w:t>reporting</w:t>
      </w:r>
      <w:bookmarkEnd w:id="259"/>
      <w:bookmarkEnd w:id="260"/>
    </w:p>
    <w:p w14:paraId="777A6FE1" w14:textId="4856050B" w:rsidR="00FA0945" w:rsidRPr="00150391" w:rsidRDefault="53BF0693" w:rsidP="000A7DEC">
      <w:pPr>
        <w:rPr>
          <w:rFonts w:cs="Calibri"/>
        </w:rPr>
      </w:pPr>
      <w:r w:rsidRPr="00150391">
        <w:rPr>
          <w:rFonts w:cs="Calibri"/>
        </w:rPr>
        <w:t>Under the accounting standard AASB 1055</w:t>
      </w:r>
      <w:r w:rsidRPr="00150391">
        <w:rPr>
          <w:rFonts w:cs="Calibri"/>
          <w:i/>
          <w:iCs/>
        </w:rPr>
        <w:t xml:space="preserve"> Budgetary Reporting</w:t>
      </w:r>
      <w:r w:rsidR="00871B76" w:rsidRPr="00150391">
        <w:rPr>
          <w:rFonts w:cs="Calibri"/>
          <w:i/>
          <w:iCs/>
        </w:rPr>
        <w:t xml:space="preserve"> </w:t>
      </w:r>
      <w:r w:rsidR="00871B76" w:rsidRPr="00150391">
        <w:rPr>
          <w:rFonts w:cs="Calibri"/>
        </w:rPr>
        <w:t>(AASB 1055)</w:t>
      </w:r>
      <w:r w:rsidRPr="00150391">
        <w:rPr>
          <w:rFonts w:cs="Calibri"/>
          <w:i/>
          <w:iCs/>
        </w:rPr>
        <w:t xml:space="preserve">, </w:t>
      </w:r>
      <w:r w:rsidRPr="00150391">
        <w:rPr>
          <w:rFonts w:cs="Calibri"/>
        </w:rPr>
        <w:t xml:space="preserve">entities are required to explain variances between the financial statements presented in their PB Statements (and where appropriate, their revised Budget figures in their </w:t>
      </w:r>
      <w:r w:rsidR="00EF4FBA" w:rsidRPr="00150391">
        <w:rPr>
          <w:rFonts w:cs="Calibri"/>
        </w:rPr>
        <w:t>Portfolio </w:t>
      </w:r>
      <w:r w:rsidRPr="00150391">
        <w:rPr>
          <w:rFonts w:cs="Calibri"/>
        </w:rPr>
        <w:t>Additional Estimates Statements (PAES) or the following year’s PB Statements) and the financial statements presented in their annual reports. These explanations will be audited by the Australian National Audit Office (ANAO) as part of their audit of the annual fin</w:t>
      </w:r>
      <w:r w:rsidR="00325AB0" w:rsidRPr="00150391">
        <w:rPr>
          <w:rFonts w:cs="Calibri"/>
        </w:rPr>
        <w:t>ancial statements.</w:t>
      </w:r>
      <w:r w:rsidRPr="00150391">
        <w:rPr>
          <w:rFonts w:cs="Calibri"/>
        </w:rPr>
        <w:t xml:space="preserve"> </w:t>
      </w:r>
    </w:p>
    <w:p w14:paraId="2F230506" w14:textId="52AC806D" w:rsidR="00C90222" w:rsidRPr="00150391" w:rsidRDefault="53BF0693" w:rsidP="00580008">
      <w:pPr>
        <w:pStyle w:val="Boxed2Text"/>
        <w:rPr>
          <w:rFonts w:cs="Calibri"/>
        </w:rPr>
      </w:pPr>
      <w:r w:rsidRPr="00150391">
        <w:rPr>
          <w:rFonts w:cs="Calibri"/>
        </w:rPr>
        <w:t>Entities are reminded of the importance of maintaining internal documentation to substantiate the basis of the estimates included in the</w:t>
      </w:r>
      <w:r w:rsidR="0081690C" w:rsidRPr="00150391">
        <w:rPr>
          <w:rFonts w:cs="Calibri"/>
        </w:rPr>
        <w:t>ir</w:t>
      </w:r>
      <w:r w:rsidRPr="00150391">
        <w:rPr>
          <w:rFonts w:cs="Calibri"/>
        </w:rPr>
        <w:t xml:space="preserve"> PB Statements. Appropriate documentation would include CBMS reconciliations, CFO sign-offs and Budget allocation authority. Entities are reminded that </w:t>
      </w:r>
      <w:r w:rsidR="00C52FE8" w:rsidRPr="00150391">
        <w:rPr>
          <w:rFonts w:cs="Calibri"/>
        </w:rPr>
        <w:t>the f</w:t>
      </w:r>
      <w:r w:rsidR="002E1539" w:rsidRPr="00150391">
        <w:rPr>
          <w:rFonts w:cs="Calibri"/>
        </w:rPr>
        <w:t>i</w:t>
      </w:r>
      <w:r w:rsidR="00C52FE8" w:rsidRPr="00150391">
        <w:rPr>
          <w:rFonts w:cs="Calibri"/>
        </w:rPr>
        <w:t>nancial information</w:t>
      </w:r>
      <w:r w:rsidR="002E1539" w:rsidRPr="00150391">
        <w:rPr>
          <w:rFonts w:cs="Calibri"/>
        </w:rPr>
        <w:t xml:space="preserve"> reported in </w:t>
      </w:r>
      <w:r w:rsidRPr="00150391">
        <w:rPr>
          <w:rFonts w:cs="Calibri"/>
        </w:rPr>
        <w:t>PB Statement</w:t>
      </w:r>
      <w:r w:rsidR="002E1539" w:rsidRPr="00150391">
        <w:rPr>
          <w:rFonts w:cs="Calibri"/>
        </w:rPr>
        <w:t>s</w:t>
      </w:r>
      <w:r w:rsidRPr="00150391">
        <w:rPr>
          <w:rFonts w:cs="Calibri"/>
        </w:rPr>
        <w:t xml:space="preserve"> must reconcile with </w:t>
      </w:r>
      <w:r w:rsidR="00C52FE8" w:rsidRPr="00150391">
        <w:rPr>
          <w:rFonts w:cs="Calibri"/>
        </w:rPr>
        <w:t xml:space="preserve">the information included </w:t>
      </w:r>
      <w:r w:rsidRPr="00150391">
        <w:rPr>
          <w:rFonts w:cs="Calibri"/>
        </w:rPr>
        <w:t>in CBMS.</w:t>
      </w:r>
    </w:p>
    <w:p w14:paraId="6D847B70" w14:textId="7C5D456B" w:rsidR="00C90222" w:rsidRPr="00150391" w:rsidRDefault="53BF0693" w:rsidP="00C90222">
      <w:pPr>
        <w:rPr>
          <w:rFonts w:cs="Calibri"/>
        </w:rPr>
      </w:pPr>
      <w:r w:rsidRPr="00150391">
        <w:rPr>
          <w:rFonts w:cs="Calibri"/>
        </w:rPr>
        <w:t>For further information on the AASB 1055 reporting requirements, refer to</w:t>
      </w:r>
      <w:r w:rsidR="00936490" w:rsidRPr="00150391">
        <w:rPr>
          <w:rFonts w:cs="Calibri"/>
        </w:rPr>
        <w:t xml:space="preserve"> </w:t>
      </w:r>
      <w:hyperlink r:id="rId32" w:history="1">
        <w:r w:rsidR="00936490" w:rsidRPr="002B4935">
          <w:rPr>
            <w:rStyle w:val="Hyperlink"/>
            <w:rFonts w:ascii="Calibri" w:hAnsi="Calibri" w:cs="Calibri"/>
            <w:color w:val="0070C0"/>
          </w:rPr>
          <w:t>Commonwealth entities financial statements guide (RMG 125)</w:t>
        </w:r>
      </w:hyperlink>
      <w:r w:rsidR="00936490" w:rsidRPr="00150391" w:rsidDel="00936490">
        <w:rPr>
          <w:rFonts w:cs="Calibri"/>
        </w:rPr>
        <w:t xml:space="preserve"> </w:t>
      </w:r>
      <w:r w:rsidRPr="00150391">
        <w:rPr>
          <w:rFonts w:cs="Calibri"/>
        </w:rPr>
        <w:t xml:space="preserve">and the </w:t>
      </w:r>
      <w:r w:rsidR="00871B76" w:rsidRPr="00150391">
        <w:rPr>
          <w:rFonts w:cs="Calibri"/>
        </w:rPr>
        <w:t>Primary Reporting and Information Management Aid (</w:t>
      </w:r>
      <w:r w:rsidRPr="00150391">
        <w:rPr>
          <w:rFonts w:cs="Calibri"/>
        </w:rPr>
        <w:t>PRIMA</w:t>
      </w:r>
      <w:r w:rsidR="00871B76" w:rsidRPr="00150391">
        <w:rPr>
          <w:rFonts w:cs="Calibri"/>
        </w:rPr>
        <w:t>)</w:t>
      </w:r>
      <w:r w:rsidR="00C52FE8" w:rsidRPr="00150391">
        <w:rPr>
          <w:rFonts w:cs="Calibri"/>
        </w:rPr>
        <w:t xml:space="preserve"> forms</w:t>
      </w:r>
      <w:r w:rsidRPr="00150391">
        <w:rPr>
          <w:rFonts w:cs="Calibri"/>
        </w:rPr>
        <w:t>.</w:t>
      </w:r>
    </w:p>
    <w:p w14:paraId="0E8063BD" w14:textId="77777777" w:rsidR="00FA0945" w:rsidRPr="00150391" w:rsidRDefault="53BF0693" w:rsidP="000A7DEC">
      <w:pPr>
        <w:pStyle w:val="Heading4"/>
        <w:rPr>
          <w:rFonts w:ascii="Calibri" w:hAnsi="Calibri" w:cs="Calibri"/>
        </w:rPr>
      </w:pPr>
      <w:bookmarkStart w:id="261" w:name="_Toc411852664"/>
      <w:r w:rsidRPr="00150391">
        <w:rPr>
          <w:rFonts w:ascii="Calibri" w:hAnsi="Calibri" w:cs="Calibri"/>
        </w:rPr>
        <w:t>Sourcing information</w:t>
      </w:r>
      <w:bookmarkEnd w:id="261"/>
    </w:p>
    <w:p w14:paraId="6E7EFA70" w14:textId="77777777" w:rsidR="00FA0945" w:rsidRPr="00150391" w:rsidRDefault="53BF0693" w:rsidP="000A7DEC">
      <w:pPr>
        <w:rPr>
          <w:rFonts w:cs="Calibri"/>
        </w:rPr>
      </w:pPr>
      <w:r w:rsidRPr="00150391">
        <w:rPr>
          <w:rFonts w:cs="Calibri"/>
        </w:rPr>
        <w:t xml:space="preserve">The financial information reported in the PB Statements </w:t>
      </w:r>
      <w:r w:rsidRPr="00150391">
        <w:rPr>
          <w:rFonts w:cs="Calibri"/>
          <w:b/>
          <w:bCs/>
        </w:rPr>
        <w:t>must match</w:t>
      </w:r>
      <w:r w:rsidRPr="00150391">
        <w:rPr>
          <w:rFonts w:cs="Calibri"/>
        </w:rPr>
        <w:t xml:space="preserve"> the figures in the CBMS.</w:t>
      </w:r>
    </w:p>
    <w:p w14:paraId="185A7E0C" w14:textId="5DF4327D" w:rsidR="00FA0945" w:rsidRPr="00150391" w:rsidRDefault="00FA0945" w:rsidP="000A7DEC">
      <w:pPr>
        <w:rPr>
          <w:rFonts w:cs="Calibri"/>
        </w:rPr>
      </w:pPr>
      <w:r w:rsidRPr="00150391">
        <w:rPr>
          <w:rFonts w:cs="Calibri"/>
        </w:rPr>
        <w:t xml:space="preserve">CBMS is the central source of </w:t>
      </w:r>
      <w:r w:rsidR="00577C1F" w:rsidRPr="00150391">
        <w:rPr>
          <w:rFonts w:cs="Calibri"/>
        </w:rPr>
        <w:t xml:space="preserve">published </w:t>
      </w:r>
      <w:r w:rsidRPr="00150391">
        <w:rPr>
          <w:rFonts w:cs="Calibri"/>
        </w:rPr>
        <w:t>budget information and is the basis of whole</w:t>
      </w:r>
      <w:r w:rsidR="00851548" w:rsidRPr="00150391">
        <w:rPr>
          <w:rFonts w:cs="Calibri"/>
        </w:rPr>
        <w:noBreakHyphen/>
      </w:r>
      <w:r w:rsidRPr="00150391">
        <w:rPr>
          <w:rFonts w:cs="Calibri"/>
        </w:rPr>
        <w:t>of</w:t>
      </w:r>
      <w:r w:rsidR="00851548" w:rsidRPr="00150391">
        <w:rPr>
          <w:rFonts w:cs="Calibri"/>
        </w:rPr>
        <w:noBreakHyphen/>
      </w:r>
      <w:r w:rsidRPr="00150391">
        <w:rPr>
          <w:rFonts w:cs="Calibri"/>
        </w:rPr>
        <w:t>government figures, the Appropriation Bills, financial data and BP</w:t>
      </w:r>
      <w:r w:rsidR="00A834F4" w:rsidRPr="00150391">
        <w:rPr>
          <w:rFonts w:cs="Calibri"/>
        </w:rPr>
        <w:t>s</w:t>
      </w:r>
      <w:r w:rsidRPr="00150391">
        <w:rPr>
          <w:rFonts w:cs="Calibri"/>
        </w:rPr>
        <w:t>. As such, all appropriation figures must be sourced from CBMS to ensure consistency between the PB</w:t>
      </w:r>
      <w:r w:rsidR="00F04D47" w:rsidRPr="00150391">
        <w:rPr>
          <w:rFonts w:cs="Calibri"/>
        </w:rPr>
        <w:t> </w:t>
      </w:r>
      <w:r w:rsidRPr="00150391">
        <w:rPr>
          <w:rFonts w:cs="Calibri"/>
        </w:rPr>
        <w:t xml:space="preserve">Statements, the Appropriation Bills and </w:t>
      </w:r>
      <w:r w:rsidR="00A671CE" w:rsidRPr="00150391">
        <w:rPr>
          <w:rFonts w:cs="Calibri"/>
        </w:rPr>
        <w:t>BP</w:t>
      </w:r>
      <w:r w:rsidR="00A834F4" w:rsidRPr="00150391">
        <w:rPr>
          <w:rFonts w:cs="Calibri"/>
        </w:rPr>
        <w:t>s</w:t>
      </w:r>
      <w:r w:rsidRPr="00150391">
        <w:rPr>
          <w:rFonts w:cs="Calibri"/>
        </w:rPr>
        <w:t>.</w:t>
      </w:r>
    </w:p>
    <w:p w14:paraId="62A24070" w14:textId="77777777" w:rsidR="00FA0945" w:rsidRPr="00150391" w:rsidRDefault="53BF0693" w:rsidP="000A7DEC">
      <w:pPr>
        <w:rPr>
          <w:rFonts w:cs="Calibri"/>
        </w:rPr>
      </w:pPr>
      <w:r w:rsidRPr="00150391">
        <w:rPr>
          <w:rFonts w:cs="Calibri"/>
        </w:rPr>
        <w:t xml:space="preserve">An entity’s financial management information system </w:t>
      </w:r>
      <w:r w:rsidR="006C1DFC" w:rsidRPr="00150391">
        <w:rPr>
          <w:rFonts w:cs="Calibri"/>
        </w:rPr>
        <w:t xml:space="preserve">(FMIS) </w:t>
      </w:r>
      <w:r w:rsidRPr="00150391">
        <w:rPr>
          <w:rFonts w:cs="Calibri"/>
        </w:rPr>
        <w:t>may be used to supplement information in CBMS, particularly where information that is to be published in a PB Statement is reported at a finer level of granularity.</w:t>
      </w:r>
    </w:p>
    <w:p w14:paraId="058EFDBB" w14:textId="77777777" w:rsidR="00FA0945" w:rsidRPr="00150391" w:rsidRDefault="53BF0693" w:rsidP="00CF6BE7">
      <w:pPr>
        <w:pStyle w:val="Heading2Numbered"/>
        <w:rPr>
          <w:rFonts w:ascii="Calibri" w:hAnsi="Calibri" w:cs="Calibri"/>
        </w:rPr>
      </w:pPr>
      <w:bookmarkStart w:id="262" w:name="_Toc411852665"/>
      <w:bookmarkStart w:id="263" w:name="_Toc63347675"/>
      <w:bookmarkStart w:id="264" w:name="_Toc114576262"/>
      <w:bookmarkStart w:id="265" w:name="Continue_from_here_5_3"/>
      <w:r w:rsidRPr="00150391">
        <w:rPr>
          <w:rFonts w:ascii="Calibri" w:hAnsi="Calibri" w:cs="Calibri"/>
        </w:rPr>
        <w:t>Clearance processes</w:t>
      </w:r>
      <w:bookmarkEnd w:id="262"/>
      <w:bookmarkEnd w:id="263"/>
      <w:bookmarkEnd w:id="264"/>
    </w:p>
    <w:bookmarkEnd w:id="265"/>
    <w:p w14:paraId="59A897C5" w14:textId="5C3AB4DC" w:rsidR="00FA0945" w:rsidRPr="00150391" w:rsidRDefault="30B59CBF" w:rsidP="000A7DEC">
      <w:pPr>
        <w:rPr>
          <w:rFonts w:cs="Calibri"/>
        </w:rPr>
      </w:pPr>
      <w:r w:rsidRPr="00150391">
        <w:rPr>
          <w:rFonts w:cs="Calibri"/>
        </w:rPr>
        <w:t>While there is no requirement for portfolios to provide their whole PB Statements document to Finance for checking, certain material must match information contained elsewhere in the BPs for which the Treasurer and Minister for Finance (Finance Minister) are responsible. This includes information on the appropriations and the measures tables. As the PB Statements describe measures that are published in BP No. 2, the two documents should be consistent. Finance recommends, that if possible, PB Statements should not be printed until BP No. 2 is cleared.</w:t>
      </w:r>
    </w:p>
    <w:p w14:paraId="496BD9D7" w14:textId="5339512F" w:rsidR="005326B3" w:rsidRPr="00150391" w:rsidRDefault="53BF0693" w:rsidP="00913329">
      <w:pPr>
        <w:rPr>
          <w:rFonts w:cs="Calibri"/>
        </w:rPr>
      </w:pPr>
      <w:r w:rsidRPr="00150391">
        <w:rPr>
          <w:rFonts w:cs="Calibri"/>
          <w:i/>
          <w:iCs/>
        </w:rPr>
        <w:t>Table 1.2: Budget measures</w:t>
      </w:r>
      <w:r w:rsidRPr="00150391">
        <w:rPr>
          <w:rFonts w:cs="Calibri"/>
        </w:rPr>
        <w:t xml:space="preserve"> should be provided to your Finance Agency Advice Unit (AAU) for checking against BP No. 2 measures titles and Appropriation Bills reports prior to the PB Statements being printed.</w:t>
      </w:r>
    </w:p>
    <w:p w14:paraId="4CCC1911" w14:textId="77777777" w:rsidR="00A007B3" w:rsidRDefault="00A007B3" w:rsidP="000A7DEC">
      <w:pPr>
        <w:rPr>
          <w:rFonts w:cs="Calibri"/>
        </w:rPr>
      </w:pPr>
    </w:p>
    <w:p w14:paraId="4990F2DC" w14:textId="4EE54670" w:rsidR="00FA0945" w:rsidRPr="00150391" w:rsidRDefault="53BF0693" w:rsidP="000A7DEC">
      <w:pPr>
        <w:rPr>
          <w:rFonts w:cs="Calibri"/>
        </w:rPr>
      </w:pPr>
      <w:r w:rsidRPr="00150391">
        <w:rPr>
          <w:rFonts w:cs="Calibri"/>
        </w:rPr>
        <w:t>Portfolio entities are responsible for ensuring the accuracy and completeness of the information contained in their PB Statements, including the presentation of information that is consistent with CBMS. As a minimum, before publication entities should ensure that:</w:t>
      </w:r>
    </w:p>
    <w:p w14:paraId="58C1AF06" w14:textId="47DF1D79" w:rsidR="00FA0945" w:rsidRPr="00150391" w:rsidRDefault="53BF0693" w:rsidP="005379D4">
      <w:pPr>
        <w:pStyle w:val="Bullet1"/>
        <w:rPr>
          <w:rFonts w:ascii="Calibri" w:hAnsi="Calibri" w:cs="Calibri"/>
        </w:rPr>
      </w:pPr>
      <w:r w:rsidRPr="00150391">
        <w:rPr>
          <w:rFonts w:ascii="Calibri" w:hAnsi="Calibri" w:cs="Calibri"/>
        </w:rPr>
        <w:t>the PB Statements are completed in accordance with the guidance and templates provided</w:t>
      </w:r>
      <w:r w:rsidR="00160E84">
        <w:rPr>
          <w:rFonts w:ascii="Calibri" w:hAnsi="Calibri" w:cs="Calibri"/>
        </w:rPr>
        <w:t>,</w:t>
      </w:r>
    </w:p>
    <w:p w14:paraId="19644F80" w14:textId="4BFF0AA4" w:rsidR="00FA0945" w:rsidRPr="00150391" w:rsidRDefault="53BF0693" w:rsidP="005379D4">
      <w:pPr>
        <w:pStyle w:val="Bullet1"/>
        <w:rPr>
          <w:rFonts w:ascii="Calibri" w:hAnsi="Calibri" w:cs="Calibri"/>
        </w:rPr>
      </w:pPr>
      <w:r w:rsidRPr="00150391">
        <w:rPr>
          <w:rFonts w:ascii="Calibri" w:hAnsi="Calibri" w:cs="Calibri"/>
        </w:rPr>
        <w:t>the measures table matches the final measures list provided by your AAU</w:t>
      </w:r>
      <w:r w:rsidR="00160E84">
        <w:rPr>
          <w:rFonts w:ascii="Calibri" w:hAnsi="Calibri" w:cs="Calibri"/>
        </w:rPr>
        <w:t>,</w:t>
      </w:r>
    </w:p>
    <w:p w14:paraId="384A9E91" w14:textId="4E63376D" w:rsidR="00FA0945" w:rsidRPr="00150391" w:rsidRDefault="53BF0693" w:rsidP="00B66FC9">
      <w:pPr>
        <w:pStyle w:val="Bullet1"/>
        <w:rPr>
          <w:rFonts w:ascii="Calibri" w:hAnsi="Calibri" w:cs="Calibri"/>
        </w:rPr>
      </w:pPr>
      <w:r w:rsidRPr="00150391">
        <w:rPr>
          <w:rFonts w:ascii="Calibri" w:hAnsi="Calibri" w:cs="Calibri"/>
        </w:rPr>
        <w:t xml:space="preserve">the Average Staffing Level (ASL) numbers match the </w:t>
      </w:r>
      <w:r w:rsidR="000874D1" w:rsidRPr="00150391">
        <w:rPr>
          <w:rFonts w:ascii="Calibri" w:hAnsi="Calibri" w:cs="Calibri"/>
        </w:rPr>
        <w:t xml:space="preserve">figures </w:t>
      </w:r>
      <w:r w:rsidRPr="00150391">
        <w:rPr>
          <w:rFonts w:ascii="Calibri" w:hAnsi="Calibri" w:cs="Calibri"/>
        </w:rPr>
        <w:t>to be published in BP No. 4</w:t>
      </w:r>
      <w:r w:rsidR="00160E84">
        <w:rPr>
          <w:rFonts w:ascii="Calibri" w:hAnsi="Calibri" w:cs="Calibri"/>
        </w:rPr>
        <w:t>, and</w:t>
      </w:r>
    </w:p>
    <w:p w14:paraId="441B092B" w14:textId="59FAA41A" w:rsidR="00C72A5A" w:rsidRPr="00150391" w:rsidRDefault="53BF0693" w:rsidP="00913329">
      <w:pPr>
        <w:pStyle w:val="Bullet1"/>
        <w:rPr>
          <w:rFonts w:ascii="Calibri" w:hAnsi="Calibri" w:cs="Calibri"/>
        </w:rPr>
      </w:pPr>
      <w:r w:rsidRPr="00150391">
        <w:rPr>
          <w:rFonts w:ascii="Calibri" w:hAnsi="Calibri" w:cs="Calibri"/>
        </w:rPr>
        <w:t>all Bills information matches the Appropriation Bill Schedule in the Appropriation Bill report from CBMS</w:t>
      </w:r>
      <w:r w:rsidR="00961463" w:rsidRPr="00150391">
        <w:rPr>
          <w:rFonts w:ascii="Calibri" w:hAnsi="Calibri" w:cs="Calibri"/>
        </w:rPr>
        <w:t>,</w:t>
      </w:r>
      <w:r w:rsidR="009D5B48" w:rsidRPr="00150391">
        <w:rPr>
          <w:rFonts w:ascii="Calibri" w:hAnsi="Calibri" w:cs="Calibri"/>
        </w:rPr>
        <w:t xml:space="preserve"> </w:t>
      </w:r>
      <w:r w:rsidRPr="00150391">
        <w:rPr>
          <w:rFonts w:ascii="Calibri" w:hAnsi="Calibri" w:cs="Calibri"/>
        </w:rPr>
        <w:t>the relevant Chief Finance Officer (CFO) sign-offs on Bills and BP No. 4 are available in CBMS under statutory reports.</w:t>
      </w:r>
    </w:p>
    <w:p w14:paraId="5C3B8E70" w14:textId="77777777" w:rsidR="00FA0945" w:rsidRPr="00150391" w:rsidRDefault="53BF0693" w:rsidP="00CF6BE7">
      <w:pPr>
        <w:pStyle w:val="Heading1Numbered"/>
        <w:rPr>
          <w:rFonts w:ascii="Calibri" w:hAnsi="Calibri" w:cs="Calibri"/>
        </w:rPr>
      </w:pPr>
      <w:bookmarkStart w:id="266" w:name="_Toc29980653"/>
      <w:bookmarkStart w:id="267" w:name="_Toc30405530"/>
      <w:bookmarkStart w:id="268" w:name="_Toc30581271"/>
      <w:bookmarkStart w:id="269" w:name="_Toc32829933"/>
      <w:bookmarkStart w:id="270" w:name="_Toc32917435"/>
      <w:bookmarkStart w:id="271" w:name="_Toc32918241"/>
      <w:bookmarkStart w:id="272" w:name="_Toc32999624"/>
      <w:bookmarkStart w:id="273" w:name="_Toc33099343"/>
      <w:bookmarkStart w:id="274" w:name="_Toc33195973"/>
      <w:bookmarkStart w:id="275" w:name="_Toc33196275"/>
      <w:bookmarkStart w:id="276" w:name="_Toc29980654"/>
      <w:bookmarkStart w:id="277" w:name="_Toc30405531"/>
      <w:bookmarkStart w:id="278" w:name="_Toc30581272"/>
      <w:bookmarkStart w:id="279" w:name="_Toc32829934"/>
      <w:bookmarkStart w:id="280" w:name="_Toc32917436"/>
      <w:bookmarkStart w:id="281" w:name="_Toc32918242"/>
      <w:bookmarkStart w:id="282" w:name="_Toc32999625"/>
      <w:bookmarkStart w:id="283" w:name="_Toc33099344"/>
      <w:bookmarkStart w:id="284" w:name="_Toc33195974"/>
      <w:bookmarkStart w:id="285" w:name="_Toc33196276"/>
      <w:bookmarkStart w:id="286" w:name="_Toc29980655"/>
      <w:bookmarkStart w:id="287" w:name="_Toc30405532"/>
      <w:bookmarkStart w:id="288" w:name="_Toc30581273"/>
      <w:bookmarkStart w:id="289" w:name="_Toc32829935"/>
      <w:bookmarkStart w:id="290" w:name="_Toc32917437"/>
      <w:bookmarkStart w:id="291" w:name="_Toc32918243"/>
      <w:bookmarkStart w:id="292" w:name="_Toc32999626"/>
      <w:bookmarkStart w:id="293" w:name="_Toc33099345"/>
      <w:bookmarkStart w:id="294" w:name="_Toc33195975"/>
      <w:bookmarkStart w:id="295" w:name="_Toc33196277"/>
      <w:bookmarkStart w:id="296" w:name="_Toc29394530"/>
      <w:bookmarkStart w:id="297" w:name="_Toc29394828"/>
      <w:bookmarkStart w:id="298" w:name="_Toc29394959"/>
      <w:bookmarkStart w:id="299" w:name="_Toc29395355"/>
      <w:bookmarkStart w:id="300" w:name="_Toc29395441"/>
      <w:bookmarkStart w:id="301" w:name="_Toc29396872"/>
      <w:bookmarkStart w:id="302" w:name="_Toc29478109"/>
      <w:bookmarkStart w:id="303" w:name="_Toc29481846"/>
      <w:bookmarkStart w:id="304" w:name="_Toc29544149"/>
      <w:bookmarkStart w:id="305" w:name="_Toc29544736"/>
      <w:bookmarkStart w:id="306" w:name="_Toc29544811"/>
      <w:bookmarkStart w:id="307" w:name="_Toc29546675"/>
      <w:bookmarkStart w:id="308" w:name="_Toc29980656"/>
      <w:bookmarkStart w:id="309" w:name="_Toc30405533"/>
      <w:bookmarkStart w:id="310" w:name="_Toc30581274"/>
      <w:bookmarkStart w:id="311" w:name="_Toc32829936"/>
      <w:bookmarkStart w:id="312" w:name="_Toc32917438"/>
      <w:bookmarkStart w:id="313" w:name="_Toc32918244"/>
      <w:bookmarkStart w:id="314" w:name="_Toc32999627"/>
      <w:bookmarkStart w:id="315" w:name="_Toc33099346"/>
      <w:bookmarkStart w:id="316" w:name="_Toc33195976"/>
      <w:bookmarkStart w:id="317" w:name="_Toc33196278"/>
      <w:bookmarkStart w:id="318" w:name="_Toc534803483"/>
      <w:bookmarkStart w:id="319" w:name="_Toc534814174"/>
      <w:bookmarkStart w:id="320" w:name="_Toc536108544"/>
      <w:bookmarkStart w:id="321" w:name="_Toc411852666"/>
      <w:bookmarkStart w:id="322" w:name="_Toc63347676"/>
      <w:bookmarkStart w:id="323" w:name="_Toc114576263"/>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50391">
        <w:rPr>
          <w:rFonts w:ascii="Calibri" w:hAnsi="Calibri" w:cs="Calibri"/>
        </w:rPr>
        <w:t>Publication requirements</w:t>
      </w:r>
      <w:bookmarkEnd w:id="321"/>
      <w:bookmarkEnd w:id="322"/>
      <w:bookmarkEnd w:id="323"/>
    </w:p>
    <w:p w14:paraId="73D43407" w14:textId="77777777" w:rsidR="00FA0945" w:rsidRPr="00150391" w:rsidRDefault="53BF0693" w:rsidP="00CF6BE7">
      <w:pPr>
        <w:pStyle w:val="Heading2Numbered"/>
        <w:rPr>
          <w:rFonts w:ascii="Calibri" w:hAnsi="Calibri" w:cs="Calibri"/>
        </w:rPr>
      </w:pPr>
      <w:bookmarkStart w:id="324" w:name="_Toc406683943"/>
      <w:bookmarkStart w:id="325" w:name="_Toc411852667"/>
      <w:bookmarkStart w:id="326" w:name="_Toc63347677"/>
      <w:bookmarkStart w:id="327" w:name="_Toc114576264"/>
      <w:r w:rsidRPr="00150391">
        <w:rPr>
          <w:rFonts w:ascii="Calibri" w:hAnsi="Calibri" w:cs="Calibri"/>
        </w:rPr>
        <w:t>Security requirements</w:t>
      </w:r>
      <w:bookmarkEnd w:id="324"/>
      <w:bookmarkEnd w:id="325"/>
      <w:bookmarkEnd w:id="326"/>
      <w:bookmarkEnd w:id="327"/>
    </w:p>
    <w:p w14:paraId="2EDCEC7A" w14:textId="77777777" w:rsidR="00FA0945" w:rsidRPr="00150391" w:rsidRDefault="53BF0693" w:rsidP="000A7DEC">
      <w:pPr>
        <w:rPr>
          <w:rFonts w:cs="Calibri"/>
        </w:rPr>
      </w:pPr>
      <w:r w:rsidRPr="00150391">
        <w:rPr>
          <w:rFonts w:cs="Calibri"/>
        </w:rPr>
        <w:t xml:space="preserve">The PB Statements are classified as </w:t>
      </w:r>
      <w:r w:rsidRPr="00150391">
        <w:rPr>
          <w:rFonts w:cs="Calibri"/>
          <w:b/>
          <w:bCs/>
        </w:rPr>
        <w:t xml:space="preserve">Protected </w:t>
      </w:r>
      <w:r w:rsidRPr="00150391">
        <w:rPr>
          <w:rFonts w:cs="Calibri"/>
        </w:rPr>
        <w:t>and are</w:t>
      </w:r>
      <w:r w:rsidRPr="00150391">
        <w:rPr>
          <w:rFonts w:cs="Calibri"/>
          <w:b/>
          <w:bCs/>
        </w:rPr>
        <w:t xml:space="preserve"> under embargo</w:t>
      </w:r>
      <w:r w:rsidRPr="00150391">
        <w:rPr>
          <w:rFonts w:cs="Calibri"/>
        </w:rPr>
        <w:t xml:space="preserve"> until they are tabled in Parliament. The Treasurer has endorsed this classification and each portfolio entity must ensure appropriate security arrangements are made. </w:t>
      </w:r>
    </w:p>
    <w:p w14:paraId="6C68C894" w14:textId="77777777" w:rsidR="00FA0945" w:rsidRPr="00150391" w:rsidRDefault="53BF0693" w:rsidP="000A7DEC">
      <w:pPr>
        <w:rPr>
          <w:rFonts w:cs="Calibri"/>
        </w:rPr>
      </w:pPr>
      <w:r w:rsidRPr="00150391">
        <w:rPr>
          <w:rFonts w:cs="Calibri"/>
        </w:rPr>
        <w:t>Issues to keep in mind include:</w:t>
      </w:r>
    </w:p>
    <w:p w14:paraId="0AE3C1D1" w14:textId="77777777" w:rsidR="007857D2" w:rsidRPr="00150391" w:rsidRDefault="53BF0693" w:rsidP="001D30A2">
      <w:pPr>
        <w:pStyle w:val="Bullet1"/>
        <w:rPr>
          <w:rFonts w:ascii="Calibri" w:hAnsi="Calibri" w:cs="Calibri"/>
        </w:rPr>
      </w:pPr>
      <w:r w:rsidRPr="00150391">
        <w:rPr>
          <w:rFonts w:ascii="Calibri" w:hAnsi="Calibri" w:cs="Calibri"/>
        </w:rPr>
        <w:t>PB Statements should be prepared in a secure area of the entity</w:t>
      </w:r>
    </w:p>
    <w:p w14:paraId="5E8F1FB4" w14:textId="77777777" w:rsidR="007857D2" w:rsidRPr="00150391" w:rsidRDefault="53BF0693" w:rsidP="001D30A2">
      <w:pPr>
        <w:pStyle w:val="Bullet1"/>
        <w:rPr>
          <w:rFonts w:ascii="Calibri" w:hAnsi="Calibri" w:cs="Calibri"/>
        </w:rPr>
      </w:pPr>
      <w:r w:rsidRPr="00150391">
        <w:rPr>
          <w:rFonts w:ascii="Calibri" w:hAnsi="Calibri" w:cs="Calibri"/>
        </w:rPr>
        <w:t>under no circumstances should PB Statements or excerpts from PB Statements be distributed via unsecure electronic mail</w:t>
      </w:r>
    </w:p>
    <w:p w14:paraId="33C01FBF" w14:textId="77777777" w:rsidR="007857D2" w:rsidRPr="00150391" w:rsidRDefault="53BF0693" w:rsidP="001D30A2">
      <w:pPr>
        <w:pStyle w:val="Bullet1"/>
        <w:rPr>
          <w:rFonts w:ascii="Calibri" w:hAnsi="Calibri" w:cs="Calibri"/>
        </w:rPr>
      </w:pPr>
      <w:r w:rsidRPr="00150391">
        <w:rPr>
          <w:rFonts w:ascii="Calibri" w:hAnsi="Calibri" w:cs="Calibri"/>
        </w:rPr>
        <w:t>the “need to know” principle applies in the distribution of all material</w:t>
      </w:r>
    </w:p>
    <w:p w14:paraId="6C8EB6AE" w14:textId="37666D9D" w:rsidR="007857D2" w:rsidRPr="00150391" w:rsidRDefault="53BF0693" w:rsidP="001D30A2">
      <w:pPr>
        <w:pStyle w:val="Bullet1"/>
        <w:rPr>
          <w:rFonts w:ascii="Calibri" w:hAnsi="Calibri" w:cs="Calibri"/>
        </w:rPr>
      </w:pPr>
      <w:r w:rsidRPr="00150391">
        <w:rPr>
          <w:rFonts w:ascii="Calibri" w:hAnsi="Calibri" w:cs="Calibri"/>
        </w:rPr>
        <w:t xml:space="preserve">PB Statements should not be prepared by external companies or contractors who cannot demonstrate that their premises meet the security standards for protected information as provided by the Protective Security Policy Framework </w:t>
      </w:r>
      <w:hyperlink r:id="rId33">
        <w:r w:rsidRPr="002B4935">
          <w:rPr>
            <w:rStyle w:val="Hyperlink"/>
            <w:rFonts w:ascii="Calibri" w:hAnsi="Calibri" w:cs="Calibri"/>
            <w:color w:val="0070C0"/>
          </w:rPr>
          <w:t>www.protectivesecurity.gov.au</w:t>
        </w:r>
      </w:hyperlink>
    </w:p>
    <w:p w14:paraId="3A031850" w14:textId="77777777" w:rsidR="007857D2" w:rsidRPr="00150391" w:rsidRDefault="53BF0693" w:rsidP="001D30A2">
      <w:pPr>
        <w:pStyle w:val="Bullet1"/>
        <w:rPr>
          <w:rFonts w:ascii="Calibri" w:hAnsi="Calibri" w:cs="Calibri"/>
        </w:rPr>
      </w:pPr>
      <w:r w:rsidRPr="00150391">
        <w:rPr>
          <w:rFonts w:ascii="Calibri" w:hAnsi="Calibri" w:cs="Calibri"/>
        </w:rPr>
        <w:t>staff with knowledge of any information relating to the PB Statements should not discuss it in non-official circles.</w:t>
      </w:r>
    </w:p>
    <w:p w14:paraId="23C88C82" w14:textId="77777777" w:rsidR="004B3AF6" w:rsidRPr="00150391" w:rsidRDefault="53BF0693" w:rsidP="000A7DEC">
      <w:pPr>
        <w:rPr>
          <w:rFonts w:cs="Calibri"/>
        </w:rPr>
      </w:pPr>
      <w:r w:rsidRPr="00150391">
        <w:rPr>
          <w:rFonts w:cs="Calibri"/>
        </w:rPr>
        <w:t>If staff are unsure of the correct security processes during the budget preparation period, they should contact their entity’s security adviser.</w:t>
      </w:r>
    </w:p>
    <w:p w14:paraId="5FC309BA" w14:textId="7CECCE22" w:rsidR="00FA0945" w:rsidRPr="00150391" w:rsidRDefault="53BF0693" w:rsidP="00CF6BE7">
      <w:pPr>
        <w:pStyle w:val="Heading2Numbered"/>
        <w:rPr>
          <w:rFonts w:ascii="Calibri" w:hAnsi="Calibri" w:cs="Calibri"/>
        </w:rPr>
      </w:pPr>
      <w:bookmarkStart w:id="328" w:name="_Toc32917441"/>
      <w:bookmarkStart w:id="329" w:name="_Toc32918247"/>
      <w:bookmarkStart w:id="330" w:name="_Toc32999630"/>
      <w:bookmarkStart w:id="331" w:name="_Toc33099349"/>
      <w:bookmarkStart w:id="332" w:name="_Toc33195979"/>
      <w:bookmarkStart w:id="333" w:name="_Toc33196281"/>
      <w:bookmarkStart w:id="334" w:name="_Toc406683946"/>
      <w:bookmarkStart w:id="335" w:name="_Toc411852668"/>
      <w:bookmarkStart w:id="336" w:name="_Toc63347678"/>
      <w:bookmarkStart w:id="337" w:name="_Toc114576265"/>
      <w:bookmarkEnd w:id="328"/>
      <w:bookmarkEnd w:id="329"/>
      <w:bookmarkEnd w:id="330"/>
      <w:bookmarkEnd w:id="331"/>
      <w:bookmarkEnd w:id="332"/>
      <w:bookmarkEnd w:id="333"/>
      <w:r w:rsidRPr="00150391">
        <w:rPr>
          <w:rFonts w:ascii="Calibri" w:hAnsi="Calibri" w:cs="Calibri"/>
        </w:rPr>
        <w:t>Which printer to use and printing specifications</w:t>
      </w:r>
      <w:bookmarkEnd w:id="334"/>
      <w:bookmarkEnd w:id="335"/>
      <w:bookmarkEnd w:id="336"/>
      <w:bookmarkEnd w:id="337"/>
    </w:p>
    <w:p w14:paraId="23ACD9A7" w14:textId="58593E98" w:rsidR="00E77E51" w:rsidRPr="00150391" w:rsidRDefault="00E77E51" w:rsidP="00913329">
      <w:pPr>
        <w:rPr>
          <w:rFonts w:cs="Calibri"/>
        </w:rPr>
      </w:pPr>
      <w:r w:rsidRPr="00150391">
        <w:rPr>
          <w:rFonts w:cs="Calibri"/>
        </w:rPr>
        <w:t xml:space="preserve">Should a decision be taken to revise the requirements listed in section </w:t>
      </w:r>
      <w:r w:rsidRPr="002B4935">
        <w:rPr>
          <w:rStyle w:val="CrossReferenceChar"/>
          <w:rFonts w:cs="Calibri"/>
          <w:color w:val="0070C0"/>
        </w:rPr>
        <w:fldChar w:fldCharType="begin"/>
      </w:r>
      <w:r w:rsidRPr="002B4935">
        <w:rPr>
          <w:rStyle w:val="CrossReferenceChar"/>
          <w:rFonts w:cs="Calibri"/>
          <w:color w:val="0070C0"/>
        </w:rPr>
        <w:instrText xml:space="preserve"> REF _Ref111538403 \w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Pr>
          <w:rStyle w:val="CrossReferenceChar"/>
          <w:rFonts w:cs="Calibri"/>
          <w:color w:val="0070C0"/>
        </w:rPr>
        <w:t>6.2.1</w:t>
      </w:r>
      <w:r w:rsidRPr="002B4935">
        <w:rPr>
          <w:rStyle w:val="CrossReferenceChar"/>
          <w:rFonts w:cs="Calibri"/>
          <w:color w:val="0070C0"/>
        </w:rPr>
        <w:fldChar w:fldCharType="end"/>
      </w:r>
      <w:r w:rsidRPr="002B4935">
        <w:rPr>
          <w:rStyle w:val="CrossReferenceChar"/>
          <w:rFonts w:cs="Calibri"/>
          <w:color w:val="0070C0"/>
        </w:rPr>
        <w:t xml:space="preserve"> </w:t>
      </w:r>
      <w:r w:rsidRPr="002B4935">
        <w:rPr>
          <w:rStyle w:val="CrossReferenceChar"/>
          <w:rFonts w:cs="Calibri"/>
          <w:color w:val="0070C0"/>
        </w:rPr>
        <w:fldChar w:fldCharType="begin"/>
      </w:r>
      <w:r w:rsidRPr="002B4935">
        <w:rPr>
          <w:rStyle w:val="CrossReferenceChar"/>
          <w:rFonts w:cs="Calibri"/>
          <w:color w:val="0070C0"/>
        </w:rPr>
        <w:instrText xml:space="preserve"> REF _Ref111538403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sidRPr="0073409A">
        <w:rPr>
          <w:rStyle w:val="CrossReferenceChar"/>
          <w:color w:val="0070C0"/>
        </w:rPr>
        <w:t>Paper and format specifications</w:t>
      </w:r>
      <w:r w:rsidRPr="002B4935">
        <w:rPr>
          <w:rStyle w:val="CrossReferenceChar"/>
          <w:rFonts w:cs="Calibri"/>
          <w:color w:val="0070C0"/>
        </w:rPr>
        <w:fldChar w:fldCharType="end"/>
      </w:r>
      <w:r w:rsidRPr="00150391">
        <w:rPr>
          <w:rFonts w:cs="Calibri"/>
        </w:rPr>
        <w:t xml:space="preserve">, Finance will provide separate advice to the entities </w:t>
      </w:r>
      <w:r w:rsidR="002642CF" w:rsidRPr="00150391">
        <w:rPr>
          <w:rFonts w:cs="Calibri"/>
        </w:rPr>
        <w:t xml:space="preserve">PB statement </w:t>
      </w:r>
      <w:r w:rsidRPr="00150391">
        <w:rPr>
          <w:rFonts w:cs="Calibri"/>
        </w:rPr>
        <w:t xml:space="preserve">Portfolio </w:t>
      </w:r>
      <w:r w:rsidR="002642CF" w:rsidRPr="00150391">
        <w:rPr>
          <w:rFonts w:cs="Calibri"/>
        </w:rPr>
        <w:t>c</w:t>
      </w:r>
      <w:r w:rsidRPr="00150391">
        <w:rPr>
          <w:rFonts w:cs="Calibri"/>
        </w:rPr>
        <w:t xml:space="preserve">oordinators and </w:t>
      </w:r>
      <w:r w:rsidR="002642CF" w:rsidRPr="00150391">
        <w:rPr>
          <w:rFonts w:cs="Calibri"/>
        </w:rPr>
        <w:t xml:space="preserve">to </w:t>
      </w:r>
      <w:r w:rsidRPr="00150391">
        <w:rPr>
          <w:rFonts w:cs="Calibri"/>
        </w:rPr>
        <w:t>Canprint in the lead-up to the Budget.</w:t>
      </w:r>
    </w:p>
    <w:p w14:paraId="58590EBE" w14:textId="15DBA428" w:rsidR="00FA0945" w:rsidRPr="00150391" w:rsidRDefault="53BF0693" w:rsidP="00CF6BE7">
      <w:pPr>
        <w:pStyle w:val="Heading3Numbered"/>
        <w:rPr>
          <w:rFonts w:ascii="Calibri" w:hAnsi="Calibri" w:cs="Calibri"/>
        </w:rPr>
      </w:pPr>
      <w:bookmarkStart w:id="338" w:name="_Toc63347679"/>
      <w:bookmarkStart w:id="339" w:name="_Ref111538403"/>
      <w:bookmarkStart w:id="340" w:name="_Toc114576266"/>
      <w:r w:rsidRPr="00150391">
        <w:rPr>
          <w:rFonts w:ascii="Calibri" w:hAnsi="Calibri" w:cs="Calibri"/>
        </w:rPr>
        <w:t xml:space="preserve">Paper </w:t>
      </w:r>
      <w:r w:rsidR="00E77E51" w:rsidRPr="00150391">
        <w:rPr>
          <w:rFonts w:ascii="Calibri" w:hAnsi="Calibri" w:cs="Calibri"/>
        </w:rPr>
        <w:t xml:space="preserve">and format </w:t>
      </w:r>
      <w:r w:rsidRPr="00150391">
        <w:rPr>
          <w:rFonts w:ascii="Calibri" w:hAnsi="Calibri" w:cs="Calibri"/>
        </w:rPr>
        <w:t>specifications</w:t>
      </w:r>
      <w:bookmarkEnd w:id="338"/>
      <w:bookmarkEnd w:id="339"/>
      <w:bookmarkEnd w:id="340"/>
    </w:p>
    <w:p w14:paraId="6B97779F" w14:textId="5E8C6DEA" w:rsidR="00B751D1" w:rsidRPr="00150391" w:rsidRDefault="53BF0693" w:rsidP="000A7DEC">
      <w:pPr>
        <w:rPr>
          <w:rFonts w:cs="Calibri"/>
        </w:rPr>
      </w:pPr>
      <w:r w:rsidRPr="00150391">
        <w:rPr>
          <w:rFonts w:cs="Calibri"/>
        </w:rPr>
        <w:t xml:space="preserve">Hard copies of the PB Statements </w:t>
      </w:r>
      <w:r w:rsidRPr="00150391">
        <w:rPr>
          <w:rFonts w:cs="Calibri"/>
          <w:b/>
          <w:bCs/>
        </w:rPr>
        <w:t>must</w:t>
      </w:r>
      <w:r w:rsidRPr="00150391">
        <w:rPr>
          <w:rFonts w:cs="Calibri"/>
        </w:rPr>
        <w:t xml:space="preserve"> be produced on standard B5 size paper (17.6 cm x 25 cm) with the following font requirements:</w:t>
      </w:r>
    </w:p>
    <w:p w14:paraId="2CD4FE7B" w14:textId="77777777" w:rsidR="00895608" w:rsidRPr="00150391" w:rsidRDefault="53BF0693" w:rsidP="005379D4">
      <w:pPr>
        <w:pStyle w:val="Bullet1"/>
        <w:rPr>
          <w:rFonts w:ascii="Calibri" w:hAnsi="Calibri" w:cs="Calibri"/>
        </w:rPr>
      </w:pPr>
      <w:r w:rsidRPr="00150391">
        <w:rPr>
          <w:rFonts w:ascii="Calibri" w:hAnsi="Calibri" w:cs="Calibri"/>
        </w:rPr>
        <w:t>for tables (including those in the Excel workbook), Arial and 8 point (minimum font size 7.5 point)</w:t>
      </w:r>
    </w:p>
    <w:p w14:paraId="023387EF" w14:textId="77777777" w:rsidR="00895608" w:rsidRPr="00150391" w:rsidRDefault="53BF0693" w:rsidP="005379D4">
      <w:pPr>
        <w:pStyle w:val="Bullet1"/>
        <w:rPr>
          <w:rFonts w:ascii="Calibri" w:hAnsi="Calibri" w:cs="Calibri"/>
        </w:rPr>
      </w:pPr>
      <w:r w:rsidRPr="00150391">
        <w:rPr>
          <w:rFonts w:ascii="Calibri" w:hAnsi="Calibri" w:cs="Calibri"/>
        </w:rPr>
        <w:t>for other text (in the Word template), Book Antiqua and 10 point.</w:t>
      </w:r>
    </w:p>
    <w:p w14:paraId="0DF287BC" w14:textId="4483E932" w:rsidR="00FA0945" w:rsidRPr="00150391" w:rsidRDefault="53BF0693" w:rsidP="000A7DEC">
      <w:pPr>
        <w:rPr>
          <w:rFonts w:cs="Calibri"/>
        </w:rPr>
      </w:pPr>
      <w:r w:rsidRPr="00150391">
        <w:rPr>
          <w:rFonts w:cs="Calibri"/>
        </w:rPr>
        <w:t>Adherence to the fonts and styles provided in the templates (available from CBMS User Reference Material in CBMS) ensures that the statements are consistent with other Budget documents and related papers.</w:t>
      </w:r>
    </w:p>
    <w:p w14:paraId="2C4DFBB6" w14:textId="6F87E08C" w:rsidR="00FA0945" w:rsidRPr="00150391" w:rsidRDefault="6B6EE5C4" w:rsidP="000A7DEC">
      <w:pPr>
        <w:rPr>
          <w:rFonts w:cs="Calibri"/>
        </w:rPr>
      </w:pPr>
      <w:r w:rsidRPr="00150391">
        <w:rPr>
          <w:rFonts w:cs="Calibri"/>
        </w:rPr>
        <w:t xml:space="preserve">For the </w:t>
      </w:r>
      <w:r w:rsidRPr="00150391">
        <w:rPr>
          <w:rFonts w:cs="Calibri"/>
          <w:b/>
        </w:rPr>
        <w:t>covers</w:t>
      </w:r>
      <w:r w:rsidRPr="00150391">
        <w:rPr>
          <w:rFonts w:cs="Calibri"/>
        </w:rPr>
        <w:t>, entities must use ‘Tablex System Board 200gsm – Yellow</w:t>
      </w:r>
      <w:r w:rsidR="00A32A89" w:rsidRPr="00150391">
        <w:rPr>
          <w:rFonts w:cs="Calibri"/>
        </w:rPr>
        <w:t>’</w:t>
      </w:r>
      <w:r w:rsidRPr="00150391">
        <w:rPr>
          <w:rFonts w:cs="Calibri"/>
        </w:rPr>
        <w:t xml:space="preserve"> paper with the cover text in black.</w:t>
      </w:r>
    </w:p>
    <w:p w14:paraId="46BE3960" w14:textId="170DC4B8" w:rsidR="00FA0945" w:rsidRPr="00150391" w:rsidRDefault="53BF0693" w:rsidP="000A7DEC">
      <w:pPr>
        <w:rPr>
          <w:rFonts w:cs="Calibri"/>
        </w:rPr>
      </w:pPr>
      <w:r w:rsidRPr="00150391">
        <w:rPr>
          <w:rFonts w:cs="Calibri"/>
        </w:rPr>
        <w:t>For consistency, all portfolios must have the portfolio name made clearly visible on the spine of the documents.</w:t>
      </w:r>
    </w:p>
    <w:p w14:paraId="0AAC03ED" w14:textId="77777777" w:rsidR="00FA0945" w:rsidRPr="00150391" w:rsidRDefault="53BF0693" w:rsidP="00CF6BE7">
      <w:pPr>
        <w:pStyle w:val="Heading3Numbered"/>
        <w:rPr>
          <w:rFonts w:ascii="Calibri" w:hAnsi="Calibri" w:cs="Calibri"/>
        </w:rPr>
      </w:pPr>
      <w:bookmarkStart w:id="341" w:name="_Toc63347680"/>
      <w:bookmarkStart w:id="342" w:name="_Toc114576267"/>
      <w:r w:rsidRPr="00150391">
        <w:rPr>
          <w:rFonts w:ascii="Calibri" w:hAnsi="Calibri" w:cs="Calibri"/>
        </w:rPr>
        <w:t>Printer</w:t>
      </w:r>
      <w:bookmarkEnd w:id="341"/>
      <w:bookmarkEnd w:id="342"/>
    </w:p>
    <w:p w14:paraId="041F4BBB" w14:textId="77777777" w:rsidR="00FA0945" w:rsidRPr="00150391" w:rsidRDefault="6B6EE5C4" w:rsidP="000A7DEC">
      <w:pPr>
        <w:rPr>
          <w:rFonts w:cs="Calibri"/>
        </w:rPr>
      </w:pPr>
      <w:r w:rsidRPr="00150391">
        <w:rPr>
          <w:rFonts w:cs="Calibri"/>
        </w:rPr>
        <w:t xml:space="preserve">It is recommended that the </w:t>
      </w:r>
      <w:r w:rsidR="00396887" w:rsidRPr="00150391">
        <w:rPr>
          <w:rFonts w:cs="Calibri"/>
        </w:rPr>
        <w:t>portfolio department</w:t>
      </w:r>
      <w:r w:rsidRPr="00150391">
        <w:rPr>
          <w:rFonts w:cs="Calibri"/>
        </w:rPr>
        <w:t xml:space="preserve">s contact CanPrint </w:t>
      </w:r>
      <w:r w:rsidR="008D0434" w:rsidRPr="00150391">
        <w:rPr>
          <w:rFonts w:cs="Calibri"/>
        </w:rPr>
        <w:t xml:space="preserve">Communications Pty Ltd (CanPrint) </w:t>
      </w:r>
      <w:r w:rsidRPr="00150391">
        <w:rPr>
          <w:rFonts w:cs="Calibri"/>
        </w:rPr>
        <w:t xml:space="preserve">to arrange printing of their PB Statements. </w:t>
      </w:r>
    </w:p>
    <w:p w14:paraId="3FA8F3FD" w14:textId="77777777" w:rsidR="00FA0945" w:rsidRPr="00150391" w:rsidRDefault="53BF0693" w:rsidP="000A7DEC">
      <w:pPr>
        <w:rPr>
          <w:rFonts w:cs="Calibri"/>
        </w:rPr>
      </w:pPr>
      <w:r w:rsidRPr="00150391">
        <w:rPr>
          <w:rFonts w:cs="Calibri"/>
        </w:rPr>
        <w:t>If printing is carried out ‘in-house’ or using another printer, entities must liaise with Finance to ensure that cover stock, colour and text is consistent with other portfolios’ PB Statements.</w:t>
      </w:r>
    </w:p>
    <w:p w14:paraId="11BF3B4D" w14:textId="593AB81C" w:rsidR="00BD5561" w:rsidRPr="000D6117" w:rsidRDefault="00FA0945" w:rsidP="00BD5561">
      <w:pPr>
        <w:rPr>
          <w:rFonts w:eastAsiaTheme="majorEastAsia" w:cs="Calibri"/>
          <w:color w:val="1C1C1C" w:themeColor="text2"/>
          <w:sz w:val="40"/>
        </w:rPr>
      </w:pPr>
      <w:r w:rsidRPr="00150391">
        <w:rPr>
          <w:rFonts w:cs="Calibri"/>
        </w:rPr>
        <w:t xml:space="preserve">It is the responsibility of each </w:t>
      </w:r>
      <w:r w:rsidR="00396887" w:rsidRPr="00150391">
        <w:rPr>
          <w:rFonts w:cs="Calibri"/>
        </w:rPr>
        <w:t>portfolio department</w:t>
      </w:r>
      <w:r w:rsidRPr="00150391">
        <w:rPr>
          <w:rFonts w:cs="Calibri"/>
        </w:rPr>
        <w:t xml:space="preserve"> to arrange the printing and secure freighting of their PB Statements. The contact officer</w:t>
      </w:r>
      <w:r w:rsidR="00AA7AEF" w:rsidRPr="00150391">
        <w:rPr>
          <w:rFonts w:cs="Calibri"/>
        </w:rPr>
        <w:t>s</w:t>
      </w:r>
      <w:r w:rsidRPr="00150391">
        <w:rPr>
          <w:rFonts w:cs="Calibri"/>
        </w:rPr>
        <w:t xml:space="preserve"> for CanPrint </w:t>
      </w:r>
      <w:r w:rsidR="00AA7AEF" w:rsidRPr="00150391">
        <w:rPr>
          <w:rFonts w:cs="Calibri"/>
        </w:rPr>
        <w:t>are</w:t>
      </w:r>
      <w:r w:rsidR="00491498" w:rsidRPr="00150391">
        <w:rPr>
          <w:rFonts w:cs="Calibri"/>
        </w:rPr>
        <w:t xml:space="preserve"> listed under </w:t>
      </w:r>
      <w:r w:rsidR="00BE221E" w:rsidRPr="00150391">
        <w:rPr>
          <w:rFonts w:cs="Calibri"/>
        </w:rPr>
        <w:t>section</w:t>
      </w:r>
      <w:r w:rsidR="00491498" w:rsidRPr="00150391">
        <w:rPr>
          <w:rFonts w:cs="Calibri"/>
        </w:rPr>
        <w:t xml:space="preserve"> </w:t>
      </w:r>
      <w:r w:rsidR="00491498" w:rsidRPr="002B4935">
        <w:rPr>
          <w:rStyle w:val="CrossReferenceChar"/>
          <w:rFonts w:cs="Calibri"/>
          <w:color w:val="0070C0"/>
        </w:rPr>
        <w:fldChar w:fldCharType="begin"/>
      </w:r>
      <w:r w:rsidR="00491498" w:rsidRPr="002B4935">
        <w:rPr>
          <w:rStyle w:val="CrossReferenceChar"/>
          <w:rFonts w:cs="Calibri"/>
          <w:color w:val="0070C0"/>
        </w:rPr>
        <w:instrText xml:space="preserve"> REF _Ref55984418 \w \h  \* MERGEFORMAT </w:instrText>
      </w:r>
      <w:r w:rsidR="00491498" w:rsidRPr="002B4935">
        <w:rPr>
          <w:rStyle w:val="CrossReferenceChar"/>
          <w:rFonts w:cs="Calibri"/>
          <w:color w:val="0070C0"/>
        </w:rPr>
      </w:r>
      <w:r w:rsidR="00491498" w:rsidRPr="002B4935">
        <w:rPr>
          <w:rStyle w:val="CrossReferenceChar"/>
          <w:rFonts w:cs="Calibri"/>
          <w:color w:val="0070C0"/>
        </w:rPr>
        <w:fldChar w:fldCharType="separate"/>
      </w:r>
      <w:r w:rsidR="0073409A">
        <w:rPr>
          <w:rStyle w:val="CrossReferenceChar"/>
          <w:rFonts w:cs="Calibri"/>
          <w:color w:val="0070C0"/>
        </w:rPr>
        <w:t>14</w:t>
      </w:r>
      <w:r w:rsidR="00491498" w:rsidRPr="002B4935">
        <w:rPr>
          <w:rStyle w:val="CrossReferenceChar"/>
          <w:rFonts w:cs="Calibri"/>
          <w:color w:val="0070C0"/>
        </w:rPr>
        <w:fldChar w:fldCharType="end"/>
      </w:r>
      <w:r w:rsidR="007B14C4" w:rsidRPr="002B4935">
        <w:rPr>
          <w:rStyle w:val="CrossReferenceChar"/>
          <w:rFonts w:cs="Calibri"/>
          <w:color w:val="0070C0"/>
        </w:rPr>
        <w:t> </w:t>
      </w:r>
      <w:r w:rsidR="00C01050" w:rsidRPr="002B4935">
        <w:rPr>
          <w:rStyle w:val="CrossReferenceChar"/>
          <w:rFonts w:cs="Calibri"/>
          <w:color w:val="0070C0"/>
        </w:rPr>
        <w:fldChar w:fldCharType="begin"/>
      </w:r>
      <w:r w:rsidR="00C01050" w:rsidRPr="002B4935">
        <w:rPr>
          <w:rStyle w:val="CrossReferenceChar"/>
          <w:rFonts w:cs="Calibri"/>
          <w:color w:val="0070C0"/>
        </w:rPr>
        <w:instrText xml:space="preserve"> REF _Ref67044155 \h  \* MERGEFORMAT </w:instrText>
      </w:r>
      <w:r w:rsidR="00C01050" w:rsidRPr="002B4935">
        <w:rPr>
          <w:rStyle w:val="CrossReferenceChar"/>
          <w:rFonts w:cs="Calibri"/>
          <w:color w:val="0070C0"/>
        </w:rPr>
      </w:r>
      <w:r w:rsidR="00C01050" w:rsidRPr="002B4935">
        <w:rPr>
          <w:rStyle w:val="CrossReferenceChar"/>
          <w:rFonts w:cs="Calibri"/>
          <w:color w:val="0070C0"/>
        </w:rPr>
        <w:fldChar w:fldCharType="separate"/>
      </w:r>
      <w:r w:rsidR="0073409A" w:rsidRPr="00150391">
        <w:rPr>
          <w:rFonts w:cs="Calibri"/>
        </w:rPr>
        <w:t>Contacts</w:t>
      </w:r>
      <w:r w:rsidR="00C01050" w:rsidRPr="002B4935">
        <w:rPr>
          <w:rStyle w:val="CrossReferenceChar"/>
          <w:rFonts w:cs="Calibri"/>
          <w:color w:val="0070C0"/>
        </w:rPr>
        <w:fldChar w:fldCharType="end"/>
      </w:r>
      <w:r w:rsidR="00491498" w:rsidRPr="00150391">
        <w:rPr>
          <w:rFonts w:cs="Calibri"/>
          <w:u w:color="0070C0"/>
        </w:rPr>
        <w:fldChar w:fldCharType="begin"/>
      </w:r>
      <w:r w:rsidR="00491498" w:rsidRPr="00150391">
        <w:rPr>
          <w:rFonts w:cs="Calibri"/>
          <w:u w:color="0070C0"/>
        </w:rPr>
        <w:instrText xml:space="preserve"> REF _Ref55984423 \h  \* MERGEFORMAT </w:instrText>
      </w:r>
      <w:r w:rsidR="00491498" w:rsidRPr="00150391">
        <w:rPr>
          <w:rFonts w:cs="Calibri"/>
          <w:u w:color="0070C0"/>
        </w:rPr>
      </w:r>
      <w:r w:rsidR="00491498" w:rsidRPr="00150391">
        <w:rPr>
          <w:rFonts w:cs="Calibri"/>
          <w:u w:color="0070C0"/>
        </w:rPr>
        <w:fldChar w:fldCharType="end"/>
      </w:r>
      <w:r w:rsidR="00491498" w:rsidRPr="00150391">
        <w:rPr>
          <w:rFonts w:cs="Calibri"/>
        </w:rPr>
        <w:t>.</w:t>
      </w:r>
    </w:p>
    <w:p w14:paraId="0A01B4C5" w14:textId="24E8CAF7" w:rsidR="00FA0945" w:rsidRPr="00150391" w:rsidRDefault="53BF0693" w:rsidP="00BD5561">
      <w:pPr>
        <w:rPr>
          <w:rFonts w:cs="Calibri"/>
        </w:rPr>
      </w:pPr>
      <w:r w:rsidRPr="00150391">
        <w:rPr>
          <w:rFonts w:cs="Calibri"/>
        </w:rPr>
        <w:t xml:space="preserve">Portfolios should make sure they have sufficient hard copies of their PB Statements for their own internal needs, and make additional hard copies of their PB Statements available on request to other stakeholders, </w:t>
      </w:r>
      <w:r w:rsidR="00BE221E" w:rsidRPr="00150391">
        <w:rPr>
          <w:rFonts w:cs="Calibri"/>
        </w:rPr>
        <w:t>in addition to</w:t>
      </w:r>
      <w:r w:rsidRPr="00150391">
        <w:rPr>
          <w:rFonts w:cs="Calibri"/>
        </w:rPr>
        <w:t xml:space="preserve"> the distribution requirements listed below, such as:</w:t>
      </w:r>
    </w:p>
    <w:p w14:paraId="7E80A1AF" w14:textId="77777777" w:rsidR="00FA0945" w:rsidRPr="00150391" w:rsidRDefault="53BF0693" w:rsidP="005379D4">
      <w:pPr>
        <w:pStyle w:val="Bullet1"/>
        <w:rPr>
          <w:rFonts w:ascii="Calibri" w:hAnsi="Calibri" w:cs="Calibri"/>
        </w:rPr>
      </w:pPr>
      <w:r w:rsidRPr="00150391">
        <w:rPr>
          <w:rFonts w:ascii="Calibri" w:hAnsi="Calibri" w:cs="Calibri"/>
        </w:rPr>
        <w:t>other departments and relevant entities</w:t>
      </w:r>
    </w:p>
    <w:p w14:paraId="27C7B8A7" w14:textId="77777777" w:rsidR="00FA0945" w:rsidRPr="00150391" w:rsidRDefault="53BF0693" w:rsidP="005379D4">
      <w:pPr>
        <w:pStyle w:val="Bullet1"/>
        <w:rPr>
          <w:rFonts w:ascii="Calibri" w:hAnsi="Calibri" w:cs="Calibri"/>
        </w:rPr>
      </w:pPr>
      <w:r w:rsidRPr="00150391">
        <w:rPr>
          <w:rFonts w:ascii="Calibri" w:hAnsi="Calibri" w:cs="Calibri"/>
        </w:rPr>
        <w:t xml:space="preserve">major client organisations  </w:t>
      </w:r>
    </w:p>
    <w:p w14:paraId="34039EBC" w14:textId="77777777" w:rsidR="00FA0945" w:rsidRPr="00150391" w:rsidRDefault="53BF0693" w:rsidP="005379D4">
      <w:pPr>
        <w:pStyle w:val="Bullet1"/>
        <w:rPr>
          <w:rFonts w:ascii="Calibri" w:hAnsi="Calibri" w:cs="Calibri"/>
        </w:rPr>
      </w:pPr>
      <w:r w:rsidRPr="00150391">
        <w:rPr>
          <w:rFonts w:ascii="Calibri" w:hAnsi="Calibri" w:cs="Calibri"/>
        </w:rPr>
        <w:t>the libraries of tertiary institutions.</w:t>
      </w:r>
    </w:p>
    <w:p w14:paraId="09ED5164" w14:textId="77777777" w:rsidR="00FA0945" w:rsidRPr="00150391" w:rsidRDefault="53BF0693" w:rsidP="00CF6BE7">
      <w:pPr>
        <w:pStyle w:val="Heading2Numbered"/>
        <w:rPr>
          <w:rFonts w:ascii="Calibri" w:hAnsi="Calibri" w:cs="Calibri"/>
        </w:rPr>
      </w:pPr>
      <w:bookmarkStart w:id="343" w:name="_Toc63347681"/>
      <w:bookmarkStart w:id="344" w:name="_Toc114576268"/>
      <w:r w:rsidRPr="00150391">
        <w:rPr>
          <w:rFonts w:ascii="Calibri" w:hAnsi="Calibri" w:cs="Calibri"/>
        </w:rPr>
        <w:t>Classification</w:t>
      </w:r>
      <w:bookmarkEnd w:id="343"/>
      <w:bookmarkEnd w:id="344"/>
    </w:p>
    <w:p w14:paraId="70581A8E" w14:textId="4F8413DA" w:rsidR="00FA0945" w:rsidRPr="00150391" w:rsidRDefault="53BF0693" w:rsidP="000A7DEC">
      <w:pPr>
        <w:rPr>
          <w:rFonts w:cs="Calibri"/>
        </w:rPr>
      </w:pPr>
      <w:r w:rsidRPr="00150391">
        <w:rPr>
          <w:rFonts w:cs="Calibri"/>
        </w:rPr>
        <w:t xml:space="preserve">The PB Statements are classified as </w:t>
      </w:r>
      <w:r w:rsidRPr="00150391">
        <w:rPr>
          <w:rFonts w:cs="Calibri"/>
          <w:b/>
          <w:bCs/>
        </w:rPr>
        <w:t xml:space="preserve">Protected </w:t>
      </w:r>
      <w:r w:rsidRPr="00150391">
        <w:rPr>
          <w:rFonts w:cs="Calibri"/>
        </w:rPr>
        <w:t xml:space="preserve">and </w:t>
      </w:r>
      <w:r w:rsidRPr="00150391">
        <w:rPr>
          <w:rFonts w:cs="Calibri"/>
          <w:b/>
          <w:bCs/>
        </w:rPr>
        <w:t>under embargo</w:t>
      </w:r>
      <w:r w:rsidRPr="00150391">
        <w:rPr>
          <w:rFonts w:cs="Calibri"/>
        </w:rPr>
        <w:t xml:space="preserve"> until they are tabled in Parliament. Accordingly, packaging for the PB Statements should be labelled as follows:</w:t>
      </w:r>
    </w:p>
    <w:p w14:paraId="7EFFA062" w14:textId="3E794B13" w:rsidR="00ED3AC8" w:rsidRPr="00150391" w:rsidRDefault="53BF0693">
      <w:pPr>
        <w:pStyle w:val="Boxed2Text"/>
        <w:rPr>
          <w:rFonts w:cs="Calibri"/>
        </w:rPr>
      </w:pPr>
      <w:r w:rsidRPr="00150391">
        <w:rPr>
          <w:rFonts w:cs="Calibri"/>
        </w:rPr>
        <w:t xml:space="preserve">PB Statements are </w:t>
      </w:r>
      <w:r w:rsidRPr="00150391">
        <w:rPr>
          <w:rFonts w:cs="Calibri"/>
          <w:b/>
          <w:bCs/>
        </w:rPr>
        <w:t>Protected</w:t>
      </w:r>
      <w:r w:rsidRPr="00150391">
        <w:rPr>
          <w:rFonts w:cs="Calibri"/>
        </w:rPr>
        <w:t xml:space="preserve"> and </w:t>
      </w:r>
      <w:r w:rsidRPr="00150391">
        <w:rPr>
          <w:rFonts w:cs="Calibri"/>
          <w:b/>
          <w:bCs/>
        </w:rPr>
        <w:t>under embargo</w:t>
      </w:r>
      <w:r w:rsidRPr="00150391">
        <w:rPr>
          <w:rFonts w:cs="Calibri"/>
        </w:rPr>
        <w:t xml:space="preserve"> until they tabled in Parliament which is expected to occur after </w:t>
      </w:r>
      <w:r w:rsidRPr="00150391">
        <w:rPr>
          <w:rFonts w:cs="Calibri"/>
          <w:b/>
          <w:bCs/>
        </w:rPr>
        <w:t xml:space="preserve">20:15 pm Tuesday, </w:t>
      </w:r>
      <w:r w:rsidR="00D9046D" w:rsidRPr="00150391">
        <w:rPr>
          <w:rFonts w:cs="Calibri"/>
          <w:b/>
          <w:bCs/>
        </w:rPr>
        <w:t>2</w:t>
      </w:r>
      <w:r w:rsidR="00DA4A69" w:rsidRPr="00150391">
        <w:rPr>
          <w:rFonts w:cs="Calibri"/>
          <w:b/>
          <w:bCs/>
        </w:rPr>
        <w:t>5</w:t>
      </w:r>
      <w:r w:rsidR="0081792A" w:rsidRPr="00150391">
        <w:rPr>
          <w:rFonts w:cs="Calibri"/>
          <w:b/>
          <w:bCs/>
        </w:rPr>
        <w:t xml:space="preserve"> </w:t>
      </w:r>
      <w:r w:rsidR="00DA4A69" w:rsidRPr="00150391">
        <w:rPr>
          <w:rFonts w:cs="Calibri"/>
          <w:b/>
          <w:bCs/>
        </w:rPr>
        <w:t xml:space="preserve">October </w:t>
      </w:r>
      <w:r w:rsidR="0081792A" w:rsidRPr="00150391">
        <w:rPr>
          <w:rFonts w:cs="Calibri"/>
          <w:b/>
          <w:bCs/>
        </w:rPr>
        <w:t>2022</w:t>
      </w:r>
      <w:r w:rsidRPr="00150391">
        <w:rPr>
          <w:rFonts w:cs="Calibri"/>
        </w:rPr>
        <w:t xml:space="preserve">. </w:t>
      </w:r>
    </w:p>
    <w:p w14:paraId="613F559D" w14:textId="77777777" w:rsidR="00577EB6" w:rsidRPr="00150391" w:rsidRDefault="53BF0693" w:rsidP="00CF6BE7">
      <w:pPr>
        <w:pStyle w:val="Heading2Numbered"/>
        <w:rPr>
          <w:rFonts w:ascii="Calibri" w:hAnsi="Calibri" w:cs="Calibri"/>
        </w:rPr>
      </w:pPr>
      <w:bookmarkStart w:id="345" w:name="_Toc30405539"/>
      <w:bookmarkStart w:id="346" w:name="_Toc30581280"/>
      <w:bookmarkStart w:id="347" w:name="_Toc32829942"/>
      <w:bookmarkStart w:id="348" w:name="_Toc32917446"/>
      <w:bookmarkStart w:id="349" w:name="_Toc32918252"/>
      <w:bookmarkStart w:id="350" w:name="_Toc32999635"/>
      <w:bookmarkStart w:id="351" w:name="_Toc33099354"/>
      <w:bookmarkStart w:id="352" w:name="_Toc33195984"/>
      <w:bookmarkStart w:id="353" w:name="_Toc33196286"/>
      <w:bookmarkStart w:id="354" w:name="_Toc536108548"/>
      <w:bookmarkStart w:id="355" w:name="_Toc536802098"/>
      <w:bookmarkStart w:id="356" w:name="_Toc536108549"/>
      <w:bookmarkStart w:id="357" w:name="_Toc536802099"/>
      <w:bookmarkStart w:id="358" w:name="_Toc536108550"/>
      <w:bookmarkStart w:id="359" w:name="_Toc536802100"/>
      <w:bookmarkStart w:id="360" w:name="_Ref46311770"/>
      <w:bookmarkStart w:id="361" w:name="_Toc63347682"/>
      <w:bookmarkStart w:id="362" w:name="_Toc114576269"/>
      <w:bookmarkStart w:id="363" w:name="_Ref46251125"/>
      <w:bookmarkStart w:id="364" w:name="_Ref46251134"/>
      <w:bookmarkStart w:id="365" w:name="_Toc406683947"/>
      <w:bookmarkStart w:id="366" w:name="_Toc411852669"/>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150391">
        <w:rPr>
          <w:rFonts w:ascii="Calibri" w:hAnsi="Calibri" w:cs="Calibri"/>
        </w:rPr>
        <w:t>Obtaining templates and covers</w:t>
      </w:r>
      <w:bookmarkEnd w:id="360"/>
      <w:bookmarkEnd w:id="361"/>
      <w:bookmarkEnd w:id="362"/>
    </w:p>
    <w:p w14:paraId="55C457AD" w14:textId="77777777" w:rsidR="00B2380C" w:rsidRPr="00150391" w:rsidRDefault="53BF0693" w:rsidP="00CF6BE7">
      <w:pPr>
        <w:pStyle w:val="Heading3Numbered"/>
        <w:rPr>
          <w:rFonts w:ascii="Calibri" w:hAnsi="Calibri" w:cs="Calibri"/>
        </w:rPr>
      </w:pPr>
      <w:bookmarkStart w:id="367" w:name="_Toc63347683"/>
      <w:bookmarkStart w:id="368" w:name="_Toc114576270"/>
      <w:r w:rsidRPr="00150391">
        <w:rPr>
          <w:rFonts w:ascii="Calibri" w:hAnsi="Calibri" w:cs="Calibri"/>
        </w:rPr>
        <w:t>Obtaining Attachment B and C - Excel and Word templates</w:t>
      </w:r>
      <w:bookmarkEnd w:id="363"/>
      <w:bookmarkEnd w:id="364"/>
      <w:bookmarkEnd w:id="367"/>
      <w:bookmarkEnd w:id="368"/>
    </w:p>
    <w:p w14:paraId="68647A69" w14:textId="77777777" w:rsidR="00493ED2" w:rsidRPr="00150391" w:rsidRDefault="53BF0693" w:rsidP="00493ED2">
      <w:pPr>
        <w:rPr>
          <w:rFonts w:cs="Calibri"/>
        </w:rPr>
      </w:pPr>
      <w:r w:rsidRPr="00150391">
        <w:rPr>
          <w:rFonts w:cs="Calibri"/>
          <w:u w:val="single"/>
        </w:rPr>
        <w:t>Attachment B</w:t>
      </w:r>
      <w:r w:rsidRPr="00150391">
        <w:rPr>
          <w:rFonts w:cs="Calibri"/>
        </w:rPr>
        <w:t xml:space="preserve"> and </w:t>
      </w:r>
      <w:r w:rsidRPr="00150391">
        <w:rPr>
          <w:rFonts w:cs="Calibri"/>
          <w:u w:val="single"/>
        </w:rPr>
        <w:t>C</w:t>
      </w:r>
      <w:r w:rsidRPr="00150391">
        <w:rPr>
          <w:rFonts w:cs="Calibri"/>
        </w:rPr>
        <w:t xml:space="preserve"> are available through CBMS under:</w:t>
      </w:r>
    </w:p>
    <w:p w14:paraId="71B903EE" w14:textId="77777777" w:rsidR="00493ED2" w:rsidRPr="002B4935" w:rsidRDefault="00493ED2" w:rsidP="00A8355D">
      <w:pPr>
        <w:pStyle w:val="Reports1"/>
        <w:rPr>
          <w:rFonts w:cs="Calibri"/>
          <w:color w:val="auto"/>
        </w:rPr>
      </w:pPr>
      <w:r w:rsidRPr="002B4935">
        <w:rPr>
          <w:rFonts w:cs="Calibri"/>
          <w:color w:val="auto"/>
        </w:rPr>
        <w:t xml:space="preserve">User Reference Material </w:t>
      </w:r>
      <w:r w:rsidRPr="002B4935">
        <w:rPr>
          <w:rFonts w:cs="Calibri"/>
          <w:color w:val="auto"/>
        </w:rPr>
        <w:sym w:font="Wingdings" w:char="F0E0"/>
      </w:r>
      <w:r w:rsidRPr="002B4935">
        <w:rPr>
          <w:rFonts w:cs="Calibri"/>
          <w:color w:val="auto"/>
        </w:rPr>
        <w:t xml:space="preserve"> Estimates Memoranda</w:t>
      </w:r>
    </w:p>
    <w:p w14:paraId="3140B459" w14:textId="18FA8164" w:rsidR="00A85847" w:rsidRPr="00150391" w:rsidRDefault="00A85847" w:rsidP="00493ED2">
      <w:pPr>
        <w:rPr>
          <w:rFonts w:cs="Calibri"/>
        </w:rPr>
      </w:pPr>
      <w:r w:rsidRPr="00150391">
        <w:rPr>
          <w:rFonts w:cs="Calibri"/>
          <w:u w:val="single"/>
        </w:rPr>
        <w:t>Attachment D</w:t>
      </w:r>
      <w:r w:rsidRPr="00150391">
        <w:rPr>
          <w:rFonts w:cs="Calibri"/>
        </w:rPr>
        <w:t>, the checklist</w:t>
      </w:r>
      <w:r w:rsidR="00DC3961" w:rsidRPr="00150391">
        <w:rPr>
          <w:rFonts w:cs="Calibri"/>
        </w:rPr>
        <w:t>,</w:t>
      </w:r>
      <w:r w:rsidRPr="00150391">
        <w:rPr>
          <w:rFonts w:cs="Calibri"/>
        </w:rPr>
        <w:t xml:space="preserve"> is </w:t>
      </w:r>
      <w:r w:rsidR="00DE5324" w:rsidRPr="00150391">
        <w:rPr>
          <w:rFonts w:cs="Calibri"/>
        </w:rPr>
        <w:t xml:space="preserve">also </w:t>
      </w:r>
      <w:r w:rsidRPr="00150391">
        <w:rPr>
          <w:rFonts w:cs="Calibri"/>
        </w:rPr>
        <w:t xml:space="preserve">available </w:t>
      </w:r>
      <w:r w:rsidR="0077732B" w:rsidRPr="00150391">
        <w:rPr>
          <w:rFonts w:cs="Calibri"/>
        </w:rPr>
        <w:t>through CBMS</w:t>
      </w:r>
      <w:r w:rsidR="00805A99" w:rsidRPr="00150391">
        <w:rPr>
          <w:rFonts w:cs="Calibri"/>
        </w:rPr>
        <w:t xml:space="preserve"> </w:t>
      </w:r>
      <w:r w:rsidR="00DE5324" w:rsidRPr="00150391">
        <w:rPr>
          <w:rFonts w:cs="Calibri"/>
        </w:rPr>
        <w:t>at the same location</w:t>
      </w:r>
      <w:r w:rsidRPr="00150391">
        <w:rPr>
          <w:rFonts w:cs="Calibri"/>
        </w:rPr>
        <w:t>.</w:t>
      </w:r>
    </w:p>
    <w:p w14:paraId="50E40706" w14:textId="04EDE537" w:rsidR="00811FCA" w:rsidRPr="00150391" w:rsidRDefault="53BF0693" w:rsidP="00A8355D">
      <w:pPr>
        <w:rPr>
          <w:rFonts w:eastAsiaTheme="majorEastAsia" w:cs="Calibri"/>
          <w:bCs/>
          <w:color w:val="1C1C1C" w:themeColor="text2"/>
          <w:sz w:val="34"/>
          <w:szCs w:val="26"/>
        </w:rPr>
      </w:pPr>
      <w:r w:rsidRPr="00150391">
        <w:rPr>
          <w:rFonts w:cs="Calibri"/>
        </w:rPr>
        <w:t>Please refer to the correct EM reference number to ensure you obtain the correct templates.</w:t>
      </w:r>
    </w:p>
    <w:p w14:paraId="56EE5F06" w14:textId="7ECF8DC3" w:rsidR="00B109CF" w:rsidRPr="00150391" w:rsidRDefault="53BF0693" w:rsidP="00CF6BE7">
      <w:pPr>
        <w:pStyle w:val="Heading3Numbered"/>
        <w:rPr>
          <w:rFonts w:ascii="Calibri" w:hAnsi="Calibri" w:cs="Calibri"/>
        </w:rPr>
      </w:pPr>
      <w:bookmarkStart w:id="369" w:name="_Ref46251196"/>
      <w:bookmarkStart w:id="370" w:name="_Ref46251205"/>
      <w:bookmarkStart w:id="371" w:name="_Toc63347684"/>
      <w:bookmarkStart w:id="372" w:name="_Toc114576271"/>
      <w:r w:rsidRPr="00150391">
        <w:rPr>
          <w:rFonts w:ascii="Calibri" w:hAnsi="Calibri" w:cs="Calibri"/>
        </w:rPr>
        <w:t xml:space="preserve">Obtaining Attachment </w:t>
      </w:r>
      <w:r w:rsidR="00A85847" w:rsidRPr="00150391">
        <w:rPr>
          <w:rFonts w:ascii="Calibri" w:hAnsi="Calibri" w:cs="Calibri"/>
        </w:rPr>
        <w:t xml:space="preserve">E </w:t>
      </w:r>
      <w:r w:rsidRPr="00150391">
        <w:rPr>
          <w:rFonts w:ascii="Calibri" w:hAnsi="Calibri" w:cs="Calibri"/>
        </w:rPr>
        <w:t xml:space="preserve">- Covers for the </w:t>
      </w:r>
      <w:r w:rsidR="009317A9" w:rsidRPr="00150391">
        <w:rPr>
          <w:rFonts w:ascii="Calibri" w:hAnsi="Calibri" w:cs="Calibri"/>
        </w:rPr>
        <w:t xml:space="preserve">October </w:t>
      </w:r>
      <w:r w:rsidR="00197D38" w:rsidRPr="00150391">
        <w:rPr>
          <w:rFonts w:ascii="Calibri" w:hAnsi="Calibri" w:cs="Calibri"/>
        </w:rPr>
        <w:t>2022</w:t>
      </w:r>
      <w:r w:rsidRPr="00150391">
        <w:rPr>
          <w:rFonts w:ascii="Calibri" w:hAnsi="Calibri" w:cs="Calibri"/>
        </w:rPr>
        <w:t>-</w:t>
      </w:r>
      <w:r w:rsidR="00197D38" w:rsidRPr="00150391">
        <w:rPr>
          <w:rFonts w:ascii="Calibri" w:hAnsi="Calibri" w:cs="Calibri"/>
        </w:rPr>
        <w:t xml:space="preserve">23 </w:t>
      </w:r>
      <w:r w:rsidRPr="00150391">
        <w:rPr>
          <w:rFonts w:ascii="Calibri" w:hAnsi="Calibri" w:cs="Calibri"/>
        </w:rPr>
        <w:t>PB Statements</w:t>
      </w:r>
      <w:bookmarkEnd w:id="369"/>
      <w:bookmarkEnd w:id="370"/>
      <w:bookmarkEnd w:id="371"/>
      <w:bookmarkEnd w:id="372"/>
    </w:p>
    <w:p w14:paraId="11C04DF6" w14:textId="4FE45CA2" w:rsidR="00B109CF" w:rsidRPr="00150391" w:rsidRDefault="53BF0693" w:rsidP="00B109CF">
      <w:pPr>
        <w:rPr>
          <w:rFonts w:cs="Calibri"/>
        </w:rPr>
      </w:pPr>
      <w:r w:rsidRPr="00150391">
        <w:rPr>
          <w:rFonts w:cs="Calibri"/>
          <w:u w:val="single"/>
        </w:rPr>
        <w:t xml:space="preserve">Attachment </w:t>
      </w:r>
      <w:r w:rsidR="00A85847" w:rsidRPr="00150391">
        <w:rPr>
          <w:rFonts w:cs="Calibri"/>
          <w:u w:val="single"/>
        </w:rPr>
        <w:t>E</w:t>
      </w:r>
      <w:r w:rsidR="00A85847" w:rsidRPr="00150391">
        <w:rPr>
          <w:rFonts w:cs="Calibri"/>
          <w:i/>
          <w:iCs/>
        </w:rPr>
        <w:t xml:space="preserve"> </w:t>
      </w:r>
      <w:r w:rsidRPr="00150391">
        <w:rPr>
          <w:rFonts w:cs="Calibri"/>
          <w:i/>
          <w:iCs/>
        </w:rPr>
        <w:t xml:space="preserve">- Cover for the </w:t>
      </w:r>
      <w:r w:rsidR="009317A9" w:rsidRPr="00150391">
        <w:rPr>
          <w:rFonts w:cs="Calibri"/>
          <w:i/>
          <w:iCs/>
        </w:rPr>
        <w:t xml:space="preserve">October </w:t>
      </w:r>
      <w:r w:rsidR="00197D38" w:rsidRPr="00150391">
        <w:rPr>
          <w:rFonts w:cs="Calibri"/>
          <w:i/>
          <w:iCs/>
        </w:rPr>
        <w:t>2022</w:t>
      </w:r>
      <w:r w:rsidRPr="00150391">
        <w:rPr>
          <w:rFonts w:cs="Calibri"/>
          <w:i/>
          <w:iCs/>
        </w:rPr>
        <w:t>-</w:t>
      </w:r>
      <w:r w:rsidR="00197D38" w:rsidRPr="00150391">
        <w:rPr>
          <w:rFonts w:cs="Calibri"/>
          <w:i/>
          <w:iCs/>
        </w:rPr>
        <w:t xml:space="preserve">23 </w:t>
      </w:r>
      <w:r w:rsidRPr="00150391">
        <w:rPr>
          <w:rFonts w:cs="Calibri"/>
          <w:i/>
          <w:iCs/>
        </w:rPr>
        <w:t>PB Statements</w:t>
      </w:r>
      <w:r w:rsidRPr="00150391">
        <w:rPr>
          <w:rFonts w:cs="Calibri"/>
        </w:rPr>
        <w:t xml:space="preserve"> are not available through CBMS.</w:t>
      </w:r>
    </w:p>
    <w:p w14:paraId="197B959C" w14:textId="77777777" w:rsidR="00687CF7" w:rsidRPr="00150391" w:rsidRDefault="53BF0693" w:rsidP="00687CF7">
      <w:pPr>
        <w:rPr>
          <w:rFonts w:cs="Calibri"/>
        </w:rPr>
      </w:pPr>
      <w:r w:rsidRPr="00150391">
        <w:rPr>
          <w:rFonts w:cs="Calibri"/>
        </w:rPr>
        <w:t xml:space="preserve">Finance will email </w:t>
      </w:r>
      <w:r w:rsidR="00396887" w:rsidRPr="00150391">
        <w:rPr>
          <w:rFonts w:cs="Calibri"/>
        </w:rPr>
        <w:t>portfolio</w:t>
      </w:r>
      <w:r w:rsidRPr="00150391">
        <w:rPr>
          <w:rFonts w:cs="Calibri"/>
        </w:rPr>
        <w:t xml:space="preserve"> contacts a copy of the covers to </w:t>
      </w:r>
      <w:r w:rsidR="00ED0664" w:rsidRPr="00150391">
        <w:rPr>
          <w:rFonts w:cs="Calibri"/>
        </w:rPr>
        <w:t xml:space="preserve">enable </w:t>
      </w:r>
      <w:r w:rsidRPr="00150391">
        <w:rPr>
          <w:rFonts w:cs="Calibri"/>
        </w:rPr>
        <w:t xml:space="preserve">their PB Statements </w:t>
      </w:r>
      <w:r w:rsidR="00ED0664" w:rsidRPr="00150391">
        <w:rPr>
          <w:rFonts w:cs="Calibri"/>
        </w:rPr>
        <w:t xml:space="preserve">to be published </w:t>
      </w:r>
      <w:r w:rsidRPr="00150391">
        <w:rPr>
          <w:rFonts w:cs="Calibri"/>
        </w:rPr>
        <w:t xml:space="preserve">with an official cover approved by Treasury’s </w:t>
      </w:r>
      <w:r w:rsidR="00622136" w:rsidRPr="00150391">
        <w:rPr>
          <w:rFonts w:cs="Calibri"/>
        </w:rPr>
        <w:t>P</w:t>
      </w:r>
      <w:r w:rsidRPr="00150391">
        <w:rPr>
          <w:rFonts w:cs="Calibri"/>
        </w:rPr>
        <w:t xml:space="preserve">ublishing </w:t>
      </w:r>
      <w:r w:rsidR="00622136" w:rsidRPr="00150391">
        <w:rPr>
          <w:rFonts w:cs="Calibri"/>
        </w:rPr>
        <w:t>T</w:t>
      </w:r>
      <w:r w:rsidRPr="00150391">
        <w:rPr>
          <w:rFonts w:cs="Calibri"/>
        </w:rPr>
        <w:t>eam.</w:t>
      </w:r>
    </w:p>
    <w:p w14:paraId="352740D6" w14:textId="343D2277" w:rsidR="00687CF7" w:rsidRPr="00150391" w:rsidRDefault="00ED0664" w:rsidP="00B109CF">
      <w:pPr>
        <w:rPr>
          <w:rFonts w:cs="Calibri"/>
        </w:rPr>
      </w:pPr>
      <w:r w:rsidRPr="00150391">
        <w:rPr>
          <w:rFonts w:cs="Calibri"/>
        </w:rPr>
        <w:t xml:space="preserve">If a copy of the covers </w:t>
      </w:r>
      <w:r w:rsidR="002F2AAB" w:rsidRPr="00150391">
        <w:rPr>
          <w:rFonts w:cs="Calibri"/>
        </w:rPr>
        <w:t xml:space="preserve">has not been received </w:t>
      </w:r>
      <w:r w:rsidRPr="00150391">
        <w:rPr>
          <w:rFonts w:cs="Calibri"/>
        </w:rPr>
        <w:t>after th</w:t>
      </w:r>
      <w:r w:rsidR="002F2AAB" w:rsidRPr="00150391">
        <w:rPr>
          <w:rFonts w:cs="Calibri"/>
        </w:rPr>
        <w:t>is</w:t>
      </w:r>
      <w:r w:rsidRPr="00150391">
        <w:rPr>
          <w:rFonts w:cs="Calibri"/>
        </w:rPr>
        <w:t xml:space="preserve"> guide has been issued, </w:t>
      </w:r>
      <w:r w:rsidR="53BF0693" w:rsidRPr="00150391">
        <w:rPr>
          <w:rFonts w:cs="Calibri"/>
          <w:bCs/>
        </w:rPr>
        <w:t xml:space="preserve">please email </w:t>
      </w:r>
      <w:hyperlink r:id="rId34">
        <w:r w:rsidR="53BF0693" w:rsidRPr="002B4935">
          <w:rPr>
            <w:rStyle w:val="Hyperlink"/>
            <w:rFonts w:ascii="Calibri" w:hAnsi="Calibri" w:cs="Calibri"/>
            <w:color w:val="0070C0"/>
          </w:rPr>
          <w:t>budget_framework@finance.gov.au</w:t>
        </w:r>
      </w:hyperlink>
      <w:r w:rsidRPr="00150391">
        <w:rPr>
          <w:rFonts w:cs="Calibri"/>
        </w:rPr>
        <w:t xml:space="preserve"> to request a copy of the covers.</w:t>
      </w:r>
    </w:p>
    <w:p w14:paraId="3DEF304D" w14:textId="77777777" w:rsidR="00FA0945" w:rsidRPr="00150391" w:rsidRDefault="53BF0693" w:rsidP="00CF6BE7">
      <w:pPr>
        <w:pStyle w:val="Heading2Numbered"/>
        <w:rPr>
          <w:rFonts w:ascii="Calibri" w:hAnsi="Calibri" w:cs="Calibri"/>
        </w:rPr>
      </w:pPr>
      <w:bookmarkStart w:id="373" w:name="_Toc114576272"/>
      <w:bookmarkStart w:id="374" w:name="_Ref46933923"/>
      <w:bookmarkStart w:id="375" w:name="_Ref46933928"/>
      <w:bookmarkStart w:id="376" w:name="_Toc63347685"/>
      <w:r w:rsidRPr="00150391">
        <w:rPr>
          <w:rFonts w:ascii="Calibri" w:hAnsi="Calibri" w:cs="Calibri"/>
        </w:rPr>
        <w:t>Delivery to Parliament House and Finance</w:t>
      </w:r>
      <w:bookmarkEnd w:id="373"/>
      <w:r w:rsidRPr="00150391">
        <w:rPr>
          <w:rFonts w:ascii="Calibri" w:hAnsi="Calibri" w:cs="Calibri"/>
        </w:rPr>
        <w:t xml:space="preserve"> </w:t>
      </w:r>
      <w:bookmarkEnd w:id="365"/>
      <w:bookmarkEnd w:id="366"/>
      <w:bookmarkEnd w:id="374"/>
      <w:bookmarkEnd w:id="375"/>
      <w:bookmarkEnd w:id="376"/>
    </w:p>
    <w:p w14:paraId="1C1CDCA8" w14:textId="77777777" w:rsidR="00FA0945" w:rsidRPr="00150391" w:rsidRDefault="6B6EE5C4" w:rsidP="000A7DEC">
      <w:pPr>
        <w:rPr>
          <w:rFonts w:cs="Calibri"/>
        </w:rPr>
      </w:pPr>
      <w:r w:rsidRPr="00150391">
        <w:rPr>
          <w:rFonts w:cs="Calibri"/>
        </w:rPr>
        <w:t>All PB Statement deliveries to Parliament House (whether using CanPrint, another printer or by portfolio staff) should occur through the Parliament House loading dock (access via Brisbane Avenue).</w:t>
      </w:r>
    </w:p>
    <w:p w14:paraId="1A49D4FA" w14:textId="4B276A68" w:rsidR="00FA0945" w:rsidRPr="00150391" w:rsidRDefault="00A73855" w:rsidP="0062612F">
      <w:pPr>
        <w:pStyle w:val="Bullet1"/>
        <w:rPr>
          <w:rFonts w:ascii="Calibri" w:hAnsi="Calibri" w:cs="Calibri"/>
        </w:rPr>
      </w:pPr>
      <w:r w:rsidRPr="00150391">
        <w:rPr>
          <w:rFonts w:ascii="Calibri" w:hAnsi="Calibri" w:cs="Calibri"/>
        </w:rPr>
        <w:t>F</w:t>
      </w:r>
      <w:r w:rsidR="6B6EE5C4" w:rsidRPr="00150391">
        <w:rPr>
          <w:rFonts w:ascii="Calibri" w:hAnsi="Calibri" w:cs="Calibri"/>
        </w:rPr>
        <w:t xml:space="preserve">or those portfolios delivering their own PB Statements or using a printer other than CanPrint, please contact the </w:t>
      </w:r>
      <w:r w:rsidR="0062612F" w:rsidRPr="00150391">
        <w:rPr>
          <w:rFonts w:ascii="Calibri" w:hAnsi="Calibri" w:cs="Calibri"/>
        </w:rPr>
        <w:t xml:space="preserve">Accounting Framework and Capability Support </w:t>
      </w:r>
      <w:r w:rsidR="6B6EE5C4" w:rsidRPr="00150391">
        <w:rPr>
          <w:rFonts w:ascii="Calibri" w:hAnsi="Calibri" w:cs="Calibri"/>
        </w:rPr>
        <w:t xml:space="preserve">Team in Finance by </w:t>
      </w:r>
      <w:r w:rsidR="002642CF" w:rsidRPr="00150391">
        <w:rPr>
          <w:rFonts w:ascii="Calibri" w:hAnsi="Calibri" w:cs="Calibri"/>
          <w:b/>
          <w:bCs/>
        </w:rPr>
        <w:t>Friday</w:t>
      </w:r>
      <w:r w:rsidR="6B6EE5C4" w:rsidRPr="00150391">
        <w:rPr>
          <w:rFonts w:ascii="Calibri" w:hAnsi="Calibri" w:cs="Calibri"/>
          <w:b/>
          <w:bCs/>
        </w:rPr>
        <w:t xml:space="preserve">, </w:t>
      </w:r>
      <w:r w:rsidR="00F35BAB" w:rsidRPr="00150391">
        <w:rPr>
          <w:rFonts w:ascii="Calibri" w:hAnsi="Calibri" w:cs="Calibri"/>
          <w:b/>
          <w:bCs/>
        </w:rPr>
        <w:t>2</w:t>
      </w:r>
      <w:r w:rsidR="002642CF" w:rsidRPr="00150391">
        <w:rPr>
          <w:rFonts w:ascii="Calibri" w:hAnsi="Calibri" w:cs="Calibri"/>
          <w:b/>
          <w:bCs/>
        </w:rPr>
        <w:t>1</w:t>
      </w:r>
      <w:r w:rsidR="6B6EE5C4" w:rsidRPr="00150391">
        <w:rPr>
          <w:rFonts w:ascii="Calibri" w:hAnsi="Calibri" w:cs="Calibri"/>
          <w:b/>
          <w:bCs/>
        </w:rPr>
        <w:t xml:space="preserve"> </w:t>
      </w:r>
      <w:r w:rsidR="00DA4A69" w:rsidRPr="00150391">
        <w:rPr>
          <w:rFonts w:ascii="Calibri" w:hAnsi="Calibri" w:cs="Calibri"/>
          <w:b/>
          <w:bCs/>
        </w:rPr>
        <w:t xml:space="preserve">October </w:t>
      </w:r>
      <w:r w:rsidR="6B6EE5C4" w:rsidRPr="00150391">
        <w:rPr>
          <w:rFonts w:ascii="Calibri" w:hAnsi="Calibri" w:cs="Calibri"/>
          <w:b/>
          <w:bCs/>
        </w:rPr>
        <w:t>202</w:t>
      </w:r>
      <w:r w:rsidR="00197D38" w:rsidRPr="00150391">
        <w:rPr>
          <w:rFonts w:ascii="Calibri" w:hAnsi="Calibri" w:cs="Calibri"/>
          <w:b/>
          <w:bCs/>
        </w:rPr>
        <w:t>2</w:t>
      </w:r>
      <w:r w:rsidR="6B6EE5C4" w:rsidRPr="00150391">
        <w:rPr>
          <w:rFonts w:ascii="Calibri" w:hAnsi="Calibri" w:cs="Calibri"/>
        </w:rPr>
        <w:t xml:space="preserve"> </w:t>
      </w:r>
      <w:hyperlink r:id="rId35">
        <w:r w:rsidR="6B6EE5C4" w:rsidRPr="002B4935">
          <w:rPr>
            <w:rStyle w:val="Hyperlink"/>
            <w:rFonts w:ascii="Calibri" w:hAnsi="Calibri" w:cs="Calibri"/>
            <w:color w:val="0070C0"/>
          </w:rPr>
          <w:t>budget_framework@finance.gov.au</w:t>
        </w:r>
      </w:hyperlink>
      <w:r w:rsidR="6B6EE5C4" w:rsidRPr="00150391">
        <w:rPr>
          <w:rFonts w:ascii="Calibri" w:hAnsi="Calibri" w:cs="Calibri"/>
        </w:rPr>
        <w:t xml:space="preserve"> for delivery procedures</w:t>
      </w:r>
      <w:r w:rsidRPr="00150391">
        <w:rPr>
          <w:rFonts w:ascii="Calibri" w:hAnsi="Calibri" w:cs="Calibri"/>
        </w:rPr>
        <w:t>.</w:t>
      </w:r>
    </w:p>
    <w:p w14:paraId="41D4D697" w14:textId="1CD0CA8E" w:rsidR="00CC0EF1" w:rsidRPr="00150391" w:rsidRDefault="00A73855" w:rsidP="005379D4">
      <w:pPr>
        <w:pStyle w:val="Bullet1"/>
        <w:rPr>
          <w:rFonts w:ascii="Calibri" w:hAnsi="Calibri" w:cs="Calibri"/>
        </w:rPr>
      </w:pPr>
      <w:r w:rsidRPr="00150391">
        <w:rPr>
          <w:rFonts w:ascii="Calibri" w:hAnsi="Calibri" w:cs="Calibri"/>
        </w:rPr>
        <w:t>S</w:t>
      </w:r>
      <w:r w:rsidR="53BF0693" w:rsidRPr="00150391">
        <w:rPr>
          <w:rFonts w:ascii="Calibri" w:hAnsi="Calibri" w:cs="Calibri"/>
        </w:rPr>
        <w:t>hould you have any questions or difficulties with these arrangements, please contact the Documents Officer, Senate Table Office on (02) 6277 3037.</w:t>
      </w:r>
      <w:r w:rsidR="005326B3" w:rsidRPr="00150391">
        <w:rPr>
          <w:rFonts w:ascii="Calibri" w:hAnsi="Calibri" w:cs="Calibri"/>
        </w:rPr>
        <w:br w:type="page"/>
      </w:r>
    </w:p>
    <w:p w14:paraId="1D39310E" w14:textId="77777777" w:rsidR="00EA1831" w:rsidRPr="00150391" w:rsidRDefault="53BF0693" w:rsidP="00CF6BE7">
      <w:pPr>
        <w:pStyle w:val="Heading2Numbered"/>
        <w:rPr>
          <w:rFonts w:ascii="Calibri" w:hAnsi="Calibri" w:cs="Calibri"/>
        </w:rPr>
      </w:pPr>
      <w:bookmarkStart w:id="377" w:name="_Ref63325964"/>
      <w:bookmarkStart w:id="378" w:name="_Ref63325980"/>
      <w:bookmarkStart w:id="379" w:name="_Ref63325985"/>
      <w:bookmarkStart w:id="380" w:name="_Toc63347686"/>
      <w:bookmarkStart w:id="381" w:name="_Toc114576273"/>
      <w:r w:rsidRPr="00150391">
        <w:rPr>
          <w:rFonts w:ascii="Calibri" w:hAnsi="Calibri" w:cs="Calibri"/>
        </w:rPr>
        <w:t>Number of books</w:t>
      </w:r>
      <w:bookmarkEnd w:id="377"/>
      <w:bookmarkEnd w:id="378"/>
      <w:bookmarkEnd w:id="379"/>
      <w:bookmarkEnd w:id="380"/>
      <w:bookmarkEnd w:id="381"/>
    </w:p>
    <w:tbl>
      <w:tblPr>
        <w:tblW w:w="9918"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508"/>
        <w:gridCol w:w="2410"/>
      </w:tblGrid>
      <w:tr w:rsidR="003E3E2E" w:rsidRPr="00150391" w14:paraId="53358156" w14:textId="77777777" w:rsidTr="00A8355D">
        <w:tc>
          <w:tcPr>
            <w:tcW w:w="9918" w:type="dxa"/>
            <w:gridSpan w:val="2"/>
            <w:shd w:val="clear" w:color="auto" w:fill="DDF3FA"/>
          </w:tcPr>
          <w:p w14:paraId="5EE47265" w14:textId="061C149B" w:rsidR="007226E8" w:rsidRPr="00150391" w:rsidRDefault="53BF0693">
            <w:pPr>
              <w:pStyle w:val="TableText-Normal"/>
              <w:rPr>
                <w:rFonts w:cs="Calibri"/>
                <w:b/>
                <w:bCs/>
              </w:rPr>
            </w:pPr>
            <w:r w:rsidRPr="00150391">
              <w:rPr>
                <w:rFonts w:cs="Calibri"/>
                <w:b/>
                <w:bCs/>
              </w:rPr>
              <w:t xml:space="preserve">For delivery by 4:30 pm Monday </w:t>
            </w:r>
            <w:r w:rsidR="00F35BAB" w:rsidRPr="00150391">
              <w:rPr>
                <w:rFonts w:cs="Calibri"/>
                <w:b/>
                <w:bCs/>
              </w:rPr>
              <w:t>2</w:t>
            </w:r>
            <w:r w:rsidR="00DA4A69" w:rsidRPr="00150391">
              <w:rPr>
                <w:rFonts w:cs="Calibri"/>
                <w:b/>
                <w:bCs/>
              </w:rPr>
              <w:t>4</w:t>
            </w:r>
            <w:r w:rsidRPr="00150391">
              <w:rPr>
                <w:rFonts w:cs="Calibri"/>
                <w:b/>
                <w:bCs/>
              </w:rPr>
              <w:t xml:space="preserve"> </w:t>
            </w:r>
            <w:r w:rsidR="00DA4A69" w:rsidRPr="00150391">
              <w:rPr>
                <w:rFonts w:cs="Calibri"/>
                <w:b/>
                <w:bCs/>
              </w:rPr>
              <w:t xml:space="preserve">October </w:t>
            </w:r>
            <w:r w:rsidR="00197D38" w:rsidRPr="00150391">
              <w:rPr>
                <w:rFonts w:cs="Calibri"/>
                <w:b/>
                <w:bCs/>
              </w:rPr>
              <w:t xml:space="preserve">2022 </w:t>
            </w:r>
            <w:r w:rsidRPr="00150391">
              <w:rPr>
                <w:rFonts w:cs="Calibri"/>
                <w:b/>
                <w:bCs/>
              </w:rPr>
              <w:t xml:space="preserve">(minimum </w:t>
            </w:r>
            <w:r w:rsidR="001F7463" w:rsidRPr="00150391">
              <w:rPr>
                <w:rFonts w:cs="Calibri"/>
                <w:b/>
                <w:bCs/>
              </w:rPr>
              <w:t>11</w:t>
            </w:r>
            <w:r w:rsidR="00C3437B" w:rsidRPr="00150391">
              <w:rPr>
                <w:rFonts w:cs="Calibri"/>
                <w:b/>
                <w:bCs/>
              </w:rPr>
              <w:t>8</w:t>
            </w:r>
            <w:r w:rsidRPr="00150391">
              <w:rPr>
                <w:rFonts w:cs="Calibri"/>
                <w:b/>
                <w:bCs/>
              </w:rPr>
              <w:t xml:space="preserve"> copies)</w:t>
            </w:r>
          </w:p>
          <w:p w14:paraId="7D056661" w14:textId="6A801732" w:rsidR="003E3E2E" w:rsidRPr="00150391" w:rsidRDefault="53BF0693" w:rsidP="00FE100A">
            <w:pPr>
              <w:pStyle w:val="TableText-Normal"/>
              <w:rPr>
                <w:rFonts w:cs="Calibri"/>
              </w:rPr>
            </w:pPr>
            <w:r w:rsidRPr="00150391">
              <w:rPr>
                <w:rFonts w:cs="Calibri"/>
                <w:b/>
                <w:bCs/>
              </w:rPr>
              <w:t>Treasury will provide separate advice</w:t>
            </w:r>
            <w:r w:rsidRPr="00150391">
              <w:rPr>
                <w:rFonts w:cs="Calibri"/>
              </w:rPr>
              <w:t xml:space="preserve"> to </w:t>
            </w:r>
            <w:r w:rsidR="00396887" w:rsidRPr="00150391">
              <w:rPr>
                <w:rFonts w:cs="Calibri"/>
              </w:rPr>
              <w:t>portfolio department</w:t>
            </w:r>
            <w:r w:rsidRPr="00150391">
              <w:rPr>
                <w:rFonts w:cs="Calibri"/>
              </w:rPr>
              <w:t>s concerning the delivery arrangements (including the number of books required) for the Treasury</w:t>
            </w:r>
            <w:r w:rsidRPr="00150391">
              <w:rPr>
                <w:rFonts w:cs="Calibri"/>
                <w:b/>
                <w:bCs/>
              </w:rPr>
              <w:t xml:space="preserve"> media</w:t>
            </w:r>
            <w:r w:rsidRPr="00150391">
              <w:rPr>
                <w:rFonts w:cs="Calibri"/>
              </w:rPr>
              <w:t xml:space="preserve"> and </w:t>
            </w:r>
            <w:r w:rsidRPr="00150391">
              <w:rPr>
                <w:rFonts w:cs="Calibri"/>
                <w:b/>
                <w:bCs/>
              </w:rPr>
              <w:t>stakeholder</w:t>
            </w:r>
            <w:r w:rsidRPr="00150391">
              <w:rPr>
                <w:rFonts w:cs="Calibri"/>
              </w:rPr>
              <w:t xml:space="preserve"> lockups as soon as the </w:t>
            </w:r>
            <w:r w:rsidR="009317A9" w:rsidRPr="00150391">
              <w:rPr>
                <w:rFonts w:cs="Calibri"/>
              </w:rPr>
              <w:t xml:space="preserve">October </w:t>
            </w:r>
            <w:r w:rsidR="00197D38" w:rsidRPr="00150391">
              <w:rPr>
                <w:rFonts w:cs="Calibri"/>
              </w:rPr>
              <w:t>2022</w:t>
            </w:r>
            <w:r w:rsidRPr="00150391">
              <w:rPr>
                <w:rFonts w:cs="Calibri"/>
              </w:rPr>
              <w:t>-</w:t>
            </w:r>
            <w:r w:rsidR="00197D38" w:rsidRPr="00150391">
              <w:rPr>
                <w:rFonts w:cs="Calibri"/>
              </w:rPr>
              <w:t xml:space="preserve">23 </w:t>
            </w:r>
            <w:r w:rsidRPr="00150391">
              <w:rPr>
                <w:rFonts w:cs="Calibri"/>
              </w:rPr>
              <w:t>Budget arrangements are finalised.</w:t>
            </w:r>
          </w:p>
        </w:tc>
      </w:tr>
      <w:tr w:rsidR="003E3E2E" w:rsidRPr="00150391" w14:paraId="038143D5" w14:textId="77777777" w:rsidTr="00A8355D">
        <w:tc>
          <w:tcPr>
            <w:tcW w:w="7508" w:type="dxa"/>
          </w:tcPr>
          <w:p w14:paraId="46AFA1E0" w14:textId="77777777" w:rsidR="003E3E2E" w:rsidRPr="00150391" w:rsidRDefault="53BF0693">
            <w:pPr>
              <w:pStyle w:val="TableText-Normal"/>
              <w:rPr>
                <w:rFonts w:cs="Calibri"/>
              </w:rPr>
            </w:pPr>
            <w:r w:rsidRPr="00150391">
              <w:rPr>
                <w:rFonts w:cs="Calibri"/>
              </w:rPr>
              <w:t>Parliament House:</w:t>
            </w:r>
          </w:p>
          <w:p w14:paraId="5AE1DBD9" w14:textId="77777777" w:rsidR="003E3E2E" w:rsidRPr="00150391" w:rsidRDefault="003E3E2E" w:rsidP="00580008">
            <w:pPr>
              <w:pStyle w:val="TableText-Normal"/>
              <w:tabs>
                <w:tab w:val="left" w:pos="709"/>
              </w:tabs>
              <w:spacing w:line="240" w:lineRule="auto"/>
              <w:ind w:left="851"/>
              <w:contextualSpacing/>
              <w:rPr>
                <w:rFonts w:cs="Calibri"/>
              </w:rPr>
            </w:pPr>
            <w:r w:rsidRPr="00150391">
              <w:rPr>
                <w:rFonts w:cs="Calibri"/>
              </w:rPr>
              <w:t>Documents Officer – Senate Table Office, Room SG 25</w:t>
            </w:r>
            <w:r w:rsidRPr="00150391">
              <w:rPr>
                <w:rFonts w:cs="Calibri"/>
              </w:rPr>
              <w:br/>
              <w:t>Department of the Senate</w:t>
            </w:r>
            <w:r w:rsidRPr="00150391">
              <w:rPr>
                <w:rFonts w:cs="Calibri"/>
              </w:rPr>
              <w:br/>
              <w:t>Parliament House</w:t>
            </w:r>
            <w:r w:rsidRPr="00150391">
              <w:rPr>
                <w:rFonts w:cs="Calibri"/>
              </w:rPr>
              <w:br/>
              <w:t>CANBERRA ACT 2600</w:t>
            </w:r>
            <w:r w:rsidRPr="00150391">
              <w:rPr>
                <w:rFonts w:cs="Calibri"/>
              </w:rPr>
              <w:br/>
            </w:r>
            <w:r w:rsidR="00BA0046" w:rsidRPr="00150391">
              <w:rPr>
                <w:rFonts w:cs="Calibri"/>
              </w:rPr>
              <w:t>p</w:t>
            </w:r>
            <w:r w:rsidRPr="00150391">
              <w:rPr>
                <w:rFonts w:cs="Calibri"/>
              </w:rPr>
              <w:t>h: (02) 6277 3037</w:t>
            </w:r>
          </w:p>
          <w:p w14:paraId="25BC0CFE" w14:textId="77777777" w:rsidR="00C66263" w:rsidRPr="00150391" w:rsidRDefault="00C66263">
            <w:pPr>
              <w:pStyle w:val="TableText-Normal"/>
              <w:rPr>
                <w:rFonts w:cs="Calibri"/>
              </w:rPr>
            </w:pPr>
            <w:r w:rsidRPr="00150391">
              <w:rPr>
                <w:rFonts w:cs="Calibri"/>
              </w:rPr>
              <w:t xml:space="preserve">The books </w:t>
            </w:r>
            <w:r w:rsidRPr="00150391">
              <w:rPr>
                <w:rFonts w:cs="Calibri"/>
                <w:u w:val="single"/>
              </w:rPr>
              <w:t>must</w:t>
            </w:r>
            <w:r w:rsidRPr="00150391">
              <w:rPr>
                <w:rFonts w:cs="Calibri"/>
              </w:rPr>
              <w:t xml:space="preserve"> be separately boxed as follows:</w:t>
            </w:r>
          </w:p>
          <w:p w14:paraId="3A4B3B19" w14:textId="77777777" w:rsidR="00C66263" w:rsidRPr="00150391" w:rsidRDefault="00B83588" w:rsidP="00580008">
            <w:pPr>
              <w:pStyle w:val="Bullet2"/>
              <w:ind w:right="96"/>
              <w:contextualSpacing/>
              <w:rPr>
                <w:rFonts w:cs="Calibri"/>
              </w:rPr>
            </w:pPr>
            <w:r w:rsidRPr="00150391">
              <w:rPr>
                <w:rFonts w:cs="Calibri"/>
              </w:rPr>
              <w:t>50 copies – Senate</w:t>
            </w:r>
          </w:p>
          <w:p w14:paraId="73270B37" w14:textId="77777777" w:rsidR="00C66263" w:rsidRPr="00150391" w:rsidRDefault="00C66263" w:rsidP="00580008">
            <w:pPr>
              <w:pStyle w:val="Bullet2"/>
              <w:ind w:right="96"/>
              <w:contextualSpacing/>
              <w:rPr>
                <w:rFonts w:cs="Calibri"/>
              </w:rPr>
            </w:pPr>
            <w:r w:rsidRPr="00150391">
              <w:rPr>
                <w:rFonts w:cs="Calibri"/>
              </w:rPr>
              <w:t>15 co</w:t>
            </w:r>
            <w:r w:rsidR="00B83588" w:rsidRPr="00150391">
              <w:rPr>
                <w:rFonts w:cs="Calibri"/>
              </w:rPr>
              <w:t>pies – House of Representatives</w:t>
            </w:r>
          </w:p>
          <w:p w14:paraId="3BE634B7" w14:textId="77777777" w:rsidR="00C66263" w:rsidRPr="00150391" w:rsidRDefault="00C66263" w:rsidP="00580008">
            <w:pPr>
              <w:pStyle w:val="Bullet2"/>
              <w:ind w:right="96"/>
              <w:contextualSpacing/>
              <w:rPr>
                <w:rFonts w:cs="Calibri"/>
              </w:rPr>
            </w:pPr>
            <w:r w:rsidRPr="00150391">
              <w:rPr>
                <w:rFonts w:cs="Calibri"/>
              </w:rPr>
              <w:t>25 copies – Parliamentary Library.</w:t>
            </w:r>
          </w:p>
          <w:p w14:paraId="09813483" w14:textId="77777777" w:rsidR="00C66263" w:rsidRPr="00150391" w:rsidRDefault="00C66263">
            <w:pPr>
              <w:pStyle w:val="TableText-Normal"/>
              <w:rPr>
                <w:rFonts w:cs="Calibri"/>
              </w:rPr>
            </w:pPr>
            <w:r w:rsidRPr="00150391">
              <w:rPr>
                <w:rFonts w:cs="Calibri"/>
              </w:rPr>
              <w:t>Note:</w:t>
            </w:r>
          </w:p>
          <w:p w14:paraId="3CC84BE0" w14:textId="77777777" w:rsidR="007223A0" w:rsidRPr="00150391" w:rsidRDefault="53BF0693" w:rsidP="00580008">
            <w:pPr>
              <w:pStyle w:val="Bullet2"/>
              <w:ind w:right="96"/>
              <w:rPr>
                <w:rFonts w:cs="Calibri"/>
              </w:rPr>
            </w:pPr>
            <w:r w:rsidRPr="00150391">
              <w:rPr>
                <w:rFonts w:cs="Calibri"/>
              </w:rPr>
              <w:t xml:space="preserve">Books for Parliament House are to be delivered to a single location – the </w:t>
            </w:r>
            <w:r w:rsidRPr="00150391">
              <w:rPr>
                <w:rFonts w:cs="Calibri"/>
                <w:b/>
                <w:bCs/>
              </w:rPr>
              <w:t>Senate Table Office</w:t>
            </w:r>
            <w:r w:rsidRPr="00150391">
              <w:rPr>
                <w:rFonts w:cs="Calibri"/>
              </w:rPr>
              <w:t>,</w:t>
            </w:r>
            <w:r w:rsidRPr="00150391">
              <w:rPr>
                <w:rFonts w:cs="Calibri"/>
                <w:b/>
                <w:bCs/>
              </w:rPr>
              <w:t xml:space="preserve"> </w:t>
            </w:r>
            <w:r w:rsidRPr="00150391">
              <w:rPr>
                <w:rFonts w:cs="Calibri"/>
              </w:rPr>
              <w:t>which will arrange for the books to be distributed to recipients. Please do not leave the books at the loading Dock until they are picked up by the Senate Tabling Office.</w:t>
            </w:r>
          </w:p>
          <w:p w14:paraId="6B139262" w14:textId="77777777" w:rsidR="00B10114" w:rsidRPr="00150391" w:rsidRDefault="00C66263" w:rsidP="00580008">
            <w:pPr>
              <w:pStyle w:val="Bullet2"/>
              <w:ind w:right="96"/>
              <w:rPr>
                <w:rFonts w:cs="Calibri"/>
              </w:rPr>
            </w:pPr>
            <w:r w:rsidRPr="00150391">
              <w:rPr>
                <w:rFonts w:cs="Calibri"/>
              </w:rPr>
              <w:t>CanPrint will deliver these copies to Parliament House on the portfolios behalf.</w:t>
            </w:r>
          </w:p>
        </w:tc>
        <w:tc>
          <w:tcPr>
            <w:tcW w:w="2410" w:type="dxa"/>
          </w:tcPr>
          <w:p w14:paraId="68E3BAC7" w14:textId="77777777" w:rsidR="003E3E2E" w:rsidRPr="00150391" w:rsidRDefault="53BF0693">
            <w:pPr>
              <w:pStyle w:val="TableText-Normal"/>
              <w:rPr>
                <w:rFonts w:cs="Calibri"/>
              </w:rPr>
            </w:pPr>
            <w:r w:rsidRPr="00150391">
              <w:rPr>
                <w:rFonts w:cs="Calibri"/>
              </w:rPr>
              <w:t>90 copies</w:t>
            </w:r>
            <w:r w:rsidR="007226E8" w:rsidRPr="00150391">
              <w:rPr>
                <w:rFonts w:cs="Calibri"/>
              </w:rPr>
              <w:br/>
            </w:r>
            <w:r w:rsidR="007226E8" w:rsidRPr="00150391">
              <w:rPr>
                <w:rFonts w:cs="Calibri"/>
              </w:rPr>
              <w:br/>
            </w:r>
            <w:r w:rsidRPr="00150391">
              <w:rPr>
                <w:rFonts w:cs="Calibri"/>
              </w:rPr>
              <w:t>Plus</w:t>
            </w:r>
            <w:r w:rsidR="007226E8" w:rsidRPr="00150391">
              <w:rPr>
                <w:rFonts w:cs="Calibri"/>
              </w:rPr>
              <w:br/>
            </w:r>
            <w:r w:rsidR="007226E8" w:rsidRPr="00150391">
              <w:rPr>
                <w:rFonts w:cs="Calibri"/>
              </w:rPr>
              <w:br/>
            </w:r>
            <w:r w:rsidRPr="00150391">
              <w:rPr>
                <w:rFonts w:cs="Calibri"/>
              </w:rPr>
              <w:t xml:space="preserve">Books required for both the </w:t>
            </w:r>
            <w:r w:rsidRPr="00150391">
              <w:rPr>
                <w:rFonts w:cs="Calibri"/>
                <w:i/>
                <w:iCs/>
              </w:rPr>
              <w:t>Treasury media lockup</w:t>
            </w:r>
            <w:r w:rsidRPr="00150391">
              <w:rPr>
                <w:rFonts w:cs="Calibri"/>
              </w:rPr>
              <w:t xml:space="preserve"> and </w:t>
            </w:r>
            <w:r w:rsidRPr="00150391">
              <w:rPr>
                <w:rFonts w:cs="Calibri"/>
                <w:i/>
                <w:iCs/>
              </w:rPr>
              <w:t xml:space="preserve">Treasury stakeholder </w:t>
            </w:r>
            <w:r w:rsidRPr="00150391">
              <w:rPr>
                <w:rFonts w:cs="Calibri"/>
              </w:rPr>
              <w:t>lockup as advised by the Department of the Treasury</w:t>
            </w:r>
          </w:p>
        </w:tc>
      </w:tr>
      <w:tr w:rsidR="00810021" w:rsidRPr="00150391" w14:paraId="72197E14" w14:textId="77777777" w:rsidTr="002B4935">
        <w:tc>
          <w:tcPr>
            <w:tcW w:w="7508" w:type="dxa"/>
          </w:tcPr>
          <w:p w14:paraId="1113E633" w14:textId="77777777" w:rsidR="009D6463" w:rsidRPr="00150391" w:rsidRDefault="53BF0693">
            <w:pPr>
              <w:pStyle w:val="TableText-Normal"/>
              <w:rPr>
                <w:rFonts w:cs="Calibri"/>
              </w:rPr>
            </w:pPr>
            <w:r w:rsidRPr="00150391">
              <w:rPr>
                <w:rFonts w:cs="Calibri"/>
              </w:rPr>
              <w:t>Department of Finance</w:t>
            </w:r>
            <w:r w:rsidR="00810021" w:rsidRPr="00150391">
              <w:rPr>
                <w:rFonts w:cs="Calibri"/>
              </w:rPr>
              <w:t>:</w:t>
            </w:r>
          </w:p>
          <w:p w14:paraId="4372DF42" w14:textId="77777777" w:rsidR="00B10114" w:rsidRPr="00150391" w:rsidRDefault="0062612F" w:rsidP="00580008">
            <w:pPr>
              <w:pStyle w:val="TableText-Normal"/>
              <w:spacing w:line="240" w:lineRule="auto"/>
              <w:ind w:left="851"/>
              <w:contextualSpacing/>
              <w:rPr>
                <w:rFonts w:cs="Calibri"/>
              </w:rPr>
            </w:pPr>
            <w:r w:rsidRPr="00150391">
              <w:rPr>
                <w:rFonts w:cs="Calibri"/>
              </w:rPr>
              <w:t xml:space="preserve">Accounting Framework and Capability Support </w:t>
            </w:r>
            <w:r w:rsidR="53BF0693" w:rsidRPr="00150391">
              <w:rPr>
                <w:rFonts w:cs="Calibri"/>
              </w:rPr>
              <w:t>Team</w:t>
            </w:r>
            <w:r w:rsidR="00B10114" w:rsidRPr="00150391">
              <w:rPr>
                <w:rFonts w:cs="Calibri"/>
              </w:rPr>
              <w:tab/>
            </w:r>
          </w:p>
          <w:p w14:paraId="79D7A67F" w14:textId="77777777" w:rsidR="009D6463" w:rsidRPr="00150391" w:rsidRDefault="53BF0693" w:rsidP="00580008">
            <w:pPr>
              <w:pStyle w:val="TableText-Normal"/>
              <w:spacing w:line="240" w:lineRule="auto"/>
              <w:ind w:left="851"/>
              <w:contextualSpacing/>
              <w:rPr>
                <w:rFonts w:cs="Calibri"/>
              </w:rPr>
            </w:pPr>
            <w:r w:rsidRPr="00150391">
              <w:rPr>
                <w:rFonts w:cs="Calibri"/>
              </w:rPr>
              <w:t>Financial Analysis, Reporting and Management</w:t>
            </w:r>
          </w:p>
          <w:p w14:paraId="611B4F5E" w14:textId="77777777" w:rsidR="009D6463" w:rsidRPr="00150391" w:rsidRDefault="53BF0693" w:rsidP="00580008">
            <w:pPr>
              <w:pStyle w:val="TableText-Normal"/>
              <w:spacing w:line="240" w:lineRule="auto"/>
              <w:ind w:left="851"/>
              <w:contextualSpacing/>
              <w:rPr>
                <w:rFonts w:cs="Calibri"/>
              </w:rPr>
            </w:pPr>
            <w:r w:rsidRPr="00150391">
              <w:rPr>
                <w:rFonts w:cs="Calibri"/>
              </w:rPr>
              <w:t>Department of Finance</w:t>
            </w:r>
          </w:p>
          <w:p w14:paraId="6FC0C574" w14:textId="77777777" w:rsidR="009D6463" w:rsidRPr="00150391" w:rsidRDefault="53BF0693" w:rsidP="00580008">
            <w:pPr>
              <w:pStyle w:val="TableText-Normal"/>
              <w:spacing w:line="240" w:lineRule="auto"/>
              <w:ind w:left="851"/>
              <w:contextualSpacing/>
              <w:rPr>
                <w:rFonts w:cs="Calibri"/>
              </w:rPr>
            </w:pPr>
            <w:r w:rsidRPr="00150391">
              <w:rPr>
                <w:rFonts w:cs="Calibri"/>
              </w:rPr>
              <w:t>One Canberra Avenue</w:t>
            </w:r>
          </w:p>
          <w:p w14:paraId="5163DA17" w14:textId="77777777" w:rsidR="009D6463" w:rsidRPr="00150391" w:rsidRDefault="53BF0693" w:rsidP="00580008">
            <w:pPr>
              <w:pStyle w:val="TableText-Normal"/>
              <w:spacing w:line="240" w:lineRule="auto"/>
              <w:ind w:left="851"/>
              <w:contextualSpacing/>
              <w:rPr>
                <w:rFonts w:cs="Calibri"/>
              </w:rPr>
            </w:pPr>
            <w:r w:rsidRPr="00150391">
              <w:rPr>
                <w:rFonts w:cs="Calibri"/>
              </w:rPr>
              <w:t>FORREST ACT 2600</w:t>
            </w:r>
          </w:p>
          <w:p w14:paraId="7EB2945F" w14:textId="77777777" w:rsidR="009D6463" w:rsidRPr="00150391" w:rsidRDefault="53BF0693">
            <w:pPr>
              <w:pStyle w:val="TableText-Normal"/>
              <w:rPr>
                <w:rFonts w:cs="Calibri"/>
              </w:rPr>
            </w:pPr>
            <w:r w:rsidRPr="00150391">
              <w:rPr>
                <w:rFonts w:cs="Calibri"/>
              </w:rPr>
              <w:t>Note:</w:t>
            </w:r>
          </w:p>
          <w:p w14:paraId="23F2EF8F" w14:textId="77777777" w:rsidR="003E3E2E" w:rsidRPr="00150391" w:rsidRDefault="6B6EE5C4" w:rsidP="00580008">
            <w:pPr>
              <w:pStyle w:val="Bullet2"/>
              <w:ind w:right="96"/>
              <w:contextualSpacing/>
              <w:rPr>
                <w:rFonts w:cs="Calibri"/>
              </w:rPr>
            </w:pPr>
            <w:r w:rsidRPr="00150391">
              <w:rPr>
                <w:rFonts w:cs="Calibri"/>
              </w:rPr>
              <w:t xml:space="preserve">CanPrint will deliver copies to Finance on the </w:t>
            </w:r>
            <w:r w:rsidR="00396887" w:rsidRPr="00150391">
              <w:rPr>
                <w:rFonts w:cs="Calibri"/>
              </w:rPr>
              <w:t>portfolio</w:t>
            </w:r>
            <w:r w:rsidRPr="00150391">
              <w:rPr>
                <w:rFonts w:cs="Calibri"/>
              </w:rPr>
              <w:t>s’ behalf</w:t>
            </w:r>
            <w:r w:rsidR="00810021" w:rsidRPr="00150391">
              <w:rPr>
                <w:rFonts w:cs="Calibri"/>
              </w:rPr>
              <w:t>.</w:t>
            </w:r>
          </w:p>
          <w:p w14:paraId="39DCFBEB" w14:textId="77777777" w:rsidR="00810021" w:rsidRPr="00150391" w:rsidRDefault="00CC50CC" w:rsidP="00580008">
            <w:pPr>
              <w:pStyle w:val="Bullet2"/>
              <w:ind w:right="96"/>
              <w:contextualSpacing/>
              <w:rPr>
                <w:rFonts w:cs="Calibri"/>
              </w:rPr>
            </w:pPr>
            <w:r w:rsidRPr="00150391">
              <w:rPr>
                <w:rFonts w:cs="Calibri"/>
              </w:rPr>
              <w:t>T</w:t>
            </w:r>
            <w:r w:rsidR="53BF0693" w:rsidRPr="00150391">
              <w:rPr>
                <w:rFonts w:cs="Calibri"/>
              </w:rPr>
              <w:t xml:space="preserve">his allocation includes the copy for the Finance Secretary as required under the Requirement for Performance Information included in PB Statements (Finance Secretary Direction under section 36(3) of the </w:t>
            </w:r>
            <w:r w:rsidR="53BF0693" w:rsidRPr="00150391">
              <w:rPr>
                <w:rFonts w:cs="Calibri"/>
                <w:i/>
              </w:rPr>
              <w:t>Public Governance, Performance and Accountability Act 2013</w:t>
            </w:r>
            <w:r w:rsidR="53BF0693" w:rsidRPr="00150391">
              <w:rPr>
                <w:rFonts w:cs="Calibri"/>
              </w:rPr>
              <w:t>)</w:t>
            </w:r>
            <w:r w:rsidR="00810021" w:rsidRPr="00150391">
              <w:rPr>
                <w:rFonts w:cs="Calibri"/>
              </w:rPr>
              <w:t>.</w:t>
            </w:r>
          </w:p>
          <w:p w14:paraId="6DB93E56" w14:textId="7FB01227" w:rsidR="003E3E2E" w:rsidRPr="00150391" w:rsidRDefault="002642CF">
            <w:pPr>
              <w:pStyle w:val="Bullet2"/>
              <w:ind w:right="96"/>
              <w:contextualSpacing/>
              <w:rPr>
                <w:rFonts w:cs="Calibri"/>
              </w:rPr>
            </w:pPr>
            <w:r w:rsidRPr="00150391">
              <w:rPr>
                <w:rFonts w:cs="Calibri"/>
              </w:rPr>
              <w:t>For books provided to Finance, a</w:t>
            </w:r>
            <w:r w:rsidR="00F1268C" w:rsidRPr="00150391">
              <w:rPr>
                <w:rFonts w:cs="Calibri"/>
              </w:rPr>
              <w:t xml:space="preserve"> number of </w:t>
            </w:r>
            <w:r w:rsidR="53BF0693" w:rsidRPr="00150391">
              <w:rPr>
                <w:rFonts w:cs="Calibri"/>
              </w:rPr>
              <w:t xml:space="preserve">copies are </w:t>
            </w:r>
            <w:r w:rsidRPr="00150391">
              <w:rPr>
                <w:rFonts w:cs="Calibri"/>
              </w:rPr>
              <w:t>already pre</w:t>
            </w:r>
            <w:r w:rsidR="009317A9" w:rsidRPr="00150391">
              <w:rPr>
                <w:rFonts w:cs="Calibri"/>
              </w:rPr>
              <w:t>-</w:t>
            </w:r>
            <w:r w:rsidR="53BF0693" w:rsidRPr="00150391">
              <w:rPr>
                <w:rFonts w:cs="Calibri"/>
              </w:rPr>
              <w:t>allocated to your AAU.</w:t>
            </w:r>
            <w:r w:rsidRPr="00150391">
              <w:rPr>
                <w:rFonts w:cs="Calibri"/>
              </w:rPr>
              <w:t xml:space="preserve">  Entities must not deliver PB Statement books that are under embargo to their AAU.</w:t>
            </w:r>
          </w:p>
        </w:tc>
        <w:tc>
          <w:tcPr>
            <w:tcW w:w="2410" w:type="dxa"/>
            <w:shd w:val="clear" w:color="auto" w:fill="auto"/>
          </w:tcPr>
          <w:p w14:paraId="76994C85" w14:textId="20B55EA0" w:rsidR="003E3E2E" w:rsidRPr="00150391" w:rsidRDefault="00467E06" w:rsidP="00284F83">
            <w:pPr>
              <w:pStyle w:val="TableText-Normal"/>
              <w:rPr>
                <w:rFonts w:cs="Calibri"/>
              </w:rPr>
            </w:pPr>
            <w:r w:rsidRPr="002B4935">
              <w:rPr>
                <w:rFonts w:cs="Calibri"/>
              </w:rPr>
              <w:t>2</w:t>
            </w:r>
            <w:r w:rsidR="00284F83" w:rsidRPr="002B4935">
              <w:rPr>
                <w:rFonts w:cs="Calibri"/>
              </w:rPr>
              <w:t>8</w:t>
            </w:r>
            <w:r w:rsidR="53BF0693" w:rsidRPr="002B4935">
              <w:rPr>
                <w:rFonts w:cs="Calibri"/>
              </w:rPr>
              <w:t xml:space="preserve"> copies</w:t>
            </w:r>
          </w:p>
        </w:tc>
      </w:tr>
      <w:tr w:rsidR="00810021" w:rsidRPr="00150391" w14:paraId="3751204D" w14:textId="77777777" w:rsidTr="00A8355D">
        <w:tc>
          <w:tcPr>
            <w:tcW w:w="7508" w:type="dxa"/>
          </w:tcPr>
          <w:p w14:paraId="5706B788" w14:textId="77777777" w:rsidR="003E3E2E" w:rsidRPr="00150391" w:rsidRDefault="53BF0693">
            <w:pPr>
              <w:pStyle w:val="TableText-Normal"/>
              <w:rPr>
                <w:rFonts w:cs="Calibri"/>
              </w:rPr>
            </w:pPr>
            <w:r w:rsidRPr="00150391">
              <w:rPr>
                <w:rFonts w:cs="Calibri"/>
              </w:rPr>
              <w:t>Your Portfolio Minister and advisors (following the Minister’s sign-off on the final document)</w:t>
            </w:r>
          </w:p>
        </w:tc>
        <w:tc>
          <w:tcPr>
            <w:tcW w:w="2410" w:type="dxa"/>
            <w:vMerge w:val="restart"/>
          </w:tcPr>
          <w:p w14:paraId="37BBB665" w14:textId="77777777" w:rsidR="003E3E2E" w:rsidRPr="00150391" w:rsidRDefault="00B10114">
            <w:pPr>
              <w:pStyle w:val="TableText-Normal"/>
              <w:rPr>
                <w:rFonts w:cs="Calibri"/>
              </w:rPr>
            </w:pPr>
            <w:r w:rsidRPr="00150391">
              <w:rPr>
                <w:rFonts w:cs="Calibri"/>
              </w:rPr>
              <w:t xml:space="preserve">Portfolios </w:t>
            </w:r>
            <w:r w:rsidR="00C66263" w:rsidRPr="00150391">
              <w:rPr>
                <w:rFonts w:cs="Calibri"/>
              </w:rPr>
              <w:t xml:space="preserve">are responsible for </w:t>
            </w:r>
            <w:r w:rsidRPr="00150391">
              <w:rPr>
                <w:rFonts w:cs="Calibri"/>
              </w:rPr>
              <w:t>confirm</w:t>
            </w:r>
            <w:r w:rsidR="00C66263" w:rsidRPr="00150391">
              <w:rPr>
                <w:rFonts w:cs="Calibri"/>
              </w:rPr>
              <w:t>ing</w:t>
            </w:r>
            <w:r w:rsidRPr="00150391">
              <w:rPr>
                <w:rFonts w:cs="Calibri"/>
              </w:rPr>
              <w:t xml:space="preserve"> required </w:t>
            </w:r>
            <w:r w:rsidR="00CC50CC" w:rsidRPr="00150391">
              <w:rPr>
                <w:rFonts w:cs="Calibri"/>
              </w:rPr>
              <w:t xml:space="preserve">numbers </w:t>
            </w:r>
            <w:r w:rsidRPr="00150391">
              <w:rPr>
                <w:rFonts w:cs="Calibri"/>
              </w:rPr>
              <w:t xml:space="preserve">and </w:t>
            </w:r>
            <w:r w:rsidR="00C66263" w:rsidRPr="00150391">
              <w:rPr>
                <w:rFonts w:cs="Calibri"/>
              </w:rPr>
              <w:t xml:space="preserve">the </w:t>
            </w:r>
            <w:r w:rsidRPr="00150391">
              <w:rPr>
                <w:rFonts w:cs="Calibri"/>
              </w:rPr>
              <w:t xml:space="preserve">delivery </w:t>
            </w:r>
            <w:r w:rsidR="00CC50CC" w:rsidRPr="00150391">
              <w:rPr>
                <w:rFonts w:cs="Calibri"/>
              </w:rPr>
              <w:t xml:space="preserve">of the books </w:t>
            </w:r>
            <w:r w:rsidRPr="00150391">
              <w:rPr>
                <w:rFonts w:cs="Calibri"/>
              </w:rPr>
              <w:t xml:space="preserve">with </w:t>
            </w:r>
            <w:r w:rsidR="00CC50CC" w:rsidRPr="00150391">
              <w:rPr>
                <w:rFonts w:cs="Calibri"/>
              </w:rPr>
              <w:t>their</w:t>
            </w:r>
            <w:r w:rsidRPr="00150391">
              <w:rPr>
                <w:rFonts w:cs="Calibri"/>
              </w:rPr>
              <w:t xml:space="preserve"> Minister’s office</w:t>
            </w:r>
            <w:r w:rsidR="00C66263" w:rsidRPr="00150391">
              <w:rPr>
                <w:rFonts w:cs="Calibri"/>
              </w:rPr>
              <w:t>.</w:t>
            </w:r>
          </w:p>
        </w:tc>
      </w:tr>
      <w:tr w:rsidR="00810021" w:rsidRPr="00150391" w14:paraId="03891FE0" w14:textId="77777777" w:rsidTr="00A8355D">
        <w:tc>
          <w:tcPr>
            <w:tcW w:w="7508" w:type="dxa"/>
          </w:tcPr>
          <w:p w14:paraId="3E50FB1F" w14:textId="77777777" w:rsidR="003E3E2E" w:rsidRPr="00150391" w:rsidRDefault="53BF0693">
            <w:pPr>
              <w:pStyle w:val="TableText-Normal"/>
              <w:rPr>
                <w:rFonts w:cs="Calibri"/>
              </w:rPr>
            </w:pPr>
            <w:r w:rsidRPr="00150391">
              <w:rPr>
                <w:rFonts w:cs="Calibri"/>
              </w:rPr>
              <w:t>The Minister representing the portfolio in the other Chamber</w:t>
            </w:r>
          </w:p>
        </w:tc>
        <w:tc>
          <w:tcPr>
            <w:tcW w:w="2410" w:type="dxa"/>
            <w:vMerge/>
          </w:tcPr>
          <w:p w14:paraId="43BEA33C" w14:textId="77777777" w:rsidR="003E3E2E" w:rsidRPr="00150391" w:rsidRDefault="003E3E2E">
            <w:pPr>
              <w:pStyle w:val="TableText-Normal"/>
              <w:rPr>
                <w:rFonts w:cs="Calibri"/>
              </w:rPr>
            </w:pPr>
          </w:p>
        </w:tc>
      </w:tr>
    </w:tbl>
    <w:p w14:paraId="41A97A82" w14:textId="58EC5C2D" w:rsidR="008D06CA" w:rsidRPr="002B4935" w:rsidRDefault="008D06CA">
      <w:pPr>
        <w:rPr>
          <w:rFonts w:eastAsia="Cambria" w:cs="Calibri"/>
        </w:rPr>
      </w:pPr>
    </w:p>
    <w:tbl>
      <w:tblPr>
        <w:tblW w:w="9918"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366"/>
        <w:gridCol w:w="2552"/>
      </w:tblGrid>
      <w:tr w:rsidR="00E2134A" w:rsidRPr="00150391" w14:paraId="7A1F84B4" w14:textId="77777777" w:rsidTr="00A8355D">
        <w:tc>
          <w:tcPr>
            <w:tcW w:w="9918" w:type="dxa"/>
            <w:gridSpan w:val="2"/>
            <w:shd w:val="clear" w:color="auto" w:fill="DDF3FA"/>
          </w:tcPr>
          <w:p w14:paraId="3E987724" w14:textId="203F81D4" w:rsidR="00AB4C55" w:rsidRPr="00150391" w:rsidRDefault="00AB4C55">
            <w:pPr>
              <w:pStyle w:val="TableText-Normal"/>
              <w:rPr>
                <w:rFonts w:cs="Calibri"/>
              </w:rPr>
            </w:pPr>
            <w:r w:rsidRPr="00150391">
              <w:rPr>
                <w:rFonts w:cs="Calibri"/>
              </w:rPr>
              <w:br w:type="page"/>
            </w:r>
            <w:r w:rsidRPr="00150391">
              <w:rPr>
                <w:rFonts w:cs="Calibri"/>
              </w:rPr>
              <w:br w:type="page"/>
            </w:r>
            <w:r w:rsidRPr="00150391">
              <w:rPr>
                <w:rFonts w:cs="Calibri"/>
              </w:rPr>
              <w:br w:type="page"/>
            </w:r>
            <w:r w:rsidRPr="00150391">
              <w:rPr>
                <w:rFonts w:cs="Calibri"/>
              </w:rPr>
              <w:br w:type="page"/>
            </w:r>
            <w:r w:rsidR="53BF0693" w:rsidRPr="00150391">
              <w:rPr>
                <w:rFonts w:cs="Calibri"/>
                <w:b/>
              </w:rPr>
              <w:t xml:space="preserve">For delivery </w:t>
            </w:r>
            <w:r w:rsidR="53BF0693" w:rsidRPr="00150391">
              <w:rPr>
                <w:rFonts w:cs="Calibri"/>
                <w:b/>
                <w:u w:val="single"/>
              </w:rPr>
              <w:t>after</w:t>
            </w:r>
            <w:r w:rsidR="53BF0693" w:rsidRPr="00150391">
              <w:rPr>
                <w:rFonts w:cs="Calibri"/>
                <w:b/>
              </w:rPr>
              <w:t xml:space="preserve"> tabling/Budget night (</w:t>
            </w:r>
            <w:r w:rsidR="000D4EE5" w:rsidRPr="00150391">
              <w:rPr>
                <w:rFonts w:cs="Calibri"/>
                <w:b/>
              </w:rPr>
              <w:t>17</w:t>
            </w:r>
            <w:r w:rsidR="001F7463" w:rsidRPr="00150391">
              <w:rPr>
                <w:rFonts w:cs="Calibri"/>
                <w:b/>
              </w:rPr>
              <w:t xml:space="preserve"> +</w:t>
            </w:r>
            <w:r w:rsidR="001F7463" w:rsidRPr="00150391">
              <w:rPr>
                <w:rFonts w:cs="Calibri"/>
              </w:rPr>
              <w:t xml:space="preserve"> </w:t>
            </w:r>
            <w:r w:rsidR="00DC6777" w:rsidRPr="00150391">
              <w:rPr>
                <w:rFonts w:cs="Calibri"/>
                <w:b/>
              </w:rPr>
              <w:t>additional copies</w:t>
            </w:r>
            <w:r w:rsidR="00DC6777" w:rsidRPr="00150391">
              <w:rPr>
                <w:rFonts w:cs="Calibri"/>
              </w:rPr>
              <w:t xml:space="preserve"> </w:t>
            </w:r>
            <w:r w:rsidR="001F7463" w:rsidRPr="00150391">
              <w:rPr>
                <w:rFonts w:cs="Calibri"/>
                <w:b/>
              </w:rPr>
              <w:t>based on number of committees your portfolio reports to)</w:t>
            </w:r>
            <w:r w:rsidR="00A1023A" w:rsidRPr="00150391">
              <w:rPr>
                <w:rFonts w:cs="Calibri"/>
                <w:b/>
              </w:rPr>
              <w:t>.</w:t>
            </w:r>
          </w:p>
        </w:tc>
      </w:tr>
      <w:tr w:rsidR="00E2134A" w:rsidRPr="00150391" w14:paraId="4FFA5D78" w14:textId="77777777" w:rsidTr="00A8355D">
        <w:tc>
          <w:tcPr>
            <w:tcW w:w="9918" w:type="dxa"/>
            <w:gridSpan w:val="2"/>
          </w:tcPr>
          <w:p w14:paraId="2632EB6C" w14:textId="77777777" w:rsidR="00AB4C55" w:rsidRPr="00150391" w:rsidRDefault="53BF0693">
            <w:pPr>
              <w:pStyle w:val="TableText-Normal"/>
              <w:rPr>
                <w:rFonts w:cs="Calibri"/>
              </w:rPr>
            </w:pPr>
            <w:r w:rsidRPr="00150391">
              <w:rPr>
                <w:rFonts w:cs="Calibri"/>
              </w:rPr>
              <w:t>Parliamentary Committees</w:t>
            </w:r>
          </w:p>
          <w:p w14:paraId="0A7E55CB" w14:textId="77777777" w:rsidR="00AB4C55" w:rsidRPr="00150391" w:rsidRDefault="53BF0693">
            <w:pPr>
              <w:pStyle w:val="TableText-Normal"/>
              <w:rPr>
                <w:rFonts w:cs="Calibri"/>
              </w:rPr>
            </w:pPr>
            <w:r w:rsidRPr="00150391">
              <w:rPr>
                <w:rFonts w:cs="Calibri"/>
              </w:rPr>
              <w:t xml:space="preserve">PB Statements only need to be sent to </w:t>
            </w:r>
            <w:r w:rsidRPr="00150391">
              <w:rPr>
                <w:rFonts w:cs="Calibri"/>
                <w:u w:val="single"/>
              </w:rPr>
              <w:t>your</w:t>
            </w:r>
            <w:r w:rsidRPr="00150391">
              <w:rPr>
                <w:rFonts w:cs="Calibri"/>
              </w:rPr>
              <w:t xml:space="preserve"> portfolio’s relevant parliamentary committee(s). PB Statements should be mailed to the following Commi</w:t>
            </w:r>
            <w:r w:rsidR="00F64209" w:rsidRPr="00150391">
              <w:rPr>
                <w:rFonts w:cs="Calibri"/>
              </w:rPr>
              <w:t>ttee address following tabling:</w:t>
            </w:r>
          </w:p>
          <w:p w14:paraId="2BAE1222" w14:textId="77777777" w:rsidR="00AB4C55" w:rsidRPr="00150391" w:rsidRDefault="00740055">
            <w:pPr>
              <w:pStyle w:val="TableText-Normal"/>
              <w:rPr>
                <w:rFonts w:cs="Calibri"/>
              </w:rPr>
            </w:pPr>
            <w:r w:rsidRPr="00150391">
              <w:rPr>
                <w:rFonts w:cs="Calibri"/>
              </w:rPr>
              <w:tab/>
            </w:r>
            <w:r w:rsidR="00AB4C55" w:rsidRPr="00150391">
              <w:rPr>
                <w:rFonts w:cs="Calibri"/>
              </w:rPr>
              <w:t>[Name of Committee]</w:t>
            </w:r>
            <w:r w:rsidRPr="00150391">
              <w:rPr>
                <w:rFonts w:cs="Calibri"/>
              </w:rPr>
              <w:br/>
            </w:r>
            <w:r w:rsidRPr="00150391">
              <w:rPr>
                <w:rFonts w:cs="Calibri"/>
              </w:rPr>
              <w:tab/>
            </w:r>
            <w:r w:rsidR="00AB4C55" w:rsidRPr="00150391">
              <w:rPr>
                <w:rFonts w:cs="Calibri"/>
              </w:rPr>
              <w:t>PO Box 6100</w:t>
            </w:r>
            <w:r w:rsidRPr="00150391">
              <w:rPr>
                <w:rFonts w:cs="Calibri"/>
              </w:rPr>
              <w:br/>
            </w:r>
            <w:r w:rsidRPr="00150391">
              <w:rPr>
                <w:rFonts w:cs="Calibri"/>
              </w:rPr>
              <w:tab/>
            </w:r>
            <w:r w:rsidR="00AB4C55" w:rsidRPr="00150391">
              <w:rPr>
                <w:rFonts w:cs="Calibri"/>
              </w:rPr>
              <w:t>Parliament House</w:t>
            </w:r>
            <w:r w:rsidRPr="00150391">
              <w:rPr>
                <w:rFonts w:cs="Calibri"/>
              </w:rPr>
              <w:br/>
            </w:r>
            <w:r w:rsidRPr="00150391">
              <w:rPr>
                <w:rFonts w:cs="Calibri"/>
              </w:rPr>
              <w:tab/>
            </w:r>
            <w:r w:rsidR="00AB4C55" w:rsidRPr="00150391">
              <w:rPr>
                <w:rFonts w:cs="Calibri"/>
              </w:rPr>
              <w:t>Canberra ACT 2600</w:t>
            </w:r>
            <w:r w:rsidRPr="00150391">
              <w:rPr>
                <w:rFonts w:cs="Calibri"/>
              </w:rPr>
              <w:br/>
            </w:r>
            <w:r w:rsidRPr="00150391">
              <w:rPr>
                <w:rFonts w:cs="Calibri"/>
              </w:rPr>
              <w:tab/>
            </w:r>
            <w:r w:rsidR="00AB4C55" w:rsidRPr="00150391">
              <w:rPr>
                <w:rFonts w:cs="Calibri"/>
              </w:rPr>
              <w:t>Australia</w:t>
            </w:r>
          </w:p>
        </w:tc>
      </w:tr>
      <w:tr w:rsidR="0065398A" w:rsidRPr="00150391" w14:paraId="41FBC2CD" w14:textId="77777777" w:rsidTr="00A8355D">
        <w:tc>
          <w:tcPr>
            <w:tcW w:w="7366" w:type="dxa"/>
          </w:tcPr>
          <w:p w14:paraId="52E0AA7F" w14:textId="77777777" w:rsidR="00AB4C55" w:rsidRPr="00150391" w:rsidRDefault="53BF0693">
            <w:pPr>
              <w:pStyle w:val="TableText-Normal"/>
              <w:rPr>
                <w:rFonts w:cs="Calibri"/>
              </w:rPr>
            </w:pPr>
            <w:r w:rsidRPr="00150391">
              <w:rPr>
                <w:rFonts w:cs="Calibri"/>
              </w:rPr>
              <w:t>Community Affairs – Health and Social Services, including Services Australia</w:t>
            </w:r>
          </w:p>
          <w:p w14:paraId="0FF9A52E" w14:textId="77777777" w:rsidR="00AB4C55" w:rsidRPr="00150391" w:rsidRDefault="6B6EE5C4">
            <w:pPr>
              <w:pStyle w:val="TableText-NormalIndented"/>
              <w:rPr>
                <w:rFonts w:cs="Calibri"/>
              </w:rPr>
            </w:pPr>
            <w:r w:rsidRPr="00150391">
              <w:rPr>
                <w:rFonts w:cs="Calibri"/>
              </w:rPr>
              <w:t>Estimates Officer - ph: (02) 6277 3515</w:t>
            </w:r>
          </w:p>
          <w:p w14:paraId="77427D6B" w14:textId="5C37039A" w:rsidR="00AD28A0" w:rsidRPr="00150391" w:rsidRDefault="53BF0693" w:rsidP="53BF0693">
            <w:pPr>
              <w:pStyle w:val="TableText-NormalIndented"/>
              <w:rPr>
                <w:rStyle w:val="Hyperlink"/>
                <w:rFonts w:ascii="Calibri" w:hAnsi="Calibri" w:cs="Calibri"/>
              </w:rPr>
            </w:pPr>
            <w:r w:rsidRPr="00150391">
              <w:rPr>
                <w:rFonts w:cs="Calibri"/>
              </w:rPr>
              <w:t xml:space="preserve">Email:  </w:t>
            </w:r>
            <w:hyperlink r:id="rId36">
              <w:r w:rsidRPr="002B4935">
                <w:rPr>
                  <w:rStyle w:val="Hyperlink"/>
                  <w:rFonts w:ascii="Calibri" w:hAnsi="Calibri" w:cs="Calibri"/>
                  <w:color w:val="0070C0"/>
                </w:rPr>
                <w:t>community.affairs.sen@aph.gov.au</w:t>
              </w:r>
            </w:hyperlink>
          </w:p>
        </w:tc>
        <w:tc>
          <w:tcPr>
            <w:tcW w:w="2552" w:type="dxa"/>
          </w:tcPr>
          <w:p w14:paraId="4CD27C6A" w14:textId="77777777" w:rsidR="00AB4C55" w:rsidRPr="00150391" w:rsidRDefault="53BF0693">
            <w:pPr>
              <w:pStyle w:val="TableText-Normal"/>
              <w:rPr>
                <w:rFonts w:cs="Calibri"/>
              </w:rPr>
            </w:pPr>
            <w:r w:rsidRPr="00150391">
              <w:rPr>
                <w:rFonts w:cs="Calibri"/>
              </w:rPr>
              <w:t>5 copies</w:t>
            </w:r>
          </w:p>
        </w:tc>
      </w:tr>
      <w:tr w:rsidR="0065398A" w:rsidRPr="00150391" w14:paraId="20CADE37" w14:textId="77777777" w:rsidTr="00A8355D">
        <w:tc>
          <w:tcPr>
            <w:tcW w:w="7366" w:type="dxa"/>
          </w:tcPr>
          <w:p w14:paraId="726D1992" w14:textId="77777777" w:rsidR="00AB4C55" w:rsidRPr="00150391" w:rsidRDefault="53BF0693">
            <w:pPr>
              <w:pStyle w:val="TableText-Normal"/>
              <w:rPr>
                <w:rFonts w:cs="Calibri"/>
              </w:rPr>
            </w:pPr>
            <w:r w:rsidRPr="00150391">
              <w:rPr>
                <w:rFonts w:cs="Calibri"/>
              </w:rPr>
              <w:t>Economics –  Industry, Innovation and Science; and Treasury</w:t>
            </w:r>
          </w:p>
          <w:p w14:paraId="5E7AF3D8" w14:textId="77777777" w:rsidR="00AB4C55" w:rsidRPr="00150391" w:rsidRDefault="6B6EE5C4">
            <w:pPr>
              <w:pStyle w:val="TableText-NormalIndented"/>
              <w:rPr>
                <w:rFonts w:cs="Calibri"/>
              </w:rPr>
            </w:pPr>
            <w:r w:rsidRPr="00150391">
              <w:rPr>
                <w:rFonts w:cs="Calibri"/>
              </w:rPr>
              <w:t>Estimates Officer - ph: (02) 6277 3540</w:t>
            </w:r>
          </w:p>
          <w:p w14:paraId="2DE97E69" w14:textId="45922381" w:rsidR="00CF2D10" w:rsidRPr="00150391" w:rsidRDefault="53BF0693" w:rsidP="53BF0693">
            <w:pPr>
              <w:pStyle w:val="TableText-NormalIndented"/>
              <w:rPr>
                <w:rStyle w:val="Hyperlink"/>
                <w:rFonts w:ascii="Calibri" w:hAnsi="Calibri" w:cs="Calibri"/>
              </w:rPr>
            </w:pPr>
            <w:r w:rsidRPr="00150391">
              <w:rPr>
                <w:rFonts w:cs="Calibri"/>
              </w:rPr>
              <w:t xml:space="preserve">Email:  </w:t>
            </w:r>
            <w:hyperlink r:id="rId37">
              <w:r w:rsidRPr="002B4935">
                <w:rPr>
                  <w:rStyle w:val="Hyperlink"/>
                  <w:rFonts w:ascii="Calibri" w:hAnsi="Calibri" w:cs="Calibri"/>
                  <w:color w:val="0070C0"/>
                </w:rPr>
                <w:t>economics.sen@aph.gov.au</w:t>
              </w:r>
            </w:hyperlink>
          </w:p>
        </w:tc>
        <w:tc>
          <w:tcPr>
            <w:tcW w:w="2552" w:type="dxa"/>
          </w:tcPr>
          <w:p w14:paraId="71A34CEC" w14:textId="77777777" w:rsidR="00AB4C55" w:rsidRPr="00150391" w:rsidRDefault="003D79EF">
            <w:pPr>
              <w:pStyle w:val="TableText-Normal"/>
              <w:rPr>
                <w:rFonts w:cs="Calibri"/>
              </w:rPr>
            </w:pPr>
            <w:r w:rsidRPr="00150391">
              <w:rPr>
                <w:rFonts w:cs="Calibri"/>
              </w:rPr>
              <w:t>3</w:t>
            </w:r>
            <w:r w:rsidR="53BF0693" w:rsidRPr="00150391">
              <w:rPr>
                <w:rFonts w:cs="Calibri"/>
              </w:rPr>
              <w:t xml:space="preserve"> copies</w:t>
            </w:r>
          </w:p>
        </w:tc>
      </w:tr>
      <w:tr w:rsidR="0065398A" w:rsidRPr="00150391" w14:paraId="7CC5BC53" w14:textId="77777777" w:rsidTr="00A8355D">
        <w:tc>
          <w:tcPr>
            <w:tcW w:w="7366" w:type="dxa"/>
          </w:tcPr>
          <w:p w14:paraId="21BBADC9" w14:textId="68FBEEB9" w:rsidR="00AB4C55" w:rsidRPr="00150391" w:rsidRDefault="53BF0693">
            <w:pPr>
              <w:pStyle w:val="TableText-Normal"/>
              <w:rPr>
                <w:rFonts w:cs="Calibri"/>
              </w:rPr>
            </w:pPr>
            <w:r w:rsidRPr="00150391">
              <w:rPr>
                <w:rFonts w:cs="Calibri"/>
              </w:rPr>
              <w:t xml:space="preserve">Education and Employment – Education; </w:t>
            </w:r>
            <w:r w:rsidR="00C131E7" w:rsidRPr="00150391">
              <w:rPr>
                <w:rFonts w:cs="Calibri"/>
              </w:rPr>
              <w:t xml:space="preserve">Skills and </w:t>
            </w:r>
            <w:r w:rsidRPr="00150391">
              <w:rPr>
                <w:rFonts w:cs="Calibri"/>
              </w:rPr>
              <w:t>Employment</w:t>
            </w:r>
            <w:r w:rsidR="00C131E7" w:rsidRPr="00150391">
              <w:rPr>
                <w:rFonts w:cs="Calibri"/>
              </w:rPr>
              <w:t xml:space="preserve">, </w:t>
            </w:r>
            <w:r w:rsidRPr="00150391">
              <w:rPr>
                <w:rFonts w:cs="Calibri"/>
              </w:rPr>
              <w:t>including Industrial Relations</w:t>
            </w:r>
            <w:r w:rsidR="00C131E7" w:rsidRPr="00150391">
              <w:rPr>
                <w:rFonts w:cs="Calibri"/>
              </w:rPr>
              <w:t xml:space="preserve"> and Small Business</w:t>
            </w:r>
          </w:p>
          <w:p w14:paraId="3806CEA3" w14:textId="77777777" w:rsidR="00AB4C55" w:rsidRPr="00150391" w:rsidRDefault="6B6EE5C4">
            <w:pPr>
              <w:pStyle w:val="TableText-NormalIndented"/>
              <w:rPr>
                <w:rFonts w:cs="Calibri"/>
              </w:rPr>
            </w:pPr>
            <w:r w:rsidRPr="00150391">
              <w:rPr>
                <w:rFonts w:cs="Calibri"/>
              </w:rPr>
              <w:t>Estimates Officer - ph: (02) 6277 3521</w:t>
            </w:r>
          </w:p>
          <w:p w14:paraId="78321C27" w14:textId="1268EFAC" w:rsidR="00CF2D10" w:rsidRPr="00150391" w:rsidRDefault="53BF0693" w:rsidP="53BF0693">
            <w:pPr>
              <w:pStyle w:val="TableText-NormalIndented"/>
              <w:rPr>
                <w:rStyle w:val="Hyperlink"/>
                <w:rFonts w:ascii="Calibri" w:hAnsi="Calibri" w:cs="Calibri"/>
              </w:rPr>
            </w:pPr>
            <w:r w:rsidRPr="00150391">
              <w:rPr>
                <w:rFonts w:cs="Calibri"/>
              </w:rPr>
              <w:t xml:space="preserve">Email:  </w:t>
            </w:r>
            <w:hyperlink r:id="rId38">
              <w:r w:rsidRPr="002B4935">
                <w:rPr>
                  <w:rStyle w:val="Hyperlink"/>
                  <w:rFonts w:ascii="Calibri" w:hAnsi="Calibri" w:cs="Calibri"/>
                  <w:color w:val="0070C0"/>
                </w:rPr>
                <w:t>eec.sen@aph.gov.au</w:t>
              </w:r>
            </w:hyperlink>
          </w:p>
        </w:tc>
        <w:tc>
          <w:tcPr>
            <w:tcW w:w="2552" w:type="dxa"/>
          </w:tcPr>
          <w:p w14:paraId="356EF550" w14:textId="77777777" w:rsidR="00AB4C55" w:rsidRPr="00150391" w:rsidRDefault="53BF0693">
            <w:pPr>
              <w:pStyle w:val="TableText-Normal"/>
              <w:rPr>
                <w:rFonts w:cs="Calibri"/>
              </w:rPr>
            </w:pPr>
            <w:r w:rsidRPr="00150391">
              <w:rPr>
                <w:rFonts w:cs="Calibri"/>
              </w:rPr>
              <w:t>6 copies</w:t>
            </w:r>
          </w:p>
        </w:tc>
      </w:tr>
      <w:tr w:rsidR="0065398A" w:rsidRPr="00150391" w14:paraId="04B2AC71" w14:textId="77777777" w:rsidTr="00A8355D">
        <w:tc>
          <w:tcPr>
            <w:tcW w:w="7366" w:type="dxa"/>
          </w:tcPr>
          <w:p w14:paraId="48D6BA2E" w14:textId="77777777" w:rsidR="00AB4C55" w:rsidRPr="00150391" w:rsidRDefault="53BF0693">
            <w:pPr>
              <w:pStyle w:val="TableText-Normal"/>
              <w:rPr>
                <w:rFonts w:cs="Calibri"/>
              </w:rPr>
            </w:pPr>
            <w:r w:rsidRPr="00150391">
              <w:rPr>
                <w:rFonts w:cs="Calibri"/>
              </w:rPr>
              <w:t>Environment and Communications - Communications and the Arts; and Environment and Energy</w:t>
            </w:r>
          </w:p>
          <w:p w14:paraId="70B164A1" w14:textId="77777777" w:rsidR="00AB4C55" w:rsidRPr="00150391" w:rsidRDefault="6B6EE5C4">
            <w:pPr>
              <w:pStyle w:val="TableText-NormalIndented"/>
              <w:rPr>
                <w:rFonts w:cs="Calibri"/>
              </w:rPr>
            </w:pPr>
            <w:r w:rsidRPr="00150391">
              <w:rPr>
                <w:rFonts w:cs="Calibri"/>
              </w:rPr>
              <w:t>Estimates Officer - ph: (02) 6277 3526</w:t>
            </w:r>
          </w:p>
          <w:p w14:paraId="606E603C" w14:textId="5EBF4ADC" w:rsidR="00CF2D10" w:rsidRPr="00150391" w:rsidRDefault="53BF0693" w:rsidP="53BF0693">
            <w:pPr>
              <w:pStyle w:val="TableText-NormalIndented"/>
              <w:rPr>
                <w:rStyle w:val="Hyperlink"/>
                <w:rFonts w:ascii="Calibri" w:hAnsi="Calibri" w:cs="Calibri"/>
              </w:rPr>
            </w:pPr>
            <w:r w:rsidRPr="00150391">
              <w:rPr>
                <w:rFonts w:cs="Calibri"/>
              </w:rPr>
              <w:t xml:space="preserve">Email:  </w:t>
            </w:r>
            <w:hyperlink r:id="rId39">
              <w:r w:rsidRPr="002B4935">
                <w:rPr>
                  <w:rStyle w:val="Hyperlink"/>
                  <w:rFonts w:ascii="Calibri" w:hAnsi="Calibri" w:cs="Calibri"/>
                  <w:color w:val="0070C0"/>
                </w:rPr>
                <w:t>ec.sen@aph.gov.au</w:t>
              </w:r>
            </w:hyperlink>
          </w:p>
        </w:tc>
        <w:tc>
          <w:tcPr>
            <w:tcW w:w="2552" w:type="dxa"/>
          </w:tcPr>
          <w:p w14:paraId="056EBF6F" w14:textId="77777777" w:rsidR="00AB4C55" w:rsidRPr="00150391" w:rsidRDefault="53BF0693">
            <w:pPr>
              <w:pStyle w:val="TableText-Normal"/>
              <w:rPr>
                <w:rFonts w:cs="Calibri"/>
              </w:rPr>
            </w:pPr>
            <w:r w:rsidRPr="00150391">
              <w:rPr>
                <w:rFonts w:cs="Calibri"/>
              </w:rPr>
              <w:t>5 copies</w:t>
            </w:r>
          </w:p>
        </w:tc>
      </w:tr>
      <w:tr w:rsidR="0065398A" w:rsidRPr="00150391" w14:paraId="74F47739" w14:textId="77777777" w:rsidTr="00A8355D">
        <w:tc>
          <w:tcPr>
            <w:tcW w:w="7366" w:type="dxa"/>
          </w:tcPr>
          <w:p w14:paraId="558E177B" w14:textId="77777777" w:rsidR="00AB4C55" w:rsidRPr="00150391" w:rsidRDefault="53BF0693">
            <w:pPr>
              <w:pStyle w:val="TableText-Normal"/>
              <w:rPr>
                <w:rFonts w:cs="Calibri"/>
              </w:rPr>
            </w:pPr>
            <w:r w:rsidRPr="00150391">
              <w:rPr>
                <w:rFonts w:cs="Calibri"/>
              </w:rPr>
              <w:t>Finance and Public Administration - Prime Minister and Cabinet, and Finance</w:t>
            </w:r>
          </w:p>
          <w:p w14:paraId="4727BEDF" w14:textId="77777777" w:rsidR="00AB4C55" w:rsidRPr="00150391" w:rsidRDefault="6B6EE5C4">
            <w:pPr>
              <w:pStyle w:val="TableText-NormalIndented"/>
              <w:rPr>
                <w:rFonts w:cs="Calibri"/>
              </w:rPr>
            </w:pPr>
            <w:r w:rsidRPr="00150391">
              <w:rPr>
                <w:rFonts w:cs="Calibri"/>
              </w:rPr>
              <w:t>Estimates Officer - ph: (02) 6277 3846</w:t>
            </w:r>
          </w:p>
          <w:p w14:paraId="5AD24E25" w14:textId="6BA7CEA8" w:rsidR="00CF2D10" w:rsidRPr="00150391" w:rsidRDefault="53BF0693" w:rsidP="53BF0693">
            <w:pPr>
              <w:pStyle w:val="TableText-NormalIndented"/>
              <w:rPr>
                <w:rStyle w:val="Hyperlink"/>
                <w:rFonts w:ascii="Calibri" w:hAnsi="Calibri" w:cs="Calibri"/>
              </w:rPr>
            </w:pPr>
            <w:r w:rsidRPr="00150391">
              <w:rPr>
                <w:rFonts w:cs="Calibri"/>
              </w:rPr>
              <w:t xml:space="preserve">Email:  </w:t>
            </w:r>
            <w:hyperlink r:id="rId40">
              <w:r w:rsidRPr="002B4935">
                <w:rPr>
                  <w:rStyle w:val="Hyperlink"/>
                  <w:rFonts w:ascii="Calibri" w:hAnsi="Calibri" w:cs="Calibri"/>
                  <w:color w:val="0070C0"/>
                </w:rPr>
                <w:t>fpa.sen@aph.gov.au</w:t>
              </w:r>
            </w:hyperlink>
          </w:p>
        </w:tc>
        <w:tc>
          <w:tcPr>
            <w:tcW w:w="2552" w:type="dxa"/>
          </w:tcPr>
          <w:p w14:paraId="510CD92D" w14:textId="77777777" w:rsidR="00AB4C55" w:rsidRPr="00150391" w:rsidRDefault="53BF0693">
            <w:pPr>
              <w:pStyle w:val="TableText-Normal"/>
              <w:rPr>
                <w:rFonts w:cs="Calibri"/>
              </w:rPr>
            </w:pPr>
            <w:r w:rsidRPr="00150391">
              <w:rPr>
                <w:rFonts w:cs="Calibri"/>
              </w:rPr>
              <w:t>8 copies</w:t>
            </w:r>
          </w:p>
        </w:tc>
      </w:tr>
      <w:tr w:rsidR="0065398A" w:rsidRPr="00150391" w14:paraId="6FFB4FE7" w14:textId="77777777" w:rsidTr="00A8355D">
        <w:tc>
          <w:tcPr>
            <w:tcW w:w="7366" w:type="dxa"/>
          </w:tcPr>
          <w:p w14:paraId="618ECAC7" w14:textId="77777777" w:rsidR="00322115" w:rsidRPr="00150391" w:rsidRDefault="53BF0693">
            <w:pPr>
              <w:pStyle w:val="TableText-Normal"/>
              <w:rPr>
                <w:rFonts w:cs="Calibri"/>
              </w:rPr>
            </w:pPr>
            <w:r w:rsidRPr="00150391">
              <w:rPr>
                <w:rFonts w:cs="Calibri"/>
              </w:rPr>
              <w:t>Foreign Affairs, Defence and Trade - Defence (including Veterans' Affairs), Foreign Affairs and Trade</w:t>
            </w:r>
          </w:p>
          <w:p w14:paraId="3E0624E9" w14:textId="77777777" w:rsidR="00AB4C55" w:rsidRPr="00150391" w:rsidRDefault="6B6EE5C4">
            <w:pPr>
              <w:pStyle w:val="TableText-NormalIndented"/>
              <w:rPr>
                <w:rFonts w:cs="Calibri"/>
              </w:rPr>
            </w:pPr>
            <w:r w:rsidRPr="00150391">
              <w:rPr>
                <w:rFonts w:cs="Calibri"/>
              </w:rPr>
              <w:t>Estimates Officer - ph: (02) 6277 3535</w:t>
            </w:r>
          </w:p>
          <w:p w14:paraId="0CC2D8B6" w14:textId="1FB00316" w:rsidR="00CF2D10" w:rsidRPr="00150391" w:rsidRDefault="53BF0693" w:rsidP="53BF0693">
            <w:pPr>
              <w:pStyle w:val="TableText-NormalIndented"/>
              <w:rPr>
                <w:rStyle w:val="Hyperlink"/>
                <w:rFonts w:ascii="Calibri" w:hAnsi="Calibri" w:cs="Calibri"/>
              </w:rPr>
            </w:pPr>
            <w:r w:rsidRPr="00150391">
              <w:rPr>
                <w:rFonts w:cs="Calibri"/>
              </w:rPr>
              <w:t xml:space="preserve">Email:  </w:t>
            </w:r>
            <w:hyperlink r:id="rId41">
              <w:r w:rsidRPr="002B4935">
                <w:rPr>
                  <w:rStyle w:val="Hyperlink"/>
                  <w:rFonts w:ascii="Calibri" w:hAnsi="Calibri" w:cs="Calibri"/>
                  <w:color w:val="0070C0"/>
                </w:rPr>
                <w:t>fadt.sen@aph.gov.au</w:t>
              </w:r>
            </w:hyperlink>
          </w:p>
        </w:tc>
        <w:tc>
          <w:tcPr>
            <w:tcW w:w="2552" w:type="dxa"/>
          </w:tcPr>
          <w:p w14:paraId="2A007E55" w14:textId="77777777" w:rsidR="00AB4C55" w:rsidRPr="00150391" w:rsidRDefault="53BF0693">
            <w:pPr>
              <w:pStyle w:val="TableText-Normal"/>
              <w:rPr>
                <w:rFonts w:cs="Calibri"/>
              </w:rPr>
            </w:pPr>
            <w:r w:rsidRPr="00150391">
              <w:rPr>
                <w:rFonts w:cs="Calibri"/>
              </w:rPr>
              <w:t>6 copies</w:t>
            </w:r>
          </w:p>
        </w:tc>
      </w:tr>
      <w:tr w:rsidR="0065398A" w:rsidRPr="00150391" w14:paraId="053B4A4C" w14:textId="77777777" w:rsidTr="00A8355D">
        <w:tc>
          <w:tcPr>
            <w:tcW w:w="7366" w:type="dxa"/>
          </w:tcPr>
          <w:p w14:paraId="173546A2" w14:textId="77777777" w:rsidR="00322115" w:rsidRPr="00150391" w:rsidRDefault="53BF0693">
            <w:pPr>
              <w:pStyle w:val="TableText-Normal"/>
              <w:rPr>
                <w:rFonts w:cs="Calibri"/>
              </w:rPr>
            </w:pPr>
            <w:r w:rsidRPr="00150391">
              <w:rPr>
                <w:rFonts w:cs="Calibri"/>
              </w:rPr>
              <w:t>Legal and Constitutional Affairs - Attorney-General and Home Affairs</w:t>
            </w:r>
          </w:p>
          <w:p w14:paraId="71E3761D" w14:textId="77777777" w:rsidR="00AB4C55" w:rsidRPr="00150391" w:rsidRDefault="6B6EE5C4">
            <w:pPr>
              <w:pStyle w:val="TableText-NormalIndented"/>
              <w:rPr>
                <w:rFonts w:cs="Calibri"/>
              </w:rPr>
            </w:pPr>
            <w:r w:rsidRPr="00150391">
              <w:rPr>
                <w:rFonts w:cs="Calibri"/>
              </w:rPr>
              <w:t>Estimates Officer - ph: (02) 6277 3560</w:t>
            </w:r>
          </w:p>
          <w:p w14:paraId="3E371864" w14:textId="3E7326CD" w:rsidR="00E96E44" w:rsidRPr="00150391" w:rsidRDefault="53BF0693" w:rsidP="53BF0693">
            <w:pPr>
              <w:pStyle w:val="TableText-NormalIndented"/>
              <w:rPr>
                <w:rStyle w:val="Hyperlink"/>
                <w:rFonts w:ascii="Calibri" w:hAnsi="Calibri" w:cs="Calibri"/>
              </w:rPr>
            </w:pPr>
            <w:r w:rsidRPr="00150391">
              <w:rPr>
                <w:rFonts w:cs="Calibri"/>
              </w:rPr>
              <w:t xml:space="preserve">Email:  </w:t>
            </w:r>
            <w:hyperlink r:id="rId42">
              <w:r w:rsidRPr="002B4935">
                <w:rPr>
                  <w:rStyle w:val="Hyperlink"/>
                  <w:rFonts w:ascii="Calibri" w:hAnsi="Calibri" w:cs="Calibri"/>
                  <w:color w:val="0070C0"/>
                </w:rPr>
                <w:t>legcon.sen@aph.gov.au</w:t>
              </w:r>
            </w:hyperlink>
          </w:p>
        </w:tc>
        <w:tc>
          <w:tcPr>
            <w:tcW w:w="2552" w:type="dxa"/>
          </w:tcPr>
          <w:p w14:paraId="62AF96DB" w14:textId="77777777" w:rsidR="00AB4C55" w:rsidRPr="00150391" w:rsidRDefault="53BF0693">
            <w:pPr>
              <w:pStyle w:val="TableText-Normal"/>
              <w:rPr>
                <w:rFonts w:cs="Calibri"/>
              </w:rPr>
            </w:pPr>
            <w:r w:rsidRPr="00150391">
              <w:rPr>
                <w:rFonts w:cs="Calibri"/>
              </w:rPr>
              <w:t>3 copies</w:t>
            </w:r>
          </w:p>
        </w:tc>
      </w:tr>
      <w:tr w:rsidR="0065398A" w:rsidRPr="00150391" w14:paraId="5838EC5C" w14:textId="77777777" w:rsidTr="00A8355D">
        <w:tc>
          <w:tcPr>
            <w:tcW w:w="7366" w:type="dxa"/>
          </w:tcPr>
          <w:p w14:paraId="4E9DE6F4" w14:textId="24021DCE" w:rsidR="00AB4C55" w:rsidRPr="00150391" w:rsidRDefault="53BF0693">
            <w:pPr>
              <w:pStyle w:val="TableText-Normal"/>
              <w:rPr>
                <w:rFonts w:cs="Calibri"/>
              </w:rPr>
            </w:pPr>
            <w:r w:rsidRPr="00150391">
              <w:rPr>
                <w:rFonts w:cs="Calibri"/>
              </w:rPr>
              <w:t>Rural and Regional Affairs and Transport – Agriculture</w:t>
            </w:r>
            <w:r w:rsidR="00D76AF8" w:rsidRPr="00150391">
              <w:rPr>
                <w:rFonts w:cs="Calibri"/>
              </w:rPr>
              <w:t>;</w:t>
            </w:r>
            <w:r w:rsidRPr="00150391">
              <w:rPr>
                <w:rFonts w:cs="Calibri"/>
              </w:rPr>
              <w:t xml:space="preserve"> Infrastructure, Transport, Cities and Regional Development</w:t>
            </w:r>
          </w:p>
          <w:p w14:paraId="1AB1F1F7" w14:textId="77777777" w:rsidR="00DB70C4" w:rsidRPr="00150391" w:rsidRDefault="6B6EE5C4">
            <w:pPr>
              <w:pStyle w:val="TableText-NormalIndented"/>
              <w:rPr>
                <w:rFonts w:cs="Calibri"/>
              </w:rPr>
            </w:pPr>
            <w:r w:rsidRPr="00150391">
              <w:rPr>
                <w:rFonts w:cs="Calibri"/>
              </w:rPr>
              <w:t>Estimates Officer - ph: (02) 6277 3511</w:t>
            </w:r>
          </w:p>
          <w:p w14:paraId="379C439C" w14:textId="62A46F12" w:rsidR="00E96E44" w:rsidRPr="00150391" w:rsidRDefault="53BF0693">
            <w:pPr>
              <w:pStyle w:val="TableText-NormalIndented"/>
              <w:rPr>
                <w:rFonts w:cs="Calibri"/>
              </w:rPr>
            </w:pPr>
            <w:r w:rsidRPr="00150391">
              <w:rPr>
                <w:rFonts w:cs="Calibri"/>
              </w:rPr>
              <w:t xml:space="preserve">Email:  </w:t>
            </w:r>
            <w:hyperlink r:id="rId43">
              <w:r w:rsidRPr="002B4935">
                <w:rPr>
                  <w:rStyle w:val="Hyperlink"/>
                  <w:rFonts w:ascii="Calibri" w:hAnsi="Calibri" w:cs="Calibri"/>
                  <w:color w:val="0070C0"/>
                </w:rPr>
                <w:t>rrat.sen@aph.gov.au</w:t>
              </w:r>
            </w:hyperlink>
          </w:p>
        </w:tc>
        <w:tc>
          <w:tcPr>
            <w:tcW w:w="2552" w:type="dxa"/>
          </w:tcPr>
          <w:p w14:paraId="00DA77F7" w14:textId="77777777" w:rsidR="00AB4C55" w:rsidRPr="00150391" w:rsidRDefault="53BF0693">
            <w:pPr>
              <w:pStyle w:val="TableText-Normal"/>
              <w:rPr>
                <w:rFonts w:cs="Calibri"/>
              </w:rPr>
            </w:pPr>
            <w:r w:rsidRPr="00150391">
              <w:rPr>
                <w:rFonts w:cs="Calibri"/>
              </w:rPr>
              <w:t>3 copies</w:t>
            </w:r>
          </w:p>
        </w:tc>
      </w:tr>
      <w:tr w:rsidR="008D06CA" w:rsidRPr="00150391" w14:paraId="10F8E1E4" w14:textId="77777777" w:rsidTr="00A8355D">
        <w:tc>
          <w:tcPr>
            <w:tcW w:w="7366" w:type="dxa"/>
          </w:tcPr>
          <w:p w14:paraId="213D7B09" w14:textId="68C8FFE2" w:rsidR="008D06CA" w:rsidRPr="00150391" w:rsidRDefault="008D06CA" w:rsidP="008D06CA">
            <w:pPr>
              <w:pStyle w:val="TableText-Normal"/>
              <w:rPr>
                <w:rFonts w:cs="Calibri"/>
              </w:rPr>
            </w:pPr>
            <w:r w:rsidRPr="00150391">
              <w:rPr>
                <w:rFonts w:cs="Calibri"/>
              </w:rPr>
              <w:t>Commonwealth Library Deposit and Free Issue Schemes (LDS)</w:t>
            </w:r>
          </w:p>
          <w:p w14:paraId="79A137CF" w14:textId="7E991DF5" w:rsidR="008D06CA" w:rsidRPr="00150391" w:rsidRDefault="008D06CA" w:rsidP="00A8355D">
            <w:pPr>
              <w:pStyle w:val="TableText-Normal"/>
              <w:spacing w:before="0" w:after="0" w:line="300" w:lineRule="exact"/>
              <w:contextualSpacing/>
              <w:rPr>
                <w:rFonts w:cs="Calibri"/>
              </w:rPr>
            </w:pPr>
            <w:r w:rsidRPr="00150391">
              <w:rPr>
                <w:rFonts w:cs="Calibri"/>
              </w:rPr>
              <w:t xml:space="preserve">email: </w:t>
            </w:r>
            <w:r w:rsidRPr="00150391">
              <w:rPr>
                <w:rFonts w:cs="Calibri"/>
              </w:rPr>
              <w:tab/>
            </w:r>
            <w:hyperlink r:id="rId44">
              <w:r w:rsidRPr="002B4935">
                <w:rPr>
                  <w:rStyle w:val="Hyperlink"/>
                  <w:rFonts w:ascii="Calibri" w:hAnsi="Calibri" w:cs="Calibri"/>
                  <w:color w:val="0070C0"/>
                </w:rPr>
                <w:t>info@dta.gov.au</w:t>
              </w:r>
            </w:hyperlink>
            <w:r w:rsidRPr="002B4935">
              <w:rPr>
                <w:rStyle w:val="Hyperlink"/>
                <w:rFonts w:ascii="Calibri" w:hAnsi="Calibri" w:cs="Calibri"/>
                <w:color w:val="0070C0"/>
              </w:rPr>
              <w:t xml:space="preserve"> </w:t>
            </w:r>
            <w:r w:rsidRPr="00150391">
              <w:rPr>
                <w:rStyle w:val="Hyperlink"/>
                <w:rFonts w:ascii="Calibri" w:hAnsi="Calibri" w:cs="Calibri"/>
              </w:rPr>
              <w:br/>
            </w:r>
            <w:r w:rsidRPr="00150391">
              <w:rPr>
                <w:rFonts w:cs="Calibri"/>
              </w:rPr>
              <w:t xml:space="preserve">ph: </w:t>
            </w:r>
            <w:r w:rsidRPr="00150391">
              <w:rPr>
                <w:rFonts w:cs="Calibri"/>
              </w:rPr>
              <w:tab/>
            </w:r>
            <w:r w:rsidRPr="00150391">
              <w:rPr>
                <w:rFonts w:cs="Calibri"/>
              </w:rPr>
              <w:tab/>
              <w:t>02 6120 8707</w:t>
            </w:r>
            <w:r w:rsidRPr="00150391">
              <w:rPr>
                <w:rFonts w:cs="Calibri"/>
              </w:rPr>
              <w:br/>
              <w:t xml:space="preserve">Website: </w:t>
            </w:r>
            <w:r w:rsidRPr="00150391">
              <w:rPr>
                <w:rFonts w:cs="Calibri"/>
              </w:rPr>
              <w:tab/>
            </w:r>
            <w:hyperlink r:id="rId45">
              <w:r w:rsidRPr="002B4935">
                <w:rPr>
                  <w:rStyle w:val="Hyperlink"/>
                  <w:rFonts w:ascii="Calibri" w:hAnsi="Calibri" w:cs="Calibri"/>
                  <w:color w:val="0070C0"/>
                </w:rPr>
                <w:t>www.dta.gov.au/help-and-advice/guides-and-tools/commonwealth-library-deposit-and-free-issue-schemes</w:t>
              </w:r>
            </w:hyperlink>
          </w:p>
        </w:tc>
        <w:tc>
          <w:tcPr>
            <w:tcW w:w="2552" w:type="dxa"/>
          </w:tcPr>
          <w:p w14:paraId="487670AB" w14:textId="77777777" w:rsidR="008D06CA" w:rsidRPr="00150391" w:rsidRDefault="008D06CA" w:rsidP="008D06CA">
            <w:pPr>
              <w:pStyle w:val="TableText-Normal"/>
              <w:rPr>
                <w:rFonts w:cs="Calibri"/>
              </w:rPr>
            </w:pPr>
            <w:r w:rsidRPr="00150391">
              <w:rPr>
                <w:rFonts w:cs="Calibri"/>
              </w:rPr>
              <w:t>17 copies</w:t>
            </w:r>
          </w:p>
          <w:p w14:paraId="38E70007" w14:textId="0BB2E35C" w:rsidR="008D06CA" w:rsidRPr="00150391" w:rsidRDefault="008D06CA" w:rsidP="008D06CA">
            <w:pPr>
              <w:pStyle w:val="TableText-Normal"/>
              <w:rPr>
                <w:rFonts w:cs="Calibri"/>
              </w:rPr>
            </w:pPr>
            <w:r w:rsidRPr="00150391">
              <w:rPr>
                <w:rFonts w:cs="Calibri"/>
              </w:rPr>
              <w:t>(please check Library Deposit website prior to printing)</w:t>
            </w:r>
          </w:p>
        </w:tc>
      </w:tr>
    </w:tbl>
    <w:p w14:paraId="2731B370" w14:textId="727E9119" w:rsidR="0049098A" w:rsidRPr="00150391" w:rsidRDefault="6B6EE5C4" w:rsidP="00CF6BE7">
      <w:pPr>
        <w:pStyle w:val="Heading2Numbered"/>
        <w:rPr>
          <w:rFonts w:ascii="Calibri" w:hAnsi="Calibri" w:cs="Calibri"/>
        </w:rPr>
      </w:pPr>
      <w:bookmarkStart w:id="382" w:name="_Toc62648841"/>
      <w:bookmarkStart w:id="383" w:name="_Toc63347687"/>
      <w:bookmarkStart w:id="384" w:name="_Toc114576274"/>
      <w:bookmarkStart w:id="385" w:name="_Toc406683948"/>
      <w:bookmarkStart w:id="386" w:name="_Toc411852670"/>
      <w:bookmarkEnd w:id="382"/>
      <w:r w:rsidRPr="00150391">
        <w:rPr>
          <w:rFonts w:ascii="Calibri" w:hAnsi="Calibri" w:cs="Calibri"/>
        </w:rPr>
        <w:t>Protected-rated email/CabNet requirements</w:t>
      </w:r>
      <w:bookmarkEnd w:id="383"/>
      <w:bookmarkEnd w:id="384"/>
    </w:p>
    <w:p w14:paraId="38BDA329" w14:textId="77777777" w:rsidR="0049098A" w:rsidRPr="00150391" w:rsidRDefault="6B6EE5C4">
      <w:pPr>
        <w:rPr>
          <w:rFonts w:cs="Calibri"/>
        </w:rPr>
      </w:pPr>
      <w:r w:rsidRPr="00150391">
        <w:rPr>
          <w:rFonts w:cs="Calibri"/>
        </w:rPr>
        <w:t xml:space="preserve">As PB Statements are under embargo until they are tabled in Parliament, </w:t>
      </w:r>
      <w:r w:rsidR="00396887" w:rsidRPr="00150391">
        <w:rPr>
          <w:rFonts w:cs="Calibri"/>
        </w:rPr>
        <w:t>p</w:t>
      </w:r>
      <w:r w:rsidRPr="00150391">
        <w:rPr>
          <w:rFonts w:cs="Calibri"/>
        </w:rPr>
        <w:t>ortfolios will need to send electronic copies of their Adobe PDFs and Financial Tables via Protected-rated email or via CabNet.</w:t>
      </w:r>
    </w:p>
    <w:p w14:paraId="5E291CB5" w14:textId="5A4B551B" w:rsidR="0049098A" w:rsidRPr="00150391" w:rsidRDefault="6B6EE5C4" w:rsidP="6B6EE5C4">
      <w:pPr>
        <w:pStyle w:val="Bullet1"/>
        <w:rPr>
          <w:rStyle w:val="Hyperlink"/>
          <w:rFonts w:ascii="Calibri" w:eastAsiaTheme="minorEastAsia" w:hAnsi="Calibri" w:cs="Calibri"/>
          <w:u w:val="none"/>
        </w:rPr>
      </w:pPr>
      <w:r w:rsidRPr="00150391">
        <w:rPr>
          <w:rFonts w:ascii="Calibri" w:hAnsi="Calibri" w:cs="Calibri"/>
        </w:rPr>
        <w:t xml:space="preserve">To check whether your entity has Protected-rated email, please refer to the </w:t>
      </w:r>
      <w:hyperlink r:id="rId46" w:history="1">
        <w:r w:rsidRPr="00150391">
          <w:rPr>
            <w:rStyle w:val="Hyperlink"/>
            <w:rFonts w:ascii="Calibri" w:hAnsi="Calibri" w:cs="Calibri"/>
          </w:rPr>
          <w:t>GovLink user list</w:t>
        </w:r>
      </w:hyperlink>
      <w:r w:rsidRPr="00150391">
        <w:rPr>
          <w:rFonts w:ascii="Calibri" w:hAnsi="Calibri" w:cs="Calibri"/>
        </w:rPr>
        <w:t>.</w:t>
      </w:r>
      <w:r w:rsidR="00E2134A" w:rsidRPr="00150391">
        <w:rPr>
          <w:rFonts w:ascii="Calibri" w:hAnsi="Calibri" w:cs="Calibri"/>
        </w:rPr>
        <w:tab/>
      </w:r>
    </w:p>
    <w:p w14:paraId="6A3F2A29" w14:textId="77777777" w:rsidR="0049098A" w:rsidRPr="00150391" w:rsidRDefault="6B6EE5C4" w:rsidP="00580008">
      <w:pPr>
        <w:pStyle w:val="Boxed2Text"/>
        <w:rPr>
          <w:rFonts w:cs="Calibri"/>
          <w:u w:color="0070C0"/>
        </w:rPr>
      </w:pPr>
      <w:r w:rsidRPr="00150391">
        <w:rPr>
          <w:rStyle w:val="Hyperlink"/>
          <w:rFonts w:ascii="Calibri" w:hAnsi="Calibri" w:cs="Calibri"/>
          <w:u w:val="none"/>
        </w:rPr>
        <w:t xml:space="preserve">Click on the </w:t>
      </w:r>
      <w:r w:rsidRPr="00150391">
        <w:rPr>
          <w:rStyle w:val="Hyperlink"/>
          <w:rFonts w:ascii="Calibri" w:hAnsi="Calibri" w:cs="Calibri"/>
          <w:i/>
          <w:iCs/>
          <w:u w:val="none"/>
        </w:rPr>
        <w:t>User List</w:t>
      </w:r>
      <w:r w:rsidRPr="00150391">
        <w:rPr>
          <w:rStyle w:val="Hyperlink"/>
          <w:rFonts w:ascii="Calibri" w:hAnsi="Calibri" w:cs="Calibri"/>
          <w:u w:val="none"/>
        </w:rPr>
        <w:t xml:space="preserve"> to view the list of organisations currently using the GovLink network.</w:t>
      </w:r>
    </w:p>
    <w:p w14:paraId="14416201" w14:textId="77777777" w:rsidR="00322224" w:rsidRPr="00150391" w:rsidRDefault="53BF0693" w:rsidP="00CF6BE7">
      <w:pPr>
        <w:pStyle w:val="Heading2Numbered"/>
        <w:rPr>
          <w:rFonts w:ascii="Calibri" w:hAnsi="Calibri" w:cs="Calibri"/>
        </w:rPr>
      </w:pPr>
      <w:bookmarkStart w:id="387" w:name="_Toc30405546"/>
      <w:bookmarkStart w:id="388" w:name="_Toc30581287"/>
      <w:bookmarkStart w:id="389" w:name="_Toc32829949"/>
      <w:bookmarkStart w:id="390" w:name="_Toc32917453"/>
      <w:bookmarkStart w:id="391" w:name="_Toc32918259"/>
      <w:bookmarkStart w:id="392" w:name="_Toc32999642"/>
      <w:bookmarkStart w:id="393" w:name="_Toc33099361"/>
      <w:bookmarkStart w:id="394" w:name="_Toc33195991"/>
      <w:bookmarkStart w:id="395" w:name="_Toc33196293"/>
      <w:bookmarkStart w:id="396" w:name="_Toc30405547"/>
      <w:bookmarkStart w:id="397" w:name="_Toc30581288"/>
      <w:bookmarkStart w:id="398" w:name="_Toc32829950"/>
      <w:bookmarkStart w:id="399" w:name="_Toc32917454"/>
      <w:bookmarkStart w:id="400" w:name="_Toc32918260"/>
      <w:bookmarkStart w:id="401" w:name="_Toc32999643"/>
      <w:bookmarkStart w:id="402" w:name="_Toc33099362"/>
      <w:bookmarkStart w:id="403" w:name="_Toc33195992"/>
      <w:bookmarkStart w:id="404" w:name="_Toc33196294"/>
      <w:bookmarkStart w:id="405" w:name="_Toc30405548"/>
      <w:bookmarkStart w:id="406" w:name="_Toc30581289"/>
      <w:bookmarkStart w:id="407" w:name="_Toc32829951"/>
      <w:bookmarkStart w:id="408" w:name="_Toc32917455"/>
      <w:bookmarkStart w:id="409" w:name="_Toc32918261"/>
      <w:bookmarkStart w:id="410" w:name="_Toc32999644"/>
      <w:bookmarkStart w:id="411" w:name="_Toc33099363"/>
      <w:bookmarkStart w:id="412" w:name="_Toc33195993"/>
      <w:bookmarkStart w:id="413" w:name="_Toc33196295"/>
      <w:bookmarkStart w:id="414" w:name="_Toc63347688"/>
      <w:bookmarkStart w:id="415" w:name="_Toc114576275"/>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150391">
        <w:rPr>
          <w:rFonts w:ascii="Calibri" w:hAnsi="Calibri" w:cs="Calibri"/>
        </w:rPr>
        <w:t>Budget media lockup hard copy and PDF requirements</w:t>
      </w:r>
      <w:bookmarkEnd w:id="414"/>
      <w:bookmarkEnd w:id="415"/>
    </w:p>
    <w:p w14:paraId="2B59848D" w14:textId="77777777" w:rsidR="00FA0945" w:rsidRPr="00150391" w:rsidRDefault="53BF0693" w:rsidP="000A7DEC">
      <w:pPr>
        <w:rPr>
          <w:rFonts w:cs="Calibri"/>
        </w:rPr>
      </w:pPr>
      <w:r w:rsidRPr="00150391">
        <w:rPr>
          <w:rFonts w:cs="Calibri"/>
        </w:rPr>
        <w:t>Portfolios are to supply both printed copies of their PB Statements as well as PDF copies so they can be made available to the media in the Budget lock-up.</w:t>
      </w:r>
    </w:p>
    <w:p w14:paraId="243ED3F1" w14:textId="4B2A9D18" w:rsidR="00A326FB" w:rsidRPr="00150391" w:rsidRDefault="53BF0693">
      <w:pPr>
        <w:pStyle w:val="BodyText"/>
        <w:rPr>
          <w:rFonts w:cs="Calibri"/>
        </w:rPr>
      </w:pPr>
      <w:r w:rsidRPr="00150391">
        <w:rPr>
          <w:rFonts w:cs="Calibri"/>
        </w:rPr>
        <w:t xml:space="preserve">Portfolios should email PDF copies of their full PB Statements by </w:t>
      </w:r>
      <w:r w:rsidRPr="00150391">
        <w:rPr>
          <w:rFonts w:cs="Calibri"/>
          <w:b/>
          <w:bCs/>
        </w:rPr>
        <w:t xml:space="preserve">4:30pm </w:t>
      </w:r>
      <w:r w:rsidRPr="00150391">
        <w:rPr>
          <w:rFonts w:cs="Calibri"/>
          <w:b/>
        </w:rPr>
        <w:t>Monday,</w:t>
      </w:r>
      <w:r w:rsidRPr="00150391">
        <w:rPr>
          <w:rFonts w:cs="Calibri"/>
          <w:b/>
          <w:bCs/>
        </w:rPr>
        <w:t xml:space="preserve"> </w:t>
      </w:r>
      <w:r w:rsidR="00D9046D" w:rsidRPr="00150391">
        <w:rPr>
          <w:rFonts w:cs="Calibri"/>
          <w:b/>
        </w:rPr>
        <w:t>2</w:t>
      </w:r>
      <w:r w:rsidR="00DA4A69" w:rsidRPr="00150391">
        <w:rPr>
          <w:rFonts w:cs="Calibri"/>
          <w:b/>
        </w:rPr>
        <w:t>4</w:t>
      </w:r>
      <w:r w:rsidR="0081792A" w:rsidRPr="00150391">
        <w:rPr>
          <w:rFonts w:cs="Calibri"/>
          <w:b/>
        </w:rPr>
        <w:t> </w:t>
      </w:r>
      <w:r w:rsidR="00DA4A69" w:rsidRPr="00150391">
        <w:rPr>
          <w:rFonts w:cs="Calibri"/>
          <w:b/>
        </w:rPr>
        <w:t xml:space="preserve">October </w:t>
      </w:r>
      <w:r w:rsidR="0081792A" w:rsidRPr="00150391">
        <w:rPr>
          <w:rFonts w:cs="Calibri"/>
          <w:b/>
        </w:rPr>
        <w:t>2022</w:t>
      </w:r>
      <w:r w:rsidR="0081792A" w:rsidRPr="00150391">
        <w:rPr>
          <w:rFonts w:cs="Calibri"/>
          <w:b/>
          <w:bCs/>
        </w:rPr>
        <w:t xml:space="preserve"> </w:t>
      </w:r>
      <w:r w:rsidRPr="00150391">
        <w:rPr>
          <w:rFonts w:cs="Calibri"/>
        </w:rPr>
        <w:t xml:space="preserve">via </w:t>
      </w:r>
      <w:r w:rsidRPr="00150391">
        <w:rPr>
          <w:rFonts w:cs="Calibri"/>
          <w:b/>
          <w:bCs/>
        </w:rPr>
        <w:t>Protected-rated email</w:t>
      </w:r>
      <w:r w:rsidRPr="00150391">
        <w:rPr>
          <w:rFonts w:cs="Calibri"/>
        </w:rPr>
        <w:t xml:space="preserve"> to:</w:t>
      </w:r>
    </w:p>
    <w:p w14:paraId="1955794E" w14:textId="63583B81" w:rsidR="00E3115E" w:rsidRPr="00150391" w:rsidRDefault="6B6EE5C4" w:rsidP="00A8355D">
      <w:pPr>
        <w:pStyle w:val="Bullet1"/>
        <w:rPr>
          <w:rFonts w:ascii="Calibri" w:hAnsi="Calibri" w:cs="Calibri"/>
        </w:rPr>
      </w:pPr>
      <w:r w:rsidRPr="00150391">
        <w:rPr>
          <w:rFonts w:ascii="Calibri" w:hAnsi="Calibri" w:cs="Calibri"/>
        </w:rPr>
        <w:t xml:space="preserve">Finance by emailing the </w:t>
      </w:r>
      <w:hyperlink r:id="rId47">
        <w:r w:rsidRPr="002B4935">
          <w:rPr>
            <w:rStyle w:val="Hyperlink"/>
            <w:rFonts w:ascii="Calibri" w:hAnsi="Calibri" w:cs="Calibri"/>
            <w:color w:val="0070C0"/>
          </w:rPr>
          <w:t>budget_framework@finance.gov.au</w:t>
        </w:r>
      </w:hyperlink>
      <w:r w:rsidRPr="00150391">
        <w:rPr>
          <w:rFonts w:ascii="Calibri" w:hAnsi="Calibri" w:cs="Calibri"/>
        </w:rPr>
        <w:t xml:space="preserve"> mailbox or via CabNet for the attention of </w:t>
      </w:r>
      <w:hyperlink r:id="rId48">
        <w:r w:rsidRPr="002B4935">
          <w:rPr>
            <w:rStyle w:val="Hyperlink"/>
            <w:rFonts w:ascii="Calibri" w:hAnsi="Calibri" w:cs="Calibri"/>
            <w:color w:val="0070C0"/>
          </w:rPr>
          <w:t>budget_framework@finance.gov.au</w:t>
        </w:r>
      </w:hyperlink>
    </w:p>
    <w:p w14:paraId="7F1B5403" w14:textId="744D8976" w:rsidR="00E3115E" w:rsidRPr="00150391" w:rsidRDefault="53BF0693" w:rsidP="00A8355D">
      <w:pPr>
        <w:pStyle w:val="Bullet1"/>
        <w:rPr>
          <w:rFonts w:ascii="Calibri" w:hAnsi="Calibri" w:cs="Calibri"/>
        </w:rPr>
      </w:pPr>
      <w:r w:rsidRPr="00150391">
        <w:rPr>
          <w:rFonts w:ascii="Calibri" w:hAnsi="Calibri" w:cs="Calibri"/>
        </w:rPr>
        <w:t>Treasury by emailing the</w:t>
      </w:r>
      <w:r w:rsidR="003C692B" w:rsidRPr="00150391">
        <w:rPr>
          <w:rFonts w:ascii="Calibri" w:hAnsi="Calibri" w:cs="Calibri"/>
        </w:rPr>
        <w:t xml:space="preserve"> </w:t>
      </w:r>
      <w:hyperlink r:id="rId49" w:history="1">
        <w:r w:rsidR="003C692B" w:rsidRPr="002B4935">
          <w:rPr>
            <w:rStyle w:val="Hyperlink"/>
            <w:rFonts w:ascii="Calibri" w:hAnsi="Calibri" w:cs="Calibri"/>
            <w:color w:val="0070C0"/>
          </w:rPr>
          <w:t>budgetcommunications@treasury.gov.au</w:t>
        </w:r>
      </w:hyperlink>
      <w:r w:rsidRPr="002B4935">
        <w:rPr>
          <w:rFonts w:ascii="Calibri" w:hAnsi="Calibri" w:cs="Calibri"/>
          <w:color w:val="0070C0"/>
        </w:rPr>
        <w:t xml:space="preserve"> </w:t>
      </w:r>
    </w:p>
    <w:p w14:paraId="5672FD83" w14:textId="77777777" w:rsidR="00FA0945" w:rsidRPr="00150391" w:rsidRDefault="53BF0693" w:rsidP="00A8355D">
      <w:pPr>
        <w:pStyle w:val="Bullet1"/>
        <w:rPr>
          <w:rFonts w:ascii="Calibri" w:hAnsi="Calibri" w:cs="Calibri"/>
        </w:rPr>
      </w:pPr>
      <w:r w:rsidRPr="00150391">
        <w:rPr>
          <w:rFonts w:ascii="Calibri" w:hAnsi="Calibri" w:cs="Calibri"/>
        </w:rPr>
        <w:t>Finance will also arrange for these files to be provided to the Senate Tabling Office.</w:t>
      </w:r>
    </w:p>
    <w:p w14:paraId="14745F56" w14:textId="77777777" w:rsidR="00FA0945" w:rsidRPr="00150391" w:rsidRDefault="53BF0693" w:rsidP="00CF6BE7">
      <w:pPr>
        <w:pStyle w:val="Heading2Numbered"/>
        <w:rPr>
          <w:rFonts w:ascii="Calibri" w:hAnsi="Calibri" w:cs="Calibri"/>
        </w:rPr>
      </w:pPr>
      <w:bookmarkStart w:id="416" w:name="_Toc32917457"/>
      <w:bookmarkStart w:id="417" w:name="_Toc32918263"/>
      <w:bookmarkStart w:id="418" w:name="_Toc32999646"/>
      <w:bookmarkStart w:id="419" w:name="_Toc33099365"/>
      <w:bookmarkStart w:id="420" w:name="_Toc33195995"/>
      <w:bookmarkStart w:id="421" w:name="_Toc33196297"/>
      <w:bookmarkStart w:id="422" w:name="_Toc32917458"/>
      <w:bookmarkStart w:id="423" w:name="_Toc32918264"/>
      <w:bookmarkStart w:id="424" w:name="_Toc32999647"/>
      <w:bookmarkStart w:id="425" w:name="_Toc33099366"/>
      <w:bookmarkStart w:id="426" w:name="_Toc33195996"/>
      <w:bookmarkStart w:id="427" w:name="_Toc33196298"/>
      <w:bookmarkStart w:id="428" w:name="_Toc32917459"/>
      <w:bookmarkStart w:id="429" w:name="_Toc32918265"/>
      <w:bookmarkStart w:id="430" w:name="_Toc32999648"/>
      <w:bookmarkStart w:id="431" w:name="_Toc33099367"/>
      <w:bookmarkStart w:id="432" w:name="_Toc33195997"/>
      <w:bookmarkStart w:id="433" w:name="_Toc33196299"/>
      <w:bookmarkStart w:id="434" w:name="_Toc534803489"/>
      <w:bookmarkStart w:id="435" w:name="_Toc534814180"/>
      <w:bookmarkStart w:id="436" w:name="_Toc536108553"/>
      <w:bookmarkStart w:id="437" w:name="_Toc536802103"/>
      <w:bookmarkStart w:id="438" w:name="_Ref46251412"/>
      <w:bookmarkStart w:id="439" w:name="_Ref46251417"/>
      <w:bookmarkStart w:id="440" w:name="_Toc63347689"/>
      <w:bookmarkStart w:id="441" w:name="_Toc114576276"/>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150391">
        <w:rPr>
          <w:rFonts w:ascii="Calibri" w:hAnsi="Calibri" w:cs="Calibri"/>
        </w:rPr>
        <w:t>Online publication</w:t>
      </w:r>
      <w:bookmarkEnd w:id="385"/>
      <w:bookmarkEnd w:id="386"/>
      <w:bookmarkEnd w:id="438"/>
      <w:bookmarkEnd w:id="439"/>
      <w:bookmarkEnd w:id="440"/>
      <w:bookmarkEnd w:id="441"/>
    </w:p>
    <w:p w14:paraId="4F7A2A6D" w14:textId="77777777" w:rsidR="00FA0945" w:rsidRPr="00150391" w:rsidRDefault="53BF0693" w:rsidP="00CF6BE7">
      <w:pPr>
        <w:pStyle w:val="Heading3Numbered"/>
        <w:rPr>
          <w:rFonts w:ascii="Calibri" w:hAnsi="Calibri" w:cs="Calibri"/>
        </w:rPr>
      </w:pPr>
      <w:bookmarkStart w:id="442" w:name="_Toc63347690"/>
      <w:bookmarkStart w:id="443" w:name="_Toc114576277"/>
      <w:r w:rsidRPr="00150391">
        <w:rPr>
          <w:rFonts w:ascii="Calibri" w:hAnsi="Calibri" w:cs="Calibri"/>
        </w:rPr>
        <w:t>Publishing the PB Statements on the internet</w:t>
      </w:r>
      <w:bookmarkEnd w:id="442"/>
      <w:bookmarkEnd w:id="443"/>
    </w:p>
    <w:p w14:paraId="1CBA7CAE" w14:textId="69812605" w:rsidR="00FA0945" w:rsidRPr="00150391" w:rsidRDefault="53BF0693" w:rsidP="000A7DEC">
      <w:pPr>
        <w:rPr>
          <w:rFonts w:cs="Calibri"/>
        </w:rPr>
      </w:pPr>
      <w:r w:rsidRPr="00150391">
        <w:rPr>
          <w:rFonts w:cs="Calibri"/>
        </w:rPr>
        <w:t xml:space="preserve">All Budget documentation will be published online with hyperlinks between budget documents for ease of reference and to assist reading across these documents. The Australian Government Budget website </w:t>
      </w:r>
      <w:hyperlink r:id="rId50">
        <w:r w:rsidRPr="002B4935">
          <w:rPr>
            <w:rStyle w:val="Hyperlink"/>
            <w:rFonts w:ascii="Calibri" w:hAnsi="Calibri" w:cs="Calibri"/>
            <w:color w:val="0070C0"/>
          </w:rPr>
          <w:t>www.budget.gov.au</w:t>
        </w:r>
      </w:hyperlink>
      <w:r w:rsidRPr="00150391">
        <w:rPr>
          <w:rFonts w:cs="Calibri"/>
        </w:rPr>
        <w:t xml:space="preserve"> will link readers to PB Statements on each portfolio’s website.</w:t>
      </w:r>
    </w:p>
    <w:p w14:paraId="394DD3F6" w14:textId="5ECC0268" w:rsidR="00FA0945" w:rsidRPr="00150391" w:rsidRDefault="53BF0693" w:rsidP="000A7DEC">
      <w:pPr>
        <w:rPr>
          <w:rFonts w:cs="Calibri"/>
        </w:rPr>
      </w:pPr>
      <w:r w:rsidRPr="00150391">
        <w:rPr>
          <w:rFonts w:cs="Calibri"/>
        </w:rPr>
        <w:t xml:space="preserve">All portfolios must post an electronic copy of the PB Statements on their </w:t>
      </w:r>
      <w:r w:rsidR="00396887" w:rsidRPr="00150391">
        <w:rPr>
          <w:rFonts w:cs="Calibri"/>
        </w:rPr>
        <w:t>portfolio department</w:t>
      </w:r>
      <w:r w:rsidRPr="00150391">
        <w:rPr>
          <w:rFonts w:cs="Calibri"/>
        </w:rPr>
        <w:t xml:space="preserve">’s website. This should be posted in an accessible format as required by the </w:t>
      </w:r>
      <w:r w:rsidRPr="00150391">
        <w:rPr>
          <w:rFonts w:cs="Calibri"/>
          <w:i/>
        </w:rPr>
        <w:t>Web Content Accessibility Guidelines</w:t>
      </w:r>
      <w:r w:rsidRPr="00150391">
        <w:rPr>
          <w:rFonts w:cs="Calibri"/>
        </w:rPr>
        <w:t xml:space="preserve"> issued by the Digital Transformation Agency (for example, post</w:t>
      </w:r>
      <w:r w:rsidR="00BE20C0" w:rsidRPr="00150391">
        <w:rPr>
          <w:rFonts w:cs="Calibri"/>
        </w:rPr>
        <w:t>ing</w:t>
      </w:r>
      <w:r w:rsidRPr="00150391">
        <w:rPr>
          <w:rFonts w:cs="Calibri"/>
        </w:rPr>
        <w:t xml:space="preserve"> the document in multiple formats to be sure it can be read by screen readers). </w:t>
      </w:r>
    </w:p>
    <w:p w14:paraId="79C95968" w14:textId="1A9C8448" w:rsidR="00FA0945" w:rsidRPr="00150391" w:rsidRDefault="6B6EE5C4" w:rsidP="6B6EE5C4">
      <w:pPr>
        <w:rPr>
          <w:rFonts w:eastAsiaTheme="minorEastAsia" w:cs="Calibri"/>
        </w:rPr>
      </w:pPr>
      <w:r w:rsidRPr="00150391">
        <w:rPr>
          <w:rFonts w:cs="Calibri"/>
        </w:rPr>
        <w:t>The Web Content Accessibility Guidelines and other publishing requirements and guidance are available at</w:t>
      </w:r>
      <w:r w:rsidRPr="00150391">
        <w:rPr>
          <w:rFonts w:eastAsiaTheme="minorEastAsia" w:cs="Calibri"/>
        </w:rPr>
        <w:t xml:space="preserve"> </w:t>
      </w:r>
      <w:hyperlink r:id="rId51">
        <w:r w:rsidRPr="002B4935">
          <w:rPr>
            <w:rStyle w:val="Hyperlink"/>
            <w:rFonts w:ascii="Calibri" w:hAnsi="Calibri" w:cs="Calibri"/>
            <w:color w:val="0070C0"/>
          </w:rPr>
          <w:t>www.stylemanual.gov.au</w:t>
        </w:r>
      </w:hyperlink>
      <w:r w:rsidRPr="00150391">
        <w:rPr>
          <w:rFonts w:eastAsiaTheme="minorEastAsia" w:cs="Calibri"/>
        </w:rPr>
        <w:t>.</w:t>
      </w:r>
    </w:p>
    <w:p w14:paraId="3C77F134" w14:textId="1217E206" w:rsidR="00FA0945" w:rsidRPr="00150391" w:rsidRDefault="53BF0693" w:rsidP="000A7DEC">
      <w:pPr>
        <w:rPr>
          <w:rFonts w:cs="Calibri"/>
        </w:rPr>
      </w:pPr>
      <w:r w:rsidRPr="00150391">
        <w:rPr>
          <w:rFonts w:cs="Calibri"/>
        </w:rPr>
        <w:t xml:space="preserve">Portfolios should email the Digital Delivery </w:t>
      </w:r>
      <w:r w:rsidR="00622136" w:rsidRPr="00150391">
        <w:rPr>
          <w:rFonts w:cs="Calibri"/>
        </w:rPr>
        <w:t>T</w:t>
      </w:r>
      <w:r w:rsidRPr="00150391">
        <w:rPr>
          <w:rFonts w:cs="Calibri"/>
        </w:rPr>
        <w:t xml:space="preserve">eam </w:t>
      </w:r>
      <w:hyperlink r:id="rId52" w:history="1">
        <w:r w:rsidR="00C824B9" w:rsidRPr="002B4935">
          <w:rPr>
            <w:rStyle w:val="Hyperlink"/>
            <w:rFonts w:ascii="Calibri" w:hAnsi="Calibri" w:cs="Calibri"/>
            <w:color w:val="0070C0"/>
          </w:rPr>
          <w:t>budget-website@treasury.gov.au</w:t>
        </w:r>
      </w:hyperlink>
      <w:r w:rsidRPr="00150391">
        <w:rPr>
          <w:rFonts w:cs="Calibri"/>
        </w:rPr>
        <w:t xml:space="preserve"> no later than </w:t>
      </w:r>
      <w:r w:rsidRPr="00150391">
        <w:rPr>
          <w:rFonts w:cs="Calibri"/>
          <w:b/>
          <w:bCs/>
        </w:rPr>
        <w:t xml:space="preserve">4.30pm </w:t>
      </w:r>
      <w:r w:rsidRPr="00150391">
        <w:rPr>
          <w:rFonts w:cs="Calibri"/>
          <w:b/>
        </w:rPr>
        <w:t xml:space="preserve">Friday, </w:t>
      </w:r>
      <w:r w:rsidR="00F35BAB" w:rsidRPr="00150391">
        <w:rPr>
          <w:rFonts w:cs="Calibri"/>
          <w:b/>
        </w:rPr>
        <w:t>2</w:t>
      </w:r>
      <w:r w:rsidR="00DA4A69" w:rsidRPr="00150391">
        <w:rPr>
          <w:rFonts w:cs="Calibri"/>
          <w:b/>
        </w:rPr>
        <w:t>1</w:t>
      </w:r>
      <w:r w:rsidR="0081792A" w:rsidRPr="00150391">
        <w:rPr>
          <w:rFonts w:cs="Calibri"/>
          <w:b/>
        </w:rPr>
        <w:t xml:space="preserve"> </w:t>
      </w:r>
      <w:r w:rsidR="00DA4A69" w:rsidRPr="00150391">
        <w:rPr>
          <w:rFonts w:cs="Calibri"/>
          <w:b/>
        </w:rPr>
        <w:t xml:space="preserve">October </w:t>
      </w:r>
      <w:r w:rsidR="0081792A" w:rsidRPr="00150391">
        <w:rPr>
          <w:rFonts w:cs="Calibri"/>
          <w:b/>
        </w:rPr>
        <w:t>2022</w:t>
      </w:r>
      <w:r w:rsidR="0081792A" w:rsidRPr="00150391">
        <w:rPr>
          <w:rFonts w:cs="Calibri"/>
          <w:b/>
          <w:bCs/>
        </w:rPr>
        <w:t xml:space="preserve"> </w:t>
      </w:r>
      <w:r w:rsidRPr="00150391">
        <w:rPr>
          <w:rFonts w:cs="Calibri"/>
        </w:rPr>
        <w:t>the following details:</w:t>
      </w:r>
    </w:p>
    <w:p w14:paraId="606D2CA2" w14:textId="77777777" w:rsidR="00FA0945" w:rsidRPr="00150391" w:rsidRDefault="53BF0693" w:rsidP="005379D4">
      <w:pPr>
        <w:pStyle w:val="Bullet1"/>
        <w:rPr>
          <w:rFonts w:ascii="Calibri" w:hAnsi="Calibri" w:cs="Calibri"/>
        </w:rPr>
      </w:pPr>
      <w:r w:rsidRPr="00150391">
        <w:rPr>
          <w:rFonts w:ascii="Calibri" w:hAnsi="Calibri" w:cs="Calibri"/>
        </w:rPr>
        <w:t>the URL address where the portfolio will post its PB Statements</w:t>
      </w:r>
    </w:p>
    <w:p w14:paraId="57562D66" w14:textId="77777777" w:rsidR="00FA0945" w:rsidRPr="00150391" w:rsidRDefault="53BF0693" w:rsidP="005379D4">
      <w:pPr>
        <w:pStyle w:val="Bullet1"/>
        <w:rPr>
          <w:rFonts w:ascii="Calibri" w:hAnsi="Calibri" w:cs="Calibri"/>
        </w:rPr>
      </w:pPr>
      <w:r w:rsidRPr="00150391">
        <w:rPr>
          <w:rFonts w:ascii="Calibri" w:hAnsi="Calibri" w:cs="Calibri"/>
        </w:rPr>
        <w:t xml:space="preserve">contact details for the author of the PB Statements  </w:t>
      </w:r>
    </w:p>
    <w:p w14:paraId="20188723" w14:textId="77777777" w:rsidR="00FA0945" w:rsidRPr="00150391" w:rsidRDefault="53BF0693" w:rsidP="005379D4">
      <w:pPr>
        <w:pStyle w:val="Bullet1"/>
        <w:rPr>
          <w:rFonts w:ascii="Calibri" w:hAnsi="Calibri" w:cs="Calibri"/>
        </w:rPr>
      </w:pPr>
      <w:r w:rsidRPr="00150391">
        <w:rPr>
          <w:rFonts w:ascii="Calibri" w:hAnsi="Calibri" w:cs="Calibri"/>
        </w:rPr>
        <w:t>contact details for the portfolio’s webmaster.</w:t>
      </w:r>
    </w:p>
    <w:p w14:paraId="6804FE76" w14:textId="77777777" w:rsidR="00FA0945" w:rsidRPr="00150391" w:rsidRDefault="00DF64D5" w:rsidP="000A7DEC">
      <w:pPr>
        <w:rPr>
          <w:rFonts w:cs="Calibri"/>
        </w:rPr>
      </w:pPr>
      <w:r w:rsidRPr="00150391">
        <w:rPr>
          <w:rFonts w:cs="Calibri"/>
        </w:rPr>
        <w:t xml:space="preserve">Portfolio </w:t>
      </w:r>
      <w:r w:rsidR="00396887" w:rsidRPr="00150391">
        <w:rPr>
          <w:rFonts w:cs="Calibri"/>
        </w:rPr>
        <w:t>department</w:t>
      </w:r>
      <w:r w:rsidR="53BF0693" w:rsidRPr="00150391">
        <w:rPr>
          <w:rFonts w:cs="Calibri"/>
        </w:rPr>
        <w:t>s should ensure the above information is forwarded on to their internal Web Publishing area for action.</w:t>
      </w:r>
    </w:p>
    <w:p w14:paraId="22A2F047" w14:textId="77777777" w:rsidR="00FA0945" w:rsidRPr="00150391" w:rsidRDefault="53BF0693" w:rsidP="000A7DEC">
      <w:pPr>
        <w:rPr>
          <w:rFonts w:cs="Calibri"/>
        </w:rPr>
      </w:pPr>
      <w:r w:rsidRPr="00150391">
        <w:rPr>
          <w:rFonts w:cs="Calibri"/>
        </w:rPr>
        <w:t xml:space="preserve">PB Statements </w:t>
      </w:r>
      <w:r w:rsidRPr="00150391">
        <w:rPr>
          <w:rFonts w:cs="Calibri"/>
          <w:b/>
          <w:bCs/>
        </w:rPr>
        <w:t>must not</w:t>
      </w:r>
      <w:r w:rsidRPr="00150391">
        <w:rPr>
          <w:rFonts w:cs="Calibri"/>
        </w:rPr>
        <w:t xml:space="preserve"> be uploaded onto </w:t>
      </w:r>
      <w:r w:rsidR="00396887" w:rsidRPr="00150391">
        <w:rPr>
          <w:rFonts w:cs="Calibri"/>
        </w:rPr>
        <w:t>portfolio department</w:t>
      </w:r>
      <w:r w:rsidRPr="00150391">
        <w:rPr>
          <w:rFonts w:cs="Calibri"/>
        </w:rPr>
        <w:t xml:space="preserve">’s websites </w:t>
      </w:r>
      <w:r w:rsidRPr="00150391">
        <w:rPr>
          <w:rFonts w:cs="Calibri"/>
          <w:b/>
          <w:bCs/>
        </w:rPr>
        <w:t>until they are tabled in the Senate</w:t>
      </w:r>
      <w:r w:rsidRPr="00150391">
        <w:rPr>
          <w:rFonts w:cs="Calibri"/>
        </w:rPr>
        <w:t>.</w:t>
      </w:r>
    </w:p>
    <w:p w14:paraId="5FE88D7C" w14:textId="5E92FA03" w:rsidR="00FA0945" w:rsidRPr="00984700" w:rsidRDefault="6B6EE5C4" w:rsidP="005379D4">
      <w:pPr>
        <w:pStyle w:val="Bullet1"/>
        <w:rPr>
          <w:rFonts w:ascii="Calibri" w:hAnsi="Calibri" w:cs="Calibri"/>
        </w:rPr>
      </w:pPr>
      <w:r w:rsidRPr="00984700">
        <w:rPr>
          <w:rFonts w:ascii="Calibri" w:hAnsi="Calibri" w:cs="Calibri"/>
        </w:rPr>
        <w:t xml:space="preserve">Entities can check the tabling status by referring to the Department of the Senate’s </w:t>
      </w:r>
      <w:hyperlink r:id="rId53" w:history="1">
        <w:r w:rsidRPr="002B4935">
          <w:rPr>
            <w:rStyle w:val="Hyperlink"/>
            <w:rFonts w:ascii="Calibri" w:hAnsi="Calibri" w:cs="Calibri"/>
            <w:color w:val="0070C0"/>
          </w:rPr>
          <w:t>Order of Business - Dynamic Red</w:t>
        </w:r>
      </w:hyperlink>
      <w:r w:rsidRPr="00984700">
        <w:rPr>
          <w:rFonts w:ascii="Calibri" w:hAnsi="Calibri" w:cs="Calibri"/>
        </w:rPr>
        <w:t xml:space="preserve"> </w:t>
      </w:r>
      <w:r w:rsidR="00180259" w:rsidRPr="00984700">
        <w:rPr>
          <w:rFonts w:ascii="Calibri" w:hAnsi="Calibri" w:cs="Calibri"/>
        </w:rPr>
        <w:t>web</w:t>
      </w:r>
      <w:r w:rsidRPr="00984700">
        <w:rPr>
          <w:rFonts w:ascii="Calibri" w:hAnsi="Calibri" w:cs="Calibri"/>
        </w:rPr>
        <w:t>page</w:t>
      </w:r>
      <w:r w:rsidR="00180259" w:rsidRPr="00984700">
        <w:rPr>
          <w:rFonts w:ascii="Calibri" w:hAnsi="Calibri" w:cs="Calibri"/>
        </w:rPr>
        <w:t>:</w:t>
      </w:r>
    </w:p>
    <w:p w14:paraId="7788C900" w14:textId="77777777" w:rsidR="00FA0945" w:rsidRPr="00984700" w:rsidRDefault="53BF0693">
      <w:pPr>
        <w:pStyle w:val="Bullet2"/>
        <w:rPr>
          <w:rFonts w:cs="Calibri"/>
        </w:rPr>
      </w:pPr>
      <w:r w:rsidRPr="00984700">
        <w:rPr>
          <w:rFonts w:cs="Calibri"/>
        </w:rPr>
        <w:t xml:space="preserve">Portfolio </w:t>
      </w:r>
      <w:r w:rsidR="00396887" w:rsidRPr="00984700">
        <w:rPr>
          <w:rFonts w:cs="Calibri"/>
        </w:rPr>
        <w:t>d</w:t>
      </w:r>
      <w:r w:rsidRPr="00984700">
        <w:rPr>
          <w:rFonts w:cs="Calibri"/>
        </w:rPr>
        <w:t>epartments are to scroll down the page until they find the note referencing the ‘</w:t>
      </w:r>
      <w:r w:rsidR="00197D38" w:rsidRPr="00984700">
        <w:rPr>
          <w:rFonts w:cs="Calibri"/>
        </w:rPr>
        <w:t>2022</w:t>
      </w:r>
      <w:r w:rsidRPr="00984700">
        <w:rPr>
          <w:rFonts w:cs="Calibri"/>
        </w:rPr>
        <w:t>-</w:t>
      </w:r>
      <w:r w:rsidR="00197D38" w:rsidRPr="00984700">
        <w:rPr>
          <w:rFonts w:cs="Calibri"/>
        </w:rPr>
        <w:t xml:space="preserve">23 </w:t>
      </w:r>
      <w:r w:rsidRPr="00984700">
        <w:rPr>
          <w:rFonts w:cs="Calibri"/>
        </w:rPr>
        <w:t xml:space="preserve">Portfolio Budget Statements’. The light red column on the right-hand side of the entry will show the time the documents were tabled, </w:t>
      </w:r>
      <w:r w:rsidRPr="00984700">
        <w:rPr>
          <w:rFonts w:cs="Calibri"/>
          <w:u w:val="single"/>
        </w:rPr>
        <w:t>no</w:t>
      </w:r>
      <w:r w:rsidRPr="00984700">
        <w:rPr>
          <w:rFonts w:cs="Calibri"/>
        </w:rPr>
        <w:t xml:space="preserve"> </w:t>
      </w:r>
      <w:r w:rsidR="00396887" w:rsidRPr="00984700">
        <w:rPr>
          <w:rFonts w:cs="Calibri"/>
        </w:rPr>
        <w:t>p</w:t>
      </w:r>
      <w:r w:rsidRPr="00984700">
        <w:rPr>
          <w:rFonts w:cs="Calibri"/>
        </w:rPr>
        <w:t>ortfolio will be separately identified</w:t>
      </w:r>
    </w:p>
    <w:p w14:paraId="559407F9" w14:textId="17058469" w:rsidR="00FA0945" w:rsidRPr="002B4935" w:rsidRDefault="53BF0693">
      <w:pPr>
        <w:pStyle w:val="Bullet2"/>
        <w:rPr>
          <w:rFonts w:cs="Calibri"/>
        </w:rPr>
      </w:pPr>
      <w:r w:rsidRPr="002B4935">
        <w:rPr>
          <w:rFonts w:cs="Calibri"/>
        </w:rPr>
        <w:t xml:space="preserve">it is anticipated that this notice will appear on the </w:t>
      </w:r>
      <w:r w:rsidRPr="002B4935">
        <w:rPr>
          <w:rFonts w:cs="Calibri"/>
          <w:b/>
          <w:bCs/>
        </w:rPr>
        <w:t>Dynamic Red website</w:t>
      </w:r>
      <w:r w:rsidRPr="002B4935">
        <w:rPr>
          <w:rFonts w:cs="Calibri"/>
        </w:rPr>
        <w:t xml:space="preserve"> around </w:t>
      </w:r>
      <w:r w:rsidRPr="002B4935">
        <w:rPr>
          <w:rFonts w:cs="Calibri"/>
          <w:b/>
          <w:bCs/>
        </w:rPr>
        <w:t xml:space="preserve">8.15pm </w:t>
      </w:r>
      <w:r w:rsidRPr="002B4935">
        <w:rPr>
          <w:rFonts w:cs="Calibri"/>
          <w:b/>
        </w:rPr>
        <w:t xml:space="preserve">Tuesday, </w:t>
      </w:r>
      <w:r w:rsidR="00F35BAB" w:rsidRPr="002B4935">
        <w:rPr>
          <w:rFonts w:cs="Calibri"/>
          <w:b/>
        </w:rPr>
        <w:t>2</w:t>
      </w:r>
      <w:r w:rsidR="00DA4A69" w:rsidRPr="002B4935">
        <w:rPr>
          <w:rFonts w:cs="Calibri"/>
          <w:b/>
        </w:rPr>
        <w:t>5</w:t>
      </w:r>
      <w:r w:rsidR="00197D38" w:rsidRPr="002B4935">
        <w:rPr>
          <w:rFonts w:cs="Calibri"/>
          <w:b/>
        </w:rPr>
        <w:t xml:space="preserve"> </w:t>
      </w:r>
      <w:r w:rsidR="00DA4A69" w:rsidRPr="002B4935">
        <w:rPr>
          <w:rFonts w:cs="Calibri"/>
          <w:b/>
        </w:rPr>
        <w:t xml:space="preserve">October </w:t>
      </w:r>
      <w:r w:rsidR="00197D38" w:rsidRPr="002B4935">
        <w:rPr>
          <w:rFonts w:cs="Calibri"/>
          <w:b/>
        </w:rPr>
        <w:t>2022</w:t>
      </w:r>
      <w:r w:rsidRPr="002B4935">
        <w:rPr>
          <w:rFonts w:cs="Calibri"/>
        </w:rPr>
        <w:t>. If there is any doubt as to whether the PB Statements have been tabled, please call the Senate enquiries number (on (02) 6277 3010) which will be able to provide the necessary advice.</w:t>
      </w:r>
    </w:p>
    <w:p w14:paraId="2B02C8C7" w14:textId="642465D9" w:rsidR="00FA0945" w:rsidRPr="00150391" w:rsidRDefault="53BF0693" w:rsidP="000A7DEC">
      <w:pPr>
        <w:rPr>
          <w:rFonts w:cs="Calibri"/>
        </w:rPr>
      </w:pPr>
      <w:r w:rsidRPr="00150391">
        <w:rPr>
          <w:rFonts w:cs="Calibri"/>
        </w:rPr>
        <w:t xml:space="preserve">The PB Statements </w:t>
      </w:r>
      <w:r w:rsidRPr="00150391">
        <w:rPr>
          <w:rFonts w:cs="Calibri"/>
          <w:b/>
          <w:bCs/>
        </w:rPr>
        <w:t>are not</w:t>
      </w:r>
      <w:r w:rsidRPr="00150391">
        <w:rPr>
          <w:rFonts w:cs="Calibri"/>
        </w:rPr>
        <w:t xml:space="preserve"> archived on the </w:t>
      </w:r>
      <w:hyperlink r:id="rId54">
        <w:r w:rsidR="00027573" w:rsidRPr="002B4935">
          <w:rPr>
            <w:rStyle w:val="Hyperlink"/>
            <w:rFonts w:ascii="Calibri" w:hAnsi="Calibri" w:cs="Calibri"/>
            <w:color w:val="0070C0"/>
          </w:rPr>
          <w:t>www.budget.gov.au</w:t>
        </w:r>
      </w:hyperlink>
      <w:r w:rsidRPr="00150391">
        <w:rPr>
          <w:rFonts w:cs="Calibri"/>
        </w:rPr>
        <w:t xml:space="preserve"> website – </w:t>
      </w:r>
      <w:r w:rsidR="00396887" w:rsidRPr="00150391">
        <w:rPr>
          <w:rFonts w:cs="Calibri"/>
        </w:rPr>
        <w:t>portfolio department</w:t>
      </w:r>
      <w:r w:rsidRPr="00150391">
        <w:rPr>
          <w:rFonts w:cs="Calibri"/>
        </w:rPr>
        <w:t xml:space="preserve">s should ensure electronic copies of past PB Statements remain available on their websites. </w:t>
      </w:r>
    </w:p>
    <w:p w14:paraId="24DD54A9" w14:textId="77777777" w:rsidR="00FA0945" w:rsidRPr="00150391" w:rsidRDefault="53BF0693" w:rsidP="000A7DEC">
      <w:pPr>
        <w:pStyle w:val="Heading4"/>
        <w:rPr>
          <w:rFonts w:ascii="Calibri" w:hAnsi="Calibri" w:cs="Calibri"/>
        </w:rPr>
      </w:pPr>
      <w:r w:rsidRPr="00150391">
        <w:rPr>
          <w:rFonts w:ascii="Calibri" w:hAnsi="Calibri" w:cs="Calibri"/>
        </w:rPr>
        <w:t>Standard file-naming convention</w:t>
      </w:r>
    </w:p>
    <w:p w14:paraId="5A058D1E" w14:textId="77777777" w:rsidR="00FA0945" w:rsidRPr="00150391" w:rsidRDefault="53BF0693" w:rsidP="000A7DEC">
      <w:pPr>
        <w:rPr>
          <w:rFonts w:cs="Calibri"/>
        </w:rPr>
      </w:pPr>
      <w:r w:rsidRPr="00150391">
        <w:rPr>
          <w:rFonts w:cs="Calibri"/>
        </w:rPr>
        <w:t xml:space="preserve">Portfolios should follow a consistent file-naming convention for electronic copies of the PB Statements as outlined below to aid file comprehension and retrieval for readers who download the documents, and to remove the confusion that occurs when files are not clearly named or numbered. </w:t>
      </w:r>
    </w:p>
    <w:p w14:paraId="22039ACE" w14:textId="77777777" w:rsidR="00FA0945" w:rsidRPr="00150391" w:rsidRDefault="53BF0693" w:rsidP="000A7DEC">
      <w:pPr>
        <w:rPr>
          <w:rFonts w:cs="Calibri"/>
        </w:rPr>
      </w:pPr>
      <w:r w:rsidRPr="00150391">
        <w:rPr>
          <w:rFonts w:cs="Calibri"/>
        </w:rPr>
        <w:t xml:space="preserve">An example of the recommended convention is: </w:t>
      </w:r>
    </w:p>
    <w:p w14:paraId="7F56A1AE" w14:textId="77777777" w:rsidR="00FA0945" w:rsidRPr="00150391" w:rsidRDefault="6B6EE5C4">
      <w:pPr>
        <w:pStyle w:val="IndentBlueText"/>
        <w:rPr>
          <w:rFonts w:ascii="Calibri" w:hAnsi="Calibri" w:cs="Calibri"/>
        </w:rPr>
      </w:pPr>
      <w:r w:rsidRPr="00150391">
        <w:rPr>
          <w:rFonts w:ascii="Calibri" w:hAnsi="Calibri" w:cs="Calibri"/>
        </w:rPr>
        <w:t>FinancialYear_Portfolio_PBS_a file sequence number (i.e. 01, 02 etc)</w:t>
      </w:r>
      <w:r w:rsidR="00325AB0" w:rsidRPr="00150391">
        <w:rPr>
          <w:rFonts w:ascii="Calibri" w:hAnsi="Calibri" w:cs="Calibri"/>
        </w:rPr>
        <w:t xml:space="preserve"> </w:t>
      </w:r>
      <w:r w:rsidRPr="00150391">
        <w:rPr>
          <w:rFonts w:ascii="Calibri" w:hAnsi="Calibri" w:cs="Calibri"/>
        </w:rPr>
        <w:t>Chapter Number (or entity name/acronym, etc)</w:t>
      </w:r>
    </w:p>
    <w:p w14:paraId="3985900A" w14:textId="77777777" w:rsidR="00FA0945" w:rsidRPr="00150391" w:rsidRDefault="53BF0693" w:rsidP="000A7DEC">
      <w:pPr>
        <w:rPr>
          <w:rFonts w:cs="Calibri"/>
        </w:rPr>
      </w:pPr>
      <w:r w:rsidRPr="00150391">
        <w:rPr>
          <w:rFonts w:cs="Calibri"/>
        </w:rPr>
        <w:t>Examples would be:</w:t>
      </w:r>
    </w:p>
    <w:p w14:paraId="53F3A4FA" w14:textId="2653A4E3" w:rsidR="00FA0945" w:rsidRPr="00150391" w:rsidRDefault="00734D3A">
      <w:pPr>
        <w:pStyle w:val="IndentBlueText"/>
        <w:rPr>
          <w:rFonts w:ascii="Calibri" w:hAnsi="Calibri" w:cs="Calibri"/>
        </w:rPr>
      </w:pPr>
      <w:r w:rsidRPr="00150391">
        <w:rPr>
          <w:rFonts w:ascii="Calibri" w:hAnsi="Calibri" w:cs="Calibri"/>
        </w:rPr>
        <w:t>October_</w:t>
      </w:r>
      <w:r w:rsidR="00197D38" w:rsidRPr="00150391">
        <w:rPr>
          <w:rFonts w:ascii="Calibri" w:hAnsi="Calibri" w:cs="Calibri"/>
        </w:rPr>
        <w:t>2022</w:t>
      </w:r>
      <w:r w:rsidR="53BF0693" w:rsidRPr="00150391">
        <w:rPr>
          <w:rFonts w:ascii="Calibri" w:hAnsi="Calibri" w:cs="Calibri"/>
        </w:rPr>
        <w:t>-</w:t>
      </w:r>
      <w:r w:rsidR="00197D38" w:rsidRPr="00150391">
        <w:rPr>
          <w:rFonts w:ascii="Calibri" w:hAnsi="Calibri" w:cs="Calibri"/>
        </w:rPr>
        <w:t>23</w:t>
      </w:r>
      <w:r w:rsidR="53BF0693" w:rsidRPr="00150391">
        <w:rPr>
          <w:rFonts w:ascii="Calibri" w:hAnsi="Calibri" w:cs="Calibri"/>
        </w:rPr>
        <w:t>_Finance_PBS_01_Parts_A_and_B</w:t>
      </w:r>
      <w:r w:rsidRPr="00150391">
        <w:rPr>
          <w:rFonts w:ascii="Calibri" w:hAnsi="Calibri" w:cs="Calibri"/>
        </w:rPr>
        <w:t>O</w:t>
      </w:r>
    </w:p>
    <w:p w14:paraId="450CE063" w14:textId="61228201" w:rsidR="00FA0945" w:rsidRPr="00150391" w:rsidRDefault="00734D3A">
      <w:pPr>
        <w:pStyle w:val="IndentBlueText"/>
        <w:rPr>
          <w:rFonts w:ascii="Calibri" w:hAnsi="Calibri" w:cs="Calibri"/>
        </w:rPr>
      </w:pPr>
      <w:r w:rsidRPr="00150391">
        <w:rPr>
          <w:rFonts w:ascii="Calibri" w:hAnsi="Calibri" w:cs="Calibri"/>
        </w:rPr>
        <w:t>October_</w:t>
      </w:r>
      <w:r w:rsidR="00197D38" w:rsidRPr="00150391">
        <w:rPr>
          <w:rFonts w:ascii="Calibri" w:hAnsi="Calibri" w:cs="Calibri"/>
        </w:rPr>
        <w:t>2022</w:t>
      </w:r>
      <w:r w:rsidR="53BF0693" w:rsidRPr="00150391">
        <w:rPr>
          <w:rFonts w:ascii="Calibri" w:hAnsi="Calibri" w:cs="Calibri"/>
        </w:rPr>
        <w:t>-</w:t>
      </w:r>
      <w:r w:rsidR="00197D38" w:rsidRPr="00150391">
        <w:rPr>
          <w:rFonts w:ascii="Calibri" w:hAnsi="Calibri" w:cs="Calibri"/>
        </w:rPr>
        <w:t>23</w:t>
      </w:r>
      <w:r w:rsidR="53BF0693" w:rsidRPr="00150391">
        <w:rPr>
          <w:rFonts w:ascii="Calibri" w:hAnsi="Calibri" w:cs="Calibri"/>
        </w:rPr>
        <w:t>_Finance_PBS_02_AEC</w:t>
      </w:r>
    </w:p>
    <w:p w14:paraId="1A092071" w14:textId="3CB778CC" w:rsidR="00FA0945" w:rsidRPr="00150391" w:rsidRDefault="00734D3A">
      <w:pPr>
        <w:pStyle w:val="IndentBlueText"/>
        <w:rPr>
          <w:rFonts w:ascii="Calibri" w:hAnsi="Calibri" w:cs="Calibri"/>
        </w:rPr>
      </w:pPr>
      <w:r w:rsidRPr="00150391">
        <w:rPr>
          <w:rFonts w:ascii="Calibri" w:hAnsi="Calibri" w:cs="Calibri"/>
        </w:rPr>
        <w:t>October_</w:t>
      </w:r>
      <w:r w:rsidR="00197D38" w:rsidRPr="00150391">
        <w:rPr>
          <w:rFonts w:ascii="Calibri" w:hAnsi="Calibri" w:cs="Calibri"/>
        </w:rPr>
        <w:t>2022</w:t>
      </w:r>
      <w:r w:rsidR="53BF0693" w:rsidRPr="00150391">
        <w:rPr>
          <w:rFonts w:ascii="Calibri" w:hAnsi="Calibri" w:cs="Calibri"/>
        </w:rPr>
        <w:t>-</w:t>
      </w:r>
      <w:r w:rsidR="00197D38" w:rsidRPr="00150391">
        <w:rPr>
          <w:rFonts w:ascii="Calibri" w:hAnsi="Calibri" w:cs="Calibri"/>
        </w:rPr>
        <w:t>23</w:t>
      </w:r>
      <w:r w:rsidR="53BF0693" w:rsidRPr="00150391">
        <w:rPr>
          <w:rFonts w:ascii="Calibri" w:hAnsi="Calibri" w:cs="Calibri"/>
        </w:rPr>
        <w:t>_Finance_PBS_03_Outcome1</w:t>
      </w:r>
    </w:p>
    <w:p w14:paraId="6B2E46CC" w14:textId="77777777" w:rsidR="00AF3133" w:rsidRPr="00150391" w:rsidRDefault="53BF0693" w:rsidP="000A7DEC">
      <w:pPr>
        <w:rPr>
          <w:rFonts w:cs="Calibri"/>
        </w:rPr>
      </w:pPr>
      <w:r w:rsidRPr="00150391">
        <w:rPr>
          <w:rFonts w:cs="Calibri"/>
        </w:rPr>
        <w:t>The file sequence number simply indicates which file would be read first, second, third etc if the document were read like a book.</w:t>
      </w:r>
    </w:p>
    <w:p w14:paraId="695EDF57" w14:textId="63641A02" w:rsidR="00FA0945" w:rsidRPr="00150391" w:rsidRDefault="53BF0693" w:rsidP="000A7DEC">
      <w:pPr>
        <w:rPr>
          <w:rFonts w:cs="Calibri"/>
        </w:rPr>
      </w:pPr>
      <w:r w:rsidRPr="00150391">
        <w:rPr>
          <w:rFonts w:cs="Calibri"/>
        </w:rPr>
        <w:t>Naming the files in this way means that the order of files downloaded into a sub-directory would be the same order as the order of presentation of chapters in the PB Statements. This w</w:t>
      </w:r>
      <w:r w:rsidR="00FE100A" w:rsidRPr="00150391">
        <w:rPr>
          <w:rFonts w:cs="Calibri"/>
        </w:rPr>
        <w:t>ill</w:t>
      </w:r>
      <w:r w:rsidRPr="00150391">
        <w:rPr>
          <w:rFonts w:cs="Calibri"/>
        </w:rPr>
        <w:t xml:space="preserve"> result in the electronic files being listed in the same order as the printed chapters, and therefore easier and more intuitive navigation for those accessing the files.</w:t>
      </w:r>
    </w:p>
    <w:p w14:paraId="77AB07B6" w14:textId="77777777" w:rsidR="00FA0945" w:rsidRPr="00150391" w:rsidRDefault="53BF0693" w:rsidP="00CF6BE7">
      <w:pPr>
        <w:pStyle w:val="Heading3Numbered"/>
        <w:rPr>
          <w:rFonts w:ascii="Calibri" w:hAnsi="Calibri" w:cs="Calibri"/>
        </w:rPr>
      </w:pPr>
      <w:bookmarkStart w:id="444" w:name="_Toc63347691"/>
      <w:bookmarkStart w:id="445" w:name="_Toc114576278"/>
      <w:r w:rsidRPr="00150391">
        <w:rPr>
          <w:rFonts w:ascii="Calibri" w:hAnsi="Calibri" w:cs="Calibri"/>
        </w:rPr>
        <w:t>Open government initiative publication on data.gov.au</w:t>
      </w:r>
      <w:bookmarkEnd w:id="444"/>
      <w:bookmarkEnd w:id="445"/>
    </w:p>
    <w:p w14:paraId="7753BBAA" w14:textId="3A6EC1E7" w:rsidR="00FA0945" w:rsidRPr="00150391" w:rsidRDefault="53BF0693" w:rsidP="000A7DEC">
      <w:pPr>
        <w:rPr>
          <w:rFonts w:cs="Calibri"/>
        </w:rPr>
      </w:pPr>
      <w:r w:rsidRPr="00150391">
        <w:rPr>
          <w:rFonts w:cs="Calibri"/>
        </w:rPr>
        <w:t xml:space="preserve">As part of the </w:t>
      </w:r>
      <w:r w:rsidR="006418EA" w:rsidRPr="00150391">
        <w:rPr>
          <w:rFonts w:cs="Calibri"/>
        </w:rPr>
        <w:t>government</w:t>
      </w:r>
      <w:r w:rsidRPr="00150391">
        <w:rPr>
          <w:rFonts w:cs="Calibri"/>
        </w:rPr>
        <w:t xml:space="preserve">’s </w:t>
      </w:r>
      <w:r w:rsidRPr="00150391">
        <w:rPr>
          <w:rFonts w:cs="Calibri"/>
          <w:i/>
          <w:iCs/>
        </w:rPr>
        <w:t>Open Government</w:t>
      </w:r>
      <w:r w:rsidRPr="00150391">
        <w:rPr>
          <w:rFonts w:cs="Calibri"/>
        </w:rPr>
        <w:t xml:space="preserve"> initiative to increase Budget transparency, Portfolio </w:t>
      </w:r>
      <w:r w:rsidR="00396887" w:rsidRPr="00150391">
        <w:rPr>
          <w:rFonts w:cs="Calibri"/>
        </w:rPr>
        <w:t>d</w:t>
      </w:r>
      <w:r w:rsidRPr="00150391">
        <w:rPr>
          <w:rFonts w:cs="Calibri"/>
        </w:rPr>
        <w:t xml:space="preserve">epartments are required to provide a copy of finalised PB Statements tables for publication on </w:t>
      </w:r>
      <w:hyperlink r:id="rId55" w:history="1">
        <w:r w:rsidRPr="002B4935">
          <w:rPr>
            <w:rStyle w:val="Hyperlink"/>
            <w:rFonts w:ascii="Calibri" w:hAnsi="Calibri" w:cs="Calibri"/>
            <w:color w:val="0070C0"/>
          </w:rPr>
          <w:t>data.gov.au</w:t>
        </w:r>
      </w:hyperlink>
      <w:r w:rsidRPr="00150391">
        <w:rPr>
          <w:rFonts w:cs="Calibri"/>
        </w:rPr>
        <w:t>. P</w:t>
      </w:r>
      <w:r w:rsidR="00396887" w:rsidRPr="00150391">
        <w:rPr>
          <w:rFonts w:cs="Calibri"/>
        </w:rPr>
        <w:t>ortfolio d</w:t>
      </w:r>
      <w:r w:rsidRPr="00150391">
        <w:rPr>
          <w:rFonts w:cs="Calibri"/>
        </w:rPr>
        <w:t xml:space="preserve">epartments have the option for using </w:t>
      </w:r>
      <w:r w:rsidR="00FE100A" w:rsidRPr="00150391">
        <w:rPr>
          <w:rFonts w:cs="Calibri"/>
        </w:rPr>
        <w:t>Creative </w:t>
      </w:r>
      <w:r w:rsidRPr="00150391">
        <w:rPr>
          <w:rFonts w:cs="Calibri"/>
        </w:rPr>
        <w:t xml:space="preserve">Commons BY 4.0. Finance templates by default use Creative Commons BY 3.0. This </w:t>
      </w:r>
      <w:r w:rsidR="002377D9" w:rsidRPr="00150391">
        <w:rPr>
          <w:rFonts w:cs="Calibri"/>
        </w:rPr>
        <w:t xml:space="preserve">has been </w:t>
      </w:r>
      <w:r w:rsidRPr="00150391">
        <w:rPr>
          <w:rFonts w:cs="Calibri"/>
        </w:rPr>
        <w:t>confirmed by Treasury</w:t>
      </w:r>
      <w:r w:rsidR="002377D9" w:rsidRPr="00150391">
        <w:rPr>
          <w:rFonts w:cs="Calibri"/>
        </w:rPr>
        <w:t>.</w:t>
      </w:r>
    </w:p>
    <w:p w14:paraId="62534DFC" w14:textId="062870FF" w:rsidR="00FA0945" w:rsidRPr="00150391" w:rsidRDefault="53BF0693" w:rsidP="000A7DEC">
      <w:pPr>
        <w:rPr>
          <w:rFonts w:cs="Calibri"/>
        </w:rPr>
      </w:pPr>
      <w:r w:rsidRPr="00150391">
        <w:rPr>
          <w:rFonts w:cs="Calibri"/>
        </w:rPr>
        <w:t xml:space="preserve">PB Statements tables, will be published on </w:t>
      </w:r>
      <w:hyperlink r:id="rId56">
        <w:r w:rsidR="00FE100A" w:rsidRPr="002B4935">
          <w:rPr>
            <w:rStyle w:val="Hyperlink"/>
            <w:rFonts w:ascii="Calibri" w:hAnsi="Calibri" w:cs="Calibri"/>
            <w:color w:val="0070C0"/>
          </w:rPr>
          <w:t>data.gov.au</w:t>
        </w:r>
      </w:hyperlink>
      <w:r w:rsidRPr="00150391">
        <w:rPr>
          <w:rFonts w:cs="Calibri"/>
        </w:rPr>
        <w:t xml:space="preserve"> in Excel workbook format as received from portfolios, with a separate workbook for each entity.</w:t>
      </w:r>
    </w:p>
    <w:p w14:paraId="30E3A5AC" w14:textId="683AB0B0" w:rsidR="00FA0945" w:rsidRPr="00150391" w:rsidRDefault="53BF0693" w:rsidP="000A7DEC">
      <w:pPr>
        <w:rPr>
          <w:rFonts w:cs="Calibri"/>
        </w:rPr>
      </w:pPr>
      <w:r w:rsidRPr="00150391">
        <w:rPr>
          <w:rFonts w:cs="Calibri"/>
        </w:rPr>
        <w:t>The collection of PB Statements financial tables will be published in machine-readable format to assist those who wish to analyse the financial information.</w:t>
      </w:r>
    </w:p>
    <w:p w14:paraId="28578B42" w14:textId="5883A31A" w:rsidR="00FA0945" w:rsidRPr="00150391" w:rsidRDefault="53BF0693" w:rsidP="00CF6BE7">
      <w:pPr>
        <w:suppressAutoHyphens w:val="0"/>
        <w:rPr>
          <w:rFonts w:cs="Calibri"/>
        </w:rPr>
      </w:pPr>
      <w:r w:rsidRPr="00150391">
        <w:rPr>
          <w:rFonts w:cs="Calibri"/>
        </w:rPr>
        <w:t xml:space="preserve">The following financial tables </w:t>
      </w:r>
      <w:r w:rsidRPr="00150391">
        <w:rPr>
          <w:rFonts w:cs="Calibri"/>
          <w:b/>
          <w:bCs/>
        </w:rPr>
        <w:t>with headings and footnotes</w:t>
      </w:r>
      <w:r w:rsidRPr="00150391">
        <w:rPr>
          <w:rFonts w:cs="Calibri"/>
        </w:rPr>
        <w:t xml:space="preserve"> will be published on </w:t>
      </w:r>
      <w:hyperlink r:id="rId57">
        <w:r w:rsidR="00FE100A" w:rsidRPr="002B4935">
          <w:rPr>
            <w:rStyle w:val="Hyperlink"/>
            <w:rFonts w:ascii="Calibri" w:hAnsi="Calibri" w:cs="Calibri"/>
            <w:color w:val="0070C0"/>
          </w:rPr>
          <w:t>data.gov.au</w:t>
        </w:r>
      </w:hyperlink>
      <w:r w:rsidRPr="00150391">
        <w:rPr>
          <w:rFonts w:cs="Calibri"/>
        </w:rPr>
        <w:t>:</w:t>
      </w:r>
    </w:p>
    <w:p w14:paraId="4186194D" w14:textId="77777777" w:rsidR="00FA0945" w:rsidRPr="00150391" w:rsidRDefault="53BF0693" w:rsidP="53BF0693">
      <w:pPr>
        <w:pStyle w:val="Bullet1"/>
        <w:rPr>
          <w:rFonts w:ascii="Calibri" w:hAnsi="Calibri" w:cs="Calibri"/>
          <w:i/>
          <w:iCs/>
        </w:rPr>
      </w:pPr>
      <w:r w:rsidRPr="00150391">
        <w:rPr>
          <w:rFonts w:ascii="Calibri" w:hAnsi="Calibri" w:cs="Calibri"/>
          <w:i/>
          <w:iCs/>
        </w:rPr>
        <w:t>Table 1.1: Entity resource statement</w:t>
      </w:r>
    </w:p>
    <w:p w14:paraId="50856CE6" w14:textId="77777777" w:rsidR="00FA0945" w:rsidRPr="00150391" w:rsidRDefault="53BF0693" w:rsidP="53BF0693">
      <w:pPr>
        <w:pStyle w:val="Bullet1"/>
        <w:rPr>
          <w:rFonts w:ascii="Calibri" w:hAnsi="Calibri" w:cs="Calibri"/>
          <w:i/>
          <w:iCs/>
        </w:rPr>
      </w:pPr>
      <w:r w:rsidRPr="00150391">
        <w:rPr>
          <w:rFonts w:ascii="Calibri" w:hAnsi="Calibri" w:cs="Calibri"/>
          <w:i/>
          <w:iCs/>
        </w:rPr>
        <w:t xml:space="preserve">Table 1.2: Entity </w:t>
      </w:r>
      <w:r w:rsidR="00197D38" w:rsidRPr="00150391">
        <w:rPr>
          <w:rFonts w:ascii="Calibri" w:hAnsi="Calibri" w:cs="Calibri"/>
          <w:i/>
          <w:iCs/>
        </w:rPr>
        <w:t>2022</w:t>
      </w:r>
      <w:r w:rsidRPr="00150391">
        <w:rPr>
          <w:rFonts w:ascii="Calibri" w:hAnsi="Calibri" w:cs="Calibri"/>
          <w:i/>
          <w:iCs/>
        </w:rPr>
        <w:t>-</w:t>
      </w:r>
      <w:r w:rsidR="00197D38" w:rsidRPr="00150391">
        <w:rPr>
          <w:rFonts w:ascii="Calibri" w:hAnsi="Calibri" w:cs="Calibri"/>
          <w:i/>
          <w:iCs/>
        </w:rPr>
        <w:t xml:space="preserve">23 </w:t>
      </w:r>
      <w:r w:rsidRPr="00150391">
        <w:rPr>
          <w:rFonts w:ascii="Calibri" w:hAnsi="Calibri" w:cs="Calibri"/>
          <w:i/>
          <w:iCs/>
        </w:rPr>
        <w:t>Budget measures</w:t>
      </w:r>
    </w:p>
    <w:p w14:paraId="29AF89CD" w14:textId="77777777" w:rsidR="00FA0945" w:rsidRPr="00150391" w:rsidRDefault="53BF0693" w:rsidP="53BF0693">
      <w:pPr>
        <w:pStyle w:val="Bullet1"/>
        <w:rPr>
          <w:rFonts w:ascii="Calibri" w:hAnsi="Calibri" w:cs="Calibri"/>
          <w:i/>
          <w:iCs/>
        </w:rPr>
      </w:pPr>
      <w:r w:rsidRPr="00150391">
        <w:rPr>
          <w:rFonts w:ascii="Calibri" w:hAnsi="Calibri" w:cs="Calibri"/>
          <w:i/>
          <w:iCs/>
        </w:rPr>
        <w:t>Table 2.X.1: Budgeted expenses for Outcome X</w:t>
      </w:r>
    </w:p>
    <w:p w14:paraId="4E463392" w14:textId="77777777" w:rsidR="00FA0945" w:rsidRPr="00150391" w:rsidRDefault="53BF0693" w:rsidP="53BF0693">
      <w:pPr>
        <w:pStyle w:val="Bullet1"/>
        <w:rPr>
          <w:rFonts w:ascii="Calibri" w:hAnsi="Calibri" w:cs="Calibri"/>
          <w:i/>
          <w:iCs/>
        </w:rPr>
      </w:pPr>
      <w:r w:rsidRPr="00150391">
        <w:rPr>
          <w:rFonts w:ascii="Calibri" w:hAnsi="Calibri" w:cs="Calibri"/>
          <w:i/>
          <w:iCs/>
        </w:rPr>
        <w:t>Table 2.X.2: Program components</w:t>
      </w:r>
    </w:p>
    <w:p w14:paraId="7635476B" w14:textId="5F7581AA" w:rsidR="00FA0945" w:rsidRPr="00150391" w:rsidRDefault="53BF0693" w:rsidP="53BF0693">
      <w:pPr>
        <w:pStyle w:val="Bullet1"/>
        <w:rPr>
          <w:rFonts w:ascii="Calibri" w:hAnsi="Calibri" w:cs="Calibri"/>
          <w:i/>
          <w:iCs/>
        </w:rPr>
      </w:pPr>
      <w:r w:rsidRPr="00150391">
        <w:rPr>
          <w:rFonts w:ascii="Calibri" w:hAnsi="Calibri" w:cs="Calibri"/>
          <w:i/>
          <w:iCs/>
        </w:rPr>
        <w:t>Table 3.1 to 3.6: Departmental budgeted financial statements</w:t>
      </w:r>
    </w:p>
    <w:p w14:paraId="7501DCD6" w14:textId="77777777" w:rsidR="00FA0945" w:rsidRPr="00150391" w:rsidRDefault="53BF0693" w:rsidP="005379D4">
      <w:pPr>
        <w:pStyle w:val="Bullet1"/>
        <w:rPr>
          <w:rFonts w:ascii="Calibri" w:hAnsi="Calibri" w:cs="Calibri"/>
        </w:rPr>
      </w:pPr>
      <w:r w:rsidRPr="00150391">
        <w:rPr>
          <w:rFonts w:ascii="Calibri" w:hAnsi="Calibri" w:cs="Calibri"/>
          <w:i/>
          <w:iCs/>
        </w:rPr>
        <w:t>Table 3.7 to 3.11: Administered budgeted financial statements</w:t>
      </w:r>
      <w:r w:rsidRPr="00150391">
        <w:rPr>
          <w:rFonts w:ascii="Calibri" w:hAnsi="Calibri" w:cs="Calibri"/>
        </w:rPr>
        <w:t>.</w:t>
      </w:r>
    </w:p>
    <w:p w14:paraId="6381FF71" w14:textId="77777777" w:rsidR="00FA0945" w:rsidRPr="00150391" w:rsidRDefault="53BF0693" w:rsidP="000A7DEC">
      <w:pPr>
        <w:rPr>
          <w:rFonts w:cs="Calibri"/>
        </w:rPr>
      </w:pPr>
      <w:r w:rsidRPr="00150391">
        <w:rPr>
          <w:rFonts w:cs="Calibri"/>
        </w:rPr>
        <w:t>Where an entity prepares two or more sets of tables, (for example Departmental budgeted financial statements consolidated and non-consolidated), these tables should be included and clearly marked.</w:t>
      </w:r>
    </w:p>
    <w:p w14:paraId="0D317C14" w14:textId="1BA9900A" w:rsidR="005F590D" w:rsidRPr="00150391" w:rsidRDefault="6B6EE5C4" w:rsidP="6B6EE5C4">
      <w:pPr>
        <w:rPr>
          <w:rFonts w:cs="Calibri"/>
          <w:b/>
          <w:bCs/>
        </w:rPr>
      </w:pPr>
      <w:r w:rsidRPr="00150391">
        <w:rPr>
          <w:rFonts w:cs="Calibri"/>
        </w:rPr>
        <w:t xml:space="preserve">As PB Statements information is under embargo until tabled in Parliament, </w:t>
      </w:r>
      <w:r w:rsidR="00396887" w:rsidRPr="00150391">
        <w:rPr>
          <w:rFonts w:cs="Calibri"/>
        </w:rPr>
        <w:t>portfolio department</w:t>
      </w:r>
      <w:r w:rsidRPr="00150391">
        <w:rPr>
          <w:rFonts w:cs="Calibri"/>
        </w:rPr>
        <w:t xml:space="preserve">s will need to send them to Finance either via CabNet or Protected-rated email to </w:t>
      </w:r>
      <w:hyperlink r:id="rId58">
        <w:r w:rsidRPr="002B4935">
          <w:rPr>
            <w:rStyle w:val="Hyperlink"/>
            <w:rFonts w:ascii="Calibri" w:hAnsi="Calibri" w:cs="Calibri"/>
            <w:color w:val="0070C0"/>
          </w:rPr>
          <w:t>budget_framework@finance.gov.au</w:t>
        </w:r>
      </w:hyperlink>
      <w:r w:rsidRPr="00150391">
        <w:rPr>
          <w:rFonts w:cs="Calibri"/>
        </w:rPr>
        <w:t xml:space="preserve"> by </w:t>
      </w:r>
      <w:r w:rsidR="00BE20C0" w:rsidRPr="00150391">
        <w:rPr>
          <w:rFonts w:cs="Calibri"/>
          <w:b/>
          <w:bCs/>
        </w:rPr>
        <w:t>4:30</w:t>
      </w:r>
      <w:r w:rsidRPr="00150391">
        <w:rPr>
          <w:rFonts w:cs="Calibri"/>
          <w:b/>
          <w:bCs/>
        </w:rPr>
        <w:t xml:space="preserve"> </w:t>
      </w:r>
      <w:r w:rsidR="00BE20C0" w:rsidRPr="00150391">
        <w:rPr>
          <w:rFonts w:cs="Calibri"/>
          <w:b/>
          <w:bCs/>
        </w:rPr>
        <w:t>pm</w:t>
      </w:r>
      <w:r w:rsidRPr="00150391">
        <w:rPr>
          <w:rFonts w:cs="Calibri"/>
          <w:b/>
          <w:bCs/>
        </w:rPr>
        <w:t xml:space="preserve"> </w:t>
      </w:r>
      <w:r w:rsidRPr="00150391">
        <w:rPr>
          <w:rFonts w:cs="Calibri"/>
          <w:b/>
        </w:rPr>
        <w:t xml:space="preserve">Monday, </w:t>
      </w:r>
      <w:r w:rsidR="00F35BAB" w:rsidRPr="00150391">
        <w:rPr>
          <w:rFonts w:cs="Calibri"/>
          <w:b/>
        </w:rPr>
        <w:t>2</w:t>
      </w:r>
      <w:r w:rsidR="00DA4A69" w:rsidRPr="00150391">
        <w:rPr>
          <w:rFonts w:cs="Calibri"/>
          <w:b/>
        </w:rPr>
        <w:t>4</w:t>
      </w:r>
      <w:r w:rsidR="00197D38" w:rsidRPr="00150391">
        <w:rPr>
          <w:rFonts w:cs="Calibri"/>
          <w:b/>
        </w:rPr>
        <w:t xml:space="preserve"> </w:t>
      </w:r>
      <w:r w:rsidR="00DA4A69" w:rsidRPr="00150391">
        <w:rPr>
          <w:rFonts w:cs="Calibri"/>
          <w:b/>
        </w:rPr>
        <w:t xml:space="preserve">October </w:t>
      </w:r>
      <w:r w:rsidR="00197D38" w:rsidRPr="00150391">
        <w:rPr>
          <w:rFonts w:cs="Calibri"/>
          <w:b/>
        </w:rPr>
        <w:t>202</w:t>
      </w:r>
      <w:r w:rsidR="00F57013" w:rsidRPr="00150391">
        <w:rPr>
          <w:rFonts w:cs="Calibri"/>
          <w:b/>
          <w:bCs/>
        </w:rPr>
        <w:t>2</w:t>
      </w:r>
      <w:r w:rsidRPr="00150391">
        <w:rPr>
          <w:rFonts w:cs="Calibri"/>
        </w:rPr>
        <w:t>.</w:t>
      </w:r>
    </w:p>
    <w:p w14:paraId="3E71BF91" w14:textId="77777777" w:rsidR="00FA0945" w:rsidRPr="00150391" w:rsidRDefault="53BF0693">
      <w:pPr>
        <w:rPr>
          <w:rFonts w:cs="Calibri"/>
        </w:rPr>
      </w:pPr>
      <w:r w:rsidRPr="00150391">
        <w:rPr>
          <w:rFonts w:cs="Calibri"/>
        </w:rPr>
        <w:t xml:space="preserve">Portfolio </w:t>
      </w:r>
      <w:r w:rsidR="00396887" w:rsidRPr="00150391">
        <w:rPr>
          <w:rFonts w:cs="Calibri"/>
        </w:rPr>
        <w:t>d</w:t>
      </w:r>
      <w:r w:rsidRPr="00150391">
        <w:rPr>
          <w:rFonts w:cs="Calibri"/>
        </w:rPr>
        <w:t xml:space="preserve">epartments </w:t>
      </w:r>
      <w:r w:rsidRPr="00150391">
        <w:rPr>
          <w:rFonts w:cs="Calibri"/>
          <w:b/>
          <w:bCs/>
        </w:rPr>
        <w:t>must</w:t>
      </w:r>
      <w:r w:rsidRPr="00150391">
        <w:rPr>
          <w:rFonts w:cs="Calibri"/>
        </w:rPr>
        <w:t xml:space="preserve"> ensure the following prior to sending the financial tables to Finance:</w:t>
      </w:r>
    </w:p>
    <w:p w14:paraId="2CCEEF46" w14:textId="77777777" w:rsidR="00FA0945" w:rsidRPr="00150391" w:rsidRDefault="53BF0693">
      <w:pPr>
        <w:pStyle w:val="Numbered"/>
        <w:numPr>
          <w:ilvl w:val="0"/>
          <w:numId w:val="227"/>
        </w:numPr>
        <w:rPr>
          <w:rFonts w:cs="Calibri"/>
        </w:rPr>
      </w:pPr>
      <w:r w:rsidRPr="00150391">
        <w:rPr>
          <w:rFonts w:cs="Calibri"/>
        </w:rPr>
        <w:t>tables should be in one Excel workbook per entity</w:t>
      </w:r>
    </w:p>
    <w:p w14:paraId="19BE22DA" w14:textId="77777777" w:rsidR="00FA0945" w:rsidRPr="00150391" w:rsidRDefault="53BF0693">
      <w:pPr>
        <w:pStyle w:val="Numbered"/>
        <w:numPr>
          <w:ilvl w:val="0"/>
          <w:numId w:val="227"/>
        </w:numPr>
        <w:rPr>
          <w:rFonts w:cs="Calibri"/>
        </w:rPr>
      </w:pPr>
      <w:r w:rsidRPr="00150391">
        <w:rPr>
          <w:rFonts w:cs="Calibri"/>
        </w:rPr>
        <w:t>tables should be presented using the wrap-text function</w:t>
      </w:r>
    </w:p>
    <w:p w14:paraId="2E4BD78B" w14:textId="77777777" w:rsidR="00171829" w:rsidRPr="00150391" w:rsidRDefault="53BF0693">
      <w:pPr>
        <w:pStyle w:val="Numbered"/>
        <w:numPr>
          <w:ilvl w:val="0"/>
          <w:numId w:val="227"/>
        </w:numPr>
        <w:rPr>
          <w:rFonts w:cs="Calibri"/>
        </w:rPr>
      </w:pPr>
      <w:r w:rsidRPr="00150391">
        <w:rPr>
          <w:rFonts w:cs="Calibri"/>
        </w:rPr>
        <w:t>tables should not be merged in any way</w:t>
      </w:r>
    </w:p>
    <w:p w14:paraId="2E98BAE0" w14:textId="77777777" w:rsidR="00FA0945" w:rsidRPr="00150391" w:rsidRDefault="53BF0693">
      <w:pPr>
        <w:pStyle w:val="Numbered"/>
        <w:numPr>
          <w:ilvl w:val="0"/>
          <w:numId w:val="227"/>
        </w:numPr>
        <w:rPr>
          <w:rFonts w:cs="Calibri"/>
        </w:rPr>
      </w:pPr>
      <w:r w:rsidRPr="00150391">
        <w:rPr>
          <w:rFonts w:cs="Calibri"/>
        </w:rPr>
        <w:t>figures in tables are rounded and presented in thousands</w:t>
      </w:r>
    </w:p>
    <w:p w14:paraId="3445F2E0" w14:textId="77777777" w:rsidR="00FA0945" w:rsidRPr="00150391" w:rsidRDefault="53BF0693">
      <w:pPr>
        <w:pStyle w:val="Numbered"/>
        <w:numPr>
          <w:ilvl w:val="0"/>
          <w:numId w:val="227"/>
        </w:numPr>
        <w:rPr>
          <w:rFonts w:cs="Calibri"/>
        </w:rPr>
      </w:pPr>
      <w:r w:rsidRPr="00150391">
        <w:rPr>
          <w:rFonts w:cs="Calibri"/>
        </w:rPr>
        <w:t>figures in tables are correct and the same as those presented in the publication</w:t>
      </w:r>
    </w:p>
    <w:p w14:paraId="7A834A7F" w14:textId="77777777" w:rsidR="00FA0945" w:rsidRPr="00150391" w:rsidRDefault="53BF0693">
      <w:pPr>
        <w:pStyle w:val="Numbered"/>
        <w:numPr>
          <w:ilvl w:val="0"/>
          <w:numId w:val="227"/>
        </w:numPr>
        <w:rPr>
          <w:rFonts w:cs="Calibri"/>
        </w:rPr>
      </w:pPr>
      <w:r w:rsidRPr="00150391">
        <w:rPr>
          <w:rFonts w:cs="Calibri"/>
        </w:rPr>
        <w:t>tables should be presented as text and figures</w:t>
      </w:r>
    </w:p>
    <w:p w14:paraId="19CDE326" w14:textId="6E9E44C0" w:rsidR="00FA0945" w:rsidRPr="00150391" w:rsidRDefault="53BF0693">
      <w:pPr>
        <w:pStyle w:val="Numbered"/>
        <w:numPr>
          <w:ilvl w:val="0"/>
          <w:numId w:val="227"/>
        </w:numPr>
        <w:rPr>
          <w:rFonts w:cs="Calibri"/>
        </w:rPr>
      </w:pPr>
      <w:r w:rsidRPr="00150391">
        <w:rPr>
          <w:rFonts w:cs="Calibri"/>
        </w:rPr>
        <w:t>links to other workbooks should be broken/removed</w:t>
      </w:r>
    </w:p>
    <w:p w14:paraId="0A8FE9C5" w14:textId="77777777" w:rsidR="00FA0945" w:rsidRPr="00150391" w:rsidRDefault="53BF0693">
      <w:pPr>
        <w:pStyle w:val="Numbered"/>
        <w:numPr>
          <w:ilvl w:val="0"/>
          <w:numId w:val="227"/>
        </w:numPr>
        <w:rPr>
          <w:rFonts w:cs="Calibri"/>
        </w:rPr>
      </w:pPr>
      <w:r w:rsidRPr="00150391">
        <w:rPr>
          <w:rFonts w:cs="Calibri"/>
        </w:rPr>
        <w:t>all hidden and working sheets, as well as cell comments, should be removed</w:t>
      </w:r>
    </w:p>
    <w:p w14:paraId="4E07F08D" w14:textId="77777777" w:rsidR="00FA0945" w:rsidRPr="00150391" w:rsidRDefault="53BF0693">
      <w:pPr>
        <w:pStyle w:val="Numbered"/>
        <w:numPr>
          <w:ilvl w:val="0"/>
          <w:numId w:val="227"/>
        </w:numPr>
        <w:rPr>
          <w:rFonts w:cs="Calibri"/>
        </w:rPr>
      </w:pPr>
      <w:r w:rsidRPr="00150391">
        <w:rPr>
          <w:rFonts w:cs="Calibri"/>
        </w:rPr>
        <w:t>all hidden rows, blank rows and columns should be removed</w:t>
      </w:r>
    </w:p>
    <w:p w14:paraId="21A41DBA" w14:textId="77777777" w:rsidR="00FA0945" w:rsidRPr="00150391" w:rsidRDefault="53BF0693">
      <w:pPr>
        <w:pStyle w:val="Numbered"/>
        <w:numPr>
          <w:ilvl w:val="0"/>
          <w:numId w:val="227"/>
        </w:numPr>
        <w:rPr>
          <w:rFonts w:cs="Calibri"/>
        </w:rPr>
      </w:pPr>
      <w:r w:rsidRPr="00150391">
        <w:rPr>
          <w:rFonts w:cs="Calibri"/>
        </w:rPr>
        <w:t>all passwords should be removed from the files</w:t>
      </w:r>
    </w:p>
    <w:p w14:paraId="30152D81" w14:textId="77777777" w:rsidR="00FA0945" w:rsidRPr="00150391" w:rsidRDefault="53BF0693">
      <w:pPr>
        <w:pStyle w:val="Numbered"/>
        <w:numPr>
          <w:ilvl w:val="0"/>
          <w:numId w:val="227"/>
        </w:numPr>
        <w:rPr>
          <w:rFonts w:cs="Calibri"/>
        </w:rPr>
      </w:pPr>
      <w:r w:rsidRPr="00150391">
        <w:rPr>
          <w:rFonts w:cs="Calibri"/>
        </w:rPr>
        <w:t>footnotes must be in the correct format (one footnote per line)</w:t>
      </w:r>
    </w:p>
    <w:p w14:paraId="377F8BE6" w14:textId="77777777" w:rsidR="00FA0945" w:rsidRPr="00150391" w:rsidRDefault="53BF0693">
      <w:pPr>
        <w:pStyle w:val="Numbered"/>
        <w:numPr>
          <w:ilvl w:val="0"/>
          <w:numId w:val="227"/>
        </w:numPr>
        <w:rPr>
          <w:rFonts w:cs="Calibri"/>
        </w:rPr>
      </w:pPr>
      <w:r w:rsidRPr="00150391">
        <w:rPr>
          <w:rFonts w:cs="Calibri"/>
        </w:rPr>
        <w:t xml:space="preserve">footnotes should be pasted as text below the relevant tables, not as pictures  </w:t>
      </w:r>
    </w:p>
    <w:p w14:paraId="3326CED2" w14:textId="16CF0889" w:rsidR="00FA0945" w:rsidRPr="00150391" w:rsidRDefault="53BF0693">
      <w:pPr>
        <w:pStyle w:val="Numbered"/>
        <w:numPr>
          <w:ilvl w:val="0"/>
          <w:numId w:val="227"/>
        </w:numPr>
        <w:rPr>
          <w:rFonts w:cs="Calibri"/>
        </w:rPr>
      </w:pPr>
      <w:r w:rsidRPr="00150391">
        <w:rPr>
          <w:rFonts w:cs="Calibri"/>
        </w:rPr>
        <w:t xml:space="preserve">When portfolios table a corrigendum to the PB Statements (see the Issuing a corrigendum/addendum section below), updated tables should be provided to Finance following tabling for upload onto </w:t>
      </w:r>
      <w:hyperlink r:id="rId59">
        <w:r w:rsidRPr="002B4935">
          <w:rPr>
            <w:rStyle w:val="Hyperlink"/>
            <w:rFonts w:ascii="Calibri" w:hAnsi="Calibri" w:cs="Calibri"/>
            <w:color w:val="0070C0"/>
          </w:rPr>
          <w:t>data.gov.au</w:t>
        </w:r>
      </w:hyperlink>
      <w:r w:rsidRPr="00150391">
        <w:rPr>
          <w:rFonts w:cs="Calibri"/>
        </w:rPr>
        <w:t>.</w:t>
      </w:r>
    </w:p>
    <w:p w14:paraId="72D92714" w14:textId="6ECC444C" w:rsidR="00FA0945" w:rsidRPr="00150391" w:rsidRDefault="53BF0693" w:rsidP="53BF0693">
      <w:pPr>
        <w:rPr>
          <w:rStyle w:val="BodyTextChar"/>
          <w:rFonts w:cs="Calibri"/>
        </w:rPr>
      </w:pPr>
      <w:r w:rsidRPr="00150391">
        <w:rPr>
          <w:rStyle w:val="BodyTextChar"/>
          <w:rFonts w:cs="Calibri"/>
        </w:rPr>
        <w:t xml:space="preserve">Finance will review the files to ensure they meet the above requirements and will return files to </w:t>
      </w:r>
      <w:r w:rsidR="00396887" w:rsidRPr="00150391">
        <w:rPr>
          <w:rStyle w:val="BodyTextChar"/>
          <w:rFonts w:cs="Calibri"/>
        </w:rPr>
        <w:t>portfolio</w:t>
      </w:r>
      <w:r w:rsidRPr="00150391">
        <w:rPr>
          <w:rStyle w:val="BodyTextChar"/>
          <w:rFonts w:cs="Calibri"/>
        </w:rPr>
        <w:t xml:space="preserve">s for amendment if required, prior to publication on </w:t>
      </w:r>
      <w:hyperlink r:id="rId60">
        <w:r w:rsidRPr="002B4935">
          <w:rPr>
            <w:rStyle w:val="Hyperlink"/>
            <w:rFonts w:ascii="Calibri" w:eastAsia="Cambria" w:hAnsi="Calibri" w:cs="Calibri"/>
            <w:color w:val="0070C0"/>
          </w:rPr>
          <w:t>data.gov.au</w:t>
        </w:r>
      </w:hyperlink>
      <w:r w:rsidRPr="00150391">
        <w:rPr>
          <w:rStyle w:val="BodyTextChar"/>
          <w:rFonts w:cs="Calibri"/>
        </w:rPr>
        <w:t>:</w:t>
      </w:r>
    </w:p>
    <w:p w14:paraId="0FBD0D79" w14:textId="77777777" w:rsidR="00FA0945" w:rsidRPr="00150391" w:rsidRDefault="53BF0693" w:rsidP="005379D4">
      <w:pPr>
        <w:pStyle w:val="Bullet1"/>
        <w:rPr>
          <w:rFonts w:ascii="Calibri" w:hAnsi="Calibri" w:cs="Calibri"/>
        </w:rPr>
      </w:pPr>
      <w:r w:rsidRPr="00150391">
        <w:rPr>
          <w:rFonts w:ascii="Calibri" w:hAnsi="Calibri" w:cs="Calibri"/>
        </w:rPr>
        <w:t xml:space="preserve">it is the </w:t>
      </w:r>
      <w:r w:rsidR="00396887" w:rsidRPr="00150391">
        <w:rPr>
          <w:rFonts w:ascii="Calibri" w:hAnsi="Calibri" w:cs="Calibri"/>
        </w:rPr>
        <w:t>portfolio department</w:t>
      </w:r>
      <w:r w:rsidRPr="00150391">
        <w:rPr>
          <w:rFonts w:ascii="Calibri" w:hAnsi="Calibri" w:cs="Calibri"/>
        </w:rPr>
        <w:t>’s responsibility to check the integrity of the data provided in each table and that it matches the published PB Statements.</w:t>
      </w:r>
    </w:p>
    <w:p w14:paraId="62BAA150" w14:textId="4D150CB0" w:rsidR="006E5A47" w:rsidRPr="00150391" w:rsidRDefault="53BF0693" w:rsidP="53BF0693">
      <w:pPr>
        <w:rPr>
          <w:rStyle w:val="BodyTextChar"/>
          <w:rFonts w:cs="Calibri"/>
        </w:rPr>
      </w:pPr>
      <w:r w:rsidRPr="00150391">
        <w:rPr>
          <w:rStyle w:val="BodyTextChar"/>
          <w:rFonts w:cs="Calibri"/>
        </w:rPr>
        <w:t xml:space="preserve">For information on </w:t>
      </w:r>
      <w:hyperlink r:id="rId61">
        <w:r w:rsidR="00FE100A" w:rsidRPr="002B4935">
          <w:rPr>
            <w:rStyle w:val="Hyperlink"/>
            <w:rFonts w:ascii="Calibri" w:hAnsi="Calibri" w:cs="Calibri"/>
            <w:color w:val="0070C0"/>
          </w:rPr>
          <w:t>data.gov.au</w:t>
        </w:r>
      </w:hyperlink>
      <w:r w:rsidRPr="00150391">
        <w:rPr>
          <w:rStyle w:val="BodyTextChar"/>
          <w:rFonts w:cs="Calibri"/>
        </w:rPr>
        <w:t xml:space="preserve"> please email </w:t>
      </w:r>
      <w:hyperlink r:id="rId62">
        <w:r w:rsidRPr="002B4935">
          <w:rPr>
            <w:rStyle w:val="Hyperlink"/>
            <w:rFonts w:ascii="Calibri" w:hAnsi="Calibri" w:cs="Calibri"/>
            <w:color w:val="0070C0"/>
          </w:rPr>
          <w:t>data@digital.gov.au</w:t>
        </w:r>
      </w:hyperlink>
      <w:r w:rsidRPr="00150391">
        <w:rPr>
          <w:rStyle w:val="BodyTextChar"/>
          <w:rFonts w:cs="Calibri"/>
        </w:rPr>
        <w:t>.</w:t>
      </w:r>
    </w:p>
    <w:p w14:paraId="2CCB6968" w14:textId="77777777" w:rsidR="000457F9" w:rsidRPr="00150391" w:rsidRDefault="53BF0693" w:rsidP="00CF6BE7">
      <w:pPr>
        <w:pStyle w:val="Heading3Numbered"/>
        <w:rPr>
          <w:rFonts w:ascii="Calibri" w:hAnsi="Calibri" w:cs="Calibri"/>
        </w:rPr>
      </w:pPr>
      <w:bookmarkStart w:id="446" w:name="_Ref46250929"/>
      <w:bookmarkStart w:id="447" w:name="_Ref46250933"/>
      <w:bookmarkStart w:id="448" w:name="_Toc63347692"/>
      <w:bookmarkStart w:id="449" w:name="_Toc114576279"/>
      <w:r w:rsidRPr="00150391">
        <w:rPr>
          <w:rFonts w:ascii="Calibri" w:hAnsi="Calibri" w:cs="Calibri"/>
        </w:rPr>
        <w:t>Checklist for preparing files for online publication on data.gov.au</w:t>
      </w:r>
      <w:bookmarkEnd w:id="446"/>
      <w:bookmarkEnd w:id="447"/>
      <w:bookmarkEnd w:id="448"/>
      <w:bookmarkEnd w:id="449"/>
    </w:p>
    <w:p w14:paraId="1297917A" w14:textId="3B949986" w:rsidR="000F17BE" w:rsidRPr="00150391" w:rsidRDefault="000F17BE" w:rsidP="00580008">
      <w:pPr>
        <w:rPr>
          <w:rFonts w:cs="Calibri"/>
        </w:rPr>
      </w:pPr>
      <w:r w:rsidRPr="00150391">
        <w:rPr>
          <w:rFonts w:cs="Calibri"/>
        </w:rPr>
        <w:t xml:space="preserve">Portfolios must refer to </w:t>
      </w:r>
      <w:r w:rsidRPr="00150391">
        <w:rPr>
          <w:rFonts w:cs="Calibri"/>
          <w:u w:val="single"/>
        </w:rPr>
        <w:t>Attachment D</w:t>
      </w:r>
      <w:r w:rsidRPr="00150391">
        <w:rPr>
          <w:rFonts w:cs="Calibri"/>
        </w:rPr>
        <w:t xml:space="preserve"> Checklist for preparing files for online publication on </w:t>
      </w:r>
      <w:hyperlink r:id="rId63">
        <w:r w:rsidR="00FE100A" w:rsidRPr="00150391">
          <w:rPr>
            <w:rStyle w:val="Hyperlink"/>
            <w:rFonts w:ascii="Calibri" w:hAnsi="Calibri" w:cs="Calibri"/>
          </w:rPr>
          <w:t>data.gov.au</w:t>
        </w:r>
      </w:hyperlink>
      <w:r w:rsidRPr="00150391">
        <w:rPr>
          <w:rFonts w:cs="Calibri"/>
        </w:rPr>
        <w:t xml:space="preserve"> for further instructions on how to prepare their files before submitting to Finance.</w:t>
      </w:r>
    </w:p>
    <w:p w14:paraId="3DA5414E" w14:textId="77777777" w:rsidR="00A84F6D" w:rsidRPr="00150391" w:rsidRDefault="53BF0693" w:rsidP="00180259">
      <w:pPr>
        <w:pStyle w:val="Heading2Numbered"/>
        <w:rPr>
          <w:rFonts w:ascii="Calibri" w:hAnsi="Calibri" w:cs="Calibri"/>
        </w:rPr>
      </w:pPr>
      <w:bookmarkStart w:id="450" w:name="_Toc87979862"/>
      <w:bookmarkStart w:id="451" w:name="_Toc34314210"/>
      <w:bookmarkStart w:id="452" w:name="_Toc34314211"/>
      <w:bookmarkStart w:id="453" w:name="_Toc63347693"/>
      <w:bookmarkStart w:id="454" w:name="_Toc114576280"/>
      <w:bookmarkEnd w:id="450"/>
      <w:bookmarkEnd w:id="451"/>
      <w:bookmarkEnd w:id="452"/>
      <w:r w:rsidRPr="00150391">
        <w:rPr>
          <w:rFonts w:ascii="Calibri" w:hAnsi="Calibri" w:cs="Calibri"/>
        </w:rPr>
        <w:t>Use of ISBN/ISSN number</w:t>
      </w:r>
      <w:bookmarkEnd w:id="453"/>
      <w:bookmarkEnd w:id="454"/>
    </w:p>
    <w:p w14:paraId="07C73231" w14:textId="7C4BBFA6" w:rsidR="005F01DF" w:rsidRPr="00150391" w:rsidRDefault="53BF0693" w:rsidP="2868E674">
      <w:pPr>
        <w:rPr>
          <w:rFonts w:cs="Calibri"/>
        </w:rPr>
      </w:pPr>
      <w:r w:rsidRPr="00150391">
        <w:rPr>
          <w:rFonts w:cs="Calibri"/>
        </w:rPr>
        <w:t xml:space="preserve">All portfolios are required to produce a PB Statement as they require an annual appropriation but not every portfolio is required to produce a PAES. Therefore, an </w:t>
      </w:r>
      <w:r w:rsidR="00027573" w:rsidRPr="00150391">
        <w:rPr>
          <w:rFonts w:cs="Calibri"/>
        </w:rPr>
        <w:t>International Standard </w:t>
      </w:r>
      <w:r w:rsidRPr="00150391">
        <w:rPr>
          <w:rFonts w:cs="Calibri"/>
        </w:rPr>
        <w:t>Serial Number (ISSN) is assigned for PB Statements and an International Standard Book Number (ISBN) is assigned for PAES.</w:t>
      </w:r>
    </w:p>
    <w:p w14:paraId="7FDD4801" w14:textId="77777777" w:rsidR="007223A0" w:rsidRPr="00150391" w:rsidRDefault="53BF0693">
      <w:pPr>
        <w:rPr>
          <w:rFonts w:cs="Calibri"/>
        </w:rPr>
      </w:pPr>
      <w:r w:rsidRPr="00150391">
        <w:rPr>
          <w:rFonts w:cs="Calibri"/>
        </w:rPr>
        <w:t>This is because the ISSN number is for a full set of documents whilst the ISBN is for a partial set of documents.</w:t>
      </w:r>
    </w:p>
    <w:p w14:paraId="67205622" w14:textId="1E519A35" w:rsidR="00FA0945" w:rsidRPr="00150391" w:rsidRDefault="53BF0693" w:rsidP="53BF0693">
      <w:pPr>
        <w:pStyle w:val="Heading2Numbered"/>
        <w:rPr>
          <w:rFonts w:ascii="Calibri" w:hAnsi="Calibri" w:cs="Calibri"/>
        </w:rPr>
      </w:pPr>
      <w:bookmarkStart w:id="455" w:name="_Toc63347694"/>
      <w:bookmarkStart w:id="456" w:name="_Toc114576281"/>
      <w:r w:rsidRPr="00150391">
        <w:rPr>
          <w:rFonts w:ascii="Calibri" w:hAnsi="Calibri" w:cs="Calibri"/>
        </w:rPr>
        <w:t>Issuing a corrigendum</w:t>
      </w:r>
      <w:r w:rsidR="00D81522" w:rsidRPr="00150391">
        <w:rPr>
          <w:rFonts w:ascii="Calibri" w:hAnsi="Calibri" w:cs="Calibri"/>
        </w:rPr>
        <w:t xml:space="preserve"> (correction)</w:t>
      </w:r>
      <w:r w:rsidRPr="00150391">
        <w:rPr>
          <w:rFonts w:ascii="Calibri" w:hAnsi="Calibri" w:cs="Calibri"/>
        </w:rPr>
        <w:t>/addendum</w:t>
      </w:r>
      <w:bookmarkEnd w:id="455"/>
      <w:bookmarkEnd w:id="456"/>
    </w:p>
    <w:p w14:paraId="5E953549" w14:textId="37977BD8" w:rsidR="00E43670" w:rsidRPr="00150391" w:rsidRDefault="53BF0693" w:rsidP="000A7DEC">
      <w:pPr>
        <w:rPr>
          <w:rFonts w:cs="Calibri"/>
        </w:rPr>
      </w:pPr>
      <w:r w:rsidRPr="00150391">
        <w:rPr>
          <w:rStyle w:val="BodyTextChar"/>
          <w:rFonts w:cs="Calibri"/>
        </w:rPr>
        <w:t xml:space="preserve">If necessary, refer to </w:t>
      </w:r>
      <w:hyperlink r:id="rId64" w:history="1">
        <w:r w:rsidR="00BC0DB5" w:rsidRPr="002B4935">
          <w:rPr>
            <w:rStyle w:val="Hyperlink"/>
            <w:rFonts w:ascii="Calibri" w:hAnsi="Calibri" w:cs="Calibri"/>
            <w:color w:val="0070C0"/>
          </w:rPr>
          <w:t>PM&amp;C’s tabling guidelines</w:t>
        </w:r>
      </w:hyperlink>
      <w:r w:rsidRPr="00150391">
        <w:rPr>
          <w:rStyle w:val="BodyTextChar"/>
          <w:rFonts w:cs="Calibri"/>
        </w:rPr>
        <w:t xml:space="preserve"> </w:t>
      </w:r>
      <w:r w:rsidR="0069500B" w:rsidRPr="00150391">
        <w:rPr>
          <w:rStyle w:val="BodyTextChar"/>
          <w:rFonts w:cs="Calibri"/>
        </w:rPr>
        <w:t xml:space="preserve">available from </w:t>
      </w:r>
      <w:r w:rsidR="00963D4B" w:rsidRPr="00150391">
        <w:rPr>
          <w:rStyle w:val="BodyTextChar"/>
          <w:rFonts w:cs="Calibri"/>
        </w:rPr>
        <w:t xml:space="preserve">their </w:t>
      </w:r>
      <w:r w:rsidR="0069500B" w:rsidRPr="00150391">
        <w:rPr>
          <w:rStyle w:val="BodyTextChar"/>
          <w:rFonts w:cs="Calibri"/>
        </w:rPr>
        <w:t>website.</w:t>
      </w:r>
    </w:p>
    <w:p w14:paraId="1D2A10AE" w14:textId="77C992D0" w:rsidR="00E43670" w:rsidRPr="00150391" w:rsidRDefault="0082173F" w:rsidP="53BF0693">
      <w:pPr>
        <w:rPr>
          <w:rStyle w:val="BodyTextChar"/>
          <w:rFonts w:cs="Calibri"/>
        </w:rPr>
      </w:pPr>
      <w:r w:rsidRPr="00150391">
        <w:rPr>
          <w:rFonts w:cs="Calibri"/>
        </w:rPr>
        <w:t>An addendum is required where information has been omitted</w:t>
      </w:r>
      <w:r w:rsidR="00984700">
        <w:rPr>
          <w:rFonts w:cs="Calibri"/>
        </w:rPr>
        <w:t>/</w:t>
      </w:r>
      <w:r w:rsidRPr="00150391">
        <w:rPr>
          <w:rFonts w:cs="Calibri"/>
        </w:rPr>
        <w:t xml:space="preserve">missing from the </w:t>
      </w:r>
      <w:r w:rsidR="00FE100A" w:rsidRPr="00150391">
        <w:rPr>
          <w:rFonts w:cs="Calibri"/>
        </w:rPr>
        <w:t>PB </w:t>
      </w:r>
      <w:r w:rsidRPr="00150391">
        <w:rPr>
          <w:rFonts w:cs="Calibri"/>
        </w:rPr>
        <w:t xml:space="preserve">Statement such as a table or a footnote. A corrigendum is required where information has been misstated within the PB Statement and requires a correction. </w:t>
      </w:r>
      <w:r w:rsidR="53BF0693" w:rsidRPr="00150391">
        <w:rPr>
          <w:rFonts w:cs="Calibri"/>
        </w:rPr>
        <w:t>Portfolios</w:t>
      </w:r>
      <w:r w:rsidR="53BF0693" w:rsidRPr="00150391">
        <w:rPr>
          <w:rStyle w:val="BodyTextChar"/>
          <w:rFonts w:cs="Calibri"/>
        </w:rPr>
        <w:t xml:space="preserve"> who identify an error in their PB Statements</w:t>
      </w:r>
      <w:r w:rsidR="000F5722" w:rsidRPr="00150391">
        <w:rPr>
          <w:rStyle w:val="BodyTextChar"/>
          <w:rFonts w:cs="Calibri"/>
        </w:rPr>
        <w:t>,</w:t>
      </w:r>
      <w:r w:rsidR="53BF0693" w:rsidRPr="00150391">
        <w:rPr>
          <w:rStyle w:val="BodyTextChar"/>
          <w:rFonts w:cs="Calibri"/>
        </w:rPr>
        <w:t xml:space="preserve"> PAES </w:t>
      </w:r>
      <w:r w:rsidR="000F5722" w:rsidRPr="00150391">
        <w:rPr>
          <w:rStyle w:val="BodyTextChar"/>
          <w:rFonts w:cs="Calibri"/>
        </w:rPr>
        <w:t xml:space="preserve">or PSAES </w:t>
      </w:r>
      <w:r w:rsidR="53BF0693" w:rsidRPr="00150391">
        <w:rPr>
          <w:rStyle w:val="BodyTextChar"/>
          <w:rFonts w:cs="Calibri"/>
        </w:rPr>
        <w:t xml:space="preserve">should follow </w:t>
      </w:r>
      <w:r w:rsidR="00AB296E" w:rsidRPr="00150391">
        <w:rPr>
          <w:rStyle w:val="BodyTextChar"/>
          <w:rFonts w:cs="Calibri"/>
        </w:rPr>
        <w:t>the process set out below</w:t>
      </w:r>
      <w:r w:rsidR="53BF0693" w:rsidRPr="00150391">
        <w:rPr>
          <w:rStyle w:val="BodyTextChar"/>
          <w:rFonts w:cs="Calibri"/>
        </w:rPr>
        <w:t>:</w:t>
      </w:r>
    </w:p>
    <w:p w14:paraId="2165C259" w14:textId="1C29934D" w:rsidR="00B51CD3" w:rsidRPr="00150391" w:rsidRDefault="000733FF" w:rsidP="53BF0693">
      <w:pPr>
        <w:pStyle w:val="Bullet1"/>
        <w:rPr>
          <w:rStyle w:val="BodyTextChar"/>
          <w:rFonts w:ascii="Calibri" w:hAnsi="Calibri" w:cs="Calibri"/>
        </w:rPr>
      </w:pPr>
      <w:r w:rsidRPr="00150391">
        <w:rPr>
          <w:rStyle w:val="BodyTextChar"/>
          <w:rFonts w:ascii="Calibri" w:hAnsi="Calibri" w:cs="Calibri"/>
        </w:rPr>
        <w:t>a</w:t>
      </w:r>
      <w:r w:rsidR="53BF0693" w:rsidRPr="00150391">
        <w:rPr>
          <w:rStyle w:val="BodyTextChar"/>
          <w:rFonts w:ascii="Calibri" w:hAnsi="Calibri" w:cs="Calibri"/>
        </w:rPr>
        <w:t>dvise your Minister’s office of the error and seek approval for the updated PB Statement/PAES tables and pages</w:t>
      </w:r>
    </w:p>
    <w:p w14:paraId="57DD92CB" w14:textId="0204BFB0" w:rsidR="00E43670" w:rsidRPr="00150391" w:rsidRDefault="000733FF" w:rsidP="53BF0693">
      <w:pPr>
        <w:pStyle w:val="Bullet1"/>
        <w:rPr>
          <w:rStyle w:val="BodyTextChar"/>
          <w:rFonts w:ascii="Calibri" w:hAnsi="Calibri" w:cs="Calibri"/>
        </w:rPr>
      </w:pPr>
      <w:r w:rsidRPr="00150391">
        <w:rPr>
          <w:rStyle w:val="BodyTextChar"/>
          <w:rFonts w:ascii="Calibri" w:hAnsi="Calibri" w:cs="Calibri"/>
        </w:rPr>
        <w:t>c</w:t>
      </w:r>
      <w:r w:rsidR="53BF0693" w:rsidRPr="00150391">
        <w:rPr>
          <w:rStyle w:val="BodyTextChar"/>
          <w:rFonts w:ascii="Calibri" w:hAnsi="Calibri" w:cs="Calibri"/>
        </w:rPr>
        <w:t>ontact the PM&amp;C Tabling Officer to advise that a correction is required:</w:t>
      </w:r>
    </w:p>
    <w:p w14:paraId="6A555401" w14:textId="77777777" w:rsidR="00E43670" w:rsidRPr="00150391" w:rsidRDefault="53BF0693" w:rsidP="53BF0693">
      <w:pPr>
        <w:pStyle w:val="Bullet2"/>
        <w:rPr>
          <w:rStyle w:val="BodyTextChar"/>
          <w:rFonts w:cs="Calibri"/>
        </w:rPr>
      </w:pPr>
      <w:r w:rsidRPr="00150391">
        <w:rPr>
          <w:rStyle w:val="BodyTextChar"/>
          <w:rFonts w:cs="Calibri"/>
        </w:rPr>
        <w:t>(02) 6277 7212</w:t>
      </w:r>
    </w:p>
    <w:p w14:paraId="66849788" w14:textId="4976EE5A" w:rsidR="00E43670" w:rsidRPr="002B4935" w:rsidRDefault="00A438FF" w:rsidP="6B6EE5C4">
      <w:pPr>
        <w:pStyle w:val="Bullet2"/>
        <w:spacing w:before="100" w:after="100"/>
        <w:rPr>
          <w:rStyle w:val="BodyTextChar"/>
          <w:rFonts w:cs="Calibri"/>
          <w:color w:val="0070C0"/>
        </w:rPr>
      </w:pPr>
      <w:hyperlink r:id="rId65">
        <w:r w:rsidR="6B6EE5C4" w:rsidRPr="002B4935">
          <w:rPr>
            <w:rStyle w:val="Hyperlink"/>
            <w:rFonts w:ascii="Calibri" w:hAnsi="Calibri" w:cs="Calibri"/>
            <w:color w:val="0070C0"/>
          </w:rPr>
          <w:t>tabling@pmc.gov.au</w:t>
        </w:r>
      </w:hyperlink>
    </w:p>
    <w:p w14:paraId="07B62F33" w14:textId="4AD92590" w:rsidR="00E43670" w:rsidRPr="00150391" w:rsidRDefault="000733FF" w:rsidP="53BF0693">
      <w:pPr>
        <w:pStyle w:val="Bullet1"/>
        <w:rPr>
          <w:rStyle w:val="BodyTextChar"/>
          <w:rFonts w:ascii="Calibri" w:hAnsi="Calibri" w:cs="Calibri"/>
        </w:rPr>
      </w:pPr>
      <w:r w:rsidRPr="00150391">
        <w:rPr>
          <w:rStyle w:val="BodyTextChar"/>
          <w:rFonts w:ascii="Calibri" w:hAnsi="Calibri" w:cs="Calibri"/>
        </w:rPr>
        <w:t>if</w:t>
      </w:r>
      <w:r w:rsidR="53BF0693" w:rsidRPr="00150391">
        <w:rPr>
          <w:rStyle w:val="BodyTextChar"/>
          <w:rFonts w:ascii="Calibri" w:hAnsi="Calibri" w:cs="Calibri"/>
        </w:rPr>
        <w:t xml:space="preserve"> the error affects figures published in the BP</w:t>
      </w:r>
      <w:r w:rsidR="00A834F4" w:rsidRPr="00150391">
        <w:rPr>
          <w:rStyle w:val="BodyTextChar"/>
          <w:rFonts w:ascii="Calibri" w:hAnsi="Calibri" w:cs="Calibri"/>
        </w:rPr>
        <w:t>s</w:t>
      </w:r>
      <w:r w:rsidR="53BF0693" w:rsidRPr="00150391">
        <w:rPr>
          <w:rStyle w:val="BodyTextChar"/>
          <w:rFonts w:ascii="Calibri" w:hAnsi="Calibri" w:cs="Calibri"/>
        </w:rPr>
        <w:t xml:space="preserve"> and/or Appropriation Bills, your Minister must submit the corrigendum (and background reports) to the Finance Minister for approval (and if required to be tabled out-of-session, a Transmittal letter - see below)</w:t>
      </w:r>
    </w:p>
    <w:p w14:paraId="733D757E" w14:textId="1B733325" w:rsidR="00E43670" w:rsidRPr="00150391" w:rsidRDefault="00A32A89" w:rsidP="001D16F2">
      <w:pPr>
        <w:pStyle w:val="Bullet2"/>
        <w:rPr>
          <w:rFonts w:cs="Calibri"/>
        </w:rPr>
      </w:pPr>
      <w:r w:rsidRPr="00150391">
        <w:rPr>
          <w:rFonts w:cs="Calibri"/>
        </w:rPr>
        <w:t xml:space="preserve">the relevant portfolio department </w:t>
      </w:r>
      <w:r w:rsidR="00010D51" w:rsidRPr="00150391">
        <w:rPr>
          <w:rFonts w:cs="Calibri"/>
        </w:rPr>
        <w:t xml:space="preserve">must also advise your AAU and the Accounting Framework and Capability Support Team </w:t>
      </w:r>
      <w:hyperlink r:id="rId66" w:history="1">
        <w:r w:rsidR="00010D51" w:rsidRPr="002B4935">
          <w:rPr>
            <w:rStyle w:val="Hyperlink"/>
            <w:rFonts w:ascii="Calibri" w:hAnsi="Calibri" w:cs="Calibri"/>
            <w:color w:val="0070C0"/>
          </w:rPr>
          <w:t>budget_framework@finance.gov.au</w:t>
        </w:r>
      </w:hyperlink>
      <w:r w:rsidR="00010D51" w:rsidRPr="00150391">
        <w:rPr>
          <w:rFonts w:cs="Calibri"/>
        </w:rPr>
        <w:t xml:space="preserve"> prior to submitting the corrigendum to the Finance Minister for approval. </w:t>
      </w:r>
    </w:p>
    <w:p w14:paraId="17D144EF" w14:textId="2D7DD115" w:rsidR="00E43670" w:rsidRPr="00150391" w:rsidRDefault="00010D51" w:rsidP="00010D51">
      <w:pPr>
        <w:rPr>
          <w:rStyle w:val="BodyTextChar"/>
          <w:rFonts w:cs="Calibri"/>
        </w:rPr>
      </w:pPr>
      <w:r w:rsidRPr="00150391">
        <w:rPr>
          <w:rStyle w:val="BodyTextChar"/>
          <w:rFonts w:cs="Calibri"/>
        </w:rPr>
        <w:t>C</w:t>
      </w:r>
      <w:r w:rsidR="53BF0693" w:rsidRPr="00150391">
        <w:rPr>
          <w:rStyle w:val="BodyTextChar"/>
          <w:rFonts w:cs="Calibri"/>
        </w:rPr>
        <w:t xml:space="preserve">orrections will be tabled in the same manner </w:t>
      </w:r>
      <w:r w:rsidRPr="00150391">
        <w:rPr>
          <w:rStyle w:val="BodyTextChar"/>
          <w:rFonts w:cs="Calibri"/>
        </w:rPr>
        <w:t xml:space="preserve">through the Senate </w:t>
      </w:r>
      <w:r w:rsidR="53BF0693" w:rsidRPr="00150391">
        <w:rPr>
          <w:rStyle w:val="BodyTextChar"/>
          <w:rFonts w:cs="Calibri"/>
        </w:rPr>
        <w:t>and subject to the same copy requirements (including approval by the relevant Minister) as the original</w:t>
      </w:r>
      <w:r w:rsidR="00F1268C" w:rsidRPr="00150391">
        <w:rPr>
          <w:rStyle w:val="BodyTextChar"/>
          <w:rFonts w:cs="Calibri"/>
        </w:rPr>
        <w:t>.</w:t>
      </w:r>
    </w:p>
    <w:p w14:paraId="524E3680" w14:textId="77777777" w:rsidR="00010D51" w:rsidRPr="00150391" w:rsidRDefault="00010D51" w:rsidP="00010D51">
      <w:pPr>
        <w:rPr>
          <w:rStyle w:val="BodyTextChar"/>
          <w:rFonts w:cs="Calibri"/>
        </w:rPr>
      </w:pPr>
      <w:r w:rsidRPr="00150391">
        <w:rPr>
          <w:rStyle w:val="BodyTextChar"/>
          <w:rFonts w:cs="Calibri"/>
        </w:rPr>
        <w:t>F</w:t>
      </w:r>
      <w:r w:rsidR="00E43670" w:rsidRPr="00150391">
        <w:rPr>
          <w:rStyle w:val="BodyTextChar"/>
          <w:rFonts w:cs="Calibri"/>
        </w:rPr>
        <w:t>ollowing approval by your Minister (and where required, the Finance Minister)</w:t>
      </w:r>
      <w:r w:rsidRPr="00150391">
        <w:rPr>
          <w:rStyle w:val="BodyTextChar"/>
          <w:rFonts w:cs="Calibri"/>
        </w:rPr>
        <w:t>:</w:t>
      </w:r>
    </w:p>
    <w:p w14:paraId="1D8DB6C0" w14:textId="77777777" w:rsidR="00E43670" w:rsidRPr="00150391" w:rsidRDefault="00010D51" w:rsidP="00010D51">
      <w:pPr>
        <w:pStyle w:val="Bullet1"/>
        <w:rPr>
          <w:rStyle w:val="BodyTextChar"/>
          <w:rFonts w:ascii="Calibri" w:hAnsi="Calibri" w:cs="Calibri"/>
        </w:rPr>
      </w:pPr>
      <w:r w:rsidRPr="00150391">
        <w:rPr>
          <w:rStyle w:val="BodyTextChar"/>
          <w:rFonts w:ascii="Calibri" w:hAnsi="Calibri" w:cs="Calibri"/>
        </w:rPr>
        <w:t>F</w:t>
      </w:r>
      <w:r w:rsidR="00E43670" w:rsidRPr="00150391">
        <w:rPr>
          <w:rStyle w:val="BodyTextChar"/>
          <w:rFonts w:ascii="Calibri" w:hAnsi="Calibri" w:cs="Calibri"/>
        </w:rPr>
        <w:t>or</w:t>
      </w:r>
      <w:r w:rsidRPr="00150391">
        <w:rPr>
          <w:rStyle w:val="BodyTextChar"/>
          <w:rFonts w:ascii="Calibri" w:hAnsi="Calibri" w:cs="Calibri"/>
        </w:rPr>
        <w:t xml:space="preserve"> </w:t>
      </w:r>
      <w:r w:rsidR="00E43670" w:rsidRPr="00150391">
        <w:rPr>
          <w:rStyle w:val="BodyTextChar"/>
          <w:rFonts w:ascii="Calibri" w:hAnsi="Calibri" w:cs="Calibri"/>
          <w:b/>
          <w:bCs/>
        </w:rPr>
        <w:t>in</w:t>
      </w:r>
      <w:r w:rsidR="00C20907" w:rsidRPr="00150391">
        <w:rPr>
          <w:rStyle w:val="BodyTextChar"/>
          <w:rFonts w:ascii="Calibri" w:hAnsi="Calibri" w:cs="Calibri"/>
          <w:b/>
        </w:rPr>
        <w:noBreakHyphen/>
      </w:r>
      <w:r w:rsidR="00E43670" w:rsidRPr="00150391">
        <w:rPr>
          <w:rStyle w:val="BodyTextChar"/>
          <w:rFonts w:ascii="Calibri" w:hAnsi="Calibri" w:cs="Calibri"/>
          <w:b/>
          <w:bCs/>
        </w:rPr>
        <w:t>session tabling</w:t>
      </w:r>
      <w:r w:rsidR="00E10C89" w:rsidRPr="00150391">
        <w:rPr>
          <w:rStyle w:val="BodyTextChar"/>
          <w:rFonts w:ascii="Calibri" w:hAnsi="Calibri" w:cs="Calibri"/>
          <w:b/>
          <w:bCs/>
        </w:rPr>
        <w:t xml:space="preserve"> </w:t>
      </w:r>
      <w:r w:rsidR="00E10C89" w:rsidRPr="00150391">
        <w:rPr>
          <w:rStyle w:val="BodyTextChar"/>
          <w:rFonts w:ascii="Calibri" w:hAnsi="Calibri" w:cs="Calibri"/>
        </w:rPr>
        <w:t>(</w:t>
      </w:r>
      <w:r w:rsidR="00F62339" w:rsidRPr="00150391">
        <w:rPr>
          <w:rStyle w:val="BodyTextChar"/>
          <w:rFonts w:ascii="Calibri" w:hAnsi="Calibri" w:cs="Calibri"/>
        </w:rPr>
        <w:t>i.e.</w:t>
      </w:r>
      <w:r w:rsidR="00E43670" w:rsidRPr="00150391">
        <w:rPr>
          <w:rStyle w:val="BodyTextChar"/>
          <w:rFonts w:ascii="Calibri" w:hAnsi="Calibri" w:cs="Calibri"/>
        </w:rPr>
        <w:t xml:space="preserve"> </w:t>
      </w:r>
      <w:r w:rsidR="0029449C" w:rsidRPr="00150391">
        <w:rPr>
          <w:rStyle w:val="BodyTextChar"/>
          <w:rFonts w:ascii="Calibri" w:hAnsi="Calibri" w:cs="Calibri"/>
        </w:rPr>
        <w:t xml:space="preserve">when </w:t>
      </w:r>
      <w:r w:rsidR="00E43670" w:rsidRPr="00150391">
        <w:rPr>
          <w:rStyle w:val="BodyTextChar"/>
          <w:rFonts w:ascii="Calibri" w:hAnsi="Calibri" w:cs="Calibri"/>
        </w:rPr>
        <w:t xml:space="preserve">Parliament </w:t>
      </w:r>
      <w:r w:rsidR="00E43670" w:rsidRPr="00150391">
        <w:rPr>
          <w:rStyle w:val="BodyTextChar"/>
          <w:rFonts w:ascii="Calibri" w:hAnsi="Calibri" w:cs="Calibri"/>
          <w:u w:val="single"/>
        </w:rPr>
        <w:t>is</w:t>
      </w:r>
      <w:r w:rsidR="00E43670" w:rsidRPr="00150391">
        <w:rPr>
          <w:rStyle w:val="BodyTextChar"/>
          <w:rFonts w:ascii="Calibri" w:hAnsi="Calibri" w:cs="Calibri"/>
        </w:rPr>
        <w:t xml:space="preserve"> sitting</w:t>
      </w:r>
      <w:r w:rsidR="00E10C89" w:rsidRPr="00150391">
        <w:rPr>
          <w:rStyle w:val="BodyTextChar"/>
          <w:rFonts w:ascii="Calibri" w:hAnsi="Calibri" w:cs="Calibri"/>
        </w:rPr>
        <w:t>)</w:t>
      </w:r>
      <w:r w:rsidR="00E43670" w:rsidRPr="00150391">
        <w:rPr>
          <w:rStyle w:val="BodyTextChar"/>
          <w:rFonts w:ascii="Calibri" w:hAnsi="Calibri" w:cs="Calibri"/>
        </w:rPr>
        <w:t>:</w:t>
      </w:r>
    </w:p>
    <w:p w14:paraId="60A8ACF4" w14:textId="77777777" w:rsidR="00E43670" w:rsidRPr="00150391" w:rsidRDefault="0055620B" w:rsidP="53BF0693">
      <w:pPr>
        <w:pStyle w:val="Bullet2"/>
        <w:rPr>
          <w:rStyle w:val="BodyTextChar"/>
          <w:rFonts w:cs="Calibri"/>
        </w:rPr>
      </w:pPr>
      <w:r w:rsidRPr="00150391">
        <w:rPr>
          <w:rStyle w:val="BodyTextChar"/>
          <w:rFonts w:cs="Calibri"/>
        </w:rPr>
        <w:t>a</w:t>
      </w:r>
      <w:r w:rsidR="53BF0693" w:rsidRPr="00150391">
        <w:rPr>
          <w:rStyle w:val="BodyTextChar"/>
          <w:rFonts w:cs="Calibri"/>
        </w:rPr>
        <w:t xml:space="preserve"> covering memorandum should be provided to the PM&amp;C Tabling Officer. This memorandum does not need to be approved by the Minister, but does </w:t>
      </w:r>
      <w:r w:rsidR="53BF0693" w:rsidRPr="00150391">
        <w:rPr>
          <w:rStyle w:val="BodyTextChar"/>
          <w:rFonts w:cs="Calibri"/>
          <w:bCs/>
        </w:rPr>
        <w:t>need</w:t>
      </w:r>
      <w:r w:rsidR="53BF0693" w:rsidRPr="00150391">
        <w:rPr>
          <w:rStyle w:val="BodyTextChar"/>
          <w:rFonts w:cs="Calibri"/>
        </w:rPr>
        <w:t xml:space="preserve"> to note the </w:t>
      </w:r>
      <w:r w:rsidR="53BF0693" w:rsidRPr="00150391">
        <w:rPr>
          <w:rStyle w:val="BodyTextChar"/>
          <w:rFonts w:cs="Calibri"/>
          <w:b/>
          <w:bCs/>
        </w:rPr>
        <w:t>Minister’s approval</w:t>
      </w:r>
      <w:r w:rsidR="53BF0693" w:rsidRPr="00150391">
        <w:rPr>
          <w:rStyle w:val="BodyTextChar"/>
          <w:rFonts w:cs="Calibri"/>
        </w:rPr>
        <w:t xml:space="preserve"> of the corrigendum</w:t>
      </w:r>
      <w:r w:rsidR="00010D51" w:rsidRPr="00150391">
        <w:rPr>
          <w:rStyle w:val="BodyTextChar"/>
          <w:rFonts w:cs="Calibri"/>
        </w:rPr>
        <w:t>.</w:t>
      </w:r>
    </w:p>
    <w:p w14:paraId="41FFF83D" w14:textId="77777777" w:rsidR="00E43670" w:rsidRPr="00150391" w:rsidRDefault="0055620B" w:rsidP="002B4935">
      <w:pPr>
        <w:pStyle w:val="Bullet3"/>
        <w:ind w:left="1094" w:hanging="357"/>
        <w:rPr>
          <w:rStyle w:val="BodyTextChar"/>
          <w:rFonts w:cs="Calibri"/>
        </w:rPr>
      </w:pPr>
      <w:r w:rsidRPr="00150391">
        <w:rPr>
          <w:rStyle w:val="BodyTextChar"/>
          <w:rFonts w:cs="Calibri"/>
        </w:rPr>
        <w:t>t</w:t>
      </w:r>
      <w:r w:rsidR="53BF0693" w:rsidRPr="00150391">
        <w:rPr>
          <w:rStyle w:val="BodyTextChar"/>
          <w:rFonts w:cs="Calibri"/>
        </w:rPr>
        <w:t>he covering sheet for government documents and copies of the corrigendum should also be provided to the PM&amp;C Tabling Officer</w:t>
      </w:r>
      <w:r w:rsidR="00010D51" w:rsidRPr="00150391">
        <w:rPr>
          <w:rStyle w:val="BodyTextChar"/>
          <w:rFonts w:cs="Calibri"/>
        </w:rPr>
        <w:t>.</w:t>
      </w:r>
    </w:p>
    <w:p w14:paraId="13E30FB5" w14:textId="77777777" w:rsidR="00E43670" w:rsidRPr="00150391" w:rsidRDefault="00010D51" w:rsidP="53BF0693">
      <w:pPr>
        <w:pStyle w:val="Bullet1"/>
        <w:rPr>
          <w:rStyle w:val="BodyTextChar"/>
          <w:rFonts w:ascii="Calibri" w:hAnsi="Calibri" w:cs="Calibri"/>
        </w:rPr>
      </w:pPr>
      <w:r w:rsidRPr="00150391">
        <w:rPr>
          <w:rStyle w:val="BodyTextChar"/>
          <w:rFonts w:ascii="Calibri" w:hAnsi="Calibri" w:cs="Calibri"/>
        </w:rPr>
        <w:t>F</w:t>
      </w:r>
      <w:r w:rsidR="53BF0693" w:rsidRPr="00150391">
        <w:rPr>
          <w:rStyle w:val="BodyTextChar"/>
          <w:rFonts w:ascii="Calibri" w:hAnsi="Calibri" w:cs="Calibri"/>
        </w:rPr>
        <w:t xml:space="preserve">or </w:t>
      </w:r>
      <w:r w:rsidR="53BF0693" w:rsidRPr="00150391">
        <w:rPr>
          <w:rStyle w:val="BodyTextChar"/>
          <w:rFonts w:ascii="Calibri" w:hAnsi="Calibri" w:cs="Calibri"/>
          <w:b/>
          <w:bCs/>
        </w:rPr>
        <w:t>out</w:t>
      </w:r>
      <w:r w:rsidR="00AB296E" w:rsidRPr="00150391">
        <w:rPr>
          <w:rStyle w:val="BodyTextChar"/>
          <w:rFonts w:ascii="Calibri" w:hAnsi="Calibri" w:cs="Calibri"/>
          <w:b/>
          <w:bCs/>
        </w:rPr>
        <w:noBreakHyphen/>
      </w:r>
      <w:r w:rsidR="53BF0693" w:rsidRPr="00150391">
        <w:rPr>
          <w:rStyle w:val="BodyTextChar"/>
          <w:rFonts w:ascii="Calibri" w:hAnsi="Calibri" w:cs="Calibri"/>
          <w:b/>
          <w:bCs/>
        </w:rPr>
        <w:t>of</w:t>
      </w:r>
      <w:r w:rsidR="00AB296E" w:rsidRPr="00150391">
        <w:rPr>
          <w:rStyle w:val="BodyTextChar"/>
          <w:rFonts w:ascii="Calibri" w:hAnsi="Calibri" w:cs="Calibri"/>
          <w:b/>
          <w:bCs/>
        </w:rPr>
        <w:noBreakHyphen/>
      </w:r>
      <w:r w:rsidR="53BF0693" w:rsidRPr="00150391">
        <w:rPr>
          <w:rStyle w:val="BodyTextChar"/>
          <w:rFonts w:ascii="Calibri" w:hAnsi="Calibri" w:cs="Calibri"/>
          <w:b/>
          <w:bCs/>
        </w:rPr>
        <w:t>session tabling</w:t>
      </w:r>
      <w:r w:rsidR="53BF0693" w:rsidRPr="00150391">
        <w:rPr>
          <w:rStyle w:val="BodyTextChar"/>
          <w:rFonts w:ascii="Calibri" w:hAnsi="Calibri" w:cs="Calibri"/>
        </w:rPr>
        <w:t xml:space="preserve"> (i.e. when Parliament </w:t>
      </w:r>
      <w:r w:rsidR="53BF0693" w:rsidRPr="00150391">
        <w:rPr>
          <w:rStyle w:val="BodyTextChar"/>
          <w:rFonts w:ascii="Calibri" w:hAnsi="Calibri" w:cs="Calibri"/>
          <w:bCs/>
        </w:rPr>
        <w:t>is not</w:t>
      </w:r>
      <w:r w:rsidR="53BF0693" w:rsidRPr="00150391">
        <w:rPr>
          <w:rStyle w:val="BodyTextChar"/>
          <w:rFonts w:ascii="Calibri" w:hAnsi="Calibri" w:cs="Calibri"/>
        </w:rPr>
        <w:t xml:space="preserve"> sitting):</w:t>
      </w:r>
    </w:p>
    <w:p w14:paraId="08DE5A8A" w14:textId="77777777" w:rsidR="00E43670" w:rsidRPr="00150391" w:rsidRDefault="0055620B" w:rsidP="6B6EE5C4">
      <w:pPr>
        <w:pStyle w:val="Bullet2"/>
        <w:spacing w:before="100" w:after="100"/>
        <w:rPr>
          <w:rStyle w:val="BodyTextChar"/>
          <w:rFonts w:cs="Calibri"/>
        </w:rPr>
      </w:pPr>
      <w:r w:rsidRPr="00150391">
        <w:rPr>
          <w:rStyle w:val="BodyTextChar"/>
          <w:rFonts w:cs="Calibri"/>
        </w:rPr>
        <w:t>t</w:t>
      </w:r>
      <w:r w:rsidR="6B6EE5C4" w:rsidRPr="00150391">
        <w:rPr>
          <w:rStyle w:val="BodyTextChar"/>
          <w:rFonts w:cs="Calibri"/>
        </w:rPr>
        <w:t>he Senate Tabling Office must be advised of the requirement to table the corrigendum out-of-session</w:t>
      </w:r>
    </w:p>
    <w:p w14:paraId="5544140F" w14:textId="77777777" w:rsidR="00E43670" w:rsidRPr="00150391" w:rsidRDefault="0055620B" w:rsidP="53BF0693">
      <w:pPr>
        <w:pStyle w:val="Bullet2"/>
        <w:rPr>
          <w:rStyle w:val="BodyTextChar"/>
          <w:rFonts w:cs="Calibri"/>
        </w:rPr>
      </w:pPr>
      <w:r w:rsidRPr="00150391">
        <w:rPr>
          <w:rStyle w:val="BodyTextChar"/>
          <w:rFonts w:cs="Calibri"/>
        </w:rPr>
        <w:t>a</w:t>
      </w:r>
      <w:r w:rsidR="53BF0693" w:rsidRPr="00150391">
        <w:rPr>
          <w:rStyle w:val="BodyTextChar"/>
          <w:rFonts w:cs="Calibri"/>
        </w:rPr>
        <w:t xml:space="preserve"> covering memorandum should be provided to the PM&amp;C Tabling Officer. This memorandum does not need to be approved by the Minister, but does </w:t>
      </w:r>
      <w:r w:rsidR="53BF0693" w:rsidRPr="00150391">
        <w:rPr>
          <w:rStyle w:val="BodyTextChar"/>
          <w:rFonts w:cs="Calibri"/>
          <w:bCs/>
        </w:rPr>
        <w:t>need</w:t>
      </w:r>
      <w:r w:rsidR="53BF0693" w:rsidRPr="00150391">
        <w:rPr>
          <w:rStyle w:val="BodyTextChar"/>
          <w:rFonts w:cs="Calibri"/>
        </w:rPr>
        <w:t xml:space="preserve"> to note the </w:t>
      </w:r>
      <w:r w:rsidR="53BF0693" w:rsidRPr="00150391">
        <w:rPr>
          <w:rStyle w:val="BodyTextChar"/>
          <w:rFonts w:cs="Calibri"/>
          <w:b/>
          <w:bCs/>
        </w:rPr>
        <w:t>Minister’s approval</w:t>
      </w:r>
      <w:r w:rsidR="53BF0693" w:rsidRPr="00150391">
        <w:rPr>
          <w:rStyle w:val="BodyTextChar"/>
          <w:rFonts w:cs="Calibri"/>
        </w:rPr>
        <w:t xml:space="preserve"> of the corrigendum</w:t>
      </w:r>
      <w:r w:rsidRPr="00150391">
        <w:rPr>
          <w:rStyle w:val="BodyTextChar"/>
          <w:rFonts w:cs="Calibri"/>
        </w:rPr>
        <w:t>:</w:t>
      </w:r>
    </w:p>
    <w:p w14:paraId="2FC25892" w14:textId="77777777" w:rsidR="00993CA2" w:rsidRPr="00150391" w:rsidRDefault="0055620B" w:rsidP="002B4935">
      <w:pPr>
        <w:pStyle w:val="Bullet3"/>
        <w:ind w:left="1094" w:hanging="357"/>
        <w:rPr>
          <w:rStyle w:val="BodyTextChar"/>
          <w:rFonts w:cs="Calibri"/>
        </w:rPr>
      </w:pPr>
      <w:r w:rsidRPr="00150391">
        <w:rPr>
          <w:rStyle w:val="BodyTextChar"/>
          <w:rFonts w:cs="Calibri"/>
        </w:rPr>
        <w:t>t</w:t>
      </w:r>
      <w:r w:rsidR="53BF0693" w:rsidRPr="00150391">
        <w:rPr>
          <w:rStyle w:val="BodyTextChar"/>
          <w:rFonts w:cs="Calibri"/>
        </w:rPr>
        <w:t>he covering sheet for government documents and copies of the corrigendum should also be provided to the PM&amp;C Tabling Officer</w:t>
      </w:r>
    </w:p>
    <w:p w14:paraId="4DCC99B4" w14:textId="77777777" w:rsidR="00E43670" w:rsidRPr="00150391" w:rsidRDefault="0055620B" w:rsidP="002B4935">
      <w:pPr>
        <w:pStyle w:val="Bullet3"/>
        <w:ind w:left="1094" w:hanging="357"/>
        <w:rPr>
          <w:rStyle w:val="BodyTextChar"/>
          <w:rFonts w:cs="Calibri"/>
        </w:rPr>
      </w:pPr>
      <w:r w:rsidRPr="00150391">
        <w:rPr>
          <w:rStyle w:val="BodyTextChar"/>
          <w:rFonts w:cs="Calibri"/>
        </w:rPr>
        <w:t>a</w:t>
      </w:r>
      <w:r w:rsidR="53BF0693" w:rsidRPr="00150391">
        <w:rPr>
          <w:rStyle w:val="BodyTextChar"/>
          <w:rFonts w:cs="Calibri"/>
        </w:rPr>
        <w:t xml:space="preserve"> </w:t>
      </w:r>
      <w:r w:rsidR="53BF0693" w:rsidRPr="00150391">
        <w:rPr>
          <w:rStyle w:val="BodyTextChar"/>
          <w:rFonts w:cs="Calibri"/>
          <w:i/>
        </w:rPr>
        <w:t xml:space="preserve">Transmittal </w:t>
      </w:r>
      <w:r w:rsidRPr="00150391">
        <w:rPr>
          <w:rStyle w:val="BodyTextChar"/>
          <w:rFonts w:cs="Calibri"/>
          <w:i/>
        </w:rPr>
        <w:t>l</w:t>
      </w:r>
      <w:r w:rsidR="53BF0693" w:rsidRPr="00150391">
        <w:rPr>
          <w:rStyle w:val="BodyTextChar"/>
          <w:rFonts w:cs="Calibri"/>
          <w:i/>
        </w:rPr>
        <w:t>etter</w:t>
      </w:r>
      <w:r w:rsidR="53BF0693" w:rsidRPr="00150391">
        <w:rPr>
          <w:rStyle w:val="BodyTextChar"/>
          <w:rFonts w:cs="Calibri"/>
        </w:rPr>
        <w:t xml:space="preserve"> is required to be sent by the Portfolio Minister to the President of the Senate to present a document when the Senate is not sitting</w:t>
      </w:r>
      <w:r w:rsidR="00010D51" w:rsidRPr="00150391">
        <w:rPr>
          <w:rStyle w:val="BodyTextChar"/>
          <w:rFonts w:cs="Calibri"/>
        </w:rPr>
        <w:t>.</w:t>
      </w:r>
    </w:p>
    <w:p w14:paraId="3D315EDD" w14:textId="4ECAE6C6" w:rsidR="007B14C4" w:rsidRPr="00150391" w:rsidRDefault="00010D51" w:rsidP="00580008">
      <w:pPr>
        <w:rPr>
          <w:rStyle w:val="BodyTextChar"/>
          <w:rFonts w:cs="Calibri"/>
        </w:rPr>
      </w:pPr>
      <w:r w:rsidRPr="00150391">
        <w:rPr>
          <w:rStyle w:val="BodyTextChar"/>
          <w:rFonts w:cs="Calibri"/>
        </w:rPr>
        <w:t>F</w:t>
      </w:r>
      <w:r w:rsidR="6B6EE5C4" w:rsidRPr="00150391">
        <w:rPr>
          <w:rStyle w:val="BodyTextChar"/>
          <w:rFonts w:cs="Calibri"/>
        </w:rPr>
        <w:t xml:space="preserve">ollowing tabling in Parliament, a soft copy of the corrigendum and any updated Excel tables for </w:t>
      </w:r>
      <w:hyperlink r:id="rId67">
        <w:r w:rsidR="00FE100A" w:rsidRPr="002B4935">
          <w:rPr>
            <w:rStyle w:val="Hyperlink"/>
            <w:rFonts w:ascii="Calibri" w:hAnsi="Calibri" w:cs="Calibri"/>
            <w:color w:val="0070C0"/>
          </w:rPr>
          <w:t>data.gov.au</w:t>
        </w:r>
      </w:hyperlink>
      <w:r w:rsidR="6B6EE5C4" w:rsidRPr="00150391">
        <w:rPr>
          <w:rStyle w:val="BodyTextChar"/>
          <w:rFonts w:cs="Calibri"/>
        </w:rPr>
        <w:t xml:space="preserve"> should be emailed to </w:t>
      </w:r>
      <w:hyperlink r:id="rId68">
        <w:r w:rsidR="6B6EE5C4" w:rsidRPr="002B4935">
          <w:rPr>
            <w:rStyle w:val="Hyperlink"/>
            <w:rFonts w:ascii="Calibri" w:eastAsiaTheme="minorEastAsia" w:hAnsi="Calibri" w:cs="Calibri"/>
            <w:color w:val="0070C0"/>
          </w:rPr>
          <w:t>budget_framework@finance.gov.au</w:t>
        </w:r>
      </w:hyperlink>
      <w:r w:rsidR="6B6EE5C4" w:rsidRPr="00150391">
        <w:rPr>
          <w:rStyle w:val="BodyTextChar"/>
          <w:rFonts w:cs="Calibri"/>
        </w:rPr>
        <w:t>.</w:t>
      </w:r>
    </w:p>
    <w:p w14:paraId="44121A38" w14:textId="77777777" w:rsidR="007B14C4" w:rsidRPr="00150391" w:rsidRDefault="007B14C4">
      <w:pPr>
        <w:suppressAutoHyphens w:val="0"/>
        <w:spacing w:before="0" w:after="120" w:line="440" w:lineRule="atLeast"/>
        <w:rPr>
          <w:rStyle w:val="BodyTextChar"/>
          <w:rFonts w:cs="Calibri"/>
        </w:rPr>
      </w:pPr>
      <w:r w:rsidRPr="00150391">
        <w:rPr>
          <w:rStyle w:val="BodyTextChar"/>
          <w:rFonts w:cs="Calibri"/>
        </w:rPr>
        <w:br w:type="page"/>
      </w:r>
    </w:p>
    <w:p w14:paraId="41A54CD4" w14:textId="77777777" w:rsidR="00FA0945" w:rsidRPr="00150391" w:rsidRDefault="53BF0693" w:rsidP="00CF6BE7">
      <w:pPr>
        <w:pStyle w:val="Heading1Numbered"/>
        <w:rPr>
          <w:rFonts w:ascii="Calibri" w:hAnsi="Calibri" w:cs="Calibri"/>
        </w:rPr>
      </w:pPr>
      <w:bookmarkStart w:id="457" w:name="_Toc94870565"/>
      <w:bookmarkStart w:id="458" w:name="_Toc94870705"/>
      <w:bookmarkStart w:id="459" w:name="_Toc94873646"/>
      <w:bookmarkStart w:id="460" w:name="_Toc65165101"/>
      <w:bookmarkStart w:id="461" w:name="_Toc65230604"/>
      <w:bookmarkStart w:id="462" w:name="_Toc411852671"/>
      <w:bookmarkStart w:id="463" w:name="_Toc63347695"/>
      <w:bookmarkStart w:id="464" w:name="_Toc114576282"/>
      <w:bookmarkEnd w:id="457"/>
      <w:bookmarkEnd w:id="458"/>
      <w:bookmarkEnd w:id="459"/>
      <w:bookmarkEnd w:id="460"/>
      <w:bookmarkEnd w:id="461"/>
      <w:r w:rsidRPr="00150391">
        <w:rPr>
          <w:rFonts w:ascii="Calibri" w:hAnsi="Calibri" w:cs="Calibri"/>
        </w:rPr>
        <w:t>Portfolio overview section</w:t>
      </w:r>
      <w:bookmarkEnd w:id="462"/>
      <w:bookmarkEnd w:id="463"/>
      <w:bookmarkEnd w:id="464"/>
    </w:p>
    <w:p w14:paraId="7D812798" w14:textId="0B12394A" w:rsidR="00FA2E80" w:rsidRPr="00150391" w:rsidRDefault="53BF0693" w:rsidP="53BF0693">
      <w:pPr>
        <w:rPr>
          <w:rStyle w:val="BodyTextChar"/>
          <w:rFonts w:cs="Calibri"/>
        </w:rPr>
      </w:pPr>
      <w:r w:rsidRPr="00150391">
        <w:rPr>
          <w:rStyle w:val="BodyTextChar"/>
          <w:rFonts w:cs="Calibri"/>
        </w:rPr>
        <w:t xml:space="preserve">The </w:t>
      </w:r>
      <w:r w:rsidRPr="00150391">
        <w:rPr>
          <w:rStyle w:val="BodyTextChar"/>
          <w:rFonts w:cs="Calibri"/>
          <w:i/>
          <w:iCs/>
        </w:rPr>
        <w:t>Portfolio Overview</w:t>
      </w:r>
      <w:r w:rsidRPr="00150391">
        <w:rPr>
          <w:rStyle w:val="BodyTextChar"/>
          <w:rFonts w:cs="Calibri"/>
        </w:rPr>
        <w:t xml:space="preserve"> section of the PB Statements is intended to provide the reader with a high</w:t>
      </w:r>
      <w:r w:rsidR="00984700">
        <w:rPr>
          <w:rStyle w:val="BodyTextChar"/>
          <w:rFonts w:cs="Calibri"/>
        </w:rPr>
        <w:noBreakHyphen/>
      </w:r>
      <w:r w:rsidRPr="00150391">
        <w:rPr>
          <w:rStyle w:val="BodyTextChar"/>
          <w:rFonts w:cs="Calibri"/>
        </w:rPr>
        <w:t xml:space="preserve">level summary of the portfolio, its Minister(s), portfolio entities, goals/objectives, and structure. All entities within the portfolio are to be included, for example, entities outside of the </w:t>
      </w:r>
      <w:r w:rsidR="00681C3A" w:rsidRPr="00150391">
        <w:rPr>
          <w:rStyle w:val="BodyTextChar"/>
          <w:rFonts w:cs="Calibri"/>
        </w:rPr>
        <w:t>GGS</w:t>
      </w:r>
      <w:r w:rsidRPr="00150391">
        <w:rPr>
          <w:rStyle w:val="BodyTextChar"/>
          <w:rFonts w:cs="Calibri"/>
        </w:rPr>
        <w:t xml:space="preserve">. Please refer to the most current </w:t>
      </w:r>
      <w:r w:rsidRPr="00150391">
        <w:rPr>
          <w:rStyle w:val="BodyTextChar"/>
          <w:rFonts w:cs="Calibri"/>
          <w:i/>
          <w:iCs/>
        </w:rPr>
        <w:t xml:space="preserve">Public Governance, </w:t>
      </w:r>
      <w:r w:rsidRPr="00984700">
        <w:rPr>
          <w:rStyle w:val="BodyTextChar"/>
          <w:rFonts w:cs="Calibri"/>
          <w:i/>
          <w:iCs/>
        </w:rPr>
        <w:t>Performance and Accountability Act</w:t>
      </w:r>
      <w:r w:rsidRPr="002B4935">
        <w:rPr>
          <w:rStyle w:val="BodyTextChar"/>
          <w:rFonts w:cs="Calibri"/>
          <w:i/>
        </w:rPr>
        <w:t xml:space="preserve"> (PGPA Act</w:t>
      </w:r>
      <w:r w:rsidRPr="00984700">
        <w:rPr>
          <w:rStyle w:val="BodyTextChar"/>
          <w:rFonts w:cs="Calibri"/>
          <w:i/>
          <w:iCs/>
        </w:rPr>
        <w:t>)</w:t>
      </w:r>
      <w:r w:rsidRPr="00150391">
        <w:rPr>
          <w:rStyle w:val="BodyTextChar"/>
          <w:rFonts w:cs="Calibri"/>
          <w:i/>
          <w:iCs/>
        </w:rPr>
        <w:t xml:space="preserve"> </w:t>
      </w:r>
      <w:hyperlink r:id="rId69">
        <w:r w:rsidRPr="002B4935">
          <w:rPr>
            <w:rStyle w:val="Hyperlink"/>
            <w:rFonts w:ascii="Calibri" w:eastAsia="Cambria" w:hAnsi="Calibri" w:cs="Calibri"/>
            <w:i/>
            <w:iCs/>
            <w:color w:val="0070C0"/>
          </w:rPr>
          <w:t>Flipchart</w:t>
        </w:r>
        <w:r w:rsidRPr="002B4935">
          <w:rPr>
            <w:rStyle w:val="Hyperlink"/>
            <w:rFonts w:ascii="Calibri" w:eastAsia="Cambria" w:hAnsi="Calibri" w:cs="Calibri"/>
            <w:color w:val="0070C0"/>
          </w:rPr>
          <w:t xml:space="preserve"> of PGPA Act</w:t>
        </w:r>
      </w:hyperlink>
      <w:r w:rsidR="00123B3F" w:rsidRPr="002B4935">
        <w:rPr>
          <w:rStyle w:val="Hyperlink"/>
          <w:rFonts w:ascii="Calibri" w:eastAsia="Cambria" w:hAnsi="Calibri" w:cs="Calibri"/>
          <w:u w:val="none"/>
        </w:rPr>
        <w:t>.</w:t>
      </w:r>
    </w:p>
    <w:p w14:paraId="5ED8F677" w14:textId="77777777" w:rsidR="002808B0" w:rsidRPr="00150391" w:rsidRDefault="53BF0693" w:rsidP="53BF0693">
      <w:pPr>
        <w:rPr>
          <w:rStyle w:val="BodyTextChar"/>
          <w:rFonts w:cs="Calibri"/>
        </w:rPr>
      </w:pPr>
      <w:r w:rsidRPr="00150391">
        <w:rPr>
          <w:rStyle w:val="BodyTextChar"/>
          <w:rFonts w:cs="Calibri"/>
        </w:rPr>
        <w:t xml:space="preserve">This section should only include information that is relevant and specific from a portfolio perspective. This should minimise duplication of entity-specific information presented in later sections. </w:t>
      </w:r>
    </w:p>
    <w:p w14:paraId="447423FF" w14:textId="77777777" w:rsidR="00767AB3" w:rsidRPr="00150391" w:rsidRDefault="53BF0693" w:rsidP="53BF0693">
      <w:pPr>
        <w:rPr>
          <w:rStyle w:val="BodyTextChar"/>
          <w:rFonts w:cs="Calibri"/>
        </w:rPr>
      </w:pPr>
      <w:r w:rsidRPr="00150391">
        <w:rPr>
          <w:rStyle w:val="BodyTextChar"/>
          <w:rFonts w:cs="Calibri"/>
        </w:rPr>
        <w:t>Information at a department or entity level should be included only where it contributes to a broader understanding of portfolio goals and responsibilities.</w:t>
      </w:r>
    </w:p>
    <w:p w14:paraId="3695D5A3" w14:textId="77777777" w:rsidR="00FA0945" w:rsidRPr="00150391" w:rsidRDefault="6B6EE5C4" w:rsidP="6B6EE5C4">
      <w:pPr>
        <w:spacing w:before="80"/>
        <w:rPr>
          <w:rStyle w:val="BodyTextChar"/>
          <w:rFonts w:cs="Calibri"/>
        </w:rPr>
      </w:pPr>
      <w:r w:rsidRPr="00150391">
        <w:rPr>
          <w:rStyle w:val="BodyTextChar"/>
          <w:rFonts w:cs="Calibri"/>
        </w:rPr>
        <w:t xml:space="preserve">Components of </w:t>
      </w:r>
      <w:r w:rsidR="00396887" w:rsidRPr="00150391">
        <w:rPr>
          <w:rStyle w:val="BodyTextChar"/>
          <w:rFonts w:cs="Calibri"/>
        </w:rPr>
        <w:t>portfolio</w:t>
      </w:r>
      <w:r w:rsidRPr="00150391">
        <w:rPr>
          <w:rStyle w:val="BodyTextChar"/>
          <w:rFonts w:cs="Calibri"/>
        </w:rPr>
        <w:t xml:space="preserve"> overview:</w:t>
      </w:r>
    </w:p>
    <w:p w14:paraId="2D31AC8D" w14:textId="77777777" w:rsidR="00FA0945" w:rsidRPr="00150391" w:rsidRDefault="6B6EE5C4" w:rsidP="6B6EE5C4">
      <w:pPr>
        <w:pStyle w:val="Bullet1"/>
        <w:spacing w:after="80"/>
        <w:rPr>
          <w:rStyle w:val="BodyTextChar"/>
          <w:rFonts w:ascii="Calibri" w:hAnsi="Calibri" w:cs="Calibri"/>
        </w:rPr>
      </w:pPr>
      <w:r w:rsidRPr="00150391">
        <w:rPr>
          <w:rStyle w:val="BodyTextChar"/>
          <w:rFonts w:ascii="Calibri" w:hAnsi="Calibri" w:cs="Calibri"/>
        </w:rPr>
        <w:t xml:space="preserve">Minister(s) and portfolio responsibilities – text description of portfolio of around two pages </w:t>
      </w:r>
    </w:p>
    <w:p w14:paraId="65B56AFF"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portfolio structure and outcomes </w:t>
      </w:r>
    </w:p>
    <w:p w14:paraId="7BD6A74D" w14:textId="77777777" w:rsidR="00FA0945" w:rsidRPr="00150391" w:rsidRDefault="53BF0693" w:rsidP="53BF0693">
      <w:pPr>
        <w:pStyle w:val="Bullet2"/>
        <w:rPr>
          <w:rStyle w:val="BodyTextChar"/>
          <w:rFonts w:cs="Calibri"/>
        </w:rPr>
      </w:pPr>
      <w:r w:rsidRPr="00150391">
        <w:rPr>
          <w:rStyle w:val="BodyTextChar"/>
          <w:rFonts w:cs="Calibri"/>
        </w:rPr>
        <w:t>Figure 1: Portfolio structure and outcomes.</w:t>
      </w:r>
    </w:p>
    <w:p w14:paraId="74DD4009" w14:textId="77777777" w:rsidR="00FA0945" w:rsidRPr="00150391" w:rsidRDefault="53BF0693" w:rsidP="00CF6BE7">
      <w:pPr>
        <w:pStyle w:val="Heading2Numbered"/>
        <w:rPr>
          <w:rFonts w:ascii="Calibri" w:hAnsi="Calibri" w:cs="Calibri"/>
          <w:spacing w:val="-6"/>
        </w:rPr>
      </w:pPr>
      <w:bookmarkStart w:id="465" w:name="_Toc411852672"/>
      <w:bookmarkStart w:id="466" w:name="_Toc63347696"/>
      <w:bookmarkStart w:id="467" w:name="_Toc114576283"/>
      <w:r w:rsidRPr="00150391">
        <w:rPr>
          <w:rFonts w:ascii="Calibri" w:hAnsi="Calibri" w:cs="Calibri"/>
        </w:rPr>
        <w:t>Minister(s) and portfolio responsibilities</w:t>
      </w:r>
      <w:bookmarkEnd w:id="465"/>
      <w:bookmarkEnd w:id="466"/>
      <w:bookmarkEnd w:id="467"/>
    </w:p>
    <w:p w14:paraId="66EE9E44" w14:textId="1F112390" w:rsidR="002D6E6F" w:rsidRPr="00150391" w:rsidRDefault="53BF0693" w:rsidP="53BF0693">
      <w:pPr>
        <w:rPr>
          <w:rStyle w:val="BodyTextChar"/>
          <w:rFonts w:cs="Calibri"/>
        </w:rPr>
      </w:pPr>
      <w:r w:rsidRPr="00150391">
        <w:rPr>
          <w:rStyle w:val="BodyTextChar"/>
          <w:rFonts w:cs="Calibri"/>
        </w:rPr>
        <w:t xml:space="preserve">The </w:t>
      </w:r>
      <w:r w:rsidRPr="00150391">
        <w:rPr>
          <w:rStyle w:val="BodyTextChar"/>
          <w:rFonts w:cs="Calibri"/>
          <w:i/>
          <w:iCs/>
        </w:rPr>
        <w:t>Minister(s) and portfolio responsibilities</w:t>
      </w:r>
      <w:r w:rsidRPr="00150391">
        <w:rPr>
          <w:rStyle w:val="BodyTextChar"/>
          <w:rFonts w:cs="Calibri"/>
        </w:rPr>
        <w:t xml:space="preserve"> section should provide a description of the Portfolio Minister(s) and the structure of the portfolio, as well as its objectives at a strategic level. Specifics of particular portfolio entities should be left to the relevant entity’s section.</w:t>
      </w:r>
    </w:p>
    <w:p w14:paraId="6B3A806D" w14:textId="0001DD46" w:rsidR="00FA0945" w:rsidRPr="00150391" w:rsidRDefault="007E7170" w:rsidP="53BF0693">
      <w:pPr>
        <w:rPr>
          <w:rStyle w:val="BodyTextChar"/>
          <w:rFonts w:cs="Calibri"/>
        </w:rPr>
      </w:pPr>
      <w:r w:rsidRPr="00150391">
        <w:rPr>
          <w:rStyle w:val="BodyTextChar"/>
          <w:rFonts w:cs="Calibri"/>
        </w:rPr>
        <w:t xml:space="preserve">This section </w:t>
      </w:r>
      <w:r w:rsidR="53BF0693" w:rsidRPr="00150391">
        <w:rPr>
          <w:rStyle w:val="BodyTextChar"/>
          <w:rFonts w:cs="Calibri"/>
        </w:rPr>
        <w:t>should include a brief discussion of common themes across the portfolio outcomes. For example, the broad impacts and/or trends of health policy on the Australian Community (Health</w:t>
      </w:r>
      <w:r w:rsidR="0068424D" w:rsidRPr="00150391">
        <w:rPr>
          <w:rStyle w:val="BodyTextChar"/>
          <w:rFonts w:cs="Calibri"/>
        </w:rPr>
        <w:t xml:space="preserve"> and Aged Care</w:t>
      </w:r>
      <w:r w:rsidR="53BF0693" w:rsidRPr="00150391">
        <w:rPr>
          <w:rStyle w:val="BodyTextChar"/>
          <w:rFonts w:cs="Calibri"/>
        </w:rPr>
        <w:t xml:space="preserve"> portfolio), or improvements in Indigenous Affairs (Prime Minister and Cabinet portfolio). Portfolios should also take into account the following sources of information when preparing this section:</w:t>
      </w:r>
    </w:p>
    <w:p w14:paraId="3E5DBAC0"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major new government policy or legislation affecting the portfolio and the intended results and impacts</w:t>
      </w:r>
    </w:p>
    <w:p w14:paraId="2CD239FC"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the </w:t>
      </w:r>
      <w:r w:rsidR="00396887" w:rsidRPr="00150391">
        <w:rPr>
          <w:rStyle w:val="BodyTextChar"/>
          <w:rFonts w:ascii="Calibri" w:hAnsi="Calibri" w:cs="Calibri"/>
        </w:rPr>
        <w:t>portfolio department</w:t>
      </w:r>
      <w:r w:rsidRPr="00150391">
        <w:rPr>
          <w:rStyle w:val="BodyTextChar"/>
          <w:rFonts w:ascii="Calibri" w:hAnsi="Calibri" w:cs="Calibri"/>
        </w:rPr>
        <w:t xml:space="preserve">’s mission and/or purpose  </w:t>
      </w:r>
    </w:p>
    <w:p w14:paraId="66F14B2F" w14:textId="7F0FA7E6" w:rsidR="00FA0945" w:rsidRPr="00150391" w:rsidRDefault="53BF0693" w:rsidP="00913329">
      <w:pPr>
        <w:pStyle w:val="Bullet1"/>
        <w:rPr>
          <w:rStyle w:val="BodyTextChar"/>
          <w:rFonts w:ascii="Calibri" w:hAnsi="Calibri" w:cs="Calibri"/>
        </w:rPr>
      </w:pPr>
      <w:r w:rsidRPr="00150391">
        <w:rPr>
          <w:rStyle w:val="BodyTextChar"/>
          <w:rFonts w:ascii="Calibri" w:hAnsi="Calibri" w:cs="Calibri"/>
        </w:rPr>
        <w:t>ministerial statements by portfolio Ministers.</w:t>
      </w:r>
    </w:p>
    <w:p w14:paraId="51DE4242" w14:textId="4C53AA8A" w:rsidR="00FA0945" w:rsidRPr="00150391" w:rsidRDefault="53BF0693" w:rsidP="00CF6BE7">
      <w:pPr>
        <w:pStyle w:val="Heading2Numbered"/>
        <w:rPr>
          <w:rFonts w:ascii="Calibri" w:hAnsi="Calibri" w:cs="Calibri"/>
          <w:spacing w:val="-6"/>
        </w:rPr>
      </w:pPr>
      <w:bookmarkStart w:id="468" w:name="_Toc411852673"/>
      <w:bookmarkStart w:id="469" w:name="_Toc63347697"/>
      <w:bookmarkStart w:id="470" w:name="_Toc114576284"/>
      <w:r w:rsidRPr="00150391">
        <w:rPr>
          <w:rFonts w:ascii="Calibri" w:hAnsi="Calibri" w:cs="Calibri"/>
        </w:rPr>
        <w:t>Portfolio structure and outcomes</w:t>
      </w:r>
      <w:bookmarkEnd w:id="468"/>
      <w:bookmarkEnd w:id="469"/>
      <w:bookmarkEnd w:id="470"/>
    </w:p>
    <w:p w14:paraId="56A0C54D" w14:textId="35B0BA57" w:rsidR="00FA0945" w:rsidRPr="00150391" w:rsidRDefault="53BF0693" w:rsidP="00580008">
      <w:pPr>
        <w:pStyle w:val="Boxed2Text"/>
        <w:rPr>
          <w:rStyle w:val="BodyTextChar"/>
          <w:rFonts w:eastAsiaTheme="minorEastAsia" w:cs="Calibri"/>
          <w:bCs/>
          <w:color w:val="1C1C1C" w:themeColor="text2"/>
          <w:sz w:val="34"/>
          <w:szCs w:val="26"/>
        </w:rPr>
      </w:pPr>
      <w:r w:rsidRPr="00150391">
        <w:rPr>
          <w:rStyle w:val="BodyTextChar"/>
          <w:rFonts w:eastAsiaTheme="minorEastAsia" w:cs="Calibri"/>
        </w:rPr>
        <w:t xml:space="preserve">The template for the </w:t>
      </w:r>
      <w:r w:rsidR="00396887" w:rsidRPr="00150391">
        <w:rPr>
          <w:rStyle w:val="BodyTextChar"/>
          <w:rFonts w:eastAsiaTheme="minorEastAsia" w:cs="Calibri"/>
        </w:rPr>
        <w:t>portfolio</w:t>
      </w:r>
      <w:r w:rsidRPr="00150391">
        <w:rPr>
          <w:rStyle w:val="BodyTextChar"/>
          <w:rFonts w:eastAsiaTheme="minorEastAsia" w:cs="Calibri"/>
        </w:rPr>
        <w:t xml:space="preserve"> structure and outcomes figure can be found in the “</w:t>
      </w:r>
      <w:r w:rsidR="007E7170" w:rsidRPr="00150391">
        <w:rPr>
          <w:rStyle w:val="BodyTextChar"/>
          <w:rFonts w:eastAsiaTheme="minorEastAsia" w:cs="Calibri"/>
        </w:rPr>
        <w:t>Figure </w:t>
      </w:r>
      <w:r w:rsidRPr="00150391">
        <w:rPr>
          <w:rStyle w:val="BodyTextChar"/>
          <w:rFonts w:eastAsiaTheme="minorEastAsia" w:cs="Calibri"/>
        </w:rPr>
        <w:t>1” tab of the Excel Tables workbook (</w:t>
      </w:r>
      <w:r w:rsidRPr="00150391">
        <w:rPr>
          <w:rStyle w:val="BodyTextChar"/>
          <w:rFonts w:eastAsiaTheme="minorEastAsia" w:cs="Calibri"/>
          <w:u w:val="single"/>
        </w:rPr>
        <w:t>Attachment B</w:t>
      </w:r>
      <w:r w:rsidRPr="00150391">
        <w:rPr>
          <w:rStyle w:val="BodyTextChar"/>
          <w:rFonts w:eastAsiaTheme="minorEastAsia" w:cs="Calibri"/>
        </w:rPr>
        <w:t xml:space="preserve"> refers).</w:t>
      </w:r>
    </w:p>
    <w:p w14:paraId="70BE0751" w14:textId="77777777" w:rsidR="00577C1F" w:rsidRPr="00150391" w:rsidRDefault="53BF0693" w:rsidP="53BF0693">
      <w:pPr>
        <w:rPr>
          <w:rStyle w:val="BodyTextChar"/>
          <w:rFonts w:cs="Calibri"/>
        </w:rPr>
      </w:pPr>
      <w:r w:rsidRPr="00150391">
        <w:rPr>
          <w:rStyle w:val="BodyTextChar"/>
          <w:rFonts w:cs="Calibri"/>
        </w:rPr>
        <w:t xml:space="preserve">This figure is a graphical representation of the portfolio structure and the responsible Ministers. It should clearly indicate the names and titles of the Ministers, the </w:t>
      </w:r>
      <w:r w:rsidR="00396887" w:rsidRPr="00150391">
        <w:rPr>
          <w:rStyle w:val="BodyTextChar"/>
          <w:rFonts w:cs="Calibri"/>
        </w:rPr>
        <w:t>portfolio department</w:t>
      </w:r>
      <w:r w:rsidRPr="00150391">
        <w:rPr>
          <w:rStyle w:val="BodyTextChar"/>
          <w:rFonts w:cs="Calibri"/>
        </w:rPr>
        <w:t>(s) and the Secretary.</w:t>
      </w:r>
    </w:p>
    <w:p w14:paraId="452BA14A" w14:textId="7C7CAC40" w:rsidR="00FA0945" w:rsidRPr="00150391" w:rsidRDefault="00993CA2" w:rsidP="6B6EE5C4">
      <w:pPr>
        <w:rPr>
          <w:rStyle w:val="BodyTextChar"/>
          <w:rFonts w:cs="Calibri"/>
        </w:rPr>
      </w:pPr>
      <w:r w:rsidRPr="00150391">
        <w:rPr>
          <w:rStyle w:val="BodyTextChar"/>
          <w:rFonts w:cs="Calibri"/>
        </w:rPr>
        <w:t>The figure must include</w:t>
      </w:r>
      <w:r w:rsidR="00FA0945" w:rsidRPr="00150391">
        <w:rPr>
          <w:rStyle w:val="BodyTextChar"/>
          <w:rFonts w:cs="Calibri"/>
        </w:rPr>
        <w:t xml:space="preserve"> the other portfolio entities and their Chief Executive Officers, </w:t>
      </w:r>
      <w:r w:rsidRPr="00150391">
        <w:rPr>
          <w:rStyle w:val="BodyTextChar"/>
          <w:rFonts w:cs="Calibri"/>
        </w:rPr>
        <w:t xml:space="preserve">principal bodies in the portfolio as defined </w:t>
      </w:r>
      <w:r w:rsidR="000E0572" w:rsidRPr="00150391">
        <w:rPr>
          <w:rStyle w:val="BodyTextChar"/>
          <w:rFonts w:cs="Calibri"/>
        </w:rPr>
        <w:t xml:space="preserve">by the </w:t>
      </w:r>
      <w:r w:rsidR="000E0572" w:rsidRPr="00150391">
        <w:rPr>
          <w:rStyle w:val="BodyTextChar"/>
          <w:rFonts w:cs="Calibri"/>
          <w:i/>
        </w:rPr>
        <w:t>Australian Government Organisations Register</w:t>
      </w:r>
      <w:r w:rsidR="006160C9" w:rsidRPr="00150391">
        <w:rPr>
          <w:rStyle w:val="BodyTextChar"/>
          <w:rFonts w:cs="Calibri"/>
          <w:i/>
        </w:rPr>
        <w:t xml:space="preserve"> (AGOR)</w:t>
      </w:r>
      <w:r w:rsidR="000E0572" w:rsidRPr="00150391">
        <w:rPr>
          <w:rStyle w:val="BodyTextChar"/>
          <w:rFonts w:cs="Calibri"/>
        </w:rPr>
        <w:t>, and a</w:t>
      </w:r>
      <w:r w:rsidR="00FA0945" w:rsidRPr="00150391">
        <w:rPr>
          <w:rStyle w:val="BodyTextChar"/>
          <w:rFonts w:cs="Calibri"/>
        </w:rPr>
        <w:t>ll portfolio entities covered by the PGPA</w:t>
      </w:r>
      <w:r w:rsidR="00761FCC" w:rsidRPr="00150391">
        <w:rPr>
          <w:rStyle w:val="BodyTextChar"/>
          <w:rFonts w:cs="Calibri"/>
        </w:rPr>
        <w:t xml:space="preserve"> Act</w:t>
      </w:r>
      <w:r w:rsidR="00D16CA8" w:rsidRPr="00150391">
        <w:rPr>
          <w:rStyle w:val="BodyTextChar"/>
          <w:rFonts w:cs="Calibri"/>
        </w:rPr>
        <w:t xml:space="preserve">. Entities such as </w:t>
      </w:r>
      <w:r w:rsidR="00027573" w:rsidRPr="00150391">
        <w:rPr>
          <w:rStyle w:val="BodyTextChar"/>
          <w:rFonts w:cs="Calibri"/>
          <w:i/>
          <w:iCs/>
        </w:rPr>
        <w:t>Public </w:t>
      </w:r>
      <w:r w:rsidR="00AE025F" w:rsidRPr="00150391">
        <w:rPr>
          <w:rStyle w:val="BodyTextChar"/>
          <w:rFonts w:cs="Calibri"/>
          <w:i/>
          <w:iCs/>
        </w:rPr>
        <w:t>F</w:t>
      </w:r>
      <w:r w:rsidR="000E0572" w:rsidRPr="00150391">
        <w:rPr>
          <w:rStyle w:val="BodyTextChar"/>
          <w:rFonts w:cs="Calibri"/>
          <w:i/>
          <w:iCs/>
        </w:rPr>
        <w:t xml:space="preserve">inancial </w:t>
      </w:r>
      <w:r w:rsidR="00AE025F" w:rsidRPr="00150391">
        <w:rPr>
          <w:rStyle w:val="BodyTextChar"/>
          <w:rFonts w:cs="Calibri"/>
          <w:i/>
          <w:iCs/>
        </w:rPr>
        <w:t>C</w:t>
      </w:r>
      <w:r w:rsidR="000E0572" w:rsidRPr="00150391">
        <w:rPr>
          <w:rStyle w:val="BodyTextChar"/>
          <w:rFonts w:cs="Calibri"/>
          <w:i/>
          <w:iCs/>
        </w:rPr>
        <w:t>orporations</w:t>
      </w:r>
      <w:r w:rsidR="000E0572" w:rsidRPr="00150391">
        <w:rPr>
          <w:rStyle w:val="BodyTextChar"/>
          <w:rFonts w:cs="Calibri"/>
        </w:rPr>
        <w:t xml:space="preserve">, </w:t>
      </w:r>
      <w:r w:rsidR="00AE025F" w:rsidRPr="00150391">
        <w:rPr>
          <w:rStyle w:val="BodyTextChar"/>
          <w:rFonts w:cs="Calibri"/>
          <w:i/>
          <w:iCs/>
        </w:rPr>
        <w:t>P</w:t>
      </w:r>
      <w:r w:rsidR="000E0572" w:rsidRPr="00150391">
        <w:rPr>
          <w:rStyle w:val="BodyTextChar"/>
          <w:rFonts w:cs="Calibri"/>
          <w:i/>
          <w:iCs/>
        </w:rPr>
        <w:t xml:space="preserve">ublic </w:t>
      </w:r>
      <w:r w:rsidR="00AE025F" w:rsidRPr="00150391">
        <w:rPr>
          <w:rStyle w:val="BodyTextChar"/>
          <w:rFonts w:cs="Calibri"/>
          <w:i/>
          <w:iCs/>
        </w:rPr>
        <w:t>N</w:t>
      </w:r>
      <w:r w:rsidR="000E0572" w:rsidRPr="00150391">
        <w:rPr>
          <w:rStyle w:val="BodyTextChar"/>
          <w:rFonts w:cs="Calibri"/>
          <w:i/>
          <w:iCs/>
        </w:rPr>
        <w:t>on</w:t>
      </w:r>
      <w:r w:rsidR="00C20907" w:rsidRPr="00150391">
        <w:rPr>
          <w:rStyle w:val="BodyTextChar"/>
          <w:rFonts w:cs="Calibri"/>
          <w:i/>
        </w:rPr>
        <w:noBreakHyphen/>
      </w:r>
      <w:r w:rsidR="00AE025F" w:rsidRPr="00150391">
        <w:rPr>
          <w:rStyle w:val="BodyTextChar"/>
          <w:rFonts w:cs="Calibri"/>
          <w:i/>
          <w:iCs/>
        </w:rPr>
        <w:t>F</w:t>
      </w:r>
      <w:r w:rsidR="000E0572" w:rsidRPr="00150391">
        <w:rPr>
          <w:rStyle w:val="BodyTextChar"/>
          <w:rFonts w:cs="Calibri"/>
          <w:i/>
          <w:iCs/>
        </w:rPr>
        <w:t xml:space="preserve">inancial </w:t>
      </w:r>
      <w:r w:rsidR="00AE025F" w:rsidRPr="00150391">
        <w:rPr>
          <w:rStyle w:val="BodyTextChar"/>
          <w:rFonts w:cs="Calibri"/>
          <w:i/>
          <w:iCs/>
        </w:rPr>
        <w:t>C</w:t>
      </w:r>
      <w:r w:rsidR="000E0572" w:rsidRPr="00150391">
        <w:rPr>
          <w:rStyle w:val="BodyTextChar"/>
          <w:rFonts w:cs="Calibri"/>
          <w:i/>
          <w:iCs/>
        </w:rPr>
        <w:t>orporations</w:t>
      </w:r>
      <w:r w:rsidR="000E0572" w:rsidRPr="00150391">
        <w:rPr>
          <w:rStyle w:val="BodyTextChar"/>
          <w:rFonts w:cs="Calibri"/>
        </w:rPr>
        <w:t xml:space="preserve"> </w:t>
      </w:r>
      <w:r w:rsidR="00D16CA8" w:rsidRPr="00150391">
        <w:rPr>
          <w:rStyle w:val="BodyTextChar"/>
          <w:rFonts w:cs="Calibri"/>
        </w:rPr>
        <w:t>and entities</w:t>
      </w:r>
      <w:r w:rsidR="000E0572" w:rsidRPr="00150391">
        <w:rPr>
          <w:rStyle w:val="BodyTextChar"/>
          <w:rFonts w:cs="Calibri"/>
        </w:rPr>
        <w:t xml:space="preserve"> outside of the </w:t>
      </w:r>
      <w:r w:rsidR="00681C3A" w:rsidRPr="00150391">
        <w:rPr>
          <w:rStyle w:val="BodyTextChar"/>
          <w:rFonts w:cs="Calibri"/>
        </w:rPr>
        <w:t>GGS</w:t>
      </w:r>
      <w:r w:rsidR="00D16CA8" w:rsidRPr="00150391">
        <w:rPr>
          <w:rStyle w:val="BodyTextChar"/>
          <w:rFonts w:cs="Calibri"/>
        </w:rPr>
        <w:t xml:space="preserve">, should at least be mentioned in this </w:t>
      </w:r>
      <w:r w:rsidR="0077642D" w:rsidRPr="00150391">
        <w:rPr>
          <w:rStyle w:val="BodyTextChar"/>
          <w:rFonts w:cs="Calibri"/>
        </w:rPr>
        <w:t>s</w:t>
      </w:r>
      <w:r w:rsidR="00D16CA8" w:rsidRPr="00150391">
        <w:rPr>
          <w:rStyle w:val="BodyTextChar"/>
          <w:rFonts w:cs="Calibri"/>
        </w:rPr>
        <w:t>ection to show the Minister responsible for their functions.</w:t>
      </w:r>
    </w:p>
    <w:p w14:paraId="35D77F42" w14:textId="01E5DC46" w:rsidR="00FA0945" w:rsidRPr="00150391" w:rsidRDefault="53BF0693" w:rsidP="53BF0693">
      <w:pPr>
        <w:rPr>
          <w:rStyle w:val="BodyTextChar"/>
          <w:rFonts w:cs="Calibri"/>
        </w:rPr>
      </w:pPr>
      <w:r w:rsidRPr="00150391">
        <w:rPr>
          <w:rStyle w:val="BodyTextChar"/>
          <w:rFonts w:cs="Calibri"/>
        </w:rPr>
        <w:t xml:space="preserve">Portfolios should include the current outcome statements for each entity </w:t>
      </w:r>
      <w:r w:rsidRPr="00150391">
        <w:rPr>
          <w:rStyle w:val="BodyTextChar"/>
          <w:rFonts w:cs="Calibri"/>
          <w:b/>
          <w:bCs/>
        </w:rPr>
        <w:t xml:space="preserve">as agreed by the </w:t>
      </w:r>
      <w:r w:rsidRPr="00150391">
        <w:rPr>
          <w:rStyle w:val="BodyTextChar"/>
          <w:rFonts w:cs="Calibri"/>
          <w:b/>
        </w:rPr>
        <w:t>Finance Minister</w:t>
      </w:r>
      <w:r w:rsidRPr="00150391">
        <w:rPr>
          <w:rStyle w:val="BodyTextChar"/>
          <w:rFonts w:cs="Calibri"/>
        </w:rPr>
        <w:t>. The outcome statement(s) included in Figure 1, and throughout the PB Statement, must be consistent with the Appropriation Bills.</w:t>
      </w:r>
    </w:p>
    <w:p w14:paraId="2739C59E" w14:textId="77777777" w:rsidR="00FA0945" w:rsidRPr="00150391" w:rsidRDefault="53BF0693" w:rsidP="53BF0693">
      <w:pPr>
        <w:pStyle w:val="Heading4"/>
        <w:rPr>
          <w:rFonts w:ascii="Calibri" w:hAnsi="Calibri" w:cs="Calibri"/>
        </w:rPr>
      </w:pPr>
      <w:r w:rsidRPr="00150391">
        <w:rPr>
          <w:rFonts w:ascii="Calibri" w:hAnsi="Calibri" w:cs="Calibri"/>
        </w:rPr>
        <w:t>Source of information</w:t>
      </w:r>
    </w:p>
    <w:p w14:paraId="6E5F128A" w14:textId="7CD3183C" w:rsidR="00890B06"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A summary of portfolio entities which are subject to the PGPA Act can be </w:t>
      </w:r>
      <w:r w:rsidR="007B25E4" w:rsidRPr="00150391">
        <w:rPr>
          <w:rStyle w:val="BodyTextChar"/>
          <w:rFonts w:ascii="Calibri" w:hAnsi="Calibri" w:cs="Calibri"/>
        </w:rPr>
        <w:t xml:space="preserve">viewed via the </w:t>
      </w:r>
      <w:hyperlink r:id="rId70" w:history="1">
        <w:r w:rsidR="007B25E4" w:rsidRPr="002B4935">
          <w:rPr>
            <w:rStyle w:val="Hyperlink"/>
            <w:rFonts w:ascii="Calibri" w:hAnsi="Calibri" w:cs="Calibri"/>
            <w:color w:val="0070C0"/>
          </w:rPr>
          <w:t>PGPA flipchart and list</w:t>
        </w:r>
      </w:hyperlink>
      <w:r w:rsidR="007B25E4" w:rsidRPr="00150391">
        <w:rPr>
          <w:rStyle w:val="BodyTextChar"/>
          <w:rFonts w:ascii="Calibri" w:hAnsi="Calibri" w:cs="Calibri"/>
        </w:rPr>
        <w:t xml:space="preserve"> webpage.</w:t>
      </w:r>
    </w:p>
    <w:p w14:paraId="505737A9" w14:textId="4955ADAF" w:rsidR="007F1DF5" w:rsidRPr="00150391" w:rsidRDefault="53BF0693" w:rsidP="00580008">
      <w:pPr>
        <w:pStyle w:val="Bullet1"/>
        <w:spacing w:line="220" w:lineRule="atLeast"/>
        <w:ind w:left="360"/>
        <w:rPr>
          <w:rFonts w:ascii="Calibri" w:hAnsi="Calibri" w:cs="Calibri"/>
        </w:rPr>
      </w:pPr>
      <w:r w:rsidRPr="00150391">
        <w:rPr>
          <w:rStyle w:val="BodyTextChar"/>
          <w:rFonts w:ascii="Calibri" w:hAnsi="Calibri" w:cs="Calibri"/>
        </w:rPr>
        <w:t xml:space="preserve">Principal or Primary bodies </w:t>
      </w:r>
      <w:r w:rsidR="007B25E4" w:rsidRPr="00150391">
        <w:rPr>
          <w:rStyle w:val="BodyTextChar"/>
          <w:rFonts w:ascii="Calibri" w:hAnsi="Calibri" w:cs="Calibri"/>
        </w:rPr>
        <w:t>are</w:t>
      </w:r>
      <w:r w:rsidRPr="00150391">
        <w:rPr>
          <w:rStyle w:val="BodyTextChar"/>
          <w:rFonts w:ascii="Calibri" w:hAnsi="Calibri" w:cs="Calibri"/>
        </w:rPr>
        <w:t xml:space="preserve"> defined</w:t>
      </w:r>
      <w:r w:rsidR="00A118BF" w:rsidRPr="00150391">
        <w:rPr>
          <w:rStyle w:val="BodyTextChar"/>
          <w:rFonts w:ascii="Calibri" w:hAnsi="Calibri" w:cs="Calibri"/>
        </w:rPr>
        <w:t xml:space="preserve"> on</w:t>
      </w:r>
      <w:r w:rsidRPr="00150391">
        <w:rPr>
          <w:rStyle w:val="BodyTextChar"/>
          <w:rFonts w:ascii="Calibri" w:hAnsi="Calibri" w:cs="Calibri"/>
        </w:rPr>
        <w:t xml:space="preserve"> </w:t>
      </w:r>
      <w:r w:rsidR="007B25E4" w:rsidRPr="00150391">
        <w:rPr>
          <w:rStyle w:val="BodyTextChar"/>
          <w:rFonts w:ascii="Calibri" w:hAnsi="Calibri" w:cs="Calibri"/>
        </w:rPr>
        <w:t xml:space="preserve">the </w:t>
      </w:r>
      <w:hyperlink r:id="rId71" w:history="1">
        <w:r w:rsidR="007B25E4" w:rsidRPr="002B4935">
          <w:rPr>
            <w:rStyle w:val="Hyperlink"/>
            <w:rFonts w:ascii="Calibri" w:hAnsi="Calibri" w:cs="Calibri"/>
            <w:color w:val="0070C0"/>
          </w:rPr>
          <w:t>AGOR types of bodies</w:t>
        </w:r>
      </w:hyperlink>
      <w:r w:rsidR="007B25E4" w:rsidRPr="00150391">
        <w:rPr>
          <w:rStyle w:val="BodyTextChar"/>
          <w:rFonts w:ascii="Calibri" w:hAnsi="Calibri" w:cs="Calibri"/>
        </w:rPr>
        <w:t xml:space="preserve"> webpage.</w:t>
      </w:r>
    </w:p>
    <w:p w14:paraId="2306B200" w14:textId="77777777" w:rsidR="007B19EC" w:rsidRPr="00150391" w:rsidRDefault="007B19EC">
      <w:pPr>
        <w:suppressAutoHyphens w:val="0"/>
        <w:spacing w:before="0" w:after="120" w:line="440" w:lineRule="atLeast"/>
        <w:rPr>
          <w:rFonts w:eastAsiaTheme="majorEastAsia" w:cs="Calibri"/>
          <w:bCs/>
          <w:color w:val="1C1C1C" w:themeColor="text2"/>
          <w:sz w:val="40"/>
        </w:rPr>
      </w:pPr>
      <w:bookmarkStart w:id="471" w:name="_Toc63347698"/>
      <w:r w:rsidRPr="00150391">
        <w:rPr>
          <w:rFonts w:cs="Calibri"/>
        </w:rPr>
        <w:br w:type="page"/>
      </w:r>
    </w:p>
    <w:p w14:paraId="3CFF2E3A" w14:textId="543C293B" w:rsidR="007C010C" w:rsidRPr="00150391" w:rsidRDefault="53BF0693" w:rsidP="00CF6BE7">
      <w:pPr>
        <w:pStyle w:val="Heading1Numbered"/>
        <w:rPr>
          <w:rFonts w:ascii="Calibri" w:hAnsi="Calibri" w:cs="Calibri"/>
        </w:rPr>
      </w:pPr>
      <w:bookmarkStart w:id="472" w:name="_Toc114576285"/>
      <w:r w:rsidRPr="00150391">
        <w:rPr>
          <w:rFonts w:ascii="Calibri" w:hAnsi="Calibri" w:cs="Calibri"/>
        </w:rPr>
        <w:t>Entity overview and resources section</w:t>
      </w:r>
      <w:bookmarkEnd w:id="471"/>
      <w:bookmarkEnd w:id="472"/>
    </w:p>
    <w:p w14:paraId="249D4D20" w14:textId="77777777" w:rsidR="006F1726" w:rsidRPr="00150391" w:rsidRDefault="53BF0693" w:rsidP="53BF0693">
      <w:pPr>
        <w:rPr>
          <w:rStyle w:val="BodyTextChar"/>
          <w:rFonts w:cs="Calibri"/>
        </w:rPr>
      </w:pPr>
      <w:r w:rsidRPr="00150391">
        <w:rPr>
          <w:rStyle w:val="BodyTextChar"/>
          <w:rFonts w:cs="Calibri"/>
        </w:rPr>
        <w:t xml:space="preserve">The </w:t>
      </w:r>
      <w:r w:rsidRPr="00150391">
        <w:rPr>
          <w:rStyle w:val="BodyTextChar"/>
          <w:rFonts w:cs="Calibri"/>
          <w:i/>
          <w:iCs/>
        </w:rPr>
        <w:t xml:space="preserve">Entity overview and resources </w:t>
      </w:r>
      <w:r w:rsidRPr="00150391">
        <w:rPr>
          <w:rStyle w:val="BodyTextChar"/>
          <w:rFonts w:cs="Calibri"/>
        </w:rPr>
        <w:t>section of the PB Statements provides details of each entity’s objectives and resources across the budget and forward estimates period.</w:t>
      </w:r>
    </w:p>
    <w:p w14:paraId="41A4873D" w14:textId="77777777" w:rsidR="00FA0945" w:rsidRPr="00150391" w:rsidRDefault="53BF0693" w:rsidP="53BF0693">
      <w:pPr>
        <w:rPr>
          <w:rStyle w:val="BodyTextChar"/>
          <w:rFonts w:cs="Calibri"/>
        </w:rPr>
      </w:pPr>
      <w:r w:rsidRPr="00150391">
        <w:rPr>
          <w:rStyle w:val="BodyTextChar"/>
          <w:rFonts w:cs="Calibri"/>
        </w:rPr>
        <w:t>This section should also provide details of each entity’s strategic direction and planned performance, as well as a summary of new government measures.</w:t>
      </w:r>
    </w:p>
    <w:p w14:paraId="5FE4F4FE" w14:textId="77777777" w:rsidR="00FA0945" w:rsidRPr="00150391" w:rsidRDefault="53BF0693" w:rsidP="53BF0693">
      <w:pPr>
        <w:rPr>
          <w:rStyle w:val="BodyTextChar"/>
          <w:rFonts w:cs="Calibri"/>
        </w:rPr>
      </w:pPr>
      <w:r w:rsidRPr="00150391">
        <w:rPr>
          <w:rStyle w:val="BodyTextChar"/>
          <w:rFonts w:cs="Calibri"/>
        </w:rPr>
        <w:t>There are three components to this section that together link the entity strategy with the resources available.</w:t>
      </w:r>
    </w:p>
    <w:p w14:paraId="6D979933" w14:textId="77777777" w:rsidR="00FA0945" w:rsidRPr="00150391" w:rsidRDefault="53BF0693" w:rsidP="53BF0693">
      <w:pPr>
        <w:rPr>
          <w:rStyle w:val="BodyTextChar"/>
          <w:rFonts w:cs="Calibri"/>
          <w:b/>
          <w:bCs/>
        </w:rPr>
      </w:pPr>
      <w:r w:rsidRPr="00150391">
        <w:rPr>
          <w:rStyle w:val="BodyTextChar"/>
          <w:rFonts w:cs="Calibri"/>
          <w:b/>
          <w:bCs/>
        </w:rPr>
        <w:t>Components of Section 1: Entity overview and resources</w:t>
      </w:r>
    </w:p>
    <w:p w14:paraId="6BDD2D10"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Strategic direction statement</w:t>
      </w:r>
    </w:p>
    <w:p w14:paraId="1F16C29D"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Entity resource statement (including </w:t>
      </w:r>
      <w:r w:rsidRPr="00150391">
        <w:rPr>
          <w:rStyle w:val="BodyTextChar"/>
          <w:rFonts w:ascii="Calibri" w:hAnsi="Calibri" w:cs="Calibri"/>
          <w:i/>
          <w:iCs/>
        </w:rPr>
        <w:t>Table 1.1</w:t>
      </w:r>
      <w:r w:rsidRPr="00150391">
        <w:rPr>
          <w:rStyle w:val="BodyTextChar"/>
          <w:rFonts w:ascii="Calibri" w:hAnsi="Calibri" w:cs="Calibri"/>
        </w:rPr>
        <w:t>)</w:t>
      </w:r>
    </w:p>
    <w:p w14:paraId="4EE935A3" w14:textId="32EC34FB" w:rsidR="00FA0945" w:rsidRPr="00150391" w:rsidRDefault="53BF0693" w:rsidP="00A8355D">
      <w:pPr>
        <w:pStyle w:val="Bullet1"/>
        <w:rPr>
          <w:rStyle w:val="BodyTextChar"/>
          <w:rFonts w:ascii="Calibri" w:hAnsi="Calibri" w:cs="Calibri"/>
        </w:rPr>
      </w:pPr>
      <w:r w:rsidRPr="00150391">
        <w:rPr>
          <w:rStyle w:val="BodyTextChar"/>
          <w:rFonts w:ascii="Calibri" w:hAnsi="Calibri" w:cs="Calibri"/>
          <w:i/>
          <w:iCs/>
        </w:rPr>
        <w:t>Budget Measures</w:t>
      </w:r>
      <w:r w:rsidRPr="00150391">
        <w:rPr>
          <w:rStyle w:val="BodyTextChar"/>
          <w:rFonts w:ascii="Calibri" w:hAnsi="Calibri" w:cs="Calibri"/>
        </w:rPr>
        <w:t xml:space="preserve"> (</w:t>
      </w:r>
      <w:r w:rsidRPr="00150391">
        <w:rPr>
          <w:rStyle w:val="BodyTextChar"/>
          <w:rFonts w:ascii="Calibri" w:hAnsi="Calibri" w:cs="Calibri"/>
          <w:i/>
          <w:iCs/>
        </w:rPr>
        <w:t>Table 1.2</w:t>
      </w:r>
      <w:r w:rsidRPr="00150391">
        <w:rPr>
          <w:rStyle w:val="BodyTextChar"/>
          <w:rFonts w:ascii="Calibri" w:hAnsi="Calibri" w:cs="Calibri"/>
        </w:rPr>
        <w:t>).</w:t>
      </w:r>
    </w:p>
    <w:p w14:paraId="63BB8A4D" w14:textId="0457BD08" w:rsidR="00FA0945" w:rsidRPr="00150391" w:rsidRDefault="53BF0693">
      <w:pPr>
        <w:pStyle w:val="Heading2Numbered"/>
        <w:rPr>
          <w:rFonts w:ascii="Calibri" w:hAnsi="Calibri" w:cs="Calibri"/>
          <w:spacing w:val="-6"/>
        </w:rPr>
      </w:pPr>
      <w:bookmarkStart w:id="473" w:name="_Toc411852676"/>
      <w:bookmarkStart w:id="474" w:name="_Toc63347699"/>
      <w:bookmarkStart w:id="475" w:name="_Toc114576286"/>
      <w:r w:rsidRPr="00150391">
        <w:rPr>
          <w:rFonts w:ascii="Calibri" w:hAnsi="Calibri" w:cs="Calibri"/>
        </w:rPr>
        <w:t>Strategic direction statement</w:t>
      </w:r>
      <w:bookmarkEnd w:id="473"/>
      <w:bookmarkEnd w:id="474"/>
      <w:bookmarkEnd w:id="475"/>
    </w:p>
    <w:p w14:paraId="2CB58EE1" w14:textId="77777777" w:rsidR="00FA0945" w:rsidRPr="00150391" w:rsidRDefault="53BF0693" w:rsidP="53BF0693">
      <w:pPr>
        <w:rPr>
          <w:rStyle w:val="BodyTextChar"/>
          <w:rFonts w:cs="Calibri"/>
          <w:color w:val="1C1C1C" w:themeColor="text2"/>
          <w:sz w:val="34"/>
          <w:szCs w:val="34"/>
        </w:rPr>
      </w:pPr>
      <w:r w:rsidRPr="00150391">
        <w:rPr>
          <w:rStyle w:val="BodyTextChar"/>
          <w:rFonts w:cs="Calibri"/>
        </w:rPr>
        <w:t xml:space="preserve">The </w:t>
      </w:r>
      <w:r w:rsidR="00AB296E" w:rsidRPr="00150391">
        <w:rPr>
          <w:rStyle w:val="BodyTextChar"/>
          <w:rFonts w:cs="Calibri"/>
          <w:i/>
        </w:rPr>
        <w:t>S</w:t>
      </w:r>
      <w:r w:rsidRPr="00150391">
        <w:rPr>
          <w:rStyle w:val="BodyTextChar"/>
          <w:rFonts w:cs="Calibri"/>
          <w:i/>
          <w:iCs/>
        </w:rPr>
        <w:t>trategic direction statement</w:t>
      </w:r>
      <w:r w:rsidRPr="00150391">
        <w:rPr>
          <w:rStyle w:val="BodyTextChar"/>
          <w:rFonts w:cs="Calibri"/>
        </w:rPr>
        <w:t xml:space="preserve"> should be no longer than two pages. </w:t>
      </w:r>
    </w:p>
    <w:p w14:paraId="4C371E96" w14:textId="77777777" w:rsidR="00FA0945" w:rsidRPr="00150391" w:rsidRDefault="53BF0693" w:rsidP="53BF0693">
      <w:pPr>
        <w:rPr>
          <w:rStyle w:val="BodyTextChar"/>
          <w:rFonts w:cs="Calibri"/>
        </w:rPr>
      </w:pPr>
      <w:r w:rsidRPr="00150391">
        <w:rPr>
          <w:rStyle w:val="BodyTextChar"/>
          <w:rFonts w:cs="Calibri"/>
        </w:rPr>
        <w:t xml:space="preserve">The </w:t>
      </w:r>
      <w:r w:rsidR="00AB296E" w:rsidRPr="00150391">
        <w:rPr>
          <w:rStyle w:val="BodyTextChar"/>
          <w:rFonts w:cs="Calibri"/>
        </w:rPr>
        <w:t>S</w:t>
      </w:r>
      <w:r w:rsidRPr="00150391">
        <w:rPr>
          <w:rStyle w:val="BodyTextChar"/>
          <w:rFonts w:cs="Calibri"/>
        </w:rPr>
        <w:t xml:space="preserve">trategic direction statement should outline an entity’s anticipated strategic direction for the budget and forward years. </w:t>
      </w:r>
    </w:p>
    <w:p w14:paraId="799D39F4" w14:textId="77777777" w:rsidR="00FA0945" w:rsidRPr="00150391" w:rsidRDefault="53BF0693" w:rsidP="53BF0693">
      <w:pPr>
        <w:rPr>
          <w:rStyle w:val="BodyTextChar"/>
          <w:rFonts w:cs="Calibri"/>
        </w:rPr>
      </w:pPr>
      <w:r w:rsidRPr="00150391">
        <w:rPr>
          <w:rStyle w:val="BodyTextChar"/>
          <w:rFonts w:cs="Calibri"/>
        </w:rPr>
        <w:t xml:space="preserve">The Strategic direction statement should describe an entity’s outcome statement(s) in a strategic, relevant and concise manner, as well as outline the broad strategies the entity intends to adopt in order to achieve these outcomes, and the planned results and goals to be achieved. The statement should also outline how these outcome statements contribute to the achievement of whole-of-government strategic priorities and outcomes. </w:t>
      </w:r>
    </w:p>
    <w:p w14:paraId="1FC54133" w14:textId="2AB96032" w:rsidR="00FA0945" w:rsidRPr="00150391" w:rsidRDefault="53BF0693" w:rsidP="53BF0693">
      <w:pPr>
        <w:rPr>
          <w:rStyle w:val="BodyTextChar"/>
          <w:rFonts w:cs="Calibri"/>
        </w:rPr>
      </w:pPr>
      <w:r w:rsidRPr="00150391">
        <w:rPr>
          <w:rStyle w:val="BodyTextChar"/>
          <w:rFonts w:cs="Calibri"/>
        </w:rPr>
        <w:t>The statement should identify major ongoing functions, new functions (or loss of functions) and measures allocated to the entity, and any significant challenges that will impact on the entity’s performance against its outcome(s) over the medium</w:t>
      </w:r>
      <w:r w:rsidR="00CC6445" w:rsidRPr="00150391">
        <w:rPr>
          <w:rStyle w:val="BodyTextChar"/>
          <w:rFonts w:cs="Calibri"/>
        </w:rPr>
        <w:t>-</w:t>
      </w:r>
      <w:r w:rsidRPr="00150391">
        <w:rPr>
          <w:rStyle w:val="BodyTextChar"/>
          <w:rFonts w:cs="Calibri"/>
        </w:rPr>
        <w:t>term.</w:t>
      </w:r>
    </w:p>
    <w:p w14:paraId="6D63093B" w14:textId="77777777" w:rsidR="002C1E1B" w:rsidRPr="00150391" w:rsidRDefault="53BF0693" w:rsidP="53BF0693">
      <w:pPr>
        <w:rPr>
          <w:rStyle w:val="BodyTextChar"/>
          <w:rFonts w:cs="Calibri"/>
        </w:rPr>
      </w:pPr>
      <w:r w:rsidRPr="00150391">
        <w:rPr>
          <w:rStyle w:val="BodyTextChar"/>
          <w:rFonts w:cs="Calibri"/>
        </w:rPr>
        <w:t>The statement should be high level – a detailed discussion of operational issues can be covered in the entity’s corporate plan or on its website, which should be cross-referenced in this section.</w:t>
      </w:r>
    </w:p>
    <w:p w14:paraId="0B66161F" w14:textId="77777777" w:rsidR="00926CBF" w:rsidRPr="00150391" w:rsidRDefault="53BF0693" w:rsidP="53BF0693">
      <w:pPr>
        <w:pStyle w:val="Heading2Numbered"/>
        <w:rPr>
          <w:rFonts w:ascii="Calibri" w:hAnsi="Calibri" w:cs="Calibri"/>
        </w:rPr>
      </w:pPr>
      <w:bookmarkStart w:id="476" w:name="_Toc411852677"/>
      <w:bookmarkStart w:id="477" w:name="_Toc534382557"/>
      <w:bookmarkStart w:id="478" w:name="_Toc63347700"/>
      <w:bookmarkStart w:id="479" w:name="_Toc114576287"/>
      <w:r w:rsidRPr="00150391">
        <w:rPr>
          <w:rFonts w:ascii="Calibri" w:hAnsi="Calibri" w:cs="Calibri"/>
        </w:rPr>
        <w:t>Entity resource statement</w:t>
      </w:r>
      <w:bookmarkEnd w:id="476"/>
      <w:bookmarkEnd w:id="477"/>
      <w:bookmarkEnd w:id="478"/>
      <w:bookmarkEnd w:id="479"/>
    </w:p>
    <w:p w14:paraId="666B5623" w14:textId="77777777" w:rsidR="00B54712" w:rsidRPr="00150391" w:rsidRDefault="53BF0693" w:rsidP="00580008">
      <w:pPr>
        <w:pStyle w:val="Boxed2Text"/>
        <w:rPr>
          <w:rFonts w:cs="Calibri"/>
        </w:rPr>
      </w:pPr>
      <w:r w:rsidRPr="00150391">
        <w:rPr>
          <w:rFonts w:cs="Calibri"/>
        </w:rPr>
        <w:t>The template for this table can be found in the “</w:t>
      </w:r>
      <w:r w:rsidRPr="00150391">
        <w:rPr>
          <w:rFonts w:cs="Calibri"/>
          <w:i/>
          <w:iCs/>
        </w:rPr>
        <w:t>Table 1.1</w:t>
      </w:r>
      <w:r w:rsidRPr="00150391">
        <w:rPr>
          <w:rFonts w:cs="Calibri"/>
        </w:rPr>
        <w:t>” tab</w:t>
      </w:r>
      <w:r w:rsidRPr="00150391">
        <w:rPr>
          <w:rStyle w:val="BodyTextChar"/>
          <w:rFonts w:eastAsiaTheme="minorEastAsia" w:cs="Calibri"/>
        </w:rPr>
        <w:t xml:space="preserve"> of the Excel Tables workbook (</w:t>
      </w:r>
      <w:r w:rsidRPr="00150391">
        <w:rPr>
          <w:rStyle w:val="BodyTextChar"/>
          <w:rFonts w:eastAsiaTheme="minorEastAsia" w:cs="Calibri"/>
          <w:u w:val="single"/>
        </w:rPr>
        <w:t>Attachment B</w:t>
      </w:r>
      <w:r w:rsidRPr="00150391">
        <w:rPr>
          <w:rStyle w:val="BodyTextChar"/>
          <w:rFonts w:eastAsiaTheme="minorEastAsia" w:cs="Calibri"/>
        </w:rPr>
        <w:t>). There is a template for non-corporate Commonwealth entities (coloured green) and a template for corporate Commonwealth entities and Commonwealth companies (coloured red).</w:t>
      </w:r>
    </w:p>
    <w:p w14:paraId="3ED4635E" w14:textId="77777777" w:rsidR="00B54712" w:rsidRPr="00150391" w:rsidRDefault="53BF0693" w:rsidP="53BF0693">
      <w:pPr>
        <w:rPr>
          <w:rStyle w:val="BodyTextChar"/>
          <w:rFonts w:cs="Calibri"/>
        </w:rPr>
      </w:pPr>
      <w:r w:rsidRPr="00150391">
        <w:rPr>
          <w:rStyle w:val="BodyTextChar"/>
          <w:rFonts w:cs="Calibri"/>
        </w:rPr>
        <w:t xml:space="preserve">The </w:t>
      </w:r>
      <w:r w:rsidRPr="00150391">
        <w:rPr>
          <w:rStyle w:val="BodyTextChar"/>
          <w:rFonts w:cs="Calibri"/>
          <w:i/>
          <w:iCs/>
        </w:rPr>
        <w:t>Entity resource statement</w:t>
      </w:r>
      <w:r w:rsidRPr="00150391">
        <w:rPr>
          <w:rStyle w:val="BodyTextChar"/>
          <w:rFonts w:cs="Calibri"/>
        </w:rPr>
        <w:t xml:space="preserve"> provides a summary of all resources available to the entity over the budget year which it may draw upon in achieving government outcomes and objectives. This table is to be prepared on a</w:t>
      </w:r>
      <w:r w:rsidRPr="00150391">
        <w:rPr>
          <w:rStyle w:val="BodyTextChar"/>
          <w:rFonts w:cs="Calibri"/>
          <w:b/>
          <w:bCs/>
        </w:rPr>
        <w:t xml:space="preserve"> </w:t>
      </w:r>
      <w:r w:rsidRPr="00150391">
        <w:rPr>
          <w:rStyle w:val="BodyTextChar"/>
          <w:rFonts w:cs="Calibri"/>
          <w:bCs/>
        </w:rPr>
        <w:t>resourcing (i.e. appropriations/cash available) basis</w:t>
      </w:r>
      <w:r w:rsidRPr="00150391">
        <w:rPr>
          <w:rStyle w:val="BodyTextChar"/>
          <w:rFonts w:cs="Calibri"/>
        </w:rPr>
        <w:t>.</w:t>
      </w:r>
    </w:p>
    <w:p w14:paraId="74F4E124" w14:textId="77777777" w:rsidR="002B27EC" w:rsidRPr="00150391" w:rsidRDefault="53BF0693" w:rsidP="53BF0693">
      <w:pPr>
        <w:rPr>
          <w:rStyle w:val="BodyTextChar"/>
          <w:rFonts w:cs="Calibri"/>
        </w:rPr>
      </w:pPr>
      <w:r w:rsidRPr="00150391">
        <w:rPr>
          <w:rStyle w:val="BodyTextChar"/>
          <w:rFonts w:cs="Calibri"/>
        </w:rPr>
        <w:t xml:space="preserve">The Entity resource statement provides a breakdown of these resources by funding source and includes undrawn and unspent amounts from prior years as well as the balances of special accounts but </w:t>
      </w:r>
      <w:r w:rsidRPr="00150391">
        <w:rPr>
          <w:rStyle w:val="BodyTextChar"/>
          <w:rFonts w:cs="Calibri"/>
          <w:bCs/>
        </w:rPr>
        <w:t>excludes</w:t>
      </w:r>
      <w:r w:rsidRPr="00150391">
        <w:rPr>
          <w:rStyle w:val="BodyTextChar"/>
          <w:rFonts w:cs="Calibri"/>
        </w:rPr>
        <w:t xml:space="preserve"> amounts subject to quarantine or reduction. </w:t>
      </w:r>
    </w:p>
    <w:p w14:paraId="716E13AB" w14:textId="16A926A8" w:rsidR="00B54712" w:rsidRPr="00150391" w:rsidRDefault="6B6EE5C4" w:rsidP="6B6EE5C4">
      <w:pPr>
        <w:rPr>
          <w:rStyle w:val="BodyTextChar"/>
          <w:rFonts w:cs="Calibri"/>
        </w:rPr>
      </w:pPr>
      <w:r w:rsidRPr="00150391">
        <w:rPr>
          <w:rStyle w:val="BodyTextChar"/>
          <w:rFonts w:cs="Calibri"/>
        </w:rPr>
        <w:t xml:space="preserve">A total estimate of ASL for the entity is also provided – this total should equal the ASL figures published for each outcome in </w:t>
      </w:r>
      <w:r w:rsidRPr="00150391">
        <w:rPr>
          <w:rStyle w:val="BodyTextChar"/>
          <w:rFonts w:cs="Calibri"/>
          <w:i/>
          <w:iCs/>
        </w:rPr>
        <w:t>Table 2.X.1 Budgeted expenses for Outcome X</w:t>
      </w:r>
      <w:r w:rsidRPr="00150391">
        <w:rPr>
          <w:rStyle w:val="BodyTextChar"/>
          <w:rFonts w:cs="Calibri"/>
        </w:rPr>
        <w:t>.</w:t>
      </w:r>
    </w:p>
    <w:p w14:paraId="26F56F0C" w14:textId="77777777" w:rsidR="00B54712" w:rsidRPr="00150391" w:rsidRDefault="53BF0693" w:rsidP="53BF0693">
      <w:pPr>
        <w:rPr>
          <w:rStyle w:val="BodyTextChar"/>
          <w:rFonts w:cs="Calibri"/>
        </w:rPr>
      </w:pPr>
      <w:r w:rsidRPr="00150391">
        <w:rPr>
          <w:rStyle w:val="BodyTextChar"/>
          <w:rFonts w:cs="Calibri"/>
        </w:rPr>
        <w:t xml:space="preserve">Entities with special accounts should ensure amounts transferred between special accounts and other appropriation sources </w:t>
      </w:r>
      <w:r w:rsidRPr="00150391">
        <w:rPr>
          <w:rStyle w:val="BodyTextChar"/>
          <w:rFonts w:cs="Calibri"/>
          <w:bCs/>
        </w:rPr>
        <w:t>are netted</w:t>
      </w:r>
      <w:r w:rsidRPr="00150391">
        <w:rPr>
          <w:rStyle w:val="BodyTextChar"/>
          <w:rFonts w:cs="Calibri"/>
        </w:rPr>
        <w:t xml:space="preserve"> off so the appropriations are not double counted. </w:t>
      </w:r>
    </w:p>
    <w:p w14:paraId="3655EF57" w14:textId="34309A8C" w:rsidR="00B37817" w:rsidRPr="00150391" w:rsidRDefault="53BF0693" w:rsidP="53BF0693">
      <w:pPr>
        <w:pStyle w:val="Heading3Numbered"/>
        <w:rPr>
          <w:rStyle w:val="BodyTextChar"/>
          <w:rFonts w:ascii="Calibri" w:eastAsiaTheme="majorEastAsia" w:hAnsi="Calibri" w:cs="Calibri"/>
        </w:rPr>
      </w:pPr>
      <w:bookmarkStart w:id="480" w:name="_Ref46310400"/>
      <w:bookmarkStart w:id="481" w:name="_Ref46310405"/>
      <w:bookmarkStart w:id="482" w:name="_Toc63347701"/>
      <w:bookmarkStart w:id="483" w:name="_Toc114576288"/>
      <w:r w:rsidRPr="00150391">
        <w:rPr>
          <w:rStyle w:val="BodyTextChar"/>
          <w:rFonts w:ascii="Calibri" w:eastAsiaTheme="majorEastAsia" w:hAnsi="Calibri" w:cs="Calibri"/>
        </w:rPr>
        <w:t>Appropriation Bills 5 and 6</w:t>
      </w:r>
      <w:bookmarkEnd w:id="480"/>
      <w:bookmarkEnd w:id="481"/>
      <w:bookmarkEnd w:id="482"/>
      <w:bookmarkEnd w:id="483"/>
    </w:p>
    <w:p w14:paraId="670732F9" w14:textId="7E373D3F" w:rsidR="00FE6DEF" w:rsidRPr="00150391" w:rsidRDefault="00FE6DEF" w:rsidP="00CF6BE7">
      <w:pPr>
        <w:rPr>
          <w:rFonts w:cs="Calibri"/>
        </w:rPr>
      </w:pPr>
      <w:r w:rsidRPr="00150391">
        <w:rPr>
          <w:rFonts w:cs="Calibri"/>
        </w:rPr>
        <w:t xml:space="preserve">Appropriations Bills 5 and 6 are </w:t>
      </w:r>
      <w:r w:rsidRPr="00150391">
        <w:rPr>
          <w:rFonts w:cs="Calibri"/>
          <w:b/>
        </w:rPr>
        <w:t>not</w:t>
      </w:r>
      <w:r w:rsidRPr="00150391">
        <w:rPr>
          <w:rFonts w:cs="Calibri"/>
        </w:rPr>
        <w:t xml:space="preserve"> proposed as a matter of course.  The decision for this </w:t>
      </w:r>
      <w:r w:rsidR="005E0643" w:rsidRPr="00150391">
        <w:rPr>
          <w:rFonts w:cs="Calibri"/>
        </w:rPr>
        <w:t>is occurs</w:t>
      </w:r>
      <w:r w:rsidRPr="00150391">
        <w:rPr>
          <w:rFonts w:cs="Calibri"/>
        </w:rPr>
        <w:t xml:space="preserve"> after the Additional Estimates Appropriation Bills (No.3 and 4)</w:t>
      </w:r>
      <w:r w:rsidR="00162117" w:rsidRPr="00150391">
        <w:rPr>
          <w:rFonts w:cs="Calibri"/>
        </w:rPr>
        <w:t>,</w:t>
      </w:r>
      <w:r w:rsidRPr="00150391">
        <w:rPr>
          <w:rFonts w:cs="Calibri"/>
        </w:rPr>
        <w:t xml:space="preserve"> and where the entity requires current funding they should contact their AAU in the first instance.</w:t>
      </w:r>
    </w:p>
    <w:p w14:paraId="0FF0AFB0" w14:textId="5F1892E6" w:rsidR="00CB2C12" w:rsidRPr="00150391" w:rsidRDefault="00CB2C12" w:rsidP="002F6118">
      <w:pPr>
        <w:rPr>
          <w:rFonts w:cs="Calibri"/>
        </w:rPr>
      </w:pPr>
      <w:r w:rsidRPr="00150391">
        <w:rPr>
          <w:rFonts w:cs="Calibri"/>
        </w:rPr>
        <w:t xml:space="preserve">Finance will advise affected entities if Appropriations Bills (No. 5 and 6) will be produced. The </w:t>
      </w:r>
      <w:r w:rsidRPr="00150391">
        <w:rPr>
          <w:rFonts w:cs="Calibri"/>
          <w:bCs/>
          <w:i/>
        </w:rPr>
        <w:t>“Estimated actual”</w:t>
      </w:r>
      <w:r w:rsidRPr="00150391">
        <w:rPr>
          <w:rFonts w:cs="Calibri"/>
        </w:rPr>
        <w:t xml:space="preserve"> columns in </w:t>
      </w:r>
      <w:r w:rsidRPr="00150391">
        <w:rPr>
          <w:rFonts w:cs="Calibri"/>
          <w:i/>
        </w:rPr>
        <w:t>Table 1.1: Entity Resource Statement</w:t>
      </w:r>
      <w:r w:rsidRPr="00150391">
        <w:rPr>
          <w:rFonts w:cs="Calibri"/>
        </w:rPr>
        <w:t xml:space="preserve"> and </w:t>
      </w:r>
      <w:r w:rsidRPr="00150391">
        <w:rPr>
          <w:rFonts w:cs="Calibri"/>
          <w:i/>
          <w:iCs/>
        </w:rPr>
        <w:t xml:space="preserve">Table 2.X.1: Budgeted expenses for Outcome X </w:t>
      </w:r>
      <w:r w:rsidRPr="00150391">
        <w:rPr>
          <w:rFonts w:cs="Calibri"/>
        </w:rPr>
        <w:t>should exclude any amounts proposed through Appropriation Bills (No. 5 and 6). This is because generally they would not have received Royal Assent by the time the PB Statements are tabled.</w:t>
      </w:r>
    </w:p>
    <w:p w14:paraId="33D5EB1C" w14:textId="77777777" w:rsidR="00B54712" w:rsidRPr="00150391" w:rsidRDefault="53BF0693" w:rsidP="53BF0693">
      <w:pPr>
        <w:pStyle w:val="Heading3Numbered"/>
        <w:rPr>
          <w:rStyle w:val="BodyTextChar"/>
          <w:rFonts w:ascii="Calibri" w:eastAsiaTheme="majorEastAsia" w:hAnsi="Calibri" w:cs="Calibri"/>
        </w:rPr>
      </w:pPr>
      <w:bookmarkStart w:id="484" w:name="_Toc61875005"/>
      <w:bookmarkStart w:id="485" w:name="_Toc62648857"/>
      <w:bookmarkStart w:id="486" w:name="_Toc61875006"/>
      <w:bookmarkStart w:id="487" w:name="_Toc62648858"/>
      <w:bookmarkStart w:id="488" w:name="_Toc63347702"/>
      <w:bookmarkStart w:id="489" w:name="_Toc114576289"/>
      <w:bookmarkEnd w:id="484"/>
      <w:bookmarkEnd w:id="485"/>
      <w:bookmarkEnd w:id="486"/>
      <w:bookmarkEnd w:id="487"/>
      <w:r w:rsidRPr="00150391">
        <w:rPr>
          <w:rStyle w:val="BodyTextChar"/>
          <w:rFonts w:ascii="Calibri" w:eastAsiaTheme="majorEastAsia" w:hAnsi="Calibri" w:cs="Calibri"/>
        </w:rPr>
        <w:t>Payments to the states</w:t>
      </w:r>
      <w:bookmarkEnd w:id="488"/>
      <w:bookmarkEnd w:id="489"/>
    </w:p>
    <w:p w14:paraId="30A95A87" w14:textId="77777777" w:rsidR="00B54712" w:rsidRPr="00150391" w:rsidRDefault="6B6EE5C4" w:rsidP="000A7DEC">
      <w:pPr>
        <w:rPr>
          <w:rFonts w:cs="Calibri"/>
        </w:rPr>
      </w:pPr>
      <w:r w:rsidRPr="00150391">
        <w:rPr>
          <w:rFonts w:cs="Calibri"/>
        </w:rPr>
        <w:t xml:space="preserve">Entities receiving appropriations, through </w:t>
      </w:r>
      <w:r w:rsidRPr="00150391">
        <w:rPr>
          <w:rFonts w:cs="Calibri"/>
          <w:i/>
        </w:rPr>
        <w:t xml:space="preserve">Appropriation Bill (No. 2) </w:t>
      </w:r>
      <w:r w:rsidR="00197D38" w:rsidRPr="00150391">
        <w:rPr>
          <w:rFonts w:cs="Calibri"/>
          <w:i/>
        </w:rPr>
        <w:t>2022</w:t>
      </w:r>
      <w:r w:rsidRPr="00150391">
        <w:rPr>
          <w:rFonts w:cs="Calibri"/>
          <w:i/>
        </w:rPr>
        <w:t>-</w:t>
      </w:r>
      <w:r w:rsidR="00197D38" w:rsidRPr="00150391">
        <w:rPr>
          <w:rFonts w:cs="Calibri"/>
          <w:i/>
        </w:rPr>
        <w:t>23</w:t>
      </w:r>
      <w:r w:rsidRPr="00150391">
        <w:rPr>
          <w:rFonts w:cs="Calibri"/>
        </w:rPr>
        <w:t xml:space="preserve">, for payments to States, Territories and local government, must include additional information in a footnote to </w:t>
      </w:r>
      <w:r w:rsidRPr="00150391">
        <w:rPr>
          <w:rFonts w:cs="Calibri"/>
          <w:i/>
          <w:iCs/>
        </w:rPr>
        <w:t>Table 1.1: Entity resourcing statement</w:t>
      </w:r>
      <w:r w:rsidRPr="00150391">
        <w:rPr>
          <w:rFonts w:cs="Calibri"/>
        </w:rPr>
        <w:t xml:space="preserve">. The note only applies for the current year appropriation and not prior year comparisons. </w:t>
      </w:r>
    </w:p>
    <w:p w14:paraId="6C02C036" w14:textId="77777777" w:rsidR="00BF1BF6" w:rsidRPr="00150391" w:rsidRDefault="53BF0693" w:rsidP="000A7DEC">
      <w:pPr>
        <w:rPr>
          <w:rFonts w:cs="Calibri"/>
        </w:rPr>
      </w:pPr>
      <w:r w:rsidRPr="00150391">
        <w:rPr>
          <w:rFonts w:cs="Calibri"/>
        </w:rPr>
        <w:t xml:space="preserve">Footnote (l) in </w:t>
      </w:r>
      <w:r w:rsidRPr="00150391">
        <w:rPr>
          <w:rFonts w:cs="Calibri"/>
          <w:i/>
          <w:iCs/>
        </w:rPr>
        <w:t>Table 1.1</w:t>
      </w:r>
      <w:r w:rsidRPr="00150391">
        <w:rPr>
          <w:rFonts w:cs="Calibri"/>
        </w:rPr>
        <w:t xml:space="preserve"> must include the particular purposes to which the payments to the States, ACT, NT and local government will be directed (including a breakdown of proposed amounts by State/Territory), where the terms and conditions, and the programs guidelines can be found, and the statutory or other provisions under which the terms and conditions are made. </w:t>
      </w:r>
    </w:p>
    <w:p w14:paraId="4094C949" w14:textId="77777777" w:rsidR="005B2724" w:rsidRPr="00150391" w:rsidRDefault="53BF0693" w:rsidP="00CF6BE7">
      <w:pPr>
        <w:rPr>
          <w:rFonts w:cs="Calibri"/>
        </w:rPr>
      </w:pPr>
      <w:r w:rsidRPr="00150391">
        <w:rPr>
          <w:rFonts w:cs="Calibri"/>
        </w:rPr>
        <w:t xml:space="preserve">Entities should note that this is a </w:t>
      </w:r>
      <w:r w:rsidRPr="00150391">
        <w:rPr>
          <w:rFonts w:cs="Calibri"/>
          <w:bCs/>
        </w:rPr>
        <w:t>mandatory</w:t>
      </w:r>
      <w:r w:rsidRPr="00150391">
        <w:rPr>
          <w:rFonts w:cs="Calibri"/>
        </w:rPr>
        <w:t xml:space="preserve"> requirement and that all the information in the example must be provided.</w:t>
      </w:r>
    </w:p>
    <w:p w14:paraId="26FABE20" w14:textId="2B86558E" w:rsidR="00A368E7" w:rsidRPr="00150391" w:rsidRDefault="53BF0693" w:rsidP="000A7DEC">
      <w:pPr>
        <w:rPr>
          <w:rFonts w:cs="Calibri"/>
        </w:rPr>
      </w:pPr>
      <w:r w:rsidRPr="00150391">
        <w:rPr>
          <w:rFonts w:cs="Calibri"/>
        </w:rPr>
        <w:t>An example is provided below.</w:t>
      </w:r>
    </w:p>
    <w:p w14:paraId="7154D9D2" w14:textId="350A952A" w:rsidR="00594DF7" w:rsidRPr="00150391" w:rsidRDefault="6B6EE5C4" w:rsidP="00594DF7">
      <w:pPr>
        <w:pStyle w:val="Boxed2Text"/>
        <w:rPr>
          <w:rStyle w:val="BodyTextChar"/>
          <w:rFonts w:cs="Calibri"/>
        </w:rPr>
      </w:pPr>
      <w:r w:rsidRPr="00150391">
        <w:rPr>
          <w:rStyle w:val="BodyTextChar"/>
          <w:rFonts w:cs="Calibri"/>
        </w:rPr>
        <w:t xml:space="preserve">(l) </w:t>
      </w:r>
      <w:r w:rsidR="00594DF7" w:rsidRPr="00150391">
        <w:rPr>
          <w:rStyle w:val="BodyTextChar"/>
          <w:rFonts w:cs="Calibri"/>
        </w:rPr>
        <w:t>Relates to appropriations sought for payment to the States, Territories and local governments in Appropriation Bill (No.2) 2022-23. Outcome 1 - Program 1.2: Children and Schooling includes the National Partnership on Northern Territory Remote Aboriginal Investment (Non-Government Schools) with payments of $3.6 million to the Northern Territory in 2022-23. Information on the terms and conditions can be found in the National Partnership on Northern Territory Remote Aboriginal Investment (</w:t>
      </w:r>
      <w:hyperlink r:id="rId72" w:history="1">
        <w:r w:rsidR="00594DF7" w:rsidRPr="00150391">
          <w:rPr>
            <w:rStyle w:val="Hyperlink"/>
            <w:rFonts w:ascii="Calibri" w:eastAsia="Cambria" w:hAnsi="Calibri" w:cs="Calibri"/>
            <w:u w:val="none"/>
          </w:rPr>
          <w:t>www.federalfinancialrelations.gov.au/sites/federalfinancialrelations.gov.au/files/2020-04/nt_remote_aboriginal_investment_np.pdf</w:t>
        </w:r>
      </w:hyperlink>
      <w:r w:rsidR="00594DF7" w:rsidRPr="00150391">
        <w:rPr>
          <w:rStyle w:val="BodyTextChar"/>
          <w:rFonts w:cs="Calibri"/>
        </w:rPr>
        <w:t>).</w:t>
      </w:r>
    </w:p>
    <w:p w14:paraId="0A392542" w14:textId="1309CF1D" w:rsidR="00B54712" w:rsidRPr="00150391" w:rsidRDefault="00594DF7" w:rsidP="00594DF7">
      <w:pPr>
        <w:pStyle w:val="Boxed2Text"/>
        <w:rPr>
          <w:rFonts w:cs="Calibri"/>
        </w:rPr>
      </w:pPr>
      <w:r w:rsidRPr="00150391">
        <w:rPr>
          <w:rStyle w:val="BodyTextChar"/>
          <w:rFonts w:cs="Calibri"/>
        </w:rPr>
        <w:t>Terms and conditions are made under authority from section 7(2) of the COAG Reform Fund Act 2008 and the Intergovernmental Agreement on Federal Financial Relations.</w:t>
      </w:r>
    </w:p>
    <w:p w14:paraId="4D5719D6" w14:textId="77777777" w:rsidR="005904D2" w:rsidRPr="00150391" w:rsidRDefault="53BF0693" w:rsidP="53BF0693">
      <w:pPr>
        <w:pStyle w:val="Heading3Numbered"/>
        <w:rPr>
          <w:rStyle w:val="BodyTextChar"/>
          <w:rFonts w:ascii="Calibri" w:eastAsiaTheme="majorEastAsia" w:hAnsi="Calibri" w:cs="Calibri"/>
        </w:rPr>
      </w:pPr>
      <w:bookmarkStart w:id="490" w:name="_Toc30405565"/>
      <w:bookmarkStart w:id="491" w:name="_Toc30581306"/>
      <w:bookmarkStart w:id="492" w:name="_Toc32829968"/>
      <w:bookmarkStart w:id="493" w:name="_Toc32917475"/>
      <w:bookmarkStart w:id="494" w:name="_Toc32918281"/>
      <w:bookmarkStart w:id="495" w:name="_Toc32999664"/>
      <w:bookmarkStart w:id="496" w:name="_Toc33099383"/>
      <w:bookmarkStart w:id="497" w:name="_Toc47369876"/>
      <w:bookmarkStart w:id="498" w:name="_Toc47369877"/>
      <w:bookmarkStart w:id="499" w:name="_Toc63347703"/>
      <w:bookmarkStart w:id="500" w:name="_Toc114576290"/>
      <w:bookmarkEnd w:id="490"/>
      <w:bookmarkEnd w:id="491"/>
      <w:bookmarkEnd w:id="492"/>
      <w:bookmarkEnd w:id="493"/>
      <w:bookmarkEnd w:id="494"/>
      <w:bookmarkEnd w:id="495"/>
      <w:bookmarkEnd w:id="496"/>
      <w:bookmarkEnd w:id="497"/>
      <w:bookmarkEnd w:id="498"/>
      <w:r w:rsidRPr="00150391">
        <w:rPr>
          <w:rStyle w:val="BodyTextChar"/>
          <w:rFonts w:ascii="Calibri" w:eastAsiaTheme="majorEastAsia" w:hAnsi="Calibri" w:cs="Calibri"/>
        </w:rPr>
        <w:t>Additional guidance on cash management reports and appropriation bills</w:t>
      </w:r>
      <w:bookmarkEnd w:id="499"/>
      <w:bookmarkEnd w:id="500"/>
    </w:p>
    <w:p w14:paraId="2186FDD0" w14:textId="77777777" w:rsidR="005904D2" w:rsidRPr="00150391" w:rsidRDefault="53BF0693" w:rsidP="00005F3B">
      <w:pPr>
        <w:rPr>
          <w:rFonts w:cs="Calibri"/>
        </w:rPr>
      </w:pPr>
      <w:r w:rsidRPr="00150391">
        <w:rPr>
          <w:rStyle w:val="BodyTextChar"/>
          <w:rFonts w:cs="Calibri"/>
        </w:rPr>
        <w:t>The appropriation estimates recorded in CBMS in the Public Budget Formulation (PBF) module are used to create the Appropriation Bills.</w:t>
      </w:r>
    </w:p>
    <w:p w14:paraId="52C3CA96" w14:textId="7A04FD0A" w:rsidR="005904D2" w:rsidRPr="00150391" w:rsidRDefault="53BF0693">
      <w:pPr>
        <w:rPr>
          <w:rStyle w:val="BodyTextChar"/>
          <w:rFonts w:cs="Calibri"/>
        </w:rPr>
      </w:pPr>
      <w:r w:rsidRPr="00150391">
        <w:rPr>
          <w:rStyle w:val="BodyTextChar"/>
          <w:rFonts w:cs="Calibri"/>
        </w:rPr>
        <w:t xml:space="preserve">When an Appropriation Bill is given Royal Assent and becomes an Appropriation Act, the values captured in PBF are then used as the Appropriation Limits in the </w:t>
      </w:r>
      <w:r w:rsidR="00CC6445" w:rsidRPr="00150391">
        <w:rPr>
          <w:rStyle w:val="BodyTextChar"/>
          <w:rFonts w:cs="Calibri"/>
        </w:rPr>
        <w:t>CBMS Cash </w:t>
      </w:r>
      <w:r w:rsidRPr="00150391">
        <w:rPr>
          <w:rStyle w:val="BodyTextChar"/>
          <w:rFonts w:cs="Calibri"/>
        </w:rPr>
        <w:t>Management module. Appropriation limits are treated as “Hard” or “Soft” depending on their outcome requirements and/or other legal restrictions.</w:t>
      </w:r>
    </w:p>
    <w:p w14:paraId="3C3FB4E8" w14:textId="21D857B6" w:rsidR="005904D2" w:rsidRPr="00150391" w:rsidRDefault="53BF0693">
      <w:pPr>
        <w:rPr>
          <w:rStyle w:val="BodyTextChar"/>
          <w:rFonts w:cs="Calibri"/>
        </w:rPr>
      </w:pPr>
      <w:r w:rsidRPr="00150391">
        <w:rPr>
          <w:rStyle w:val="BodyTextChar"/>
          <w:rFonts w:cs="Calibri"/>
        </w:rPr>
        <w:t xml:space="preserve">A “hard limit” is a limit that cannot be exceeded with a drawdown. This is because a hard limit is a legally appropriated amount, adjusted for changes authorised in law such as transfers as a result of Machinery of Government </w:t>
      </w:r>
      <w:r w:rsidR="00EF0595" w:rsidRPr="00150391">
        <w:rPr>
          <w:rStyle w:val="BodyTextChar"/>
          <w:rFonts w:cs="Calibri"/>
        </w:rPr>
        <w:t xml:space="preserve">(MoG) </w:t>
      </w:r>
      <w:r w:rsidRPr="00150391">
        <w:rPr>
          <w:rStyle w:val="BodyTextChar"/>
          <w:rFonts w:cs="Calibri"/>
        </w:rPr>
        <w:t>changes under section 75 of the PGPA Act, External Revenue under section 74 of the PGPA Act, quarantines by the Finance Minister or Advances to the Minister for Finance</w:t>
      </w:r>
      <w:r w:rsidR="009A1184" w:rsidRPr="00150391">
        <w:rPr>
          <w:rStyle w:val="BodyTextChar"/>
          <w:rFonts w:cs="Calibri"/>
        </w:rPr>
        <w:t xml:space="preserve"> (AFM)</w:t>
      </w:r>
      <w:r w:rsidRPr="00150391">
        <w:rPr>
          <w:rStyle w:val="BodyTextChar"/>
          <w:rFonts w:cs="Calibri"/>
        </w:rPr>
        <w:t>.</w:t>
      </w:r>
    </w:p>
    <w:p w14:paraId="730C0F01" w14:textId="77777777" w:rsidR="005904D2" w:rsidRPr="00150391" w:rsidRDefault="53BF0693" w:rsidP="53BF0693">
      <w:pPr>
        <w:pStyle w:val="Bullet1"/>
        <w:rPr>
          <w:rStyle w:val="BodyTextChar"/>
          <w:rFonts w:ascii="Calibri" w:hAnsi="Calibri" w:cs="Calibri"/>
        </w:rPr>
      </w:pPr>
      <w:r w:rsidRPr="00150391">
        <w:rPr>
          <w:rStyle w:val="BodyTextChar"/>
          <w:rFonts w:ascii="Calibri" w:hAnsi="Calibri" w:cs="Calibri"/>
        </w:rPr>
        <w:t>for departmental operating appropriations, the hard limit equals the total amount appropriated for the entity</w:t>
      </w:r>
    </w:p>
    <w:p w14:paraId="30A89AB1" w14:textId="08F00E4A" w:rsidR="005904D2" w:rsidRPr="00150391" w:rsidRDefault="53BF0693" w:rsidP="53BF0693">
      <w:pPr>
        <w:pStyle w:val="Bullet1"/>
        <w:rPr>
          <w:rStyle w:val="BodyTextChar"/>
          <w:rFonts w:ascii="Calibri" w:hAnsi="Calibri" w:cs="Calibri"/>
        </w:rPr>
      </w:pPr>
      <w:r w:rsidRPr="00150391">
        <w:rPr>
          <w:rStyle w:val="BodyTextChar"/>
          <w:rFonts w:ascii="Calibri" w:hAnsi="Calibri" w:cs="Calibri"/>
        </w:rPr>
        <w:t>for administered operating appropriations, the hard limit is the amount provided for each outcome.</w:t>
      </w:r>
      <w:r w:rsidR="00EF0595" w:rsidRPr="00150391">
        <w:rPr>
          <w:rStyle w:val="BodyTextChar"/>
          <w:rFonts w:ascii="Calibri" w:hAnsi="Calibri" w:cs="Calibri"/>
        </w:rPr>
        <w:t xml:space="preserve"> </w:t>
      </w:r>
    </w:p>
    <w:p w14:paraId="4F433F8F" w14:textId="77777777" w:rsidR="005904D2" w:rsidRPr="00150391" w:rsidRDefault="53BF0693" w:rsidP="53BF0693">
      <w:pPr>
        <w:rPr>
          <w:rStyle w:val="BodyTextChar"/>
          <w:rFonts w:cs="Calibri"/>
        </w:rPr>
      </w:pPr>
      <w:r w:rsidRPr="00150391">
        <w:rPr>
          <w:rStyle w:val="BodyTextChar"/>
          <w:rFonts w:cs="Calibri"/>
        </w:rPr>
        <w:t>A soft limit is the limit against a portion of the hard limit after it is allocated to a program (i.e. administered operating) or outcome (i.e. departmental operating). These limits can be exceeded with a drawdown, providing they do not exceed the hard limit. Soft limits can be adjusted on request from entities (though they generally reflect splits identified in PB Statements/PAES).</w:t>
      </w:r>
    </w:p>
    <w:p w14:paraId="61EA20D2" w14:textId="77777777" w:rsidR="00B54712" w:rsidRPr="00150391" w:rsidRDefault="53BF0693" w:rsidP="53BF0693">
      <w:pPr>
        <w:pStyle w:val="Heading2Numbered"/>
        <w:rPr>
          <w:rFonts w:ascii="Calibri" w:hAnsi="Calibri" w:cs="Calibri"/>
        </w:rPr>
      </w:pPr>
      <w:bookmarkStart w:id="501" w:name="_Ref61532163"/>
      <w:bookmarkStart w:id="502" w:name="_Ref61532167"/>
      <w:bookmarkStart w:id="503" w:name="_Toc63347704"/>
      <w:bookmarkStart w:id="504" w:name="_Toc114576291"/>
      <w:r w:rsidRPr="00150391">
        <w:rPr>
          <w:rFonts w:ascii="Calibri" w:hAnsi="Calibri" w:cs="Calibri"/>
        </w:rPr>
        <w:t>Resource statement sections</w:t>
      </w:r>
      <w:bookmarkEnd w:id="501"/>
      <w:bookmarkEnd w:id="502"/>
      <w:bookmarkEnd w:id="503"/>
      <w:bookmarkEnd w:id="504"/>
    </w:p>
    <w:p w14:paraId="6DFA0A41" w14:textId="77777777" w:rsidR="00A32A8F" w:rsidRPr="00150391" w:rsidRDefault="53BF0693" w:rsidP="000A7DEC">
      <w:pPr>
        <w:rPr>
          <w:rFonts w:cs="Calibri"/>
        </w:rPr>
      </w:pPr>
      <w:r w:rsidRPr="00150391">
        <w:rPr>
          <w:rFonts w:cs="Calibri"/>
        </w:rPr>
        <w:t>In addition to the reports listed under the subsections below, the following report can be used to help quality assure all appropriation types:</w:t>
      </w:r>
    </w:p>
    <w:p w14:paraId="2C684405" w14:textId="77777777" w:rsidR="00A32A8F" w:rsidRPr="00150391" w:rsidRDefault="00A32A8F" w:rsidP="00A8355D">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00DA502E" w:rsidRPr="00150391">
        <w:rPr>
          <w:rStyle w:val="BodyTextChar"/>
          <w:rFonts w:cs="Calibri"/>
        </w:rPr>
        <w:t xml:space="preserve"> </w:t>
      </w:r>
      <w:r w:rsidRPr="00150391">
        <w:rPr>
          <w:rStyle w:val="BodyTextChar"/>
          <w:rFonts w:cs="Calibri"/>
        </w:rPr>
        <w:t xml:space="preserve">CBMS Reporting </w:t>
      </w:r>
      <w:r w:rsidR="00DA502E" w:rsidRPr="00150391">
        <w:rPr>
          <w:rStyle w:val="BodyTextChar"/>
          <w:rFonts w:cs="Calibri"/>
        </w:rPr>
        <w:sym w:font="Wingdings" w:char="F0E0"/>
      </w:r>
      <w:r w:rsidRPr="00150391">
        <w:rPr>
          <w:rStyle w:val="BodyTextChar"/>
          <w:rFonts w:cs="Calibri"/>
        </w:rPr>
        <w:t xml:space="preserve"> Operational Reports </w:t>
      </w:r>
      <w:r w:rsidR="00DA502E" w:rsidRPr="00150391">
        <w:rPr>
          <w:rStyle w:val="BodyTextChar"/>
          <w:rFonts w:cs="Calibri"/>
        </w:rPr>
        <w:sym w:font="Wingdings" w:char="F0E0"/>
      </w:r>
      <w:r w:rsidRPr="00150391">
        <w:rPr>
          <w:rStyle w:val="BodyTextChar"/>
          <w:rFonts w:cs="Calibri"/>
        </w:rPr>
        <w:t xml:space="preserve"> Estimates </w:t>
      </w:r>
      <w:r w:rsidR="00DA502E" w:rsidRPr="00150391">
        <w:rPr>
          <w:rStyle w:val="BodyTextChar"/>
          <w:rFonts w:cs="Calibri"/>
        </w:rPr>
        <w:sym w:font="Wingdings" w:char="F0E0"/>
      </w:r>
      <w:r w:rsidR="00DA502E" w:rsidRPr="00150391">
        <w:rPr>
          <w:rStyle w:val="BodyTextChar"/>
          <w:rFonts w:cs="Calibri"/>
        </w:rPr>
        <w:t xml:space="preserve"> </w:t>
      </w:r>
      <w:r w:rsidRPr="00150391">
        <w:rPr>
          <w:rStyle w:val="BodyTextChar"/>
          <w:rFonts w:cs="Calibri"/>
        </w:rPr>
        <w:t xml:space="preserve"> Annual Estimates </w:t>
      </w:r>
      <w:r w:rsidR="00DA502E" w:rsidRPr="00150391">
        <w:rPr>
          <w:rStyle w:val="BodyTextChar"/>
          <w:rFonts w:cs="Calibri"/>
        </w:rPr>
        <w:sym w:font="Wingdings" w:char="F0E0"/>
      </w:r>
      <w:r w:rsidR="00DA502E" w:rsidRPr="00150391">
        <w:rPr>
          <w:rStyle w:val="BodyTextChar"/>
          <w:rFonts w:cs="Calibri"/>
        </w:rPr>
        <w:t xml:space="preserve"> </w:t>
      </w:r>
      <w:r w:rsidRPr="00150391">
        <w:rPr>
          <w:rStyle w:val="BodyTextChar"/>
          <w:rFonts w:cs="Calibri"/>
        </w:rPr>
        <w:t>AE.OR.17 Agency Resourcing QA Report</w:t>
      </w:r>
      <w:r w:rsidR="00002586" w:rsidRPr="00150391">
        <w:rPr>
          <w:rStyle w:val="BodyTextChar"/>
          <w:rFonts w:cs="Calibri"/>
          <w:i w:val="0"/>
          <w:color w:val="auto"/>
        </w:rPr>
        <w:t>.</w:t>
      </w:r>
      <w:r w:rsidRPr="00150391">
        <w:rPr>
          <w:rStyle w:val="BodyTextChar"/>
          <w:rFonts w:cs="Calibri"/>
        </w:rPr>
        <w:t xml:space="preserve"> </w:t>
      </w:r>
    </w:p>
    <w:p w14:paraId="37063694" w14:textId="77777777" w:rsidR="00B54712" w:rsidRPr="00150391" w:rsidRDefault="53BF0693" w:rsidP="53BF0693">
      <w:pPr>
        <w:pStyle w:val="Heading4"/>
        <w:rPr>
          <w:rStyle w:val="BodyTextChar"/>
          <w:rFonts w:ascii="Calibri" w:eastAsia="MS Gothic" w:hAnsi="Calibri" w:cs="Calibri"/>
          <w:i/>
          <w:color w:val="0070C0"/>
        </w:rPr>
      </w:pPr>
      <w:r w:rsidRPr="00150391">
        <w:rPr>
          <w:rStyle w:val="BodyTextChar"/>
          <w:rFonts w:ascii="Calibri" w:eastAsia="MS Gothic" w:hAnsi="Calibri" w:cs="Calibri"/>
        </w:rPr>
        <w:t>Prior-year annual appropriation balances</w:t>
      </w:r>
    </w:p>
    <w:p w14:paraId="04689F8A" w14:textId="77777777" w:rsidR="00B54712" w:rsidRPr="00150391" w:rsidRDefault="53BF0693" w:rsidP="000A7DEC">
      <w:pPr>
        <w:rPr>
          <w:rFonts w:cs="Calibri"/>
        </w:rPr>
      </w:pPr>
      <w:r w:rsidRPr="00150391">
        <w:rPr>
          <w:rFonts w:cs="Calibri"/>
        </w:rPr>
        <w:t>The “prior year appropriations available” rows should reflect unspent/undrawn appropriations available at the start of the financial year (i.e. the closing balance of the previous year). This balance should also reflect opening special account balances for that period (i.e. at 1 July).</w:t>
      </w:r>
    </w:p>
    <w:p w14:paraId="3CBD2775" w14:textId="77777777" w:rsidR="00B54712" w:rsidRPr="00150391" w:rsidRDefault="001B4CBC" w:rsidP="53BF0693">
      <w:pPr>
        <w:pStyle w:val="Bullet1"/>
        <w:rPr>
          <w:rStyle w:val="BodyTextChar"/>
          <w:rFonts w:ascii="Calibri" w:hAnsi="Calibri" w:cs="Calibri"/>
        </w:rPr>
      </w:pPr>
      <w:r w:rsidRPr="00150391">
        <w:rPr>
          <w:rStyle w:val="BodyTextChar"/>
          <w:rFonts w:ascii="Calibri" w:hAnsi="Calibri" w:cs="Calibri"/>
        </w:rPr>
        <w:t>F</w:t>
      </w:r>
      <w:r w:rsidR="53BF0693" w:rsidRPr="00150391">
        <w:rPr>
          <w:rStyle w:val="BodyTextChar"/>
          <w:rFonts w:ascii="Calibri" w:hAnsi="Calibri" w:cs="Calibri"/>
        </w:rPr>
        <w:t xml:space="preserve">or the </w:t>
      </w:r>
      <w:r w:rsidR="00197D38" w:rsidRPr="00150391">
        <w:rPr>
          <w:rStyle w:val="BodyTextChar"/>
          <w:rFonts w:ascii="Calibri" w:hAnsi="Calibri" w:cs="Calibri"/>
          <w:b/>
          <w:bCs/>
        </w:rPr>
        <w:t>2021</w:t>
      </w:r>
      <w:r w:rsidR="53BF0693" w:rsidRPr="00150391">
        <w:rPr>
          <w:rStyle w:val="BodyTextChar"/>
          <w:rFonts w:ascii="Calibri" w:hAnsi="Calibri" w:cs="Calibri"/>
          <w:b/>
          <w:bCs/>
        </w:rPr>
        <w:t>-</w:t>
      </w:r>
      <w:r w:rsidR="00197D38" w:rsidRPr="00150391">
        <w:rPr>
          <w:rStyle w:val="BodyTextChar"/>
          <w:rFonts w:ascii="Calibri" w:hAnsi="Calibri" w:cs="Calibri"/>
          <w:b/>
          <w:bCs/>
        </w:rPr>
        <w:t xml:space="preserve">22 </w:t>
      </w:r>
      <w:r w:rsidR="53BF0693" w:rsidRPr="00150391">
        <w:rPr>
          <w:rStyle w:val="BodyTextChar"/>
          <w:rFonts w:ascii="Calibri" w:hAnsi="Calibri" w:cs="Calibri"/>
          <w:b/>
          <w:bCs/>
        </w:rPr>
        <w:t>estimated actual</w:t>
      </w:r>
      <w:r w:rsidR="53BF0693" w:rsidRPr="00150391">
        <w:rPr>
          <w:rStyle w:val="BodyTextChar"/>
          <w:rFonts w:ascii="Calibri" w:hAnsi="Calibri" w:cs="Calibri"/>
        </w:rPr>
        <w:t xml:space="preserve"> column, this will be the closing unspent appropriations balance from the entity’s </w:t>
      </w:r>
      <w:r w:rsidR="00BA2416" w:rsidRPr="00150391">
        <w:rPr>
          <w:rStyle w:val="BodyTextChar"/>
          <w:rFonts w:ascii="Calibri" w:hAnsi="Calibri" w:cs="Calibri"/>
        </w:rPr>
        <w:t>2020</w:t>
      </w:r>
      <w:r w:rsidR="53BF0693" w:rsidRPr="00150391">
        <w:rPr>
          <w:rStyle w:val="BodyTextChar"/>
          <w:rFonts w:ascii="Calibri" w:hAnsi="Calibri" w:cs="Calibri"/>
        </w:rPr>
        <w:t>-</w:t>
      </w:r>
      <w:r w:rsidR="00BA2416" w:rsidRPr="00150391">
        <w:rPr>
          <w:rStyle w:val="BodyTextChar"/>
          <w:rFonts w:ascii="Calibri" w:hAnsi="Calibri" w:cs="Calibri"/>
        </w:rPr>
        <w:t xml:space="preserve">21 </w:t>
      </w:r>
      <w:r w:rsidR="53BF0693" w:rsidRPr="00150391">
        <w:rPr>
          <w:rStyle w:val="BodyTextChar"/>
          <w:rFonts w:ascii="Calibri" w:hAnsi="Calibri" w:cs="Calibri"/>
        </w:rPr>
        <w:t>annual report, adjusted for any additional withholdings under section 51 of the PGPA Act (s51 withholdings) and/or administrative quarantines currently in place</w:t>
      </w:r>
      <w:r w:rsidRPr="00150391">
        <w:rPr>
          <w:rStyle w:val="BodyTextChar"/>
          <w:rFonts w:ascii="Calibri" w:hAnsi="Calibri" w:cs="Calibri"/>
        </w:rPr>
        <w:t>.</w:t>
      </w:r>
    </w:p>
    <w:p w14:paraId="3F9F816E" w14:textId="77777777" w:rsidR="00B54712" w:rsidRPr="00150391" w:rsidRDefault="001B4CBC" w:rsidP="53BF0693">
      <w:pPr>
        <w:pStyle w:val="Bullet1"/>
        <w:rPr>
          <w:rStyle w:val="BodyTextChar"/>
          <w:rFonts w:ascii="Calibri" w:hAnsi="Calibri" w:cs="Calibri"/>
        </w:rPr>
      </w:pPr>
      <w:r w:rsidRPr="00150391">
        <w:rPr>
          <w:rStyle w:val="BodyTextChar"/>
          <w:rFonts w:ascii="Calibri" w:hAnsi="Calibri" w:cs="Calibri"/>
        </w:rPr>
        <w:t>F</w:t>
      </w:r>
      <w:r w:rsidR="53BF0693" w:rsidRPr="00150391">
        <w:rPr>
          <w:rStyle w:val="BodyTextChar"/>
          <w:rFonts w:ascii="Calibri" w:hAnsi="Calibri" w:cs="Calibri"/>
        </w:rPr>
        <w:t xml:space="preserve">or the </w:t>
      </w:r>
      <w:r w:rsidR="00197D38" w:rsidRPr="00150391">
        <w:rPr>
          <w:rStyle w:val="BodyTextChar"/>
          <w:rFonts w:ascii="Calibri" w:hAnsi="Calibri" w:cs="Calibri"/>
          <w:b/>
          <w:bCs/>
        </w:rPr>
        <w:t>2022</w:t>
      </w:r>
      <w:r w:rsidR="53BF0693" w:rsidRPr="00150391">
        <w:rPr>
          <w:rStyle w:val="BodyTextChar"/>
          <w:rFonts w:ascii="Calibri" w:hAnsi="Calibri" w:cs="Calibri"/>
          <w:b/>
          <w:bCs/>
        </w:rPr>
        <w:t>-</w:t>
      </w:r>
      <w:r w:rsidR="00197D38" w:rsidRPr="00150391">
        <w:rPr>
          <w:rStyle w:val="BodyTextChar"/>
          <w:rFonts w:ascii="Calibri" w:hAnsi="Calibri" w:cs="Calibri"/>
          <w:b/>
          <w:bCs/>
        </w:rPr>
        <w:t xml:space="preserve">23 </w:t>
      </w:r>
      <w:r w:rsidR="53BF0693" w:rsidRPr="00150391">
        <w:rPr>
          <w:rStyle w:val="BodyTextChar"/>
          <w:rFonts w:ascii="Calibri" w:hAnsi="Calibri" w:cs="Calibri"/>
          <w:b/>
          <w:bCs/>
        </w:rPr>
        <w:t>estimate</w:t>
      </w:r>
      <w:r w:rsidR="53BF0693" w:rsidRPr="00150391">
        <w:rPr>
          <w:rStyle w:val="BodyTextChar"/>
          <w:rFonts w:ascii="Calibri" w:hAnsi="Calibri" w:cs="Calibri"/>
        </w:rPr>
        <w:t xml:space="preserve"> column, this will be the forecast closing unspent appropriations balance as at the end of the </w:t>
      </w:r>
      <w:r w:rsidR="00197D38" w:rsidRPr="00150391">
        <w:rPr>
          <w:rStyle w:val="BodyTextChar"/>
          <w:rFonts w:ascii="Calibri" w:hAnsi="Calibri" w:cs="Calibri"/>
        </w:rPr>
        <w:t>2021</w:t>
      </w:r>
      <w:r w:rsidR="53BF0693" w:rsidRPr="00150391">
        <w:rPr>
          <w:rStyle w:val="BodyTextChar"/>
          <w:rFonts w:ascii="Calibri" w:hAnsi="Calibri" w:cs="Calibri"/>
        </w:rPr>
        <w:t>-</w:t>
      </w:r>
      <w:r w:rsidR="00197D38" w:rsidRPr="00150391">
        <w:rPr>
          <w:rStyle w:val="BodyTextChar"/>
          <w:rFonts w:ascii="Calibri" w:hAnsi="Calibri" w:cs="Calibri"/>
        </w:rPr>
        <w:t xml:space="preserve">22 </w:t>
      </w:r>
      <w:r w:rsidR="53BF0693" w:rsidRPr="00150391">
        <w:rPr>
          <w:rStyle w:val="BodyTextChar"/>
          <w:rFonts w:ascii="Calibri" w:hAnsi="Calibri" w:cs="Calibri"/>
        </w:rPr>
        <w:t xml:space="preserve">year, adjusted for any additional s51 withholdings and/or administrative quarantines currently in place. Amounts expected to be appropriated through Appropriation Bills (No. 5 </w:t>
      </w:r>
      <w:r w:rsidR="00612724" w:rsidRPr="00150391">
        <w:rPr>
          <w:rStyle w:val="BodyTextChar"/>
          <w:rFonts w:ascii="Calibri" w:hAnsi="Calibri" w:cs="Calibri"/>
        </w:rPr>
        <w:t>and</w:t>
      </w:r>
      <w:r w:rsidR="53BF0693" w:rsidRPr="00150391">
        <w:rPr>
          <w:rStyle w:val="BodyTextChar"/>
          <w:rFonts w:ascii="Calibri" w:hAnsi="Calibri" w:cs="Calibri"/>
        </w:rPr>
        <w:t xml:space="preserve"> 6) should be excluded from this figure (but referenced in the footnote), as these amounts would not have received Royal Assent at the time the PB Statements are tabled</w:t>
      </w:r>
      <w:r w:rsidRPr="00150391">
        <w:rPr>
          <w:rStyle w:val="BodyTextChar"/>
          <w:rFonts w:ascii="Calibri" w:hAnsi="Calibri" w:cs="Calibri"/>
        </w:rPr>
        <w:t>.</w:t>
      </w:r>
    </w:p>
    <w:p w14:paraId="65352F34" w14:textId="2C6C50B6" w:rsidR="00B54712" w:rsidRPr="00150391" w:rsidRDefault="001B4CBC" w:rsidP="53BF0693">
      <w:pPr>
        <w:pStyle w:val="Bullet1"/>
        <w:rPr>
          <w:rStyle w:val="BodyTextChar"/>
          <w:rFonts w:ascii="Calibri" w:hAnsi="Calibri" w:cs="Calibri"/>
        </w:rPr>
      </w:pPr>
      <w:r w:rsidRPr="00150391">
        <w:rPr>
          <w:rStyle w:val="BodyTextChar"/>
          <w:rFonts w:ascii="Calibri" w:hAnsi="Calibri" w:cs="Calibri"/>
        </w:rPr>
        <w:t>E</w:t>
      </w:r>
      <w:r w:rsidR="53BF0693" w:rsidRPr="00150391">
        <w:rPr>
          <w:rStyle w:val="BodyTextChar"/>
          <w:rFonts w:ascii="Calibri" w:hAnsi="Calibri" w:cs="Calibri"/>
        </w:rPr>
        <w:t>ntities can also check unspent, undrawn balances by running the Appropriation</w:t>
      </w:r>
      <w:r w:rsidR="0036529B" w:rsidRPr="00150391">
        <w:rPr>
          <w:rStyle w:val="BodyTextChar"/>
          <w:rFonts w:ascii="Calibri" w:hAnsi="Calibri" w:cs="Calibri"/>
        </w:rPr>
        <w:t> Balance </w:t>
      </w:r>
      <w:r w:rsidR="53BF0693" w:rsidRPr="00150391">
        <w:rPr>
          <w:rStyle w:val="BodyTextChar"/>
          <w:rFonts w:ascii="Calibri" w:hAnsi="Calibri" w:cs="Calibri"/>
        </w:rPr>
        <w:t>Report from CBMS for the relevant financial year and referring to the “Available – Hard Limit” lines. The “Available – Hard Limit” lines show how much of the amount which is still available to the entity but has yet to be drawn down</w:t>
      </w:r>
      <w:r w:rsidRPr="00150391">
        <w:rPr>
          <w:rStyle w:val="BodyTextChar"/>
          <w:rFonts w:ascii="Calibri" w:hAnsi="Calibri" w:cs="Calibri"/>
        </w:rPr>
        <w:t>.</w:t>
      </w:r>
    </w:p>
    <w:p w14:paraId="4460BA5A" w14:textId="717489F9" w:rsidR="00B54712" w:rsidRPr="00150391" w:rsidRDefault="001B4CBC" w:rsidP="53BF0693">
      <w:pPr>
        <w:pStyle w:val="Bullet1"/>
        <w:rPr>
          <w:rStyle w:val="BodyTextChar"/>
          <w:rFonts w:ascii="Calibri" w:hAnsi="Calibri" w:cs="Calibri"/>
        </w:rPr>
      </w:pPr>
      <w:r w:rsidRPr="00150391">
        <w:rPr>
          <w:rStyle w:val="BodyTextChar"/>
          <w:rFonts w:ascii="Calibri" w:hAnsi="Calibri" w:cs="Calibri"/>
        </w:rPr>
        <w:t>T</w:t>
      </w:r>
      <w:r w:rsidR="53BF0693" w:rsidRPr="00150391">
        <w:rPr>
          <w:rStyle w:val="BodyTextChar"/>
          <w:rFonts w:ascii="Calibri" w:hAnsi="Calibri" w:cs="Calibri"/>
        </w:rPr>
        <w:t xml:space="preserve">otal available appropriation balance can be calculated by adding the Hard Limit lines for the relevant Program or Outcome for all financial years from the </w:t>
      </w:r>
      <w:r w:rsidR="0036529B" w:rsidRPr="00150391">
        <w:rPr>
          <w:rStyle w:val="BodyTextChar"/>
          <w:rFonts w:ascii="Calibri" w:hAnsi="Calibri" w:cs="Calibri"/>
        </w:rPr>
        <w:t>Appropriation Balances </w:t>
      </w:r>
      <w:r w:rsidR="53BF0693" w:rsidRPr="00150391">
        <w:rPr>
          <w:rStyle w:val="BodyTextChar"/>
          <w:rFonts w:ascii="Calibri" w:hAnsi="Calibri" w:cs="Calibri"/>
        </w:rPr>
        <w:t>Report</w:t>
      </w:r>
      <w:r w:rsidRPr="00150391">
        <w:rPr>
          <w:rStyle w:val="BodyTextChar"/>
          <w:rFonts w:ascii="Calibri" w:hAnsi="Calibri" w:cs="Calibri"/>
        </w:rPr>
        <w:t>.</w:t>
      </w:r>
    </w:p>
    <w:p w14:paraId="4DD9EE14" w14:textId="77777777" w:rsidR="001B4CBC" w:rsidRPr="00150391" w:rsidRDefault="001B4CBC" w:rsidP="00580008">
      <w:pPr>
        <w:rPr>
          <w:rStyle w:val="BodyTextChar"/>
          <w:rFonts w:cs="Calibri"/>
        </w:rPr>
      </w:pPr>
      <w:r w:rsidRPr="00150391">
        <w:rPr>
          <w:rStyle w:val="BodyTextChar"/>
          <w:rFonts w:cs="Calibri"/>
        </w:rPr>
        <w:t>Entities should refer to the appropriations balances report available from:</w:t>
      </w:r>
    </w:p>
    <w:p w14:paraId="3C8F57DF" w14:textId="1F4A25E1" w:rsidR="00B54712" w:rsidRPr="00150391" w:rsidRDefault="00B54712" w:rsidP="00F97CDF">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Pr="00150391">
        <w:rPr>
          <w:rStyle w:val="BodyTextChar"/>
          <w:rFonts w:cs="Calibri"/>
        </w:rPr>
        <w:t xml:space="preserve"> CBMS Reporting </w:t>
      </w:r>
      <w:r w:rsidR="00DA502E" w:rsidRPr="00150391">
        <w:rPr>
          <w:rStyle w:val="BodyTextChar"/>
          <w:rFonts w:cs="Calibri"/>
        </w:rPr>
        <w:sym w:font="Wingdings" w:char="F0E0"/>
      </w:r>
      <w:r w:rsidRPr="00150391">
        <w:rPr>
          <w:rStyle w:val="BodyTextChar"/>
          <w:rFonts w:cs="Calibri"/>
        </w:rPr>
        <w:t xml:space="preserve"> Operational Reports </w:t>
      </w:r>
      <w:r w:rsidR="00DA502E" w:rsidRPr="00150391">
        <w:rPr>
          <w:rStyle w:val="BodyTextChar"/>
          <w:rFonts w:cs="Calibri"/>
        </w:rPr>
        <w:sym w:font="Wingdings" w:char="F0E0"/>
      </w:r>
      <w:r w:rsidRPr="00150391">
        <w:rPr>
          <w:rStyle w:val="BodyTextChar"/>
          <w:rFonts w:cs="Calibri"/>
        </w:rPr>
        <w:t xml:space="preserve"> Cash Management </w:t>
      </w:r>
      <w:r w:rsidR="00DA502E" w:rsidRPr="00150391">
        <w:rPr>
          <w:rStyle w:val="BodyTextChar"/>
          <w:rFonts w:cs="Calibri"/>
        </w:rPr>
        <w:sym w:font="Wingdings" w:char="F0E0"/>
      </w:r>
      <w:r w:rsidRPr="00150391">
        <w:rPr>
          <w:rStyle w:val="BodyTextChar"/>
          <w:rFonts w:cs="Calibri"/>
        </w:rPr>
        <w:t xml:space="preserve"> Cash Operational Reports </w:t>
      </w:r>
      <w:r w:rsidR="00DA502E" w:rsidRPr="00150391">
        <w:rPr>
          <w:rStyle w:val="BodyTextChar"/>
          <w:rFonts w:cs="Calibri"/>
        </w:rPr>
        <w:sym w:font="Wingdings" w:char="F0E0"/>
      </w:r>
      <w:r w:rsidRPr="00150391">
        <w:rPr>
          <w:rStyle w:val="BodyTextChar"/>
          <w:rFonts w:cs="Calibri"/>
        </w:rPr>
        <w:t xml:space="preserve"> CM.OR.010 Appropriation Balances Report</w:t>
      </w:r>
      <w:r w:rsidR="00002586" w:rsidRPr="00150391">
        <w:rPr>
          <w:rStyle w:val="BodyTextChar"/>
          <w:rFonts w:cs="Calibri"/>
        </w:rPr>
        <w:t>.</w:t>
      </w:r>
    </w:p>
    <w:p w14:paraId="622AE159" w14:textId="7A5B5629" w:rsidR="00CB0EE0" w:rsidRPr="00150391" w:rsidRDefault="53BF0693" w:rsidP="000A7DEC">
      <w:pPr>
        <w:rPr>
          <w:rFonts w:cs="Calibri"/>
        </w:rPr>
      </w:pPr>
      <w:r w:rsidRPr="00150391">
        <w:rPr>
          <w:rFonts w:cs="Calibri"/>
        </w:rPr>
        <w:t xml:space="preserve">The Acts include a </w:t>
      </w:r>
      <w:r w:rsidRPr="00150391">
        <w:rPr>
          <w:rFonts w:cs="Calibri"/>
          <w:bCs/>
        </w:rPr>
        <w:t>sun-setting clause</w:t>
      </w:r>
      <w:r w:rsidRPr="00150391">
        <w:rPr>
          <w:rFonts w:cs="Calibri"/>
        </w:rPr>
        <w:t xml:space="preserve">, where the Acts have a life span of up to three years until they are repealed. For example, all </w:t>
      </w:r>
      <w:r w:rsidR="00455633" w:rsidRPr="00150391">
        <w:rPr>
          <w:rFonts w:cs="Calibri"/>
        </w:rPr>
        <w:t>2018-19</w:t>
      </w:r>
      <w:r w:rsidR="00197D38" w:rsidRPr="00150391">
        <w:rPr>
          <w:rFonts w:cs="Calibri"/>
        </w:rPr>
        <w:t xml:space="preserve"> </w:t>
      </w:r>
      <w:r w:rsidRPr="00150391">
        <w:rPr>
          <w:rFonts w:cs="Calibri"/>
        </w:rPr>
        <w:t xml:space="preserve">Annual Appropriation Acts extinguished on 1 July </w:t>
      </w:r>
      <w:r w:rsidR="00197D38" w:rsidRPr="00150391">
        <w:rPr>
          <w:rFonts w:cs="Calibri"/>
        </w:rPr>
        <w:t>202</w:t>
      </w:r>
      <w:r w:rsidR="00455633" w:rsidRPr="00150391">
        <w:rPr>
          <w:rFonts w:cs="Calibri"/>
        </w:rPr>
        <w:t>1</w:t>
      </w:r>
      <w:r w:rsidRPr="00150391">
        <w:rPr>
          <w:rFonts w:cs="Calibri"/>
        </w:rPr>
        <w:t xml:space="preserve">, and </w:t>
      </w:r>
      <w:r w:rsidR="00455633" w:rsidRPr="00150391">
        <w:rPr>
          <w:rFonts w:cs="Calibri"/>
        </w:rPr>
        <w:t xml:space="preserve">all 2022-23 </w:t>
      </w:r>
      <w:r w:rsidRPr="00150391">
        <w:rPr>
          <w:rFonts w:cs="Calibri"/>
        </w:rPr>
        <w:t xml:space="preserve">Appropriation Acts will be extinguished after three years on </w:t>
      </w:r>
      <w:r w:rsidR="00C90E71" w:rsidRPr="00150391">
        <w:rPr>
          <w:rFonts w:cs="Calibri"/>
        </w:rPr>
        <w:t>1 </w:t>
      </w:r>
      <w:r w:rsidRPr="00150391">
        <w:rPr>
          <w:rFonts w:cs="Calibri"/>
        </w:rPr>
        <w:t xml:space="preserve">July </w:t>
      </w:r>
      <w:r w:rsidR="00197D38" w:rsidRPr="00150391">
        <w:rPr>
          <w:rFonts w:cs="Calibri"/>
        </w:rPr>
        <w:t>2025</w:t>
      </w:r>
      <w:r w:rsidRPr="00150391">
        <w:rPr>
          <w:rFonts w:cs="Calibri"/>
        </w:rPr>
        <w:t>.</w:t>
      </w:r>
    </w:p>
    <w:p w14:paraId="2213FD48" w14:textId="77777777" w:rsidR="00B54712" w:rsidRPr="00150391" w:rsidRDefault="53BF0693" w:rsidP="000A7DEC">
      <w:pPr>
        <w:rPr>
          <w:rFonts w:cs="Calibri"/>
        </w:rPr>
      </w:pPr>
      <w:r w:rsidRPr="00150391">
        <w:rPr>
          <w:rFonts w:cs="Calibri"/>
        </w:rPr>
        <w:t xml:space="preserve">Unspent Annual Appropriations relating to the </w:t>
      </w:r>
      <w:r w:rsidR="0007613A" w:rsidRPr="00150391">
        <w:rPr>
          <w:rFonts w:cs="Calibri"/>
        </w:rPr>
        <w:t>2020</w:t>
      </w:r>
      <w:r w:rsidRPr="00150391">
        <w:rPr>
          <w:rFonts w:cs="Calibri"/>
        </w:rPr>
        <w:t>-</w:t>
      </w:r>
      <w:r w:rsidR="0007613A" w:rsidRPr="00150391">
        <w:rPr>
          <w:rFonts w:cs="Calibri"/>
        </w:rPr>
        <w:t xml:space="preserve">21 </w:t>
      </w:r>
      <w:r w:rsidRPr="00150391">
        <w:rPr>
          <w:rFonts w:cs="Calibri"/>
        </w:rPr>
        <w:t xml:space="preserve">and </w:t>
      </w:r>
      <w:r w:rsidR="0007613A" w:rsidRPr="00150391">
        <w:rPr>
          <w:rFonts w:cs="Calibri"/>
        </w:rPr>
        <w:t>2021</w:t>
      </w:r>
      <w:r w:rsidRPr="00150391">
        <w:rPr>
          <w:rFonts w:cs="Calibri"/>
        </w:rPr>
        <w:t>-</w:t>
      </w:r>
      <w:r w:rsidR="0007613A" w:rsidRPr="00150391">
        <w:rPr>
          <w:rFonts w:cs="Calibri"/>
        </w:rPr>
        <w:t xml:space="preserve">22 </w:t>
      </w:r>
      <w:r w:rsidRPr="00150391">
        <w:rPr>
          <w:rFonts w:cs="Calibri"/>
        </w:rPr>
        <w:t>financial years still exist. However, amounts withheld under</w:t>
      </w:r>
      <w:r w:rsidRPr="00150391">
        <w:rPr>
          <w:rFonts w:cs="Calibri"/>
          <w:b/>
          <w:bCs/>
        </w:rPr>
        <w:t xml:space="preserve"> s51 of the PGPA Act, or administratively quarantined, should be excluded</w:t>
      </w:r>
      <w:r w:rsidRPr="00150391">
        <w:rPr>
          <w:rFonts w:cs="Calibri"/>
        </w:rPr>
        <w:t xml:space="preserve"> from the calculation of prior year balances for the purposes of the Entity resource statement, as they are not available to be spent by the entity.</w:t>
      </w:r>
    </w:p>
    <w:p w14:paraId="73E886D9" w14:textId="77777777" w:rsidR="00B54712" w:rsidRPr="00150391" w:rsidRDefault="53BF0693" w:rsidP="53BF0693">
      <w:pPr>
        <w:pStyle w:val="Bullet1"/>
        <w:rPr>
          <w:rStyle w:val="BodyTextChar"/>
          <w:rFonts w:ascii="Calibri" w:hAnsi="Calibri" w:cs="Calibri"/>
        </w:rPr>
      </w:pPr>
      <w:r w:rsidRPr="00150391">
        <w:rPr>
          <w:rStyle w:val="BodyTextChar"/>
          <w:rFonts w:ascii="Calibri" w:hAnsi="Calibri" w:cs="Calibri"/>
        </w:rPr>
        <w:t>Under s51 of the PGPA Act, the Finance Minister may withhold appropriations</w:t>
      </w:r>
    </w:p>
    <w:p w14:paraId="3A8A2EEA" w14:textId="77777777" w:rsidR="00B54712" w:rsidRPr="00150391" w:rsidRDefault="53BF0693" w:rsidP="53BF0693">
      <w:pPr>
        <w:pStyle w:val="Bullet2"/>
        <w:rPr>
          <w:rStyle w:val="BodyTextChar"/>
          <w:rFonts w:cs="Calibri"/>
        </w:rPr>
      </w:pPr>
      <w:r w:rsidRPr="00150391">
        <w:rPr>
          <w:rStyle w:val="BodyTextChar"/>
          <w:rFonts w:cs="Calibri"/>
        </w:rPr>
        <w:t xml:space="preserve">These amounts should not be recognised as appropriations in </w:t>
      </w:r>
      <w:r w:rsidRPr="00150391">
        <w:rPr>
          <w:rStyle w:val="BodyTextChar"/>
          <w:rFonts w:cs="Calibri"/>
          <w:i/>
          <w:iCs/>
        </w:rPr>
        <w:t>Table 1.1</w:t>
      </w:r>
      <w:r w:rsidRPr="00150391">
        <w:rPr>
          <w:rStyle w:val="BodyTextChar"/>
          <w:rFonts w:cs="Calibri"/>
        </w:rPr>
        <w:t>.</w:t>
      </w:r>
    </w:p>
    <w:p w14:paraId="6236990D" w14:textId="2AF68903" w:rsidR="00B54712" w:rsidRPr="00150391" w:rsidRDefault="53BF0693" w:rsidP="53BF0693">
      <w:pPr>
        <w:rPr>
          <w:rStyle w:val="BodyTextChar"/>
          <w:rFonts w:cs="Calibri"/>
        </w:rPr>
      </w:pPr>
      <w:r w:rsidRPr="00150391">
        <w:rPr>
          <w:rStyle w:val="BodyTextChar"/>
          <w:rFonts w:cs="Calibri"/>
        </w:rPr>
        <w:t xml:space="preserve">For information on how to reflect s51 withholdings in the financial statements, please see Part I of </w:t>
      </w:r>
      <w:hyperlink r:id="rId73">
        <w:r w:rsidRPr="002B4935">
          <w:rPr>
            <w:rStyle w:val="Hyperlink"/>
            <w:rFonts w:ascii="Calibri" w:hAnsi="Calibri" w:cs="Calibri"/>
            <w:iCs/>
            <w:color w:val="0070C0"/>
          </w:rPr>
          <w:t xml:space="preserve">Commonwealth </w:t>
        </w:r>
        <w:r w:rsidR="00D77823" w:rsidRPr="002B4935">
          <w:rPr>
            <w:rStyle w:val="Hyperlink"/>
            <w:rFonts w:ascii="Calibri" w:hAnsi="Calibri" w:cs="Calibri"/>
            <w:iCs/>
            <w:color w:val="0070C0"/>
          </w:rPr>
          <w:t>e</w:t>
        </w:r>
        <w:r w:rsidRPr="002B4935">
          <w:rPr>
            <w:rStyle w:val="Hyperlink"/>
            <w:rFonts w:ascii="Calibri" w:hAnsi="Calibri" w:cs="Calibri"/>
            <w:iCs/>
            <w:color w:val="0070C0"/>
          </w:rPr>
          <w:t xml:space="preserve">ntities </w:t>
        </w:r>
        <w:r w:rsidR="00D77823" w:rsidRPr="002B4935">
          <w:rPr>
            <w:rStyle w:val="Hyperlink"/>
            <w:rFonts w:ascii="Calibri" w:hAnsi="Calibri" w:cs="Calibri"/>
            <w:iCs/>
            <w:color w:val="0070C0"/>
          </w:rPr>
          <w:t>f</w:t>
        </w:r>
        <w:r w:rsidRPr="002B4935">
          <w:rPr>
            <w:rStyle w:val="Hyperlink"/>
            <w:rFonts w:ascii="Calibri" w:hAnsi="Calibri" w:cs="Calibri"/>
            <w:iCs/>
            <w:color w:val="0070C0"/>
          </w:rPr>
          <w:t xml:space="preserve">inancial </w:t>
        </w:r>
        <w:r w:rsidR="00D77823" w:rsidRPr="002B4935">
          <w:rPr>
            <w:rStyle w:val="Hyperlink"/>
            <w:rFonts w:ascii="Calibri" w:hAnsi="Calibri" w:cs="Calibri"/>
            <w:iCs/>
            <w:color w:val="0070C0"/>
          </w:rPr>
          <w:t>s</w:t>
        </w:r>
        <w:r w:rsidRPr="002B4935">
          <w:rPr>
            <w:rStyle w:val="Hyperlink"/>
            <w:rFonts w:ascii="Calibri" w:hAnsi="Calibri" w:cs="Calibri"/>
            <w:iCs/>
            <w:color w:val="0070C0"/>
          </w:rPr>
          <w:t xml:space="preserve">tatements </w:t>
        </w:r>
        <w:r w:rsidR="00D77823" w:rsidRPr="002B4935">
          <w:rPr>
            <w:rStyle w:val="Hyperlink"/>
            <w:rFonts w:ascii="Calibri" w:hAnsi="Calibri" w:cs="Calibri"/>
            <w:iCs/>
            <w:color w:val="0070C0"/>
          </w:rPr>
          <w:t>g</w:t>
        </w:r>
        <w:r w:rsidRPr="002B4935">
          <w:rPr>
            <w:rStyle w:val="Hyperlink"/>
            <w:rFonts w:ascii="Calibri" w:hAnsi="Calibri" w:cs="Calibri"/>
            <w:iCs/>
            <w:color w:val="0070C0"/>
          </w:rPr>
          <w:t>uide</w:t>
        </w:r>
        <w:r w:rsidRPr="002B4935">
          <w:rPr>
            <w:rStyle w:val="Hyperlink"/>
            <w:rFonts w:ascii="Calibri" w:eastAsia="Cambria" w:hAnsi="Calibri" w:cs="Calibri"/>
            <w:color w:val="0070C0"/>
          </w:rPr>
          <w:t xml:space="preserve"> </w:t>
        </w:r>
        <w:r w:rsidRPr="002B4935">
          <w:rPr>
            <w:rStyle w:val="Hyperlink"/>
            <w:rFonts w:ascii="Calibri" w:eastAsia="Cambria" w:hAnsi="Calibri" w:cs="Calibri"/>
            <w:iCs/>
            <w:color w:val="0070C0"/>
          </w:rPr>
          <w:t>(RMG 125)</w:t>
        </w:r>
      </w:hyperlink>
      <w:r w:rsidRPr="00150391">
        <w:rPr>
          <w:rStyle w:val="Hyperlink"/>
          <w:rFonts w:ascii="Calibri" w:eastAsia="Cambria" w:hAnsi="Calibri" w:cs="Calibri"/>
          <w:u w:val="none"/>
        </w:rPr>
        <w:t>.</w:t>
      </w:r>
      <w:r w:rsidRPr="00150391">
        <w:rPr>
          <w:rStyle w:val="BodyTextChar"/>
          <w:rFonts w:cs="Calibri"/>
        </w:rPr>
        <w:t xml:space="preserve"> </w:t>
      </w:r>
    </w:p>
    <w:p w14:paraId="639A83F4" w14:textId="77777777" w:rsidR="00B54712" w:rsidRPr="00150391" w:rsidRDefault="53BF0693" w:rsidP="53BF0693">
      <w:pPr>
        <w:pStyle w:val="Heading4"/>
        <w:rPr>
          <w:rStyle w:val="BodyTextChar"/>
          <w:rFonts w:ascii="Calibri" w:eastAsia="MS Gothic" w:hAnsi="Calibri" w:cs="Calibri"/>
        </w:rPr>
      </w:pPr>
      <w:r w:rsidRPr="00150391">
        <w:rPr>
          <w:rStyle w:val="BodyTextChar"/>
          <w:rFonts w:ascii="Calibri" w:eastAsia="MS Gothic" w:hAnsi="Calibri" w:cs="Calibri"/>
        </w:rPr>
        <w:t>Annual Appropriations – ordinary annual services</w:t>
      </w:r>
    </w:p>
    <w:p w14:paraId="39C507A0" w14:textId="77777777" w:rsidR="00B54712" w:rsidRPr="00150391" w:rsidRDefault="53BF0693" w:rsidP="53BF0693">
      <w:pPr>
        <w:rPr>
          <w:rStyle w:val="BodyTextChar"/>
          <w:rFonts w:cs="Calibri"/>
          <w:color w:val="005A77"/>
          <w:sz w:val="32"/>
          <w:szCs w:val="32"/>
        </w:rPr>
      </w:pPr>
      <w:r w:rsidRPr="00150391">
        <w:rPr>
          <w:rStyle w:val="BodyTextChar"/>
          <w:rFonts w:cs="Calibri"/>
        </w:rPr>
        <w:t xml:space="preserve">The </w:t>
      </w:r>
      <w:r w:rsidRPr="00150391">
        <w:rPr>
          <w:rStyle w:val="BodyTextChar"/>
          <w:rFonts w:cs="Calibri"/>
          <w:b/>
          <w:bCs/>
        </w:rPr>
        <w:t>Annual Appropriations – ordinary annual services</w:t>
      </w:r>
      <w:r w:rsidRPr="00150391">
        <w:rPr>
          <w:rStyle w:val="BodyTextChar"/>
          <w:rFonts w:cs="Calibri"/>
        </w:rPr>
        <w:t xml:space="preserve"> rows should reflect the amount appropriated to the entity in the relevant year. The amount is made up of:</w:t>
      </w:r>
    </w:p>
    <w:p w14:paraId="56C252C0" w14:textId="77777777" w:rsidR="00B54712" w:rsidRPr="00150391" w:rsidRDefault="53BF0693" w:rsidP="00580008">
      <w:pPr>
        <w:pStyle w:val="Boxed2Text"/>
        <w:rPr>
          <w:rStyle w:val="BodyTextChar"/>
          <w:rFonts w:cs="Calibri"/>
        </w:rPr>
      </w:pPr>
      <w:r w:rsidRPr="00150391">
        <w:rPr>
          <w:rStyle w:val="BodyTextChar"/>
          <w:rFonts w:cs="Calibri"/>
        </w:rPr>
        <w:t>Amounts appropriated through Appropriation Act (No. 1)</w:t>
      </w:r>
    </w:p>
    <w:p w14:paraId="77ED707B" w14:textId="7D582034" w:rsidR="00B54712" w:rsidRPr="00150391" w:rsidRDefault="00090962" w:rsidP="00580008">
      <w:pPr>
        <w:pStyle w:val="Boxed2Text"/>
        <w:rPr>
          <w:rStyle w:val="BodyTextChar"/>
          <w:rFonts w:cs="Calibri"/>
        </w:rPr>
      </w:pPr>
      <w:r w:rsidRPr="00150391">
        <w:rPr>
          <w:rStyle w:val="BodyTextChar"/>
          <w:rFonts w:cs="Calibri"/>
          <w:b/>
          <w:bCs/>
        </w:rPr>
        <w:t>Plus</w:t>
      </w:r>
      <w:r w:rsidR="53BF0693" w:rsidRPr="00150391">
        <w:rPr>
          <w:rStyle w:val="BodyTextChar"/>
          <w:rFonts w:cs="Calibri"/>
        </w:rPr>
        <w:t xml:space="preserve"> AFM</w:t>
      </w:r>
    </w:p>
    <w:p w14:paraId="6B010BA1" w14:textId="5FEABC66" w:rsidR="00B54712" w:rsidRPr="00150391" w:rsidRDefault="00090962" w:rsidP="00580008">
      <w:pPr>
        <w:pStyle w:val="Boxed2Text"/>
        <w:rPr>
          <w:rStyle w:val="BodyTextChar"/>
          <w:rFonts w:cs="Calibri"/>
        </w:rPr>
      </w:pPr>
      <w:r w:rsidRPr="00150391">
        <w:rPr>
          <w:rStyle w:val="BodyTextChar"/>
          <w:rFonts w:cs="Calibri"/>
          <w:b/>
          <w:bCs/>
        </w:rPr>
        <w:t xml:space="preserve">Plus </w:t>
      </w:r>
      <w:r w:rsidR="53BF0693" w:rsidRPr="00150391">
        <w:rPr>
          <w:rStyle w:val="BodyTextChar"/>
          <w:rFonts w:cs="Calibri"/>
          <w:b/>
          <w:bCs/>
        </w:rPr>
        <w:t>/</w:t>
      </w:r>
      <w:r w:rsidRPr="00150391">
        <w:rPr>
          <w:rStyle w:val="BodyTextChar"/>
          <w:rFonts w:cs="Calibri"/>
          <w:b/>
          <w:bCs/>
        </w:rPr>
        <w:t xml:space="preserve"> minus</w:t>
      </w:r>
      <w:r w:rsidR="53BF0693" w:rsidRPr="00150391">
        <w:rPr>
          <w:rStyle w:val="BodyTextChar"/>
          <w:rFonts w:cs="Calibri"/>
        </w:rPr>
        <w:t xml:space="preserve"> s74 External Revenue as a result of M</w:t>
      </w:r>
      <w:r w:rsidR="00EF0595" w:rsidRPr="00150391">
        <w:rPr>
          <w:rStyle w:val="BodyTextChar"/>
          <w:rFonts w:cs="Calibri"/>
        </w:rPr>
        <w:t>o</w:t>
      </w:r>
      <w:r w:rsidR="53BF0693" w:rsidRPr="00150391">
        <w:rPr>
          <w:rStyle w:val="BodyTextChar"/>
          <w:rFonts w:cs="Calibri"/>
        </w:rPr>
        <w:t>G changes</w:t>
      </w:r>
    </w:p>
    <w:p w14:paraId="2227FD87" w14:textId="77777777" w:rsidR="00B54712" w:rsidRPr="00150391" w:rsidRDefault="00090962" w:rsidP="00580008">
      <w:pPr>
        <w:pStyle w:val="Boxed2Text"/>
        <w:rPr>
          <w:rStyle w:val="BodyTextChar"/>
          <w:rFonts w:cs="Calibri"/>
        </w:rPr>
      </w:pPr>
      <w:r w:rsidRPr="00150391">
        <w:rPr>
          <w:rStyle w:val="BodyTextChar"/>
          <w:rFonts w:cs="Calibri"/>
          <w:b/>
          <w:bCs/>
        </w:rPr>
        <w:t xml:space="preserve">Minus </w:t>
      </w:r>
      <w:r w:rsidR="53BF0693" w:rsidRPr="00150391">
        <w:rPr>
          <w:rStyle w:val="BodyTextChar"/>
          <w:rFonts w:cs="Calibri"/>
        </w:rPr>
        <w:t xml:space="preserve">any withholdings under s51 of the PGPA Act (such as for foreign exchange movements, savings measures, movement of funds and reallocation) </w:t>
      </w:r>
    </w:p>
    <w:p w14:paraId="7335D604" w14:textId="77777777" w:rsidR="00B54712" w:rsidRPr="00150391" w:rsidRDefault="00090962" w:rsidP="00580008">
      <w:pPr>
        <w:pStyle w:val="Boxed2Text"/>
        <w:rPr>
          <w:rStyle w:val="BodyTextChar"/>
          <w:rFonts w:cs="Calibri"/>
        </w:rPr>
      </w:pPr>
      <w:r w:rsidRPr="00150391">
        <w:rPr>
          <w:rStyle w:val="BodyTextChar"/>
          <w:rFonts w:cs="Calibri"/>
          <w:b/>
          <w:bCs/>
        </w:rPr>
        <w:t xml:space="preserve">Minus </w:t>
      </w:r>
      <w:r w:rsidR="53BF0693" w:rsidRPr="00150391">
        <w:rPr>
          <w:rStyle w:val="BodyTextChar"/>
          <w:rFonts w:cs="Calibri"/>
        </w:rPr>
        <w:t>administrative quarantines made by Finance</w:t>
      </w:r>
      <w:r w:rsidR="00123B3F" w:rsidRPr="00150391">
        <w:rPr>
          <w:rStyle w:val="BodyTextChar"/>
          <w:rFonts w:cs="Calibri"/>
        </w:rPr>
        <w:t>.</w:t>
      </w:r>
    </w:p>
    <w:p w14:paraId="73605D92" w14:textId="77777777" w:rsidR="00B54712" w:rsidRPr="00150391" w:rsidRDefault="53BF0693" w:rsidP="000A7DEC">
      <w:pPr>
        <w:rPr>
          <w:rFonts w:cs="Calibri"/>
        </w:rPr>
      </w:pPr>
      <w:r w:rsidRPr="00150391">
        <w:rPr>
          <w:rFonts w:cs="Calibri"/>
        </w:rPr>
        <w:t xml:space="preserve">For administered, the Annual Appropriations is split into </w:t>
      </w:r>
      <w:r w:rsidRPr="00150391">
        <w:rPr>
          <w:rFonts w:cs="Calibri"/>
          <w:u w:val="single"/>
        </w:rPr>
        <w:t>Outcome</w:t>
      </w:r>
      <w:r w:rsidRPr="00150391">
        <w:rPr>
          <w:rFonts w:cs="Calibri"/>
        </w:rPr>
        <w:t xml:space="preserve"> figures.</w:t>
      </w:r>
    </w:p>
    <w:p w14:paraId="52F2AFA3" w14:textId="77777777" w:rsidR="00B54712" w:rsidRPr="00150391" w:rsidRDefault="53BF0693" w:rsidP="53BF0693">
      <w:pPr>
        <w:pStyle w:val="Heading4"/>
        <w:rPr>
          <w:rStyle w:val="BodyTextChar"/>
          <w:rFonts w:ascii="Calibri" w:eastAsia="MS Gothic" w:hAnsi="Calibri" w:cs="Calibri"/>
        </w:rPr>
      </w:pPr>
      <w:r w:rsidRPr="00150391">
        <w:rPr>
          <w:rStyle w:val="BodyTextChar"/>
          <w:rFonts w:ascii="Calibri" w:eastAsia="MS Gothic" w:hAnsi="Calibri" w:cs="Calibri"/>
        </w:rPr>
        <w:t>s74 External revenue</w:t>
      </w:r>
    </w:p>
    <w:p w14:paraId="4348D4F5" w14:textId="4B4A8CCA" w:rsidR="00B54712" w:rsidRPr="00150391" w:rsidRDefault="53BF0693" w:rsidP="000A7DEC">
      <w:pPr>
        <w:rPr>
          <w:rFonts w:cs="Calibri"/>
        </w:rPr>
      </w:pPr>
      <w:r w:rsidRPr="00150391">
        <w:rPr>
          <w:rFonts w:cs="Calibri"/>
        </w:rPr>
        <w:t xml:space="preserve">The </w:t>
      </w:r>
      <w:r w:rsidRPr="00150391">
        <w:rPr>
          <w:rFonts w:cs="Calibri"/>
          <w:b/>
          <w:bCs/>
        </w:rPr>
        <w:t>s74 External Revenue</w:t>
      </w:r>
      <w:r w:rsidRPr="00150391">
        <w:rPr>
          <w:rFonts w:cs="Calibri"/>
        </w:rPr>
        <w:t xml:space="preserve"> row should reflect the entity’s forecast Receipts from Independent Sources. These figures should be sourced from the “Receipts” columns in the Entity Resourcing Table report from CBMS. </w:t>
      </w:r>
    </w:p>
    <w:p w14:paraId="5C1EA58D" w14:textId="77777777" w:rsidR="00B54712" w:rsidRPr="00150391" w:rsidRDefault="00B54712" w:rsidP="00A8355D">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00DA502E" w:rsidRPr="00150391">
        <w:rPr>
          <w:rStyle w:val="BodyTextChar"/>
          <w:rFonts w:cs="Calibri"/>
        </w:rPr>
        <w:t xml:space="preserve"> </w:t>
      </w:r>
      <w:r w:rsidRPr="00150391">
        <w:rPr>
          <w:rStyle w:val="BodyTextChar"/>
          <w:rFonts w:cs="Calibri"/>
        </w:rPr>
        <w:t xml:space="preserve">CBMS Reporting </w:t>
      </w:r>
      <w:r w:rsidR="00DA502E" w:rsidRPr="00150391">
        <w:rPr>
          <w:rStyle w:val="BodyTextChar"/>
          <w:rFonts w:cs="Calibri"/>
        </w:rPr>
        <w:sym w:font="Wingdings" w:char="F0E0"/>
      </w:r>
      <w:r w:rsidRPr="00150391">
        <w:rPr>
          <w:rStyle w:val="BodyTextChar"/>
          <w:rFonts w:cs="Calibri"/>
        </w:rPr>
        <w:t xml:space="preserve"> Statutory Reports </w:t>
      </w:r>
      <w:r w:rsidR="00DA502E" w:rsidRPr="00150391">
        <w:rPr>
          <w:rStyle w:val="BodyTextChar"/>
          <w:rFonts w:cs="Calibri"/>
        </w:rPr>
        <w:sym w:font="Wingdings" w:char="F0E0"/>
      </w:r>
      <w:r w:rsidR="00DA502E" w:rsidRPr="00150391">
        <w:rPr>
          <w:rStyle w:val="BodyTextChar"/>
          <w:rFonts w:cs="Calibri"/>
        </w:rPr>
        <w:t xml:space="preserve"> </w:t>
      </w:r>
      <w:r w:rsidRPr="00150391">
        <w:rPr>
          <w:rStyle w:val="BodyTextChar"/>
          <w:rFonts w:cs="Calibri"/>
        </w:rPr>
        <w:t xml:space="preserve"> Budget Paper 4 </w:t>
      </w:r>
      <w:r w:rsidR="00DA502E" w:rsidRPr="00150391">
        <w:rPr>
          <w:rStyle w:val="BodyTextChar"/>
          <w:rFonts w:cs="Calibri"/>
        </w:rPr>
        <w:sym w:font="Wingdings" w:char="F0E0"/>
      </w:r>
      <w:r w:rsidRPr="00150391">
        <w:rPr>
          <w:rStyle w:val="BodyTextChar"/>
          <w:rFonts w:cs="Calibri"/>
        </w:rPr>
        <w:t xml:space="preserve"> B4.T1 Agency </w:t>
      </w:r>
      <w:r w:rsidR="00FC042C" w:rsidRPr="00150391">
        <w:rPr>
          <w:rStyle w:val="BodyTextChar"/>
          <w:rFonts w:cs="Calibri"/>
        </w:rPr>
        <w:t>r</w:t>
      </w:r>
      <w:r w:rsidRPr="00150391">
        <w:rPr>
          <w:rStyle w:val="BodyTextChar"/>
          <w:rFonts w:cs="Calibri"/>
        </w:rPr>
        <w:t xml:space="preserve">esourcing </w:t>
      </w:r>
      <w:r w:rsidR="00FC042C" w:rsidRPr="00150391">
        <w:rPr>
          <w:rStyle w:val="BodyTextChar"/>
          <w:rFonts w:cs="Calibri"/>
        </w:rPr>
        <w:t>t</w:t>
      </w:r>
      <w:r w:rsidRPr="00150391">
        <w:rPr>
          <w:rStyle w:val="BodyTextChar"/>
          <w:rFonts w:cs="Calibri"/>
        </w:rPr>
        <w:t>able</w:t>
      </w:r>
    </w:p>
    <w:p w14:paraId="1EC1F74E" w14:textId="77777777" w:rsidR="00403A22" w:rsidRPr="00150391" w:rsidRDefault="00403A22" w:rsidP="00A8355D">
      <w:pPr>
        <w:pStyle w:val="Reports1"/>
        <w:rPr>
          <w:rStyle w:val="BodyTextChar"/>
          <w:rFonts w:cs="Calibri"/>
        </w:rPr>
      </w:pPr>
      <w:r w:rsidRPr="00150391">
        <w:rPr>
          <w:rStyle w:val="BodyTextChar"/>
          <w:rFonts w:cs="Calibri"/>
        </w:rPr>
        <w:t xml:space="preserve">Reports </w:t>
      </w:r>
      <w:r w:rsidRPr="00150391">
        <w:rPr>
          <w:rStyle w:val="BodyTextChar"/>
          <w:rFonts w:cs="Calibri"/>
        </w:rPr>
        <w:sym w:font="Wingdings" w:char="F0E0"/>
      </w:r>
      <w:r w:rsidRPr="00150391">
        <w:rPr>
          <w:rStyle w:val="BodyTextChar"/>
          <w:rFonts w:cs="Calibri"/>
        </w:rPr>
        <w:t xml:space="preserve"> CBMS Reporting </w:t>
      </w:r>
      <w:r w:rsidRPr="00150391">
        <w:rPr>
          <w:rStyle w:val="BodyTextChar"/>
          <w:rFonts w:cs="Calibri"/>
        </w:rPr>
        <w:sym w:font="Wingdings" w:char="F0E0"/>
      </w:r>
      <w:r w:rsidRPr="00150391">
        <w:rPr>
          <w:rStyle w:val="BodyTextChar"/>
          <w:rFonts w:cs="Calibri"/>
        </w:rPr>
        <w:t xml:space="preserve"> Operational Reports </w:t>
      </w:r>
      <w:r w:rsidRPr="00150391">
        <w:rPr>
          <w:rStyle w:val="BodyTextChar"/>
          <w:rFonts w:cs="Calibri"/>
        </w:rPr>
        <w:sym w:font="Wingdings" w:char="F0E0"/>
      </w:r>
      <w:r w:rsidRPr="00150391">
        <w:rPr>
          <w:rStyle w:val="BodyTextChar"/>
          <w:rFonts w:cs="Calibri"/>
        </w:rPr>
        <w:t xml:space="preserve"> Estimates </w:t>
      </w:r>
      <w:r w:rsidRPr="00150391">
        <w:rPr>
          <w:rStyle w:val="BodyTextChar"/>
          <w:rFonts w:cs="Calibri"/>
        </w:rPr>
        <w:sym w:font="Wingdings" w:char="F0E0"/>
      </w:r>
      <w:r w:rsidRPr="00150391">
        <w:rPr>
          <w:rStyle w:val="BodyTextChar"/>
          <w:rFonts w:cs="Calibri"/>
        </w:rPr>
        <w:t xml:space="preserve"> Annual Estimates </w:t>
      </w:r>
      <w:r w:rsidRPr="00150391">
        <w:rPr>
          <w:rStyle w:val="BodyTextChar"/>
          <w:rFonts w:cs="Calibri"/>
        </w:rPr>
        <w:sym w:font="Wingdings" w:char="F0E0"/>
      </w:r>
      <w:r w:rsidRPr="00150391">
        <w:rPr>
          <w:rStyle w:val="BodyTextChar"/>
          <w:rFonts w:cs="Calibri"/>
        </w:rPr>
        <w:t xml:space="preserve"> AE.OR.16 Annual Estimates Appropriation by Outcome/Program Report</w:t>
      </w:r>
      <w:r w:rsidR="00136F8A" w:rsidRPr="00150391">
        <w:rPr>
          <w:rStyle w:val="BodyTextChar"/>
          <w:rFonts w:cs="Calibri"/>
        </w:rPr>
        <w:t>.</w:t>
      </w:r>
    </w:p>
    <w:p w14:paraId="12392017" w14:textId="77777777" w:rsidR="00B54712" w:rsidRPr="00150391" w:rsidRDefault="53BF0693" w:rsidP="53BF0693">
      <w:pPr>
        <w:pStyle w:val="Heading4"/>
        <w:rPr>
          <w:rStyle w:val="BodyTextChar"/>
          <w:rFonts w:ascii="Calibri" w:eastAsia="MS Gothic" w:hAnsi="Calibri" w:cs="Calibri"/>
        </w:rPr>
      </w:pPr>
      <w:r w:rsidRPr="00150391">
        <w:rPr>
          <w:rStyle w:val="BodyTextChar"/>
          <w:rFonts w:ascii="Calibri" w:eastAsia="MS Gothic" w:hAnsi="Calibri" w:cs="Calibri"/>
        </w:rPr>
        <w:t>Departmental / administered capital budget</w:t>
      </w:r>
    </w:p>
    <w:p w14:paraId="3490C109" w14:textId="77777777" w:rsidR="00B54712" w:rsidRPr="00150391" w:rsidRDefault="53BF0693" w:rsidP="000A7DEC">
      <w:pPr>
        <w:rPr>
          <w:rFonts w:cs="Calibri"/>
        </w:rPr>
      </w:pPr>
      <w:r w:rsidRPr="00150391">
        <w:rPr>
          <w:rFonts w:cs="Calibri"/>
        </w:rPr>
        <w:t xml:space="preserve">The </w:t>
      </w:r>
      <w:r w:rsidRPr="00150391">
        <w:rPr>
          <w:rFonts w:cs="Calibri"/>
          <w:b/>
          <w:bCs/>
        </w:rPr>
        <w:t>Departmental/Administered Capital Budget</w:t>
      </w:r>
      <w:r w:rsidRPr="00150391">
        <w:rPr>
          <w:rFonts w:cs="Calibri"/>
        </w:rPr>
        <w:t xml:space="preserve"> figures should be sourced from the Capital Budget Statement Report. Choose either Departmental or Administered – figures will be recorded against “9170000 – Capital Budget – Bill 1 (DCB)”.</w:t>
      </w:r>
    </w:p>
    <w:p w14:paraId="304A5654" w14:textId="77777777" w:rsidR="00B54712" w:rsidRPr="00150391" w:rsidRDefault="00B54712" w:rsidP="00F97CDF">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Pr="00150391">
        <w:rPr>
          <w:rStyle w:val="BodyTextChar"/>
          <w:rFonts w:cs="Calibri"/>
        </w:rPr>
        <w:t xml:space="preserve"> CBMS Reporting </w:t>
      </w:r>
      <w:r w:rsidR="00DA502E" w:rsidRPr="00150391">
        <w:rPr>
          <w:rStyle w:val="BodyTextChar"/>
          <w:rFonts w:cs="Calibri"/>
        </w:rPr>
        <w:sym w:font="Wingdings" w:char="F0E0"/>
      </w:r>
      <w:r w:rsidRPr="00150391">
        <w:rPr>
          <w:rStyle w:val="BodyTextChar"/>
          <w:rFonts w:cs="Calibri"/>
        </w:rPr>
        <w:t xml:space="preserve"> Operational Reports </w:t>
      </w:r>
      <w:r w:rsidR="00DA502E" w:rsidRPr="00150391">
        <w:rPr>
          <w:rStyle w:val="BodyTextChar"/>
          <w:rFonts w:cs="Calibri"/>
        </w:rPr>
        <w:sym w:font="Wingdings" w:char="F0E0"/>
      </w:r>
      <w:r w:rsidRPr="00150391">
        <w:rPr>
          <w:rStyle w:val="BodyTextChar"/>
          <w:rFonts w:cs="Calibri"/>
        </w:rPr>
        <w:t xml:space="preserve"> Estimates </w:t>
      </w:r>
      <w:r w:rsidR="00DA502E" w:rsidRPr="00150391">
        <w:rPr>
          <w:rStyle w:val="BodyTextChar"/>
          <w:rFonts w:cs="Calibri"/>
        </w:rPr>
        <w:sym w:font="Wingdings" w:char="F0E0"/>
      </w:r>
      <w:r w:rsidRPr="00150391">
        <w:rPr>
          <w:rStyle w:val="BodyTextChar"/>
          <w:rFonts w:cs="Calibri"/>
        </w:rPr>
        <w:t xml:space="preserve"> Annual Estimates </w:t>
      </w:r>
      <w:r w:rsidR="00DA502E" w:rsidRPr="00150391">
        <w:rPr>
          <w:rStyle w:val="BodyTextChar"/>
          <w:rFonts w:cs="Calibri"/>
        </w:rPr>
        <w:sym w:font="Wingdings" w:char="F0E0"/>
      </w:r>
      <w:r w:rsidRPr="00150391">
        <w:rPr>
          <w:rStyle w:val="BodyTextChar"/>
          <w:rFonts w:cs="Calibri"/>
        </w:rPr>
        <w:t xml:space="preserve"> AE.OR.06 Annual Estimates Capital Budget Statement Report</w:t>
      </w:r>
      <w:r w:rsidR="00136F8A" w:rsidRPr="00150391">
        <w:rPr>
          <w:rStyle w:val="BodyTextChar"/>
          <w:rFonts w:cs="Calibri"/>
        </w:rPr>
        <w:t>.</w:t>
      </w:r>
    </w:p>
    <w:p w14:paraId="2EDEA91C" w14:textId="77777777" w:rsidR="00B54712" w:rsidRPr="00150391" w:rsidRDefault="53BF0693" w:rsidP="53BF0693">
      <w:pPr>
        <w:pStyle w:val="Heading4"/>
        <w:rPr>
          <w:rStyle w:val="BodyTextChar"/>
          <w:rFonts w:ascii="Calibri" w:eastAsia="MS Gothic" w:hAnsi="Calibri" w:cs="Calibri"/>
          <w:i/>
          <w:color w:val="0070C0"/>
        </w:rPr>
      </w:pPr>
      <w:r w:rsidRPr="00150391">
        <w:rPr>
          <w:rStyle w:val="BodyTextChar"/>
          <w:rFonts w:ascii="Calibri" w:eastAsia="MS Gothic" w:hAnsi="Calibri" w:cs="Calibri"/>
        </w:rPr>
        <w:t>Annual Appropriations – other services</w:t>
      </w:r>
    </w:p>
    <w:p w14:paraId="2F0A73C9" w14:textId="77777777" w:rsidR="00B54712" w:rsidRPr="00150391" w:rsidRDefault="53BF0693" w:rsidP="000A7DEC">
      <w:pPr>
        <w:rPr>
          <w:rFonts w:cs="Calibri"/>
        </w:rPr>
      </w:pPr>
      <w:r w:rsidRPr="00150391">
        <w:rPr>
          <w:rFonts w:cs="Calibri"/>
        </w:rPr>
        <w:t xml:space="preserve">The </w:t>
      </w:r>
      <w:r w:rsidRPr="00150391">
        <w:rPr>
          <w:rFonts w:cs="Calibri"/>
          <w:b/>
          <w:bCs/>
        </w:rPr>
        <w:t>Annual Appropriations – other services</w:t>
      </w:r>
      <w:r w:rsidRPr="00150391">
        <w:rPr>
          <w:rFonts w:cs="Calibri"/>
        </w:rPr>
        <w:t xml:space="preserve"> rows should be sourced from the Appropriation Bill 2 report from CBMS.</w:t>
      </w:r>
    </w:p>
    <w:p w14:paraId="3F08ACFA" w14:textId="77777777" w:rsidR="00B54712" w:rsidRPr="00150391" w:rsidRDefault="00B54712" w:rsidP="00F97CDF">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Pr="00150391">
        <w:rPr>
          <w:rStyle w:val="BodyTextChar"/>
          <w:rFonts w:cs="Calibri"/>
        </w:rPr>
        <w:t xml:space="preserve"> CBMS Reporting </w:t>
      </w:r>
      <w:r w:rsidR="00DA502E" w:rsidRPr="00150391">
        <w:rPr>
          <w:rStyle w:val="BodyTextChar"/>
          <w:rFonts w:cs="Calibri"/>
        </w:rPr>
        <w:sym w:font="Wingdings" w:char="F0E0"/>
      </w:r>
      <w:r w:rsidRPr="00150391">
        <w:rPr>
          <w:rStyle w:val="BodyTextChar"/>
          <w:rFonts w:cs="Calibri"/>
        </w:rPr>
        <w:t xml:space="preserve"> Statutory Reports </w:t>
      </w:r>
      <w:r w:rsidR="00DA502E" w:rsidRPr="00150391">
        <w:rPr>
          <w:rStyle w:val="BodyTextChar"/>
          <w:rFonts w:cs="Calibri"/>
        </w:rPr>
        <w:sym w:font="Wingdings" w:char="F0E0"/>
      </w:r>
      <w:r w:rsidRPr="00150391">
        <w:rPr>
          <w:rStyle w:val="BodyTextChar"/>
          <w:rFonts w:cs="Calibri"/>
        </w:rPr>
        <w:t xml:space="preserve"> Appropriation Bills </w:t>
      </w:r>
      <w:r w:rsidR="00DA502E" w:rsidRPr="00150391">
        <w:rPr>
          <w:rStyle w:val="BodyTextChar"/>
          <w:rFonts w:cs="Calibri"/>
        </w:rPr>
        <w:sym w:font="Wingdings" w:char="F0E0"/>
      </w:r>
      <w:r w:rsidRPr="00150391">
        <w:rPr>
          <w:rStyle w:val="BodyTextChar"/>
          <w:rFonts w:cs="Calibri"/>
        </w:rPr>
        <w:t xml:space="preserve"> Budget Bills </w:t>
      </w:r>
      <w:r w:rsidR="00DA502E" w:rsidRPr="00150391">
        <w:rPr>
          <w:rStyle w:val="BodyTextChar"/>
          <w:rFonts w:cs="Calibri"/>
        </w:rPr>
        <w:sym w:font="Wingdings" w:char="F0E0"/>
      </w:r>
      <w:r w:rsidRPr="00150391">
        <w:rPr>
          <w:rStyle w:val="BodyTextChar"/>
          <w:rFonts w:cs="Calibri"/>
        </w:rPr>
        <w:t xml:space="preserve"> Appropriation Bill 2 – Portfolio Summary and Detail</w:t>
      </w:r>
      <w:r w:rsidR="00136F8A" w:rsidRPr="00150391">
        <w:rPr>
          <w:rStyle w:val="BodyTextChar"/>
          <w:rFonts w:cs="Calibri"/>
        </w:rPr>
        <w:t>.</w:t>
      </w:r>
    </w:p>
    <w:p w14:paraId="4AE0CD2F" w14:textId="77777777" w:rsidR="00B54712" w:rsidRPr="00150391" w:rsidRDefault="53BF0693" w:rsidP="000A7DEC">
      <w:pPr>
        <w:rPr>
          <w:rFonts w:cs="Calibri"/>
        </w:rPr>
      </w:pPr>
      <w:r w:rsidRPr="00150391">
        <w:rPr>
          <w:rFonts w:cs="Calibri"/>
        </w:rPr>
        <w:t xml:space="preserve">For </w:t>
      </w:r>
      <w:r w:rsidR="00396887" w:rsidRPr="00150391">
        <w:rPr>
          <w:rFonts w:cs="Calibri"/>
        </w:rPr>
        <w:t>portfolio department</w:t>
      </w:r>
      <w:r w:rsidRPr="00150391">
        <w:rPr>
          <w:rFonts w:cs="Calibri"/>
        </w:rPr>
        <w:t xml:space="preserve">s, the Appropriation Bill 2 report should be run at the portfolio rather than entity level. </w:t>
      </w:r>
    </w:p>
    <w:p w14:paraId="2D2C602A" w14:textId="06080544" w:rsidR="00B54712" w:rsidRPr="00150391" w:rsidRDefault="53BF0693" w:rsidP="000A7DEC">
      <w:pPr>
        <w:rPr>
          <w:rFonts w:cs="Calibri"/>
        </w:rPr>
      </w:pPr>
      <w:r w:rsidRPr="00150391">
        <w:rPr>
          <w:rFonts w:cs="Calibri"/>
        </w:rPr>
        <w:t xml:space="preserve">Amounts under the </w:t>
      </w:r>
      <w:r w:rsidRPr="00150391">
        <w:rPr>
          <w:rFonts w:cs="Calibri"/>
          <w:b/>
          <w:bCs/>
        </w:rPr>
        <w:t>Estimated Actual</w:t>
      </w:r>
      <w:r w:rsidRPr="00150391">
        <w:rPr>
          <w:rFonts w:cs="Calibri"/>
        </w:rPr>
        <w:t xml:space="preserve"> column should be sourced by running the </w:t>
      </w:r>
      <w:r w:rsidR="000D2200" w:rsidRPr="00150391">
        <w:rPr>
          <w:rFonts w:cs="Calibri"/>
        </w:rPr>
        <w:t>Actual </w:t>
      </w:r>
      <w:r w:rsidRPr="00150391">
        <w:rPr>
          <w:rFonts w:cs="Calibri"/>
        </w:rPr>
        <w:t xml:space="preserve">Available Appropriations (AAA) Report (which provides a point-in-time figure) and adjusting for any amounts expected to be spent by 30 June </w:t>
      </w:r>
      <w:r w:rsidR="004C0E3C" w:rsidRPr="00150391">
        <w:rPr>
          <w:rFonts w:cs="Calibri"/>
        </w:rPr>
        <w:t>2022</w:t>
      </w:r>
      <w:r w:rsidRPr="00150391">
        <w:rPr>
          <w:rFonts w:cs="Calibri"/>
        </w:rPr>
        <w:t>.</w:t>
      </w:r>
    </w:p>
    <w:p w14:paraId="1A71E7CD" w14:textId="77777777" w:rsidR="00B54712" w:rsidRPr="00150391" w:rsidRDefault="00B54712" w:rsidP="00A8355D">
      <w:pPr>
        <w:pStyle w:val="Reports1"/>
        <w:rPr>
          <w:rFonts w:cs="Calibri"/>
        </w:rPr>
      </w:pPr>
      <w:r w:rsidRPr="00150391">
        <w:rPr>
          <w:rFonts w:cs="Calibri"/>
        </w:rPr>
        <w:t xml:space="preserve">Reports </w:t>
      </w:r>
      <w:r w:rsidR="00DA502E" w:rsidRPr="00150391">
        <w:rPr>
          <w:rFonts w:cs="Calibri"/>
        </w:rPr>
        <w:sym w:font="Wingdings" w:char="F0E0"/>
      </w:r>
      <w:r w:rsidRPr="00150391">
        <w:rPr>
          <w:rFonts w:cs="Calibri"/>
        </w:rPr>
        <w:t xml:space="preserve"> CBMS Reporting </w:t>
      </w:r>
      <w:r w:rsidR="00DA502E" w:rsidRPr="00150391">
        <w:rPr>
          <w:rFonts w:cs="Calibri"/>
        </w:rPr>
        <w:sym w:font="Wingdings" w:char="F0E0"/>
      </w:r>
      <w:r w:rsidRPr="00150391">
        <w:rPr>
          <w:rFonts w:cs="Calibri"/>
        </w:rPr>
        <w:t xml:space="preserve"> Operational Reports </w:t>
      </w:r>
      <w:r w:rsidR="00DA502E" w:rsidRPr="00150391">
        <w:rPr>
          <w:rFonts w:cs="Calibri"/>
        </w:rPr>
        <w:sym w:font="Wingdings" w:char="F0E0"/>
      </w:r>
      <w:r w:rsidRPr="00150391">
        <w:rPr>
          <w:rFonts w:cs="Calibri"/>
        </w:rPr>
        <w:t xml:space="preserve"> Estimates </w:t>
      </w:r>
      <w:r w:rsidR="00DA502E" w:rsidRPr="00150391">
        <w:rPr>
          <w:rFonts w:cs="Calibri"/>
        </w:rPr>
        <w:sym w:font="Wingdings" w:char="F0E0"/>
      </w:r>
      <w:r w:rsidRPr="00150391">
        <w:rPr>
          <w:rFonts w:cs="Calibri"/>
        </w:rPr>
        <w:t xml:space="preserve"> Annual Estimates </w:t>
      </w:r>
      <w:r w:rsidR="00DA502E" w:rsidRPr="00150391">
        <w:rPr>
          <w:rFonts w:cs="Calibri"/>
        </w:rPr>
        <w:sym w:font="Wingdings" w:char="F0E0"/>
      </w:r>
      <w:r w:rsidRPr="00150391">
        <w:rPr>
          <w:rFonts w:cs="Calibri"/>
        </w:rPr>
        <w:t xml:space="preserve"> AE.OR.10 Appropriation Bill – Actual Available Appropriations (AAA) Report</w:t>
      </w:r>
    </w:p>
    <w:p w14:paraId="1ED67453" w14:textId="77777777" w:rsidR="00A32A8F" w:rsidRPr="00150391" w:rsidRDefault="00A32A8F" w:rsidP="00A8355D">
      <w:pPr>
        <w:pStyle w:val="Reports1"/>
        <w:rPr>
          <w:rFonts w:cs="Calibri"/>
        </w:rPr>
      </w:pPr>
      <w:r w:rsidRPr="00150391">
        <w:rPr>
          <w:rFonts w:cs="Calibri"/>
        </w:rPr>
        <w:t xml:space="preserve">Reports </w:t>
      </w:r>
      <w:r w:rsidR="00DA502E" w:rsidRPr="00150391">
        <w:rPr>
          <w:rFonts w:cs="Calibri"/>
        </w:rPr>
        <w:sym w:font="Wingdings" w:char="F0E0"/>
      </w:r>
      <w:r w:rsidRPr="00150391">
        <w:rPr>
          <w:rFonts w:cs="Calibri"/>
        </w:rPr>
        <w:t xml:space="preserve"> CBMS Reporting </w:t>
      </w:r>
      <w:r w:rsidR="00DA502E" w:rsidRPr="00150391">
        <w:rPr>
          <w:rFonts w:cs="Calibri"/>
        </w:rPr>
        <w:sym w:font="Wingdings" w:char="F0E0"/>
      </w:r>
      <w:r w:rsidRPr="00150391">
        <w:rPr>
          <w:rFonts w:cs="Calibri"/>
        </w:rPr>
        <w:t xml:space="preserve"> Operational Reports </w:t>
      </w:r>
      <w:r w:rsidR="00DA502E" w:rsidRPr="00150391">
        <w:rPr>
          <w:rFonts w:cs="Calibri"/>
        </w:rPr>
        <w:sym w:font="Wingdings" w:char="F0E0"/>
      </w:r>
      <w:r w:rsidRPr="00150391">
        <w:rPr>
          <w:rFonts w:cs="Calibri"/>
        </w:rPr>
        <w:t xml:space="preserve"> Estimates </w:t>
      </w:r>
      <w:r w:rsidR="00DA502E" w:rsidRPr="00150391">
        <w:rPr>
          <w:rFonts w:cs="Calibri"/>
        </w:rPr>
        <w:sym w:font="Wingdings" w:char="F0E0"/>
      </w:r>
      <w:r w:rsidRPr="00150391">
        <w:rPr>
          <w:rFonts w:cs="Calibri"/>
        </w:rPr>
        <w:t xml:space="preserve"> Annual Estimates </w:t>
      </w:r>
      <w:r w:rsidR="00DA502E" w:rsidRPr="00150391">
        <w:rPr>
          <w:rFonts w:cs="Calibri"/>
        </w:rPr>
        <w:sym w:font="Wingdings" w:char="F0E0"/>
      </w:r>
      <w:r w:rsidRPr="00150391">
        <w:rPr>
          <w:rFonts w:cs="Calibri"/>
        </w:rPr>
        <w:t xml:space="preserve"> AE.OR.11 </w:t>
      </w:r>
      <w:r w:rsidR="00663E18" w:rsidRPr="00150391">
        <w:rPr>
          <w:rFonts w:cs="Calibri"/>
        </w:rPr>
        <w:t xml:space="preserve">Annual Estimates </w:t>
      </w:r>
      <w:r w:rsidRPr="00150391">
        <w:rPr>
          <w:rFonts w:cs="Calibri"/>
        </w:rPr>
        <w:t>Appropriations QA Report</w:t>
      </w:r>
      <w:r w:rsidR="00136F8A" w:rsidRPr="00150391">
        <w:rPr>
          <w:rFonts w:cs="Calibri"/>
          <w:color w:val="auto"/>
        </w:rPr>
        <w:t>.</w:t>
      </w:r>
    </w:p>
    <w:p w14:paraId="24394741" w14:textId="77777777" w:rsidR="00B54712" w:rsidRPr="00150391" w:rsidRDefault="53BF0693" w:rsidP="53BF0693">
      <w:pPr>
        <w:pStyle w:val="Heading4"/>
        <w:rPr>
          <w:rStyle w:val="BodyTextChar"/>
          <w:rFonts w:ascii="Calibri" w:eastAsia="MS Gothic" w:hAnsi="Calibri" w:cs="Calibri"/>
          <w:i/>
          <w:color w:val="0070C0"/>
        </w:rPr>
      </w:pPr>
      <w:r w:rsidRPr="00150391">
        <w:rPr>
          <w:rStyle w:val="BodyTextChar"/>
          <w:rFonts w:ascii="Calibri" w:eastAsia="MS Gothic" w:hAnsi="Calibri" w:cs="Calibri"/>
        </w:rPr>
        <w:t>Payments to corporate entities</w:t>
      </w:r>
    </w:p>
    <w:p w14:paraId="446F5DCF" w14:textId="77777777" w:rsidR="00B54712" w:rsidRPr="00150391" w:rsidRDefault="53BF0693" w:rsidP="000A7DEC">
      <w:pPr>
        <w:rPr>
          <w:rFonts w:cs="Calibri"/>
        </w:rPr>
      </w:pPr>
      <w:r w:rsidRPr="00150391">
        <w:rPr>
          <w:rFonts w:cs="Calibri"/>
        </w:rPr>
        <w:t xml:space="preserve">The </w:t>
      </w:r>
      <w:r w:rsidRPr="00150391">
        <w:rPr>
          <w:rFonts w:cs="Calibri"/>
          <w:b/>
          <w:bCs/>
        </w:rPr>
        <w:t>Payments to corporate entities</w:t>
      </w:r>
      <w:r w:rsidRPr="00150391">
        <w:rPr>
          <w:rFonts w:cs="Calibri"/>
        </w:rPr>
        <w:t xml:space="preserve"> rows should be sourced from the Appropriation Act 1 and Bill 3, and Act 2 and Bill 4 “Portfolio Summary and Detail” reports.</w:t>
      </w:r>
    </w:p>
    <w:p w14:paraId="7F6E95D4" w14:textId="77777777" w:rsidR="00B54712" w:rsidRPr="00150391" w:rsidRDefault="00B54712" w:rsidP="00A8355D">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Pr="00150391">
        <w:rPr>
          <w:rStyle w:val="BodyTextChar"/>
          <w:rFonts w:cs="Calibri"/>
        </w:rPr>
        <w:t xml:space="preserve"> CBMS Reporting </w:t>
      </w:r>
      <w:r w:rsidR="00DA502E" w:rsidRPr="00150391">
        <w:rPr>
          <w:rStyle w:val="BodyTextChar"/>
          <w:rFonts w:cs="Calibri"/>
        </w:rPr>
        <w:sym w:font="Wingdings" w:char="F0E0"/>
      </w:r>
      <w:r w:rsidRPr="00150391">
        <w:rPr>
          <w:rStyle w:val="BodyTextChar"/>
          <w:rFonts w:cs="Calibri"/>
        </w:rPr>
        <w:t xml:space="preserve"> Statutory Reports </w:t>
      </w:r>
      <w:r w:rsidR="00DA502E" w:rsidRPr="00150391">
        <w:rPr>
          <w:rStyle w:val="BodyTextChar"/>
          <w:rFonts w:cs="Calibri"/>
        </w:rPr>
        <w:sym w:font="Wingdings" w:char="F0E0"/>
      </w:r>
      <w:r w:rsidRPr="00150391">
        <w:rPr>
          <w:rStyle w:val="BodyTextChar"/>
          <w:rFonts w:cs="Calibri"/>
        </w:rPr>
        <w:t xml:space="preserve"> Appropriation Bills </w:t>
      </w:r>
      <w:r w:rsidR="00DA502E" w:rsidRPr="00150391">
        <w:rPr>
          <w:rStyle w:val="BodyTextChar"/>
          <w:rFonts w:cs="Calibri"/>
        </w:rPr>
        <w:sym w:font="Wingdings" w:char="F0E0"/>
      </w:r>
      <w:r w:rsidRPr="00150391">
        <w:rPr>
          <w:rStyle w:val="BodyTextChar"/>
          <w:rFonts w:cs="Calibri"/>
        </w:rPr>
        <w:t xml:space="preserve"> Budget Bills </w:t>
      </w:r>
      <w:r w:rsidR="00DA502E" w:rsidRPr="00150391">
        <w:rPr>
          <w:rStyle w:val="BodyTextChar"/>
          <w:rFonts w:cs="Calibri"/>
        </w:rPr>
        <w:sym w:font="Wingdings" w:char="F0E0"/>
      </w:r>
      <w:r w:rsidR="00DF7559" w:rsidRPr="00150391">
        <w:rPr>
          <w:rStyle w:val="BodyTextChar"/>
          <w:rFonts w:cs="Calibri"/>
        </w:rPr>
        <w:t xml:space="preserve"> </w:t>
      </w:r>
      <w:r w:rsidRPr="00150391">
        <w:rPr>
          <w:rStyle w:val="BodyTextChar"/>
          <w:rFonts w:cs="Calibri"/>
        </w:rPr>
        <w:t xml:space="preserve"> Appropriation Bill x – Portfolio Summary and Detail</w:t>
      </w:r>
      <w:r w:rsidR="00136F8A" w:rsidRPr="00150391">
        <w:rPr>
          <w:rFonts w:cs="Calibri"/>
        </w:rPr>
        <w:t>.</w:t>
      </w:r>
    </w:p>
    <w:p w14:paraId="5076D8BB" w14:textId="77777777" w:rsidR="00B54712" w:rsidRPr="00150391" w:rsidRDefault="53BF0693" w:rsidP="53BF0693">
      <w:pPr>
        <w:pStyle w:val="Heading4"/>
        <w:rPr>
          <w:rStyle w:val="BodyTextChar"/>
          <w:rFonts w:ascii="Calibri" w:eastAsia="MS Gothic" w:hAnsi="Calibri" w:cs="Calibri"/>
          <w:i/>
          <w:color w:val="0070C0"/>
        </w:rPr>
      </w:pPr>
      <w:r w:rsidRPr="00150391">
        <w:rPr>
          <w:rStyle w:val="BodyTextChar"/>
          <w:rFonts w:ascii="Calibri" w:eastAsia="MS Gothic" w:hAnsi="Calibri" w:cs="Calibri"/>
        </w:rPr>
        <w:t>Special appropriations</w:t>
      </w:r>
    </w:p>
    <w:p w14:paraId="7A655B5E" w14:textId="77777777" w:rsidR="00B54712" w:rsidRPr="00150391" w:rsidRDefault="6B6EE5C4" w:rsidP="000A7DEC">
      <w:pPr>
        <w:rPr>
          <w:rFonts w:cs="Calibri"/>
        </w:rPr>
      </w:pPr>
      <w:r w:rsidRPr="00150391">
        <w:rPr>
          <w:rFonts w:cs="Calibri"/>
        </w:rPr>
        <w:t xml:space="preserve">The </w:t>
      </w:r>
      <w:r w:rsidRPr="00150391">
        <w:rPr>
          <w:rFonts w:cs="Calibri"/>
          <w:b/>
          <w:bCs/>
        </w:rPr>
        <w:t>Special Appropriations</w:t>
      </w:r>
      <w:r w:rsidRPr="00150391">
        <w:rPr>
          <w:rFonts w:cs="Calibri"/>
        </w:rPr>
        <w:t xml:space="preserve"> rows should reflect the resourcing required in relation to special appropriations. These figures should match the figures published in BP No. 4 (in both the Special appropriations table and also the Entity resource table) and be sourced from the Detail Listing AEIFRS Report from CBMS.</w:t>
      </w:r>
    </w:p>
    <w:p w14:paraId="1D6F1265" w14:textId="77777777" w:rsidR="00B54712" w:rsidRPr="00150391" w:rsidRDefault="00B54712" w:rsidP="00F97CDF">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Pr="00150391">
        <w:rPr>
          <w:rStyle w:val="BodyTextChar"/>
          <w:rFonts w:cs="Calibri"/>
        </w:rPr>
        <w:t xml:space="preserve"> CBMS Reporting </w:t>
      </w:r>
      <w:r w:rsidR="00DA502E" w:rsidRPr="00150391">
        <w:rPr>
          <w:rStyle w:val="BodyTextChar"/>
          <w:rFonts w:cs="Calibri"/>
        </w:rPr>
        <w:sym w:font="Wingdings" w:char="F0E0"/>
      </w:r>
      <w:r w:rsidRPr="00150391">
        <w:rPr>
          <w:rStyle w:val="BodyTextChar"/>
          <w:rFonts w:cs="Calibri"/>
        </w:rPr>
        <w:t xml:space="preserve"> Operational Reports </w:t>
      </w:r>
      <w:r w:rsidR="00DA502E" w:rsidRPr="00150391">
        <w:rPr>
          <w:rStyle w:val="BodyTextChar"/>
          <w:rFonts w:cs="Calibri"/>
        </w:rPr>
        <w:sym w:font="Wingdings" w:char="F0E0"/>
      </w:r>
      <w:r w:rsidRPr="00150391">
        <w:rPr>
          <w:rStyle w:val="BodyTextChar"/>
          <w:rFonts w:cs="Calibri"/>
        </w:rPr>
        <w:t xml:space="preserve"> Estimates </w:t>
      </w:r>
      <w:r w:rsidR="00DA502E" w:rsidRPr="00150391">
        <w:rPr>
          <w:rStyle w:val="BodyTextChar"/>
          <w:rFonts w:cs="Calibri"/>
        </w:rPr>
        <w:sym w:font="Wingdings" w:char="F0E0"/>
      </w:r>
      <w:r w:rsidRPr="00150391">
        <w:rPr>
          <w:rStyle w:val="BodyTextChar"/>
          <w:rFonts w:cs="Calibri"/>
        </w:rPr>
        <w:t xml:space="preserve"> Annual Estimates </w:t>
      </w:r>
      <w:r w:rsidR="00DA502E" w:rsidRPr="00150391">
        <w:rPr>
          <w:rStyle w:val="BodyTextChar"/>
          <w:rFonts w:cs="Calibri"/>
        </w:rPr>
        <w:sym w:font="Wingdings" w:char="F0E0"/>
      </w:r>
      <w:r w:rsidRPr="00150391">
        <w:rPr>
          <w:rStyle w:val="BodyTextChar"/>
          <w:rFonts w:cs="Calibri"/>
        </w:rPr>
        <w:t xml:space="preserve"> AE.OR.13 Annual Estimates </w:t>
      </w:r>
      <w:r w:rsidR="004D0F69" w:rsidRPr="00150391">
        <w:rPr>
          <w:rStyle w:val="BodyTextChar"/>
          <w:rFonts w:cs="Calibri"/>
        </w:rPr>
        <w:t>Detail Listing AEIFRS Report (PBF)</w:t>
      </w:r>
      <w:r w:rsidR="00136F8A" w:rsidRPr="00150391">
        <w:rPr>
          <w:rFonts w:cs="Calibri"/>
        </w:rPr>
        <w:t>.</w:t>
      </w:r>
    </w:p>
    <w:p w14:paraId="4921803C" w14:textId="77777777" w:rsidR="00AA5DDA" w:rsidRPr="00150391" w:rsidRDefault="6B6EE5C4" w:rsidP="6B6EE5C4">
      <w:pPr>
        <w:rPr>
          <w:rStyle w:val="BodyTextChar"/>
          <w:rFonts w:cs="Calibri"/>
          <w:b/>
          <w:bCs/>
          <w:i/>
          <w:iCs/>
          <w:color w:val="005A77"/>
          <w:sz w:val="24"/>
          <w:szCs w:val="24"/>
        </w:rPr>
      </w:pPr>
      <w:r w:rsidRPr="00150391">
        <w:rPr>
          <w:rFonts w:cs="Calibri"/>
        </w:rPr>
        <w:t xml:space="preserve">Special appropriations should be reported as an aggregate in </w:t>
      </w:r>
      <w:r w:rsidRPr="00150391">
        <w:rPr>
          <w:rFonts w:cs="Calibri"/>
          <w:i/>
          <w:iCs/>
        </w:rPr>
        <w:t>Table 1.1</w:t>
      </w:r>
      <w:r w:rsidRPr="00150391">
        <w:rPr>
          <w:rFonts w:cs="Calibri"/>
        </w:rPr>
        <w:t xml:space="preserve">, with details of the special appropriations reported in </w:t>
      </w:r>
      <w:r w:rsidRPr="00150391">
        <w:rPr>
          <w:rFonts w:cs="Calibri"/>
          <w:i/>
          <w:iCs/>
        </w:rPr>
        <w:t>Table 2.X.1: (Budgeted expenses for Outcome X).</w:t>
      </w:r>
    </w:p>
    <w:p w14:paraId="25416BF2" w14:textId="77777777" w:rsidR="00B54712" w:rsidRPr="00150391" w:rsidRDefault="53BF0693" w:rsidP="53BF0693">
      <w:pPr>
        <w:pStyle w:val="Heading4"/>
        <w:rPr>
          <w:rStyle w:val="BodyTextChar"/>
          <w:rFonts w:ascii="Calibri" w:eastAsia="MS Gothic" w:hAnsi="Calibri" w:cs="Calibri"/>
        </w:rPr>
      </w:pPr>
      <w:r w:rsidRPr="00150391">
        <w:rPr>
          <w:rStyle w:val="BodyTextChar"/>
          <w:rFonts w:ascii="Calibri" w:eastAsia="MS Gothic" w:hAnsi="Calibri" w:cs="Calibri"/>
        </w:rPr>
        <w:t>Special accounts</w:t>
      </w:r>
    </w:p>
    <w:p w14:paraId="59D6D6D7" w14:textId="77777777" w:rsidR="00B54712" w:rsidRPr="00150391" w:rsidRDefault="6B6EE5C4" w:rsidP="6B6EE5C4">
      <w:pPr>
        <w:rPr>
          <w:rFonts w:cs="Calibri"/>
          <w:i/>
          <w:iCs/>
        </w:rPr>
      </w:pPr>
      <w:r w:rsidRPr="00150391">
        <w:rPr>
          <w:rFonts w:cs="Calibri"/>
        </w:rPr>
        <w:t xml:space="preserve">The </w:t>
      </w:r>
      <w:r w:rsidRPr="00150391">
        <w:rPr>
          <w:rFonts w:cs="Calibri"/>
          <w:b/>
          <w:bCs/>
        </w:rPr>
        <w:t>Special Accounts</w:t>
      </w:r>
      <w:r w:rsidRPr="00150391">
        <w:rPr>
          <w:rFonts w:cs="Calibri"/>
        </w:rPr>
        <w:t xml:space="preserve"> rows should reflect the receipts for all special accounts managed by the entity. These figures should be drawn from the Special Accounts report from CBMS. Trust moneys, in particular those held in </w:t>
      </w:r>
      <w:r w:rsidRPr="00150391">
        <w:rPr>
          <w:rFonts w:cs="Calibri"/>
          <w:b/>
          <w:bCs/>
        </w:rPr>
        <w:t>Services for Other Entities and Trust Moneys</w:t>
      </w:r>
      <w:r w:rsidRPr="00150391">
        <w:rPr>
          <w:rFonts w:cs="Calibri"/>
        </w:rPr>
        <w:t xml:space="preserve"> (SOETM) accounts </w:t>
      </w:r>
      <w:r w:rsidRPr="00150391">
        <w:rPr>
          <w:rFonts w:cs="Calibri"/>
          <w:b/>
          <w:bCs/>
        </w:rPr>
        <w:t>should be excluded</w:t>
      </w:r>
      <w:r w:rsidRPr="00150391">
        <w:rPr>
          <w:rFonts w:cs="Calibri"/>
        </w:rPr>
        <w:t xml:space="preserve"> from this figure as they do not constitute funds available to the entity. Details of special accounts will also be reported in </w:t>
      </w:r>
      <w:r w:rsidRPr="00150391">
        <w:rPr>
          <w:rFonts w:cs="Calibri"/>
          <w:i/>
          <w:iCs/>
        </w:rPr>
        <w:t>Table 2.X.1: (Budgeted expenses for Outcome X).</w:t>
      </w:r>
    </w:p>
    <w:p w14:paraId="21FCCB3A" w14:textId="77777777" w:rsidR="00B54712" w:rsidRPr="00150391" w:rsidRDefault="00B54712" w:rsidP="00F97CDF">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Pr="00150391">
        <w:rPr>
          <w:rStyle w:val="BodyTextChar"/>
          <w:rFonts w:cs="Calibri"/>
        </w:rPr>
        <w:t xml:space="preserve"> CBMS Reporting </w:t>
      </w:r>
      <w:r w:rsidR="00DA502E" w:rsidRPr="00150391">
        <w:rPr>
          <w:rStyle w:val="BodyTextChar"/>
          <w:rFonts w:cs="Calibri"/>
        </w:rPr>
        <w:sym w:font="Wingdings" w:char="F0E0"/>
      </w:r>
      <w:r w:rsidRPr="00150391">
        <w:rPr>
          <w:rStyle w:val="BodyTextChar"/>
          <w:rFonts w:cs="Calibri"/>
        </w:rPr>
        <w:t xml:space="preserve"> Statutory Reports </w:t>
      </w:r>
      <w:r w:rsidR="00DA502E" w:rsidRPr="00150391">
        <w:rPr>
          <w:rStyle w:val="BodyTextChar"/>
          <w:rFonts w:cs="Calibri"/>
        </w:rPr>
        <w:sym w:font="Wingdings" w:char="F0E0"/>
      </w:r>
      <w:r w:rsidRPr="00150391">
        <w:rPr>
          <w:rStyle w:val="BodyTextChar"/>
          <w:rFonts w:cs="Calibri"/>
        </w:rPr>
        <w:t xml:space="preserve"> Budget Paper 4 </w:t>
      </w:r>
      <w:r w:rsidR="00DA502E" w:rsidRPr="00150391">
        <w:rPr>
          <w:rStyle w:val="BodyTextChar"/>
          <w:rFonts w:cs="Calibri"/>
        </w:rPr>
        <w:sym w:font="Wingdings" w:char="F0E0"/>
      </w:r>
      <w:r w:rsidRPr="00150391">
        <w:rPr>
          <w:rStyle w:val="BodyTextChar"/>
          <w:rFonts w:cs="Calibri"/>
        </w:rPr>
        <w:t xml:space="preserve"> B4.T4 Special accounts table</w:t>
      </w:r>
      <w:r w:rsidR="00136F8A" w:rsidRPr="00150391">
        <w:rPr>
          <w:rFonts w:cs="Calibri"/>
        </w:rPr>
        <w:t>.</w:t>
      </w:r>
    </w:p>
    <w:p w14:paraId="7A0D30BB" w14:textId="77777777" w:rsidR="00E15D15" w:rsidRPr="00150391" w:rsidRDefault="00A32A8F" w:rsidP="00495729">
      <w:pPr>
        <w:pStyle w:val="Reports1"/>
        <w:rPr>
          <w:rStyle w:val="BodyTextChar"/>
          <w:rFonts w:cs="Calibri"/>
        </w:rPr>
      </w:pPr>
      <w:r w:rsidRPr="00150391">
        <w:rPr>
          <w:rStyle w:val="BodyTextChar"/>
          <w:rFonts w:cs="Calibri"/>
        </w:rPr>
        <w:t xml:space="preserve">Reports </w:t>
      </w:r>
      <w:r w:rsidR="00DA502E" w:rsidRPr="00150391">
        <w:rPr>
          <w:rStyle w:val="BodyTextChar"/>
          <w:rFonts w:cs="Calibri"/>
        </w:rPr>
        <w:sym w:font="Wingdings" w:char="F0E0"/>
      </w:r>
      <w:r w:rsidRPr="00150391">
        <w:rPr>
          <w:rStyle w:val="BodyTextChar"/>
          <w:rFonts w:cs="Calibri"/>
        </w:rPr>
        <w:t xml:space="preserve"> CBMS Reporting </w:t>
      </w:r>
      <w:r w:rsidR="00DA502E" w:rsidRPr="00150391">
        <w:rPr>
          <w:rStyle w:val="BodyTextChar"/>
          <w:rFonts w:cs="Calibri"/>
        </w:rPr>
        <w:sym w:font="Wingdings" w:char="F0E0"/>
      </w:r>
      <w:r w:rsidRPr="00150391">
        <w:rPr>
          <w:rStyle w:val="BodyTextChar"/>
          <w:rFonts w:cs="Calibri"/>
        </w:rPr>
        <w:t xml:space="preserve"> Operational Reports </w:t>
      </w:r>
      <w:r w:rsidR="00DA502E" w:rsidRPr="00150391">
        <w:rPr>
          <w:rStyle w:val="BodyTextChar"/>
          <w:rFonts w:cs="Calibri"/>
        </w:rPr>
        <w:sym w:font="Wingdings" w:char="F0E0"/>
      </w:r>
      <w:r w:rsidRPr="00150391">
        <w:rPr>
          <w:rStyle w:val="BodyTextChar"/>
          <w:rFonts w:cs="Calibri"/>
        </w:rPr>
        <w:t xml:space="preserve"> Estimates </w:t>
      </w:r>
      <w:r w:rsidR="00DA502E" w:rsidRPr="00150391">
        <w:rPr>
          <w:rStyle w:val="BodyTextChar"/>
          <w:rFonts w:cs="Calibri"/>
        </w:rPr>
        <w:sym w:font="Wingdings" w:char="F0E0"/>
      </w:r>
      <w:r w:rsidRPr="00150391">
        <w:rPr>
          <w:rStyle w:val="BodyTextChar"/>
          <w:rFonts w:cs="Calibri"/>
        </w:rPr>
        <w:t xml:space="preserve"> Annual Estimates </w:t>
      </w:r>
      <w:r w:rsidR="00DA502E" w:rsidRPr="00150391">
        <w:rPr>
          <w:rStyle w:val="BodyTextChar"/>
          <w:rFonts w:cs="Calibri"/>
        </w:rPr>
        <w:sym w:font="Wingdings" w:char="F0E0"/>
      </w:r>
      <w:r w:rsidRPr="00150391">
        <w:rPr>
          <w:rStyle w:val="BodyTextChar"/>
          <w:rFonts w:cs="Calibri"/>
        </w:rPr>
        <w:t xml:space="preserve"> AE</w:t>
      </w:r>
      <w:r w:rsidR="00EA7B74" w:rsidRPr="00150391">
        <w:rPr>
          <w:rStyle w:val="BodyTextChar"/>
          <w:rFonts w:cs="Calibri"/>
        </w:rPr>
        <w:t>.O</w:t>
      </w:r>
      <w:r w:rsidRPr="00150391">
        <w:rPr>
          <w:rStyle w:val="BodyTextChar"/>
          <w:rFonts w:cs="Calibri"/>
        </w:rPr>
        <w:t xml:space="preserve">R.09 </w:t>
      </w:r>
      <w:r w:rsidR="00EA7B74" w:rsidRPr="00150391">
        <w:rPr>
          <w:rStyle w:val="BodyTextChar"/>
          <w:rFonts w:cs="Calibri"/>
        </w:rPr>
        <w:t xml:space="preserve">Annual Estimates </w:t>
      </w:r>
      <w:r w:rsidRPr="00150391">
        <w:rPr>
          <w:rStyle w:val="BodyTextChar"/>
          <w:rFonts w:cs="Calibri"/>
        </w:rPr>
        <w:t xml:space="preserve">Special </w:t>
      </w:r>
      <w:r w:rsidR="00EA7B74" w:rsidRPr="00150391">
        <w:rPr>
          <w:rStyle w:val="BodyTextChar"/>
          <w:rFonts w:cs="Calibri"/>
        </w:rPr>
        <w:t>A</w:t>
      </w:r>
      <w:r w:rsidRPr="00150391">
        <w:rPr>
          <w:rStyle w:val="BodyTextChar"/>
          <w:rFonts w:cs="Calibri"/>
        </w:rPr>
        <w:t xml:space="preserve">ccounts </w:t>
      </w:r>
      <w:r w:rsidR="00EA7B74" w:rsidRPr="00150391">
        <w:rPr>
          <w:rStyle w:val="BodyTextChar"/>
          <w:rFonts w:cs="Calibri"/>
        </w:rPr>
        <w:t>R</w:t>
      </w:r>
      <w:r w:rsidRPr="00150391">
        <w:rPr>
          <w:rStyle w:val="BodyTextChar"/>
          <w:rFonts w:cs="Calibri"/>
        </w:rPr>
        <w:t>eport</w:t>
      </w:r>
      <w:r w:rsidR="00136F8A" w:rsidRPr="00150391">
        <w:rPr>
          <w:rFonts w:cs="Calibri"/>
          <w:color w:val="auto"/>
        </w:rPr>
        <w:t>.</w:t>
      </w:r>
    </w:p>
    <w:p w14:paraId="67136CC5" w14:textId="77777777" w:rsidR="009861E5" w:rsidRPr="00150391" w:rsidRDefault="53BF0693" w:rsidP="00580008">
      <w:pPr>
        <w:pStyle w:val="Boxed2Text"/>
        <w:rPr>
          <w:rFonts w:cs="Calibri"/>
        </w:rPr>
      </w:pPr>
      <w:r w:rsidRPr="00150391">
        <w:rPr>
          <w:rFonts w:cs="Calibri"/>
        </w:rPr>
        <w:t>There may be differences between special accounts figures published in an entity’s PB Statements compared to the entity’s financial statement notes in its annual report.</w:t>
      </w:r>
    </w:p>
    <w:p w14:paraId="6F409EB3" w14:textId="1D055FCD" w:rsidR="009861E5" w:rsidRPr="00150391" w:rsidRDefault="53BF0693" w:rsidP="00580008">
      <w:pPr>
        <w:pStyle w:val="Boxed2Text"/>
        <w:rPr>
          <w:rFonts w:cs="Calibri"/>
        </w:rPr>
      </w:pPr>
      <w:r w:rsidRPr="00150391">
        <w:rPr>
          <w:rFonts w:cs="Calibri"/>
        </w:rPr>
        <w:t xml:space="preserve">For example, for PB Statement estimates purposes, entities may choose to report special account balances and flows on a net basis as at 30 June. In an entity's annual report, special account flows will be presented on a </w:t>
      </w:r>
      <w:r w:rsidR="00C90E71" w:rsidRPr="00150391">
        <w:rPr>
          <w:rFonts w:cs="Calibri"/>
        </w:rPr>
        <w:t>g</w:t>
      </w:r>
      <w:r w:rsidRPr="00150391">
        <w:rPr>
          <w:rFonts w:cs="Calibri"/>
        </w:rPr>
        <w:t>ross basis.</w:t>
      </w:r>
    </w:p>
    <w:p w14:paraId="1D1530C4" w14:textId="77777777" w:rsidR="00E15D15" w:rsidRPr="00150391" w:rsidRDefault="53BF0693" w:rsidP="00580008">
      <w:pPr>
        <w:pStyle w:val="Boxed2Text"/>
        <w:rPr>
          <w:rStyle w:val="BodyTextChar"/>
          <w:rFonts w:eastAsiaTheme="minorEastAsia" w:cs="Calibri"/>
        </w:rPr>
      </w:pPr>
      <w:r w:rsidRPr="00150391">
        <w:rPr>
          <w:rFonts w:cs="Calibri"/>
        </w:rPr>
        <w:t>An example of where differences may arise between estimates and actuals is where an entity undertakes ongoing investment activities through their special account, and reinvests the earnings realised (from investing) within the same financial year.</w:t>
      </w:r>
    </w:p>
    <w:p w14:paraId="50FC8CDE" w14:textId="062CCCFA" w:rsidR="00B54712" w:rsidRPr="00150391" w:rsidRDefault="53BF0693" w:rsidP="0042108E">
      <w:pPr>
        <w:pStyle w:val="Heading4"/>
        <w:rPr>
          <w:rStyle w:val="BodyTextChar"/>
          <w:rFonts w:ascii="Calibri" w:eastAsiaTheme="majorEastAsia" w:hAnsi="Calibri" w:cs="Calibri"/>
        </w:rPr>
      </w:pPr>
      <w:r w:rsidRPr="00150391">
        <w:rPr>
          <w:rStyle w:val="BodyTextChar"/>
          <w:rFonts w:ascii="Calibri" w:eastAsiaTheme="majorEastAsia" w:hAnsi="Calibri" w:cs="Calibri"/>
        </w:rPr>
        <w:t>Average staffing level</w:t>
      </w:r>
    </w:p>
    <w:p w14:paraId="03B50D4C" w14:textId="465EDDDC" w:rsidR="00B54712" w:rsidRPr="00150391" w:rsidRDefault="00961463" w:rsidP="00961463">
      <w:pPr>
        <w:rPr>
          <w:rFonts w:cs="Calibri"/>
        </w:rPr>
      </w:pPr>
      <w:r w:rsidRPr="00150391">
        <w:rPr>
          <w:rFonts w:cs="Calibri"/>
        </w:rPr>
        <w:t xml:space="preserve">The ASL figure should be discussed with Finance (see section </w:t>
      </w:r>
      <w:r w:rsidRPr="002B4935">
        <w:rPr>
          <w:rStyle w:val="CrossReferenceChar"/>
          <w:rFonts w:cs="Calibri"/>
          <w:color w:val="0070C0"/>
        </w:rPr>
        <w:fldChar w:fldCharType="begin"/>
      </w:r>
      <w:r w:rsidRPr="002B4935">
        <w:rPr>
          <w:rStyle w:val="CrossReferenceChar"/>
          <w:rFonts w:cs="Calibri"/>
          <w:color w:val="0070C0"/>
        </w:rPr>
        <w:instrText xml:space="preserve"> REF _Ref94870174 \w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Pr>
          <w:rStyle w:val="CrossReferenceChar"/>
          <w:rFonts w:cs="Calibri"/>
          <w:color w:val="0070C0"/>
        </w:rPr>
        <w:t>14</w:t>
      </w:r>
      <w:r w:rsidRPr="002B4935">
        <w:rPr>
          <w:rStyle w:val="CrossReferenceChar"/>
          <w:rFonts w:cs="Calibri"/>
          <w:color w:val="0070C0"/>
        </w:rPr>
        <w:fldChar w:fldCharType="end"/>
      </w:r>
      <w:r w:rsidRPr="002B4935">
        <w:rPr>
          <w:rStyle w:val="CrossReferenceChar"/>
          <w:rFonts w:cs="Calibri"/>
          <w:color w:val="0070C0"/>
        </w:rPr>
        <w:t xml:space="preserve"> </w:t>
      </w:r>
      <w:r w:rsidRPr="002B4935">
        <w:rPr>
          <w:rStyle w:val="CrossReferenceChar"/>
          <w:rFonts w:cs="Calibri"/>
          <w:color w:val="0070C0"/>
        </w:rPr>
        <w:fldChar w:fldCharType="begin"/>
      </w:r>
      <w:r w:rsidRPr="002B4935">
        <w:rPr>
          <w:rStyle w:val="CrossReferenceChar"/>
          <w:rFonts w:cs="Calibri"/>
          <w:color w:val="0070C0"/>
        </w:rPr>
        <w:instrText xml:space="preserve"> REF _Ref94870174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sidRPr="0073409A">
        <w:rPr>
          <w:rStyle w:val="CrossReferenceChar"/>
          <w:color w:val="0070C0"/>
        </w:rPr>
        <w:t>Contacts</w:t>
      </w:r>
      <w:r w:rsidRPr="002B4935">
        <w:rPr>
          <w:rStyle w:val="CrossReferenceChar"/>
          <w:rFonts w:cs="Calibri"/>
          <w:color w:val="0070C0"/>
        </w:rPr>
        <w:fldChar w:fldCharType="end"/>
      </w:r>
      <w:r w:rsidRPr="00150391">
        <w:rPr>
          <w:rFonts w:cs="Calibri"/>
        </w:rPr>
        <w:t>) and match the figures to be published in BP No. 4 and the totals shown at the bottom of the outcome expense tables Table 2.X.1. Please refer to the latest Finance guidance on ASL for more information on ASL reporting.</w:t>
      </w:r>
    </w:p>
    <w:p w14:paraId="53CBDE9F" w14:textId="77777777" w:rsidR="00B54712" w:rsidRPr="00150391" w:rsidRDefault="53BF0693" w:rsidP="53BF0693">
      <w:pPr>
        <w:pStyle w:val="Heading4"/>
        <w:rPr>
          <w:rStyle w:val="BodyTextChar"/>
          <w:rFonts w:ascii="Calibri" w:hAnsi="Calibri" w:cs="Calibri"/>
          <w:sz w:val="24"/>
          <w:szCs w:val="24"/>
        </w:rPr>
      </w:pPr>
      <w:r w:rsidRPr="00150391">
        <w:rPr>
          <w:rStyle w:val="BodyTextChar"/>
          <w:rFonts w:ascii="Calibri" w:hAnsi="Calibri" w:cs="Calibri"/>
        </w:rPr>
        <w:t>Third party payments</w:t>
      </w:r>
    </w:p>
    <w:p w14:paraId="4F285493" w14:textId="77777777" w:rsidR="00B54712" w:rsidRPr="00150391" w:rsidRDefault="53BF0693" w:rsidP="000A7DEC">
      <w:pPr>
        <w:rPr>
          <w:rFonts w:cs="Calibri"/>
        </w:rPr>
      </w:pPr>
      <w:r w:rsidRPr="00150391">
        <w:rPr>
          <w:rFonts w:cs="Calibri"/>
        </w:rPr>
        <w:t xml:space="preserve">The </w:t>
      </w:r>
      <w:r w:rsidRPr="00150391">
        <w:rPr>
          <w:rFonts w:cs="Calibri"/>
          <w:b/>
          <w:bCs/>
        </w:rPr>
        <w:t>Third Party Payments</w:t>
      </w:r>
      <w:r w:rsidRPr="00150391">
        <w:rPr>
          <w:rFonts w:cs="Calibri"/>
        </w:rPr>
        <w:t xml:space="preserve"> information will be drawn from entities’ own records and should be agreed with the relevant entities. These figures should be prepared on a consistent basis with the rest of </w:t>
      </w:r>
      <w:r w:rsidRPr="00150391">
        <w:rPr>
          <w:rFonts w:cs="Calibri"/>
          <w:i/>
          <w:iCs/>
        </w:rPr>
        <w:t>Table 1.1,</w:t>
      </w:r>
      <w:r w:rsidRPr="00150391">
        <w:rPr>
          <w:rFonts w:cs="Calibri"/>
        </w:rPr>
        <w:t xml:space="preserve"> i.e. using resourcing/appropriations transferred figures, and the reader should be able to reconcile figures between entities.</w:t>
      </w:r>
    </w:p>
    <w:p w14:paraId="59416AEF" w14:textId="77777777" w:rsidR="00B54712" w:rsidRPr="00150391" w:rsidRDefault="53BF0693" w:rsidP="53BF0693">
      <w:pPr>
        <w:pStyle w:val="Bullet1"/>
        <w:rPr>
          <w:rStyle w:val="BodyTextChar"/>
          <w:rFonts w:ascii="Calibri" w:hAnsi="Calibri" w:cs="Calibri"/>
        </w:rPr>
      </w:pPr>
      <w:r w:rsidRPr="00150391">
        <w:rPr>
          <w:rStyle w:val="BodyTextChar"/>
          <w:rFonts w:ascii="Calibri" w:hAnsi="Calibri" w:cs="Calibri"/>
        </w:rPr>
        <w:t>This sub-table should only be prepared by those entities which:</w:t>
      </w:r>
    </w:p>
    <w:p w14:paraId="3DB0435E" w14:textId="77777777" w:rsidR="00A86DDD" w:rsidRPr="00150391" w:rsidRDefault="53BF0693" w:rsidP="53BF0693">
      <w:pPr>
        <w:pStyle w:val="Bullet2"/>
        <w:rPr>
          <w:rStyle w:val="BodyTextChar"/>
          <w:rFonts w:cs="Calibri"/>
        </w:rPr>
      </w:pPr>
      <w:r w:rsidRPr="00150391">
        <w:rPr>
          <w:rStyle w:val="BodyTextChar"/>
          <w:rFonts w:cs="Calibri"/>
        </w:rPr>
        <w:t xml:space="preserve">are identified as </w:t>
      </w:r>
      <w:r w:rsidRPr="00150391">
        <w:rPr>
          <w:rStyle w:val="BodyTextChar"/>
          <w:rFonts w:cs="Calibri"/>
          <w:i/>
          <w:iCs/>
        </w:rPr>
        <w:t>Material</w:t>
      </w:r>
      <w:r w:rsidRPr="00150391">
        <w:rPr>
          <w:rStyle w:val="BodyTextChar"/>
          <w:rFonts w:cs="Calibri"/>
        </w:rPr>
        <w:t xml:space="preserve"> entities under either the </w:t>
      </w:r>
      <w:r w:rsidRPr="00150391">
        <w:rPr>
          <w:rStyle w:val="BodyTextChar"/>
          <w:rFonts w:cs="Calibri"/>
          <w:i/>
          <w:iCs/>
        </w:rPr>
        <w:t xml:space="preserve">AGOR or PGPA Act Flipchart </w:t>
      </w:r>
    </w:p>
    <w:p w14:paraId="2E15403F" w14:textId="77777777" w:rsidR="000C53A8" w:rsidRPr="00150391" w:rsidRDefault="53BF0693" w:rsidP="53BF0693">
      <w:pPr>
        <w:pStyle w:val="Bullet2"/>
        <w:rPr>
          <w:rStyle w:val="BodyTextChar"/>
          <w:rFonts w:cs="Calibri"/>
        </w:rPr>
      </w:pPr>
      <w:r w:rsidRPr="00150391">
        <w:rPr>
          <w:rStyle w:val="BodyTextChar"/>
          <w:rFonts w:cs="Calibri"/>
        </w:rPr>
        <w:t>have total third party payments of $10 million or more in a year or</w:t>
      </w:r>
    </w:p>
    <w:p w14:paraId="004E753A" w14:textId="0A745209" w:rsidR="00B54712" w:rsidRPr="00150391" w:rsidRDefault="53BF0693" w:rsidP="53BF0693">
      <w:pPr>
        <w:pStyle w:val="Bullet2"/>
        <w:rPr>
          <w:rStyle w:val="BodyTextChar"/>
          <w:rFonts w:cs="Calibri"/>
        </w:rPr>
      </w:pPr>
      <w:r w:rsidRPr="00150391">
        <w:rPr>
          <w:rStyle w:val="BodyTextChar"/>
          <w:rFonts w:cs="Calibri"/>
        </w:rPr>
        <w:t xml:space="preserve">are considered </w:t>
      </w:r>
      <w:r w:rsidRPr="00150391">
        <w:rPr>
          <w:rStyle w:val="BodyTextChar"/>
          <w:rFonts w:cs="Calibri"/>
          <w:i/>
          <w:iCs/>
        </w:rPr>
        <w:t xml:space="preserve">Small </w:t>
      </w:r>
      <w:r w:rsidRPr="00150391">
        <w:rPr>
          <w:rStyle w:val="BodyTextChar"/>
          <w:rFonts w:cs="Calibri"/>
        </w:rPr>
        <w:t>entities who have third party payments totalling more than 25 per</w:t>
      </w:r>
      <w:r w:rsidR="00AA7EC6" w:rsidRPr="00150391">
        <w:rPr>
          <w:rStyle w:val="BodyTextChar"/>
          <w:rFonts w:cs="Calibri"/>
        </w:rPr>
        <w:t xml:space="preserve"> </w:t>
      </w:r>
      <w:r w:rsidRPr="00150391">
        <w:rPr>
          <w:rStyle w:val="BodyTextChar"/>
          <w:rFonts w:cs="Calibri"/>
        </w:rPr>
        <w:t>cent of their total resourcing.</w:t>
      </w:r>
    </w:p>
    <w:p w14:paraId="5CF3D85B" w14:textId="77777777" w:rsidR="00DE63E7" w:rsidRPr="00150391" w:rsidRDefault="00B85473" w:rsidP="00580008">
      <w:pPr>
        <w:pStyle w:val="Boxed2Text"/>
        <w:rPr>
          <w:rStyle w:val="BodyTextChar"/>
          <w:rFonts w:cs="Calibri"/>
        </w:rPr>
      </w:pPr>
      <w:r w:rsidRPr="00150391">
        <w:rPr>
          <w:rStyle w:val="BodyTextChar"/>
          <w:rFonts w:cs="Calibri"/>
          <w:bCs/>
        </w:rPr>
        <w:t>B</w:t>
      </w:r>
      <w:r w:rsidR="53BF0693" w:rsidRPr="00150391">
        <w:rPr>
          <w:rStyle w:val="BodyTextChar"/>
          <w:rFonts w:cs="Calibri"/>
        </w:rPr>
        <w:t xml:space="preserve">oth Material and Small entities can be identified by looking at the </w:t>
      </w:r>
      <w:r w:rsidR="53BF0693" w:rsidRPr="00150391">
        <w:rPr>
          <w:rStyle w:val="BodyTextChar"/>
          <w:rFonts w:cs="Calibri"/>
          <w:i/>
          <w:iCs/>
        </w:rPr>
        <w:t>AGOR Register</w:t>
      </w:r>
      <w:r w:rsidR="53BF0693" w:rsidRPr="00150391">
        <w:rPr>
          <w:rStyle w:val="BodyTextChar"/>
          <w:rFonts w:cs="Calibri"/>
        </w:rPr>
        <w:t xml:space="preserve"> or at Finance's </w:t>
      </w:r>
      <w:r w:rsidR="53BF0693" w:rsidRPr="00150391">
        <w:rPr>
          <w:rStyle w:val="BodyTextChar"/>
          <w:rFonts w:cs="Calibri"/>
          <w:i/>
          <w:iCs/>
        </w:rPr>
        <w:t>PGPA Act Flipchart of Commonwealth entities and companies</w:t>
      </w:r>
      <w:r w:rsidR="53BF0693" w:rsidRPr="00150391">
        <w:rPr>
          <w:rStyle w:val="BodyTextChar"/>
          <w:rFonts w:cs="Calibri"/>
        </w:rPr>
        <w:t xml:space="preserve"> (please refer to the Glossary for info on AGOR and the flipchart).</w:t>
      </w:r>
    </w:p>
    <w:p w14:paraId="11C0144C" w14:textId="240D746B" w:rsidR="00B54712" w:rsidRPr="00150391" w:rsidRDefault="00961463" w:rsidP="53BF0693">
      <w:pPr>
        <w:pStyle w:val="Bullet1"/>
        <w:rPr>
          <w:rStyle w:val="BodyTextChar"/>
          <w:rFonts w:ascii="Calibri" w:hAnsi="Calibri" w:cs="Calibri"/>
        </w:rPr>
      </w:pPr>
      <w:r w:rsidRPr="00150391">
        <w:rPr>
          <w:rStyle w:val="BodyTextChar"/>
          <w:rFonts w:ascii="Calibri" w:hAnsi="Calibri" w:cs="Calibri"/>
        </w:rPr>
        <w:t>T</w:t>
      </w:r>
      <w:r w:rsidR="53BF0693" w:rsidRPr="00150391">
        <w:rPr>
          <w:rStyle w:val="BodyTextChar"/>
          <w:rFonts w:ascii="Calibri" w:hAnsi="Calibri" w:cs="Calibri"/>
        </w:rPr>
        <w:t xml:space="preserve">his sub-table is intended to show the types and materiality of inter-entity transfers of resourcing. Figures shown will be a sub-set of the total resourcing shown in the top section of </w:t>
      </w:r>
      <w:r w:rsidR="53BF0693" w:rsidRPr="00150391">
        <w:rPr>
          <w:rStyle w:val="BodyTextChar"/>
          <w:rFonts w:ascii="Calibri" w:hAnsi="Calibri" w:cs="Calibri"/>
          <w:i/>
          <w:iCs/>
        </w:rPr>
        <w:t>Table 1.1</w:t>
      </w:r>
      <w:r w:rsidR="001B4CBC" w:rsidRPr="00150391">
        <w:rPr>
          <w:rStyle w:val="BodyTextChar"/>
          <w:rFonts w:ascii="Calibri" w:hAnsi="Calibri" w:cs="Calibri"/>
        </w:rPr>
        <w:t>:</w:t>
      </w:r>
    </w:p>
    <w:p w14:paraId="10D7656E" w14:textId="06E408CA" w:rsidR="00B54712" w:rsidRPr="00150391" w:rsidRDefault="001B4CBC" w:rsidP="53BF0693">
      <w:pPr>
        <w:pStyle w:val="Bullet2"/>
        <w:rPr>
          <w:rStyle w:val="BodyTextChar"/>
          <w:rFonts w:cs="Calibri"/>
        </w:rPr>
      </w:pPr>
      <w:r w:rsidRPr="00150391">
        <w:rPr>
          <w:rStyle w:val="BodyTextChar"/>
          <w:rFonts w:cs="Calibri"/>
          <w:b/>
          <w:bCs/>
        </w:rPr>
        <w:t>p</w:t>
      </w:r>
      <w:r w:rsidR="53BF0693" w:rsidRPr="00150391">
        <w:rPr>
          <w:rStyle w:val="BodyTextChar"/>
          <w:rFonts w:cs="Calibri"/>
          <w:b/>
          <w:bCs/>
        </w:rPr>
        <w:t>ayments made on behalf of another entity</w:t>
      </w:r>
      <w:r w:rsidR="53BF0693" w:rsidRPr="00150391">
        <w:rPr>
          <w:rStyle w:val="BodyTextChar"/>
          <w:rFonts w:cs="Calibri"/>
        </w:rPr>
        <w:t xml:space="preserve"> occur where an entity accesses another entity’s appropriations to pay recipients or external parties on behalf of the other entity, for example, Services Australia</w:t>
      </w:r>
      <w:r w:rsidR="00C90E71" w:rsidRPr="00150391">
        <w:rPr>
          <w:rStyle w:val="BodyTextChar"/>
          <w:rFonts w:cs="Calibri"/>
        </w:rPr>
        <w:t xml:space="preserve"> (SA)</w:t>
      </w:r>
      <w:r w:rsidR="53BF0693" w:rsidRPr="00150391">
        <w:rPr>
          <w:rStyle w:val="BodyTextChar"/>
          <w:rFonts w:cs="Calibri"/>
        </w:rPr>
        <w:t xml:space="preserve"> would show the amount of appropriations it draws upon to pay income support recipients on behalf of the Department of Social Services (DSS)</w:t>
      </w:r>
      <w:r w:rsidR="00EA2B51" w:rsidRPr="00150391">
        <w:rPr>
          <w:rStyle w:val="BodyTextChar"/>
          <w:rFonts w:cs="Calibri"/>
        </w:rPr>
        <w:t>.</w:t>
      </w:r>
    </w:p>
    <w:p w14:paraId="325ADAD1" w14:textId="102F93FA" w:rsidR="00B54712" w:rsidRPr="00150391" w:rsidRDefault="001B4CBC" w:rsidP="53BF0693">
      <w:pPr>
        <w:pStyle w:val="Bullet2"/>
        <w:rPr>
          <w:rStyle w:val="BodyTextChar"/>
          <w:rFonts w:cs="Calibri"/>
        </w:rPr>
      </w:pPr>
      <w:r w:rsidRPr="00150391">
        <w:rPr>
          <w:rStyle w:val="BodyTextChar"/>
          <w:rFonts w:cs="Calibri"/>
          <w:b/>
          <w:bCs/>
        </w:rPr>
        <w:t>p</w:t>
      </w:r>
      <w:r w:rsidR="53BF0693" w:rsidRPr="00150391">
        <w:rPr>
          <w:rStyle w:val="BodyTextChar"/>
          <w:rFonts w:cs="Calibri"/>
          <w:b/>
          <w:bCs/>
        </w:rPr>
        <w:t>ayments made by other entities on behalf of the entity</w:t>
      </w:r>
      <w:r w:rsidR="53BF0693" w:rsidRPr="00150391">
        <w:rPr>
          <w:rStyle w:val="BodyTextChar"/>
          <w:rFonts w:cs="Calibri"/>
        </w:rPr>
        <w:t xml:space="preserve"> are those payments which have been outsourced to another entity to administer, for example, DSS would disclose the appropriations being drawn upon by SA to pay income support recipients</w:t>
      </w:r>
      <w:r w:rsidR="00EA2B51" w:rsidRPr="00150391">
        <w:rPr>
          <w:rStyle w:val="BodyTextChar"/>
          <w:rFonts w:cs="Calibri"/>
        </w:rPr>
        <w:t>.</w:t>
      </w:r>
    </w:p>
    <w:p w14:paraId="6289640F" w14:textId="77777777" w:rsidR="00B54712" w:rsidRPr="00150391" w:rsidRDefault="001B4CBC" w:rsidP="53BF0693">
      <w:pPr>
        <w:pStyle w:val="Bullet2"/>
        <w:rPr>
          <w:rStyle w:val="BodyTextChar"/>
          <w:rFonts w:cs="Calibri"/>
        </w:rPr>
      </w:pPr>
      <w:r w:rsidRPr="00150391">
        <w:rPr>
          <w:rStyle w:val="BodyTextChar"/>
          <w:rFonts w:cs="Calibri"/>
          <w:b/>
          <w:bCs/>
        </w:rPr>
        <w:t>p</w:t>
      </w:r>
      <w:r w:rsidR="53BF0693" w:rsidRPr="00150391">
        <w:rPr>
          <w:rStyle w:val="BodyTextChar"/>
          <w:rFonts w:cs="Calibri"/>
          <w:b/>
          <w:bCs/>
        </w:rPr>
        <w:t>ayments made to other entities for the provision of services</w:t>
      </w:r>
      <w:r w:rsidR="53BF0693" w:rsidRPr="00150391">
        <w:rPr>
          <w:rStyle w:val="BodyTextChar"/>
          <w:rFonts w:cs="Calibri"/>
        </w:rPr>
        <w:t xml:space="preserve"> are amounts paid to other entities for contracted services, for example, for shared/corporate services.</w:t>
      </w:r>
    </w:p>
    <w:p w14:paraId="4BD06F03" w14:textId="77777777" w:rsidR="00B54712" w:rsidRPr="00150391" w:rsidRDefault="001B4CBC" w:rsidP="53BF0693">
      <w:pPr>
        <w:pStyle w:val="Bullet2"/>
        <w:rPr>
          <w:rStyle w:val="BodyTextChar"/>
          <w:rFonts w:cs="Calibri"/>
        </w:rPr>
      </w:pPr>
      <w:r w:rsidRPr="00150391">
        <w:rPr>
          <w:rStyle w:val="BodyTextChar"/>
          <w:rFonts w:cs="Calibri"/>
          <w:b/>
          <w:bCs/>
        </w:rPr>
        <w:t>r</w:t>
      </w:r>
      <w:r w:rsidR="53BF0693" w:rsidRPr="00150391">
        <w:rPr>
          <w:rStyle w:val="BodyTextChar"/>
          <w:rFonts w:cs="Calibri"/>
          <w:b/>
          <w:bCs/>
        </w:rPr>
        <w:t>eceipts received from other entities for the provision of services</w:t>
      </w:r>
      <w:r w:rsidR="53BF0693" w:rsidRPr="00150391">
        <w:rPr>
          <w:rStyle w:val="BodyTextChar"/>
          <w:rFonts w:cs="Calibri"/>
        </w:rPr>
        <w:t xml:space="preserve"> are amounts received where the entity provides services to another entity, for example, for the provision of shared/corporate services</w:t>
      </w:r>
      <w:r w:rsidRPr="00150391">
        <w:rPr>
          <w:rStyle w:val="BodyTextChar"/>
          <w:rFonts w:cs="Calibri"/>
        </w:rPr>
        <w:t>.</w:t>
      </w:r>
    </w:p>
    <w:p w14:paraId="163F9E95" w14:textId="77777777" w:rsidR="00B54712" w:rsidRPr="00150391" w:rsidRDefault="001B4CBC" w:rsidP="53BF0693">
      <w:pPr>
        <w:pStyle w:val="Bullet2"/>
        <w:rPr>
          <w:rStyle w:val="BodyTextChar"/>
          <w:rFonts w:cs="Calibri"/>
        </w:rPr>
      </w:pPr>
      <w:r w:rsidRPr="00150391">
        <w:rPr>
          <w:rStyle w:val="BodyTextChar"/>
          <w:rFonts w:cs="Calibri"/>
          <w:b/>
          <w:bCs/>
        </w:rPr>
        <w:t>p</w:t>
      </w:r>
      <w:r w:rsidR="53BF0693" w:rsidRPr="00150391">
        <w:rPr>
          <w:rStyle w:val="BodyTextChar"/>
          <w:rFonts w:cs="Calibri"/>
          <w:b/>
          <w:bCs/>
        </w:rPr>
        <w:t>ayments made to corporate entities within the portfolio</w:t>
      </w:r>
      <w:r w:rsidR="53BF0693" w:rsidRPr="00150391">
        <w:rPr>
          <w:rStyle w:val="BodyTextChar"/>
          <w:rFonts w:cs="Calibri"/>
        </w:rPr>
        <w:t xml:space="preserve"> provides a breakdown of payments (from all appropriation sources) made by </w:t>
      </w:r>
      <w:r w:rsidR="00396887" w:rsidRPr="00150391">
        <w:rPr>
          <w:rStyle w:val="BodyTextChar"/>
          <w:rFonts w:cs="Calibri"/>
        </w:rPr>
        <w:t>portfolio department</w:t>
      </w:r>
      <w:r w:rsidR="53BF0693" w:rsidRPr="00150391">
        <w:rPr>
          <w:rStyle w:val="BodyTextChar"/>
          <w:rFonts w:cs="Calibri"/>
        </w:rPr>
        <w:t xml:space="preserve">s to each corporate entity in the portfolio – figures shown here should include amounts disclosed as “payments to corporate entities” in the Appropriation Bills. These amounts should be consistent with any figures reported in </w:t>
      </w:r>
      <w:r w:rsidR="53BF0693" w:rsidRPr="00150391">
        <w:rPr>
          <w:rStyle w:val="BodyTextChar"/>
          <w:rFonts w:cs="Calibri"/>
          <w:i/>
          <w:iCs/>
        </w:rPr>
        <w:t>Table 2.X.1</w:t>
      </w:r>
      <w:r w:rsidR="53BF0693" w:rsidRPr="00150391">
        <w:rPr>
          <w:rStyle w:val="BodyTextChar"/>
          <w:rFonts w:cs="Calibri"/>
        </w:rPr>
        <w:t>.</w:t>
      </w:r>
    </w:p>
    <w:p w14:paraId="21B38176" w14:textId="77777777" w:rsidR="00B54712" w:rsidRPr="00150391" w:rsidRDefault="53BF0693" w:rsidP="53BF0693">
      <w:pPr>
        <w:pStyle w:val="Heading4"/>
        <w:rPr>
          <w:rStyle w:val="BodyTextChar"/>
          <w:rFonts w:ascii="Calibri" w:hAnsi="Calibri" w:cs="Calibri"/>
          <w:b/>
          <w:sz w:val="24"/>
          <w:szCs w:val="24"/>
        </w:rPr>
      </w:pPr>
      <w:r w:rsidRPr="00150391">
        <w:rPr>
          <w:rStyle w:val="BodyTextChar"/>
          <w:rFonts w:ascii="Calibri" w:hAnsi="Calibri" w:cs="Calibri"/>
        </w:rPr>
        <w:t>Source of information</w:t>
      </w:r>
    </w:p>
    <w:p w14:paraId="7E7A62B5" w14:textId="77777777" w:rsidR="00B54712" w:rsidRPr="00150391" w:rsidRDefault="53BF0693" w:rsidP="53BF0693">
      <w:pPr>
        <w:pStyle w:val="Bullet1"/>
        <w:numPr>
          <w:ilvl w:val="0"/>
          <w:numId w:val="0"/>
        </w:numPr>
        <w:rPr>
          <w:rStyle w:val="BodyTextChar"/>
          <w:rFonts w:ascii="Calibri" w:hAnsi="Calibri" w:cs="Calibri"/>
        </w:rPr>
      </w:pPr>
      <w:r w:rsidRPr="00150391">
        <w:rPr>
          <w:rStyle w:val="BodyTextChar"/>
          <w:rFonts w:ascii="Calibri" w:hAnsi="Calibri" w:cs="Calibri"/>
        </w:rPr>
        <w:t>Appropriation information in this table must be sourced from CBMS and an entity’s annual report and should be consistent with information captured in an entity’s FMIS.</w:t>
      </w:r>
    </w:p>
    <w:p w14:paraId="3829A799" w14:textId="77777777" w:rsidR="008F2BD5" w:rsidRPr="00150391" w:rsidRDefault="53BF0693" w:rsidP="53BF0693">
      <w:pPr>
        <w:rPr>
          <w:rStyle w:val="BodyTextChar"/>
          <w:rFonts w:cs="Calibri"/>
        </w:rPr>
      </w:pPr>
      <w:r w:rsidRPr="00150391">
        <w:rPr>
          <w:rStyle w:val="BodyTextChar"/>
          <w:rFonts w:cs="Calibri"/>
        </w:rPr>
        <w:t>For those tables that are not yet available in CBMS (i.e. Section 1), to assist entities with quality assurance and cross-checking data, the majority of the information for the PB Statement Tables should be sourced by running the following reports in CBMS.</w:t>
      </w:r>
    </w:p>
    <w:p w14:paraId="310F7D83" w14:textId="77777777" w:rsidR="005E333F" w:rsidRPr="00150391" w:rsidRDefault="53BF0693" w:rsidP="53BF0693">
      <w:pPr>
        <w:rPr>
          <w:rStyle w:val="BodyTextChar"/>
          <w:rFonts w:eastAsiaTheme="minorEastAsia" w:cs="Calibri"/>
        </w:rPr>
      </w:pPr>
      <w:r w:rsidRPr="00150391">
        <w:rPr>
          <w:rStyle w:val="BodyTextChar"/>
          <w:rFonts w:eastAsiaTheme="minorEastAsia" w:cs="Calibri"/>
        </w:rPr>
        <w:t xml:space="preserve">Appropriation Bill No. 1 and 2 (for </w:t>
      </w:r>
      <w:r w:rsidR="0007613A" w:rsidRPr="00150391">
        <w:rPr>
          <w:rStyle w:val="BodyTextChar"/>
          <w:rFonts w:eastAsiaTheme="minorEastAsia" w:cs="Calibri"/>
        </w:rPr>
        <w:t>2022</w:t>
      </w:r>
      <w:r w:rsidRPr="00150391">
        <w:rPr>
          <w:rStyle w:val="BodyTextChar"/>
          <w:rFonts w:eastAsiaTheme="minorEastAsia" w:cs="Calibri"/>
        </w:rPr>
        <w:t>-</w:t>
      </w:r>
      <w:r w:rsidR="0007613A" w:rsidRPr="00150391">
        <w:rPr>
          <w:rStyle w:val="BodyTextChar"/>
          <w:rFonts w:eastAsiaTheme="minorEastAsia" w:cs="Calibri"/>
        </w:rPr>
        <w:t>23</w:t>
      </w:r>
      <w:r w:rsidRPr="00150391">
        <w:rPr>
          <w:rStyle w:val="BodyTextChar"/>
          <w:rFonts w:eastAsiaTheme="minorEastAsia" w:cs="Calibri"/>
        </w:rPr>
        <w:t>):</w:t>
      </w:r>
    </w:p>
    <w:p w14:paraId="3A4ED7C4" w14:textId="77777777" w:rsidR="00B54712" w:rsidRPr="00150391" w:rsidRDefault="00B54712" w:rsidP="00A8355D">
      <w:pPr>
        <w:pStyle w:val="Reports1"/>
        <w:rPr>
          <w:rFonts w:cs="Calibri"/>
        </w:rPr>
      </w:pPr>
      <w:r w:rsidRPr="00150391">
        <w:rPr>
          <w:rStyle w:val="BodyTextChar"/>
          <w:rFonts w:cs="Calibri"/>
        </w:rPr>
        <w:t>Reports</w:t>
      </w:r>
      <w:r w:rsidRPr="00150391">
        <w:rPr>
          <w:rFonts w:cs="Calibri"/>
        </w:rPr>
        <w:t xml:space="preserve"> </w:t>
      </w:r>
      <w:r w:rsidR="00323F53" w:rsidRPr="00150391">
        <w:rPr>
          <w:rFonts w:cs="Calibri"/>
        </w:rPr>
        <w:sym w:font="Wingdings" w:char="F0E0"/>
      </w:r>
      <w:r w:rsidRPr="00150391">
        <w:rPr>
          <w:rFonts w:cs="Calibri"/>
        </w:rPr>
        <w:t xml:space="preserve"> CBMS Reporting </w:t>
      </w:r>
      <w:r w:rsidR="00323F53" w:rsidRPr="00150391">
        <w:rPr>
          <w:rFonts w:cs="Calibri"/>
        </w:rPr>
        <w:sym w:font="Wingdings" w:char="F0E0"/>
      </w:r>
      <w:r w:rsidRPr="00150391">
        <w:rPr>
          <w:rFonts w:cs="Calibri"/>
        </w:rPr>
        <w:t xml:space="preserve"> Statutory Reports </w:t>
      </w:r>
      <w:r w:rsidR="00323F53" w:rsidRPr="00150391">
        <w:rPr>
          <w:rFonts w:cs="Calibri"/>
        </w:rPr>
        <w:sym w:font="Wingdings" w:char="F0E0"/>
      </w:r>
      <w:r w:rsidRPr="00150391">
        <w:rPr>
          <w:rFonts w:cs="Calibri"/>
        </w:rPr>
        <w:t xml:space="preserve"> Appropriation Bills </w:t>
      </w:r>
      <w:r w:rsidR="00323F53" w:rsidRPr="00150391">
        <w:rPr>
          <w:rFonts w:cs="Calibri"/>
        </w:rPr>
        <w:sym w:font="Wingdings" w:char="F0E0"/>
      </w:r>
      <w:r w:rsidR="00323F53" w:rsidRPr="00150391">
        <w:rPr>
          <w:rFonts w:cs="Calibri"/>
        </w:rPr>
        <w:t> </w:t>
      </w:r>
      <w:r w:rsidR="00442152" w:rsidRPr="00150391">
        <w:rPr>
          <w:rFonts w:cs="Calibri"/>
        </w:rPr>
        <w:t>Budget</w:t>
      </w:r>
      <w:r w:rsidRPr="00150391">
        <w:rPr>
          <w:rFonts w:cs="Calibri"/>
        </w:rPr>
        <w:t xml:space="preserve"> Bills </w:t>
      </w:r>
      <w:r w:rsidR="00323F53" w:rsidRPr="00150391">
        <w:rPr>
          <w:rFonts w:cs="Calibri"/>
        </w:rPr>
        <w:sym w:font="Wingdings" w:char="F0E0"/>
      </w:r>
      <w:r w:rsidR="00323F53" w:rsidRPr="00150391">
        <w:rPr>
          <w:rFonts w:cs="Calibri"/>
        </w:rPr>
        <w:t xml:space="preserve"> </w:t>
      </w:r>
      <w:r w:rsidRPr="00150391">
        <w:rPr>
          <w:rFonts w:cs="Calibri"/>
        </w:rPr>
        <w:t xml:space="preserve">Appropriation Bill 1 </w:t>
      </w:r>
      <w:r w:rsidR="00442152" w:rsidRPr="00150391">
        <w:rPr>
          <w:rFonts w:cs="Calibri"/>
        </w:rPr>
        <w:t xml:space="preserve">- </w:t>
      </w:r>
      <w:r w:rsidRPr="00150391">
        <w:rPr>
          <w:rFonts w:cs="Calibri"/>
        </w:rPr>
        <w:t>Portfolio Summary and Detail</w:t>
      </w:r>
    </w:p>
    <w:p w14:paraId="7DB8577C" w14:textId="77777777" w:rsidR="005E333F" w:rsidRPr="00150391" w:rsidRDefault="00B54712" w:rsidP="00A8355D">
      <w:pPr>
        <w:pStyle w:val="Reports1"/>
        <w:rPr>
          <w:rStyle w:val="BodyTextChar"/>
          <w:rFonts w:cs="Calibri"/>
        </w:rPr>
      </w:pPr>
      <w:r w:rsidRPr="00150391">
        <w:rPr>
          <w:rStyle w:val="BodyTextChar"/>
          <w:rFonts w:cs="Calibri"/>
        </w:rPr>
        <w:t xml:space="preserve">Reports </w:t>
      </w:r>
      <w:r w:rsidR="00323F53" w:rsidRPr="00150391">
        <w:rPr>
          <w:rStyle w:val="BodyTextChar"/>
          <w:rFonts w:cs="Calibri"/>
        </w:rPr>
        <w:sym w:font="Wingdings" w:char="F0E0"/>
      </w:r>
      <w:r w:rsidR="00323F53" w:rsidRPr="00150391">
        <w:rPr>
          <w:rStyle w:val="BodyTextChar"/>
          <w:rFonts w:cs="Calibri"/>
        </w:rPr>
        <w:t xml:space="preserve"> </w:t>
      </w:r>
      <w:r w:rsidRPr="00150391">
        <w:rPr>
          <w:rStyle w:val="BodyTextChar"/>
          <w:rFonts w:cs="Calibri"/>
        </w:rPr>
        <w:t xml:space="preserve">CBMS Reporting </w:t>
      </w:r>
      <w:r w:rsidR="00323F53" w:rsidRPr="00150391">
        <w:rPr>
          <w:rStyle w:val="BodyTextChar"/>
          <w:rFonts w:cs="Calibri"/>
        </w:rPr>
        <w:sym w:font="Wingdings" w:char="F0E0"/>
      </w:r>
      <w:r w:rsidRPr="00150391">
        <w:rPr>
          <w:rStyle w:val="BodyTextChar"/>
          <w:rFonts w:cs="Calibri"/>
        </w:rPr>
        <w:t xml:space="preserve"> Statutory Reports </w:t>
      </w:r>
      <w:r w:rsidR="00323F53" w:rsidRPr="00150391">
        <w:rPr>
          <w:rStyle w:val="BodyTextChar"/>
          <w:rFonts w:cs="Calibri"/>
        </w:rPr>
        <w:sym w:font="Wingdings" w:char="F0E0"/>
      </w:r>
      <w:r w:rsidRPr="00150391">
        <w:rPr>
          <w:rStyle w:val="BodyTextChar"/>
          <w:rFonts w:cs="Calibri"/>
        </w:rPr>
        <w:t xml:space="preserve"> Appropriation Bills </w:t>
      </w:r>
      <w:r w:rsidR="00323F53" w:rsidRPr="00150391">
        <w:rPr>
          <w:rStyle w:val="BodyTextChar"/>
          <w:rFonts w:cs="Calibri"/>
        </w:rPr>
        <w:sym w:font="Wingdings" w:char="F0E0"/>
      </w:r>
      <w:r w:rsidRPr="00150391">
        <w:rPr>
          <w:rStyle w:val="BodyTextChar"/>
          <w:rFonts w:cs="Calibri"/>
        </w:rPr>
        <w:t xml:space="preserve"> </w:t>
      </w:r>
      <w:r w:rsidR="00442152" w:rsidRPr="00150391">
        <w:rPr>
          <w:rStyle w:val="BodyTextChar"/>
          <w:rFonts w:cs="Calibri"/>
        </w:rPr>
        <w:t>Budget</w:t>
      </w:r>
      <w:r w:rsidRPr="00150391">
        <w:rPr>
          <w:rStyle w:val="BodyTextChar"/>
          <w:rFonts w:cs="Calibri"/>
        </w:rPr>
        <w:t xml:space="preserve"> Bills </w:t>
      </w:r>
      <w:r w:rsidR="00323F53" w:rsidRPr="00150391">
        <w:rPr>
          <w:rStyle w:val="BodyTextChar"/>
          <w:rFonts w:cs="Calibri"/>
        </w:rPr>
        <w:sym w:font="Wingdings" w:char="F0E0"/>
      </w:r>
      <w:r w:rsidRPr="00150391">
        <w:rPr>
          <w:rStyle w:val="BodyTextChar"/>
          <w:rFonts w:cs="Calibri"/>
        </w:rPr>
        <w:t xml:space="preserve"> Appropriation Bill 2 </w:t>
      </w:r>
      <w:r w:rsidR="00442152" w:rsidRPr="00150391">
        <w:rPr>
          <w:rStyle w:val="BodyTextChar"/>
          <w:rFonts w:cs="Calibri"/>
        </w:rPr>
        <w:t xml:space="preserve">- </w:t>
      </w:r>
      <w:r w:rsidRPr="00150391">
        <w:rPr>
          <w:rStyle w:val="BodyTextChar"/>
          <w:rFonts w:cs="Calibri"/>
        </w:rPr>
        <w:t>Portfolio Summary and Detail</w:t>
      </w:r>
      <w:r w:rsidR="00136F8A" w:rsidRPr="00150391">
        <w:rPr>
          <w:rFonts w:cs="Calibri"/>
          <w:color w:val="auto"/>
        </w:rPr>
        <w:t>.</w:t>
      </w:r>
    </w:p>
    <w:p w14:paraId="240135B9" w14:textId="77777777" w:rsidR="005E333F" w:rsidRPr="00150391" w:rsidRDefault="53BF0693" w:rsidP="53BF0693">
      <w:pPr>
        <w:suppressAutoHyphens w:val="0"/>
        <w:spacing w:before="0" w:after="120" w:line="440" w:lineRule="atLeast"/>
        <w:rPr>
          <w:rStyle w:val="BodyTextChar"/>
          <w:rFonts w:cs="Calibri"/>
          <w:i/>
          <w:iCs/>
        </w:rPr>
      </w:pPr>
      <w:r w:rsidRPr="00150391">
        <w:rPr>
          <w:rStyle w:val="BodyTextChar"/>
          <w:rFonts w:cs="Calibri"/>
        </w:rPr>
        <w:t xml:space="preserve">Appropriation Act No. 3 and 4 (for </w:t>
      </w:r>
      <w:r w:rsidR="00F456EC" w:rsidRPr="00150391">
        <w:rPr>
          <w:rStyle w:val="BodyTextChar"/>
          <w:rFonts w:cs="Calibri"/>
        </w:rPr>
        <w:t>2022</w:t>
      </w:r>
      <w:r w:rsidRPr="00150391">
        <w:rPr>
          <w:rStyle w:val="BodyTextChar"/>
          <w:rFonts w:cs="Calibri"/>
        </w:rPr>
        <w:t>-</w:t>
      </w:r>
      <w:r w:rsidR="00F456EC" w:rsidRPr="00150391">
        <w:rPr>
          <w:rStyle w:val="BodyTextChar"/>
          <w:rFonts w:cs="Calibri"/>
        </w:rPr>
        <w:t>23</w:t>
      </w:r>
      <w:r w:rsidRPr="00150391">
        <w:rPr>
          <w:rStyle w:val="BodyTextChar"/>
          <w:rFonts w:cs="Calibri"/>
        </w:rPr>
        <w:t>):</w:t>
      </w:r>
    </w:p>
    <w:p w14:paraId="2D36E125" w14:textId="77777777" w:rsidR="005E333F" w:rsidRPr="00150391" w:rsidRDefault="005E333F" w:rsidP="00495729">
      <w:pPr>
        <w:pStyle w:val="Reports1"/>
        <w:rPr>
          <w:rFonts w:cs="Calibri"/>
        </w:rPr>
      </w:pPr>
      <w:r w:rsidRPr="00150391">
        <w:rPr>
          <w:rStyle w:val="BodyTextChar"/>
          <w:rFonts w:cs="Calibri"/>
        </w:rPr>
        <w:t>Reports</w:t>
      </w:r>
      <w:r w:rsidRPr="00150391">
        <w:rPr>
          <w:rFonts w:cs="Calibri"/>
        </w:rPr>
        <w:t xml:space="preserve"> </w:t>
      </w:r>
      <w:r w:rsidRPr="00150391">
        <w:rPr>
          <w:rFonts w:cs="Calibri"/>
        </w:rPr>
        <w:sym w:font="Wingdings" w:char="F0E0"/>
      </w:r>
      <w:r w:rsidRPr="00150391">
        <w:rPr>
          <w:rFonts w:cs="Calibri"/>
        </w:rPr>
        <w:t xml:space="preserve"> CBMS Reporting </w:t>
      </w:r>
      <w:r w:rsidRPr="00150391">
        <w:rPr>
          <w:rFonts w:cs="Calibri"/>
        </w:rPr>
        <w:sym w:font="Wingdings" w:char="F0E0"/>
      </w:r>
      <w:r w:rsidRPr="00150391">
        <w:rPr>
          <w:rFonts w:cs="Calibri"/>
        </w:rPr>
        <w:t xml:space="preserve"> Statutory Reports </w:t>
      </w:r>
      <w:r w:rsidRPr="00150391">
        <w:rPr>
          <w:rFonts w:cs="Calibri"/>
        </w:rPr>
        <w:sym w:font="Wingdings" w:char="F0E0"/>
      </w:r>
      <w:r w:rsidRPr="00150391">
        <w:rPr>
          <w:rFonts w:cs="Calibri"/>
        </w:rPr>
        <w:t xml:space="preserve"> Appropriation Bills </w:t>
      </w:r>
      <w:r w:rsidRPr="00150391">
        <w:rPr>
          <w:rFonts w:cs="Calibri"/>
        </w:rPr>
        <w:sym w:font="Wingdings" w:char="F0E0"/>
      </w:r>
      <w:r w:rsidRPr="00150391">
        <w:rPr>
          <w:rFonts w:cs="Calibri"/>
        </w:rPr>
        <w:t xml:space="preserve"> Additional Estimates Bills </w:t>
      </w:r>
      <w:r w:rsidRPr="00150391">
        <w:rPr>
          <w:rFonts w:cs="Calibri"/>
        </w:rPr>
        <w:sym w:font="Wingdings" w:char="F0E0"/>
      </w:r>
      <w:r w:rsidRPr="00150391">
        <w:rPr>
          <w:rFonts w:cs="Calibri"/>
        </w:rPr>
        <w:t xml:space="preserve"> Appropriation Bill 3 - Portfolio Summary and Detail</w:t>
      </w:r>
    </w:p>
    <w:p w14:paraId="2D680BA7" w14:textId="77777777" w:rsidR="005E333F" w:rsidRPr="00150391" w:rsidRDefault="005E333F" w:rsidP="00495729">
      <w:pPr>
        <w:pStyle w:val="Reports1"/>
        <w:rPr>
          <w:rFonts w:cs="Calibri"/>
        </w:rPr>
      </w:pPr>
      <w:r w:rsidRPr="00150391">
        <w:rPr>
          <w:rStyle w:val="BodyTextChar"/>
          <w:rFonts w:cs="Calibri"/>
        </w:rPr>
        <w:t>Reports</w:t>
      </w:r>
      <w:r w:rsidRPr="00150391">
        <w:rPr>
          <w:rFonts w:cs="Calibri"/>
        </w:rPr>
        <w:t xml:space="preserve"> </w:t>
      </w:r>
      <w:r w:rsidRPr="00150391">
        <w:rPr>
          <w:rFonts w:cs="Calibri"/>
        </w:rPr>
        <w:sym w:font="Wingdings" w:char="F0E0"/>
      </w:r>
      <w:r w:rsidRPr="00150391">
        <w:rPr>
          <w:rFonts w:cs="Calibri"/>
        </w:rPr>
        <w:t xml:space="preserve"> CBMS Reporting </w:t>
      </w:r>
      <w:r w:rsidRPr="00150391">
        <w:rPr>
          <w:rFonts w:cs="Calibri"/>
        </w:rPr>
        <w:sym w:font="Wingdings" w:char="F0E0"/>
      </w:r>
      <w:r w:rsidRPr="00150391">
        <w:rPr>
          <w:rFonts w:cs="Calibri"/>
        </w:rPr>
        <w:t xml:space="preserve"> Statutory Reports </w:t>
      </w:r>
      <w:r w:rsidRPr="00150391">
        <w:rPr>
          <w:rFonts w:cs="Calibri"/>
        </w:rPr>
        <w:sym w:font="Wingdings" w:char="F0E0"/>
      </w:r>
      <w:r w:rsidRPr="00150391">
        <w:rPr>
          <w:rFonts w:cs="Calibri"/>
        </w:rPr>
        <w:t xml:space="preserve"> Appropriation Bills </w:t>
      </w:r>
      <w:r w:rsidRPr="00150391">
        <w:rPr>
          <w:rFonts w:cs="Calibri"/>
        </w:rPr>
        <w:sym w:font="Wingdings" w:char="F0E0"/>
      </w:r>
      <w:r w:rsidRPr="00150391">
        <w:rPr>
          <w:rFonts w:cs="Calibri"/>
        </w:rPr>
        <w:t xml:space="preserve"> Additional Estimates Bills </w:t>
      </w:r>
      <w:r w:rsidRPr="00150391">
        <w:rPr>
          <w:rFonts w:cs="Calibri"/>
        </w:rPr>
        <w:sym w:font="Wingdings" w:char="F0E0"/>
      </w:r>
      <w:r w:rsidRPr="00150391">
        <w:rPr>
          <w:rFonts w:cs="Calibri"/>
        </w:rPr>
        <w:t xml:space="preserve"> Appropriation Bill 4 - Portfolio Summary and Detail</w:t>
      </w:r>
      <w:r w:rsidR="00136F8A" w:rsidRPr="00150391">
        <w:rPr>
          <w:rFonts w:cs="Calibri"/>
          <w:color w:val="auto"/>
        </w:rPr>
        <w:t>.</w:t>
      </w:r>
    </w:p>
    <w:p w14:paraId="0B93DCE3" w14:textId="77777777" w:rsidR="00B54712" w:rsidRPr="00150391" w:rsidRDefault="53BF0693" w:rsidP="53BF0693">
      <w:pPr>
        <w:rPr>
          <w:rStyle w:val="BodyTextChar"/>
          <w:rFonts w:cs="Calibri"/>
        </w:rPr>
      </w:pPr>
      <w:r w:rsidRPr="00150391">
        <w:rPr>
          <w:rStyle w:val="BodyTextChar"/>
          <w:rFonts w:cs="Calibri"/>
        </w:rPr>
        <w:t xml:space="preserve">Appropriation Bill No. 5 and 6 (for </w:t>
      </w:r>
      <w:r w:rsidR="00F456EC" w:rsidRPr="00150391">
        <w:rPr>
          <w:rStyle w:val="BodyTextChar"/>
          <w:rFonts w:cs="Calibri"/>
        </w:rPr>
        <w:t>2022</w:t>
      </w:r>
      <w:r w:rsidRPr="00150391">
        <w:rPr>
          <w:rStyle w:val="BodyTextChar"/>
          <w:rFonts w:cs="Calibri"/>
        </w:rPr>
        <w:t>-</w:t>
      </w:r>
      <w:r w:rsidR="00F456EC" w:rsidRPr="00150391">
        <w:rPr>
          <w:rStyle w:val="BodyTextChar"/>
          <w:rFonts w:cs="Calibri"/>
        </w:rPr>
        <w:t>23</w:t>
      </w:r>
      <w:r w:rsidRPr="00150391">
        <w:rPr>
          <w:rStyle w:val="BodyTextChar"/>
          <w:rFonts w:cs="Calibri"/>
        </w:rPr>
        <w:t>):</w:t>
      </w:r>
    </w:p>
    <w:p w14:paraId="514F89C5" w14:textId="77777777" w:rsidR="005E333F" w:rsidRPr="00150391" w:rsidRDefault="00B54712" w:rsidP="00495729">
      <w:pPr>
        <w:pStyle w:val="Reports1"/>
        <w:rPr>
          <w:rStyle w:val="BodyTextChar"/>
          <w:rFonts w:cs="Calibri"/>
        </w:rPr>
      </w:pPr>
      <w:r w:rsidRPr="00150391">
        <w:rPr>
          <w:rStyle w:val="BodyTextChar"/>
          <w:rFonts w:cs="Calibri"/>
        </w:rPr>
        <w:t xml:space="preserve">Reports </w:t>
      </w:r>
      <w:r w:rsidR="00323F53" w:rsidRPr="00150391">
        <w:rPr>
          <w:rStyle w:val="BodyTextChar"/>
          <w:rFonts w:cs="Calibri"/>
        </w:rPr>
        <w:sym w:font="Wingdings" w:char="F0E0"/>
      </w:r>
      <w:r w:rsidRPr="00150391">
        <w:rPr>
          <w:rStyle w:val="BodyTextChar"/>
          <w:rFonts w:cs="Calibri"/>
        </w:rPr>
        <w:t xml:space="preserve"> CBMS Reporting </w:t>
      </w:r>
      <w:r w:rsidR="00323F53" w:rsidRPr="00150391">
        <w:rPr>
          <w:rStyle w:val="BodyTextChar"/>
          <w:rFonts w:cs="Calibri"/>
        </w:rPr>
        <w:sym w:font="Wingdings" w:char="F0E0"/>
      </w:r>
      <w:r w:rsidRPr="00150391">
        <w:rPr>
          <w:rStyle w:val="BodyTextChar"/>
          <w:rFonts w:cs="Calibri"/>
        </w:rPr>
        <w:t xml:space="preserve"> Statutory Reports </w:t>
      </w:r>
      <w:r w:rsidR="00323F53" w:rsidRPr="00150391">
        <w:rPr>
          <w:rStyle w:val="BodyTextChar"/>
          <w:rFonts w:cs="Calibri"/>
        </w:rPr>
        <w:sym w:font="Wingdings" w:char="F0E0"/>
      </w:r>
      <w:r w:rsidRPr="00150391">
        <w:rPr>
          <w:rStyle w:val="BodyTextChar"/>
          <w:rFonts w:cs="Calibri"/>
        </w:rPr>
        <w:t xml:space="preserve"> Appropriation Bills </w:t>
      </w:r>
      <w:r w:rsidR="00323F53" w:rsidRPr="00150391">
        <w:rPr>
          <w:rStyle w:val="BodyTextChar"/>
          <w:rFonts w:cs="Calibri"/>
        </w:rPr>
        <w:sym w:font="Wingdings" w:char="F0E0"/>
      </w:r>
      <w:r w:rsidRPr="00150391">
        <w:rPr>
          <w:rStyle w:val="BodyTextChar"/>
          <w:rFonts w:cs="Calibri"/>
        </w:rPr>
        <w:t xml:space="preserve"> Supplementary Bills </w:t>
      </w:r>
      <w:r w:rsidR="00323F53" w:rsidRPr="00150391">
        <w:rPr>
          <w:rStyle w:val="BodyTextChar"/>
          <w:rFonts w:cs="Calibri"/>
        </w:rPr>
        <w:sym w:font="Wingdings" w:char="F0E0"/>
      </w:r>
      <w:r w:rsidRPr="00150391">
        <w:rPr>
          <w:rStyle w:val="BodyTextChar"/>
          <w:rFonts w:cs="Calibri"/>
        </w:rPr>
        <w:t xml:space="preserve"> Appropriation Bill 5 </w:t>
      </w:r>
      <w:r w:rsidR="005E333F" w:rsidRPr="00150391">
        <w:rPr>
          <w:rStyle w:val="BodyTextChar"/>
          <w:rFonts w:cs="Calibri"/>
        </w:rPr>
        <w:t xml:space="preserve">- </w:t>
      </w:r>
      <w:r w:rsidRPr="00150391">
        <w:rPr>
          <w:rStyle w:val="BodyTextChar"/>
          <w:rFonts w:cs="Calibri"/>
        </w:rPr>
        <w:t>Portfolio Summary and Detai</w:t>
      </w:r>
      <w:r w:rsidR="005E333F" w:rsidRPr="00150391">
        <w:rPr>
          <w:rStyle w:val="BodyTextChar"/>
          <w:rFonts w:cs="Calibri"/>
        </w:rPr>
        <w:t>l</w:t>
      </w:r>
    </w:p>
    <w:p w14:paraId="7365320A" w14:textId="77777777" w:rsidR="00B54712" w:rsidRPr="00150391" w:rsidRDefault="005E333F" w:rsidP="00495729">
      <w:pPr>
        <w:pStyle w:val="Reports1"/>
        <w:rPr>
          <w:rStyle w:val="BodyTextChar"/>
          <w:rFonts w:cs="Calibri"/>
        </w:rPr>
      </w:pPr>
      <w:r w:rsidRPr="00150391">
        <w:rPr>
          <w:rStyle w:val="BodyTextChar"/>
          <w:rFonts w:cs="Calibri"/>
        </w:rPr>
        <w:t xml:space="preserve">Reports </w:t>
      </w:r>
      <w:r w:rsidRPr="00150391">
        <w:rPr>
          <w:rStyle w:val="BodyTextChar"/>
          <w:rFonts w:cs="Calibri"/>
        </w:rPr>
        <w:sym w:font="Wingdings" w:char="F0E0"/>
      </w:r>
      <w:r w:rsidRPr="00150391">
        <w:rPr>
          <w:rStyle w:val="BodyTextChar"/>
          <w:rFonts w:cs="Calibri"/>
        </w:rPr>
        <w:t xml:space="preserve"> CBMS Reporting </w:t>
      </w:r>
      <w:r w:rsidRPr="00150391">
        <w:rPr>
          <w:rStyle w:val="BodyTextChar"/>
          <w:rFonts w:cs="Calibri"/>
        </w:rPr>
        <w:sym w:font="Wingdings" w:char="F0E0"/>
      </w:r>
      <w:r w:rsidRPr="00150391">
        <w:rPr>
          <w:rStyle w:val="BodyTextChar"/>
          <w:rFonts w:cs="Calibri"/>
        </w:rPr>
        <w:t xml:space="preserve"> Statutory Reports </w:t>
      </w:r>
      <w:r w:rsidRPr="00150391">
        <w:rPr>
          <w:rStyle w:val="BodyTextChar"/>
          <w:rFonts w:cs="Calibri"/>
        </w:rPr>
        <w:sym w:font="Wingdings" w:char="F0E0"/>
      </w:r>
      <w:r w:rsidRPr="00150391">
        <w:rPr>
          <w:rStyle w:val="BodyTextChar"/>
          <w:rFonts w:cs="Calibri"/>
        </w:rPr>
        <w:t xml:space="preserve"> Appropriation Bills </w:t>
      </w:r>
      <w:r w:rsidRPr="00150391">
        <w:rPr>
          <w:rStyle w:val="BodyTextChar"/>
          <w:rFonts w:cs="Calibri"/>
        </w:rPr>
        <w:sym w:font="Wingdings" w:char="F0E0"/>
      </w:r>
      <w:r w:rsidRPr="00150391">
        <w:rPr>
          <w:rStyle w:val="BodyTextChar"/>
          <w:rFonts w:cs="Calibri"/>
        </w:rPr>
        <w:t xml:space="preserve"> Supplementary Bills </w:t>
      </w:r>
      <w:r w:rsidRPr="00150391">
        <w:rPr>
          <w:rStyle w:val="BodyTextChar"/>
          <w:rFonts w:cs="Calibri"/>
        </w:rPr>
        <w:sym w:font="Wingdings" w:char="F0E0"/>
      </w:r>
      <w:r w:rsidRPr="00150391">
        <w:rPr>
          <w:rStyle w:val="BodyTextChar"/>
          <w:rFonts w:cs="Calibri"/>
        </w:rPr>
        <w:t xml:space="preserve"> Appropriation Bill 6 - Portfolio Summary and Detail</w:t>
      </w:r>
      <w:r w:rsidR="00136F8A" w:rsidRPr="00150391">
        <w:rPr>
          <w:rStyle w:val="BodyTextChar"/>
          <w:rFonts w:cs="Calibri"/>
        </w:rPr>
        <w:t>.</w:t>
      </w:r>
    </w:p>
    <w:p w14:paraId="0C3DA3EB" w14:textId="00DF4E45" w:rsidR="0014717F" w:rsidRPr="00150391" w:rsidRDefault="53BF0693" w:rsidP="00A8355D">
      <w:pPr>
        <w:suppressAutoHyphens w:val="0"/>
        <w:spacing w:before="0" w:after="120" w:line="440" w:lineRule="atLeast"/>
        <w:rPr>
          <w:rStyle w:val="BodyTextChar"/>
          <w:rFonts w:cs="Calibri"/>
        </w:rPr>
      </w:pPr>
      <w:r w:rsidRPr="00150391">
        <w:rPr>
          <w:rStyle w:val="BodyTextChar"/>
          <w:rFonts w:cs="Calibri"/>
        </w:rPr>
        <w:t>Other reports:</w:t>
      </w:r>
    </w:p>
    <w:p w14:paraId="33C632A2" w14:textId="77777777" w:rsidR="00B54712" w:rsidRPr="00150391" w:rsidRDefault="00B54712">
      <w:pPr>
        <w:pStyle w:val="Reports1"/>
        <w:rPr>
          <w:rStyle w:val="BodyTextChar"/>
          <w:rFonts w:cs="Calibri"/>
        </w:rPr>
      </w:pPr>
      <w:r w:rsidRPr="00150391">
        <w:rPr>
          <w:rStyle w:val="BodyTextChar"/>
          <w:rFonts w:cs="Calibri"/>
        </w:rPr>
        <w:t xml:space="preserve">Reports </w:t>
      </w:r>
      <w:r w:rsidR="00323F53" w:rsidRPr="00150391">
        <w:rPr>
          <w:rStyle w:val="BodyTextChar"/>
          <w:rFonts w:cs="Calibri"/>
        </w:rPr>
        <w:sym w:font="Wingdings" w:char="F0E0"/>
      </w:r>
      <w:r w:rsidRPr="00150391">
        <w:rPr>
          <w:rStyle w:val="BodyTextChar"/>
          <w:rFonts w:cs="Calibri"/>
        </w:rPr>
        <w:t xml:space="preserve"> CBMS Reporting </w:t>
      </w:r>
      <w:r w:rsidR="00323F53" w:rsidRPr="00150391">
        <w:rPr>
          <w:rStyle w:val="BodyTextChar"/>
          <w:rFonts w:cs="Calibri"/>
        </w:rPr>
        <w:sym w:font="Wingdings" w:char="F0E0"/>
      </w:r>
      <w:r w:rsidRPr="00150391">
        <w:rPr>
          <w:rStyle w:val="BodyTextChar"/>
          <w:rFonts w:cs="Calibri"/>
        </w:rPr>
        <w:t xml:space="preserve"> Operational Reports </w:t>
      </w:r>
      <w:r w:rsidR="00323F53" w:rsidRPr="00150391">
        <w:rPr>
          <w:rStyle w:val="BodyTextChar"/>
          <w:rFonts w:cs="Calibri"/>
        </w:rPr>
        <w:sym w:font="Wingdings" w:char="F0E0"/>
      </w:r>
      <w:r w:rsidRPr="00150391">
        <w:rPr>
          <w:rStyle w:val="BodyTextChar"/>
          <w:rFonts w:cs="Calibri"/>
        </w:rPr>
        <w:t xml:space="preserve"> Estimates </w:t>
      </w:r>
      <w:r w:rsidR="00323F53" w:rsidRPr="00150391">
        <w:rPr>
          <w:rStyle w:val="BodyTextChar"/>
          <w:rFonts w:cs="Calibri"/>
        </w:rPr>
        <w:sym w:font="Wingdings" w:char="F0E0"/>
      </w:r>
      <w:r w:rsidRPr="00150391">
        <w:rPr>
          <w:rStyle w:val="BodyTextChar"/>
          <w:rFonts w:cs="Calibri"/>
        </w:rPr>
        <w:t xml:space="preserve"> Annual Estimates </w:t>
      </w:r>
      <w:r w:rsidR="00323F53" w:rsidRPr="00150391">
        <w:rPr>
          <w:rStyle w:val="BodyTextChar"/>
          <w:rFonts w:cs="Calibri"/>
        </w:rPr>
        <w:sym w:font="Wingdings" w:char="F0E0"/>
      </w:r>
      <w:r w:rsidRPr="00150391">
        <w:rPr>
          <w:rStyle w:val="BodyTextChar"/>
          <w:rFonts w:cs="Calibri"/>
        </w:rPr>
        <w:t xml:space="preserve"> AE.OR.13 Annual Estimates Detail Listing AEIFRS Report (PBF)</w:t>
      </w:r>
    </w:p>
    <w:p w14:paraId="55913689" w14:textId="77777777" w:rsidR="0014717F" w:rsidRPr="00150391" w:rsidRDefault="0014717F" w:rsidP="00495729">
      <w:pPr>
        <w:pStyle w:val="Reports1"/>
        <w:rPr>
          <w:rStyle w:val="BodyTextChar"/>
          <w:rFonts w:cs="Calibri"/>
        </w:rPr>
      </w:pPr>
      <w:r w:rsidRPr="00150391">
        <w:rPr>
          <w:rStyle w:val="BodyTextChar"/>
          <w:rFonts w:cs="Calibri"/>
        </w:rPr>
        <w:t xml:space="preserve">Reports </w:t>
      </w:r>
      <w:r w:rsidRPr="00150391">
        <w:rPr>
          <w:rStyle w:val="BodyTextChar"/>
          <w:rFonts w:cs="Calibri"/>
        </w:rPr>
        <w:sym w:font="Wingdings" w:char="F0E0"/>
      </w:r>
      <w:r w:rsidRPr="00150391">
        <w:rPr>
          <w:rStyle w:val="BodyTextChar"/>
          <w:rFonts w:cs="Calibri"/>
        </w:rPr>
        <w:t xml:space="preserve"> CBMS Reporting </w:t>
      </w:r>
      <w:r w:rsidRPr="00150391">
        <w:rPr>
          <w:rStyle w:val="BodyTextChar"/>
          <w:rFonts w:cs="Calibri"/>
        </w:rPr>
        <w:sym w:font="Wingdings" w:char="F0E0"/>
      </w:r>
      <w:r w:rsidRPr="00150391">
        <w:rPr>
          <w:rStyle w:val="BodyTextChar"/>
          <w:rFonts w:cs="Calibri"/>
        </w:rPr>
        <w:t xml:space="preserve"> Operational Reports </w:t>
      </w:r>
      <w:r w:rsidRPr="00150391">
        <w:rPr>
          <w:rStyle w:val="BodyTextChar"/>
          <w:rFonts w:cs="Calibri"/>
        </w:rPr>
        <w:sym w:font="Wingdings" w:char="F0E0"/>
      </w:r>
      <w:r w:rsidRPr="00150391">
        <w:rPr>
          <w:rStyle w:val="BodyTextChar"/>
          <w:rFonts w:cs="Calibri"/>
        </w:rPr>
        <w:t xml:space="preserve"> Estimates </w:t>
      </w:r>
      <w:r w:rsidRPr="00150391">
        <w:rPr>
          <w:rStyle w:val="BodyTextChar"/>
          <w:rFonts w:cs="Calibri"/>
        </w:rPr>
        <w:sym w:font="Wingdings" w:char="F0E0"/>
      </w:r>
      <w:r w:rsidRPr="00150391">
        <w:rPr>
          <w:rStyle w:val="BodyTextChar"/>
          <w:rFonts w:cs="Calibri"/>
        </w:rPr>
        <w:t xml:space="preserve"> Annual Estimates </w:t>
      </w:r>
      <w:r w:rsidRPr="00150391">
        <w:rPr>
          <w:rStyle w:val="BodyTextChar"/>
          <w:rFonts w:cs="Calibri"/>
        </w:rPr>
        <w:sym w:font="Wingdings" w:char="F0E0"/>
      </w:r>
      <w:r w:rsidRPr="00150391">
        <w:rPr>
          <w:rStyle w:val="BodyTextChar"/>
          <w:rFonts w:cs="Calibri"/>
        </w:rPr>
        <w:t xml:space="preserve"> AE.OR.06 Annual Estimates Capital Budget Statement Report</w:t>
      </w:r>
    </w:p>
    <w:p w14:paraId="3EE5FCC3" w14:textId="77777777" w:rsidR="0014717F" w:rsidRPr="00150391" w:rsidRDefault="0014717F" w:rsidP="00495729">
      <w:pPr>
        <w:pStyle w:val="Reports1"/>
        <w:rPr>
          <w:rStyle w:val="BodyTextChar"/>
          <w:rFonts w:cs="Calibri"/>
        </w:rPr>
      </w:pPr>
      <w:r w:rsidRPr="00150391">
        <w:rPr>
          <w:rStyle w:val="BodyTextChar"/>
          <w:rFonts w:cs="Calibri"/>
        </w:rPr>
        <w:t xml:space="preserve">Reports </w:t>
      </w:r>
      <w:r w:rsidRPr="00150391">
        <w:rPr>
          <w:rStyle w:val="BodyTextChar"/>
          <w:rFonts w:cs="Calibri"/>
        </w:rPr>
        <w:sym w:font="Wingdings" w:char="F0E0"/>
      </w:r>
      <w:r w:rsidRPr="00150391">
        <w:rPr>
          <w:rStyle w:val="BodyTextChar"/>
          <w:rFonts w:cs="Calibri"/>
        </w:rPr>
        <w:t xml:space="preserve"> CBMS Reporting </w:t>
      </w:r>
      <w:r w:rsidRPr="00150391">
        <w:rPr>
          <w:rStyle w:val="BodyTextChar"/>
          <w:rFonts w:cs="Calibri"/>
        </w:rPr>
        <w:sym w:font="Wingdings" w:char="F0E0"/>
      </w:r>
      <w:r w:rsidRPr="00150391">
        <w:rPr>
          <w:rStyle w:val="BodyTextChar"/>
          <w:rFonts w:cs="Calibri"/>
        </w:rPr>
        <w:t xml:space="preserve"> Operational Reports </w:t>
      </w:r>
      <w:r w:rsidRPr="00150391">
        <w:rPr>
          <w:rStyle w:val="BodyTextChar"/>
          <w:rFonts w:cs="Calibri"/>
        </w:rPr>
        <w:sym w:font="Wingdings" w:char="F0E0"/>
      </w:r>
      <w:r w:rsidRPr="00150391">
        <w:rPr>
          <w:rStyle w:val="BodyTextChar"/>
          <w:rFonts w:cs="Calibri"/>
        </w:rPr>
        <w:t xml:space="preserve"> Estimates </w:t>
      </w:r>
      <w:r w:rsidRPr="00150391">
        <w:rPr>
          <w:rStyle w:val="BodyTextChar"/>
          <w:rFonts w:cs="Calibri"/>
        </w:rPr>
        <w:sym w:font="Wingdings" w:char="F0E0"/>
      </w:r>
      <w:r w:rsidRPr="00150391">
        <w:rPr>
          <w:rStyle w:val="BodyTextChar"/>
          <w:rFonts w:cs="Calibri"/>
        </w:rPr>
        <w:t xml:space="preserve"> Annual Estimates </w:t>
      </w:r>
      <w:r w:rsidRPr="00150391">
        <w:rPr>
          <w:rStyle w:val="BodyTextChar"/>
          <w:rFonts w:cs="Calibri"/>
        </w:rPr>
        <w:sym w:font="Wingdings" w:char="F0E0"/>
      </w:r>
      <w:r w:rsidRPr="00150391">
        <w:rPr>
          <w:rStyle w:val="BodyTextChar"/>
          <w:rFonts w:cs="Calibri"/>
        </w:rPr>
        <w:t xml:space="preserve"> AE.OR.10 Appropriation Bill - Actual Available Appropriations (AAA) Report</w:t>
      </w:r>
    </w:p>
    <w:p w14:paraId="181E9A43" w14:textId="77777777" w:rsidR="00B54712" w:rsidRPr="00150391" w:rsidRDefault="00B54712" w:rsidP="00495729">
      <w:pPr>
        <w:pStyle w:val="Reports1"/>
        <w:rPr>
          <w:rStyle w:val="BodyTextChar"/>
          <w:rFonts w:cs="Calibri"/>
        </w:rPr>
      </w:pPr>
      <w:r w:rsidRPr="00150391">
        <w:rPr>
          <w:rStyle w:val="BodyTextChar"/>
          <w:rFonts w:cs="Calibri"/>
        </w:rPr>
        <w:t xml:space="preserve">Reports </w:t>
      </w:r>
      <w:r w:rsidR="00323F53" w:rsidRPr="00150391">
        <w:rPr>
          <w:rStyle w:val="BodyTextChar"/>
          <w:rFonts w:cs="Calibri"/>
        </w:rPr>
        <w:sym w:font="Wingdings" w:char="F0E0"/>
      </w:r>
      <w:r w:rsidRPr="00150391">
        <w:rPr>
          <w:rStyle w:val="BodyTextChar"/>
          <w:rFonts w:cs="Calibri"/>
        </w:rPr>
        <w:t xml:space="preserve"> CBMS Reporting </w:t>
      </w:r>
      <w:r w:rsidR="00323F53" w:rsidRPr="00150391">
        <w:rPr>
          <w:rStyle w:val="BodyTextChar"/>
          <w:rFonts w:cs="Calibri"/>
        </w:rPr>
        <w:sym w:font="Wingdings" w:char="F0E0"/>
      </w:r>
      <w:r w:rsidRPr="00150391">
        <w:rPr>
          <w:rStyle w:val="BodyTextChar"/>
          <w:rFonts w:cs="Calibri"/>
        </w:rPr>
        <w:t xml:space="preserve"> Operational Reports </w:t>
      </w:r>
      <w:r w:rsidR="00323F53" w:rsidRPr="00150391">
        <w:rPr>
          <w:rStyle w:val="BodyTextChar"/>
          <w:rFonts w:cs="Calibri"/>
        </w:rPr>
        <w:sym w:font="Wingdings" w:char="F0E0"/>
      </w:r>
      <w:r w:rsidRPr="00150391">
        <w:rPr>
          <w:rStyle w:val="BodyTextChar"/>
          <w:rFonts w:cs="Calibri"/>
        </w:rPr>
        <w:t xml:space="preserve"> Cash Management </w:t>
      </w:r>
      <w:r w:rsidR="00323F53" w:rsidRPr="00150391">
        <w:rPr>
          <w:rStyle w:val="BodyTextChar"/>
          <w:rFonts w:cs="Calibri"/>
        </w:rPr>
        <w:sym w:font="Wingdings" w:char="F0E0"/>
      </w:r>
      <w:r w:rsidRPr="00150391">
        <w:rPr>
          <w:rStyle w:val="BodyTextChar"/>
          <w:rFonts w:cs="Calibri"/>
        </w:rPr>
        <w:t xml:space="preserve"> Cash Operational Reports </w:t>
      </w:r>
      <w:r w:rsidR="00323F53" w:rsidRPr="00150391">
        <w:rPr>
          <w:rStyle w:val="BodyTextChar"/>
          <w:rFonts w:cs="Calibri"/>
        </w:rPr>
        <w:sym w:font="Wingdings" w:char="F0E0"/>
      </w:r>
      <w:r w:rsidRPr="00150391">
        <w:rPr>
          <w:rStyle w:val="BodyTextChar"/>
          <w:rFonts w:cs="Calibri"/>
        </w:rPr>
        <w:t xml:space="preserve"> CM.OR.010 Appropriation Balances Report</w:t>
      </w:r>
      <w:r w:rsidR="00136F8A" w:rsidRPr="00150391">
        <w:rPr>
          <w:rStyle w:val="BodyTextChar"/>
          <w:rFonts w:cs="Calibri"/>
        </w:rPr>
        <w:t>.</w:t>
      </w:r>
    </w:p>
    <w:p w14:paraId="6910B283" w14:textId="77777777" w:rsidR="00E122F4" w:rsidRPr="00150391" w:rsidRDefault="00B85473" w:rsidP="00FC1061">
      <w:pPr>
        <w:pStyle w:val="Boxed2Text"/>
        <w:rPr>
          <w:rFonts w:cs="Calibri"/>
        </w:rPr>
      </w:pPr>
      <w:r w:rsidRPr="00150391">
        <w:rPr>
          <w:rStyle w:val="BodyTextChar"/>
          <w:rFonts w:eastAsiaTheme="minorHAnsi" w:cs="Calibri"/>
        </w:rPr>
        <w:t>S</w:t>
      </w:r>
      <w:r w:rsidR="53BF0693" w:rsidRPr="00150391">
        <w:rPr>
          <w:rStyle w:val="BodyTextChar"/>
          <w:rFonts w:eastAsiaTheme="minorHAnsi" w:cs="Calibri"/>
        </w:rPr>
        <w:t>elect the current financial year only to get the "Actual available appropriation" figure available on that day. This amount reflects what is available in Cash Management and should be adjusted for any amounts expected to be paid out by 30</w:t>
      </w:r>
      <w:r w:rsidR="004B16BE" w:rsidRPr="00150391">
        <w:rPr>
          <w:rStyle w:val="BodyTextChar"/>
          <w:rFonts w:eastAsiaTheme="minorHAnsi" w:cs="Calibri"/>
        </w:rPr>
        <w:t> </w:t>
      </w:r>
      <w:r w:rsidR="53BF0693" w:rsidRPr="00150391">
        <w:rPr>
          <w:rStyle w:val="BodyTextChar"/>
          <w:rFonts w:eastAsiaTheme="minorHAnsi" w:cs="Calibri"/>
        </w:rPr>
        <w:t xml:space="preserve">June </w:t>
      </w:r>
      <w:r w:rsidR="008E1BDD" w:rsidRPr="00150391">
        <w:rPr>
          <w:rStyle w:val="BodyTextChar"/>
          <w:rFonts w:eastAsiaTheme="minorHAnsi" w:cs="Calibri"/>
        </w:rPr>
        <w:t>2022</w:t>
      </w:r>
      <w:r w:rsidR="53BF0693" w:rsidRPr="00150391">
        <w:rPr>
          <w:rStyle w:val="BodyTextChar"/>
          <w:rFonts w:eastAsiaTheme="minorHAnsi" w:cs="Calibri"/>
        </w:rPr>
        <w:t>. The amount shown in the AAA Report will be net of any s51</w:t>
      </w:r>
      <w:r w:rsidR="004B16BE" w:rsidRPr="00150391">
        <w:rPr>
          <w:rStyle w:val="BodyTextChar"/>
          <w:rFonts w:eastAsiaTheme="minorHAnsi" w:cs="Calibri"/>
        </w:rPr>
        <w:t> </w:t>
      </w:r>
      <w:r w:rsidR="53BF0693" w:rsidRPr="00150391">
        <w:rPr>
          <w:rStyle w:val="BodyTextChar"/>
          <w:rFonts w:eastAsiaTheme="minorHAnsi" w:cs="Calibri"/>
        </w:rPr>
        <w:t>withholdings and administrative quarantines.</w:t>
      </w:r>
    </w:p>
    <w:p w14:paraId="08C7B891" w14:textId="77777777" w:rsidR="00004D73" w:rsidRPr="00150391" w:rsidRDefault="00004D73" w:rsidP="00A8355D">
      <w:pPr>
        <w:rPr>
          <w:rFonts w:cs="Calibri"/>
        </w:rPr>
      </w:pPr>
      <w:bookmarkStart w:id="505" w:name="_Toc87979875"/>
      <w:bookmarkStart w:id="506" w:name="_Toc47369880"/>
      <w:bookmarkStart w:id="507" w:name="_Toc29980680"/>
      <w:bookmarkStart w:id="508" w:name="_Toc30405568"/>
      <w:bookmarkStart w:id="509" w:name="_Toc30581309"/>
      <w:bookmarkStart w:id="510" w:name="_Toc32829971"/>
      <w:bookmarkStart w:id="511" w:name="_Toc32917478"/>
      <w:bookmarkStart w:id="512" w:name="_Toc32918284"/>
      <w:bookmarkStart w:id="513" w:name="_Toc32999667"/>
      <w:bookmarkStart w:id="514" w:name="_Toc33099386"/>
      <w:bookmarkStart w:id="515" w:name="_Toc33196011"/>
      <w:bookmarkStart w:id="516" w:name="_Toc33196313"/>
      <w:bookmarkStart w:id="517" w:name="_Toc411852678"/>
      <w:bookmarkStart w:id="518" w:name="_Toc534382558"/>
      <w:bookmarkStart w:id="519" w:name="_Ref47004664"/>
      <w:bookmarkStart w:id="520" w:name="_Ref47004670"/>
      <w:bookmarkStart w:id="521" w:name="_Toc63347705"/>
      <w:bookmarkEnd w:id="505"/>
      <w:bookmarkEnd w:id="506"/>
      <w:bookmarkEnd w:id="507"/>
      <w:bookmarkEnd w:id="508"/>
      <w:bookmarkEnd w:id="509"/>
      <w:bookmarkEnd w:id="510"/>
      <w:bookmarkEnd w:id="511"/>
      <w:bookmarkEnd w:id="512"/>
      <w:bookmarkEnd w:id="513"/>
      <w:bookmarkEnd w:id="514"/>
      <w:bookmarkEnd w:id="515"/>
      <w:bookmarkEnd w:id="516"/>
      <w:r w:rsidRPr="00150391">
        <w:rPr>
          <w:rFonts w:cs="Calibri"/>
        </w:rPr>
        <w:br w:type="page"/>
      </w:r>
    </w:p>
    <w:p w14:paraId="409D31F1" w14:textId="42B3DA3A" w:rsidR="00FA0945" w:rsidRPr="00150391" w:rsidRDefault="53BF0693" w:rsidP="00CF6BE7">
      <w:pPr>
        <w:pStyle w:val="Heading1Numbered"/>
        <w:rPr>
          <w:rFonts w:ascii="Calibri" w:hAnsi="Calibri" w:cs="Calibri"/>
        </w:rPr>
      </w:pPr>
      <w:bookmarkStart w:id="522" w:name="_Toc114576292"/>
      <w:r w:rsidRPr="00150391">
        <w:rPr>
          <w:rFonts w:ascii="Calibri" w:hAnsi="Calibri" w:cs="Calibri"/>
        </w:rPr>
        <w:t>Budget measures</w:t>
      </w:r>
      <w:bookmarkEnd w:id="517"/>
      <w:bookmarkEnd w:id="518"/>
      <w:bookmarkEnd w:id="519"/>
      <w:bookmarkEnd w:id="520"/>
      <w:bookmarkEnd w:id="521"/>
      <w:bookmarkEnd w:id="522"/>
    </w:p>
    <w:p w14:paraId="6991C908" w14:textId="77777777" w:rsidR="00FA0945" w:rsidRPr="00150391" w:rsidRDefault="53BF0693" w:rsidP="00580008">
      <w:pPr>
        <w:pStyle w:val="Boxed2Text"/>
        <w:rPr>
          <w:rStyle w:val="BodyTextChar"/>
          <w:rFonts w:eastAsiaTheme="minorEastAsia" w:cs="Calibri"/>
          <w:bCs/>
          <w:color w:val="1C1C1C" w:themeColor="text2"/>
          <w:sz w:val="40"/>
        </w:rPr>
      </w:pPr>
      <w:r w:rsidRPr="00150391">
        <w:rPr>
          <w:rFonts w:cs="Calibri"/>
        </w:rPr>
        <w:t xml:space="preserve">The template for this table can be found in the </w:t>
      </w:r>
      <w:r w:rsidRPr="00150391">
        <w:rPr>
          <w:rFonts w:cs="Calibri"/>
          <w:i/>
          <w:iCs/>
        </w:rPr>
        <w:t>“Table 1.2”</w:t>
      </w:r>
      <w:r w:rsidRPr="00150391">
        <w:rPr>
          <w:rFonts w:cs="Calibri"/>
        </w:rPr>
        <w:t xml:space="preserve"> tab</w:t>
      </w:r>
      <w:r w:rsidRPr="00150391">
        <w:rPr>
          <w:rStyle w:val="BodyTextChar"/>
          <w:rFonts w:eastAsiaTheme="minorEastAsia" w:cs="Calibri"/>
        </w:rPr>
        <w:t xml:space="preserve"> of the Excel Tables workbook (</w:t>
      </w:r>
      <w:r w:rsidRPr="00150391">
        <w:rPr>
          <w:rStyle w:val="BodyTextChar"/>
          <w:rFonts w:eastAsiaTheme="minorEastAsia" w:cs="Calibri"/>
          <w:u w:val="single"/>
        </w:rPr>
        <w:t>Attachment B</w:t>
      </w:r>
      <w:r w:rsidRPr="00150391">
        <w:rPr>
          <w:rStyle w:val="BodyTextChar"/>
          <w:rFonts w:eastAsiaTheme="minorEastAsia" w:cs="Calibri"/>
        </w:rPr>
        <w:t xml:space="preserve"> refers).</w:t>
      </w:r>
    </w:p>
    <w:p w14:paraId="18DA39FC" w14:textId="38CCA700" w:rsidR="002D7CF6" w:rsidRPr="00150391" w:rsidRDefault="53BF0693" w:rsidP="53BF0693">
      <w:pPr>
        <w:rPr>
          <w:rStyle w:val="BodyTextChar"/>
          <w:rFonts w:cs="Calibri"/>
        </w:rPr>
      </w:pPr>
      <w:r w:rsidRPr="00150391">
        <w:rPr>
          <w:rStyle w:val="BodyTextChar"/>
          <w:rFonts w:cs="Calibri"/>
        </w:rPr>
        <w:t xml:space="preserve">The </w:t>
      </w:r>
      <w:r w:rsidRPr="00150391">
        <w:rPr>
          <w:rStyle w:val="BodyTextChar"/>
          <w:rFonts w:cs="Calibri"/>
          <w:i/>
          <w:iCs/>
        </w:rPr>
        <w:t>Budget measures</w:t>
      </w:r>
      <w:r w:rsidRPr="00150391">
        <w:rPr>
          <w:rStyle w:val="BodyTextChar"/>
          <w:rFonts w:cs="Calibri"/>
        </w:rPr>
        <w:t xml:space="preserve"> section primarily highlights new government decisions supporting the </w:t>
      </w:r>
      <w:r w:rsidRPr="00150391">
        <w:rPr>
          <w:rStyle w:val="BodyTextChar"/>
          <w:rFonts w:cs="Calibri"/>
          <w:i/>
        </w:rPr>
        <w:t>Appropriations Bills</w:t>
      </w:r>
      <w:r w:rsidR="00CB6496" w:rsidRPr="00150391">
        <w:rPr>
          <w:rStyle w:val="BodyTextChar"/>
          <w:rFonts w:cs="Calibri"/>
          <w:i/>
        </w:rPr>
        <w:t xml:space="preserve"> (No.1) 2022-23 </w:t>
      </w:r>
      <w:r w:rsidR="00CB6496" w:rsidRPr="00150391">
        <w:rPr>
          <w:rStyle w:val="BodyTextChar"/>
          <w:rFonts w:cs="Calibri"/>
        </w:rPr>
        <w:t xml:space="preserve">and </w:t>
      </w:r>
      <w:r w:rsidR="00CB6496" w:rsidRPr="00150391">
        <w:rPr>
          <w:rStyle w:val="BodyTextChar"/>
          <w:rFonts w:cs="Calibri"/>
          <w:i/>
        </w:rPr>
        <w:t>Appropriations Bills (No.2) 2022-23</w:t>
      </w:r>
      <w:r w:rsidRPr="00150391">
        <w:rPr>
          <w:rStyle w:val="BodyTextChar"/>
          <w:rFonts w:cs="Calibri"/>
        </w:rPr>
        <w:t>.</w:t>
      </w:r>
    </w:p>
    <w:p w14:paraId="06EF389D" w14:textId="35DC3EE2" w:rsidR="00F83095" w:rsidRPr="00150391" w:rsidRDefault="53BF0693" w:rsidP="53BF0693">
      <w:pPr>
        <w:rPr>
          <w:rStyle w:val="BodyTextChar"/>
          <w:rFonts w:cs="Calibri"/>
        </w:rPr>
      </w:pPr>
      <w:r w:rsidRPr="00150391">
        <w:rPr>
          <w:rStyle w:val="BodyTextChar"/>
          <w:rFonts w:cs="Calibri"/>
        </w:rPr>
        <w:t xml:space="preserve">For the </w:t>
      </w:r>
      <w:r w:rsidR="0007613A" w:rsidRPr="00150391">
        <w:rPr>
          <w:rStyle w:val="BodyTextChar"/>
          <w:rFonts w:cs="Calibri"/>
        </w:rPr>
        <w:t>2022</w:t>
      </w:r>
      <w:r w:rsidRPr="00150391">
        <w:rPr>
          <w:rStyle w:val="BodyTextChar"/>
          <w:rFonts w:cs="Calibri"/>
        </w:rPr>
        <w:t>-</w:t>
      </w:r>
      <w:r w:rsidR="0007613A" w:rsidRPr="00150391">
        <w:rPr>
          <w:rStyle w:val="BodyTextChar"/>
          <w:rFonts w:cs="Calibri"/>
        </w:rPr>
        <w:t xml:space="preserve">23 </w:t>
      </w:r>
      <w:r w:rsidRPr="00150391">
        <w:rPr>
          <w:rStyle w:val="BodyTextChar"/>
          <w:rFonts w:cs="Calibri"/>
        </w:rPr>
        <w:t xml:space="preserve">Budget, entities </w:t>
      </w:r>
      <w:r w:rsidRPr="00150391">
        <w:rPr>
          <w:rStyle w:val="BodyTextChar"/>
          <w:rFonts w:cs="Calibri"/>
          <w:b/>
          <w:bCs/>
        </w:rPr>
        <w:t>are only required</w:t>
      </w:r>
      <w:r w:rsidRPr="00150391">
        <w:rPr>
          <w:rStyle w:val="BodyTextChar"/>
          <w:rFonts w:cs="Calibri"/>
        </w:rPr>
        <w:t xml:space="preserve"> to report measures taken </w:t>
      </w:r>
      <w:r w:rsidR="000D2200" w:rsidRPr="00150391">
        <w:rPr>
          <w:rStyle w:val="BodyTextChar"/>
          <w:rFonts w:cs="Calibri"/>
        </w:rPr>
        <w:t>since the</w:t>
      </w:r>
      <w:r w:rsidR="00A55C16" w:rsidRPr="00150391">
        <w:rPr>
          <w:rStyle w:val="BodyTextChar"/>
          <w:rFonts w:cs="Calibri"/>
        </w:rPr>
        <w:t xml:space="preserve"> last Budget (29 March </w:t>
      </w:r>
      <w:r w:rsidR="000D2200" w:rsidRPr="00150391">
        <w:rPr>
          <w:rStyle w:val="BodyTextChar"/>
          <w:rFonts w:cs="Calibri"/>
        </w:rPr>
        <w:t>202</w:t>
      </w:r>
      <w:r w:rsidR="00A55C16" w:rsidRPr="00150391">
        <w:rPr>
          <w:rStyle w:val="BodyTextChar"/>
          <w:rFonts w:cs="Calibri"/>
        </w:rPr>
        <w:t>2)</w:t>
      </w:r>
      <w:r w:rsidRPr="00150391">
        <w:rPr>
          <w:rStyle w:val="BodyTextChar"/>
          <w:rFonts w:cs="Calibri"/>
        </w:rPr>
        <w:t xml:space="preserve">. </w:t>
      </w:r>
    </w:p>
    <w:p w14:paraId="225B9E20" w14:textId="77777777" w:rsidR="00FA0945" w:rsidRPr="00150391" w:rsidRDefault="53BF0693" w:rsidP="53BF0693">
      <w:pPr>
        <w:rPr>
          <w:rStyle w:val="BodyTextChar"/>
          <w:rFonts w:cs="Calibri"/>
        </w:rPr>
      </w:pPr>
      <w:r w:rsidRPr="00150391">
        <w:rPr>
          <w:rStyle w:val="BodyTextChar"/>
          <w:rFonts w:cs="Calibri"/>
        </w:rPr>
        <w:t xml:space="preserve">For completeness, </w:t>
      </w:r>
      <w:r w:rsidRPr="00150391">
        <w:rPr>
          <w:rStyle w:val="BodyTextChar"/>
          <w:rFonts w:cs="Calibri"/>
          <w:b/>
          <w:bCs/>
        </w:rPr>
        <w:t>all measures</w:t>
      </w:r>
      <w:r w:rsidRPr="00150391">
        <w:rPr>
          <w:rStyle w:val="BodyTextChar"/>
          <w:rFonts w:cs="Calibri"/>
        </w:rPr>
        <w:t xml:space="preserve"> should be reported at the entity level in PB Statements, including measures with zero financial impact.</w:t>
      </w:r>
    </w:p>
    <w:p w14:paraId="2FCE0938" w14:textId="59439BE2" w:rsidR="00FA0945" w:rsidRPr="00150391" w:rsidRDefault="53BF0693" w:rsidP="53BF0693">
      <w:pPr>
        <w:rPr>
          <w:rStyle w:val="BodyTextChar"/>
          <w:rFonts w:cs="Calibri"/>
        </w:rPr>
      </w:pPr>
      <w:r w:rsidRPr="00150391">
        <w:rPr>
          <w:rStyle w:val="BodyTextChar"/>
          <w:rFonts w:cs="Calibri"/>
        </w:rPr>
        <w:t>This complements the whole-of-government public reporting of all measures in BP No. 2 and ensures a clear</w:t>
      </w:r>
      <w:r w:rsidR="00913C21" w:rsidRPr="00150391">
        <w:rPr>
          <w:rStyle w:val="BodyTextChar"/>
          <w:rFonts w:cs="Calibri"/>
        </w:rPr>
        <w:t xml:space="preserve"> </w:t>
      </w:r>
      <w:r w:rsidRPr="00150391">
        <w:rPr>
          <w:rStyle w:val="BodyTextChar"/>
          <w:rFonts w:cs="Calibri"/>
        </w:rPr>
        <w:t xml:space="preserve">read of </w:t>
      </w:r>
      <w:r w:rsidR="006418EA" w:rsidRPr="00150391">
        <w:rPr>
          <w:rStyle w:val="BodyTextChar"/>
          <w:rFonts w:cs="Calibri"/>
        </w:rPr>
        <w:t>government</w:t>
      </w:r>
      <w:r w:rsidRPr="00150391">
        <w:rPr>
          <w:rStyle w:val="BodyTextChar"/>
          <w:rFonts w:cs="Calibri"/>
        </w:rPr>
        <w:t xml:space="preserve"> decisions to entity level across key budget publications.</w:t>
      </w:r>
    </w:p>
    <w:p w14:paraId="0E4469C9" w14:textId="131BCC70" w:rsidR="00AE63CA" w:rsidRPr="00150391" w:rsidRDefault="53BF0693" w:rsidP="53BF0693">
      <w:pPr>
        <w:rPr>
          <w:rStyle w:val="BodyTextChar"/>
          <w:rFonts w:cs="Calibri"/>
        </w:rPr>
      </w:pPr>
      <w:r w:rsidRPr="00150391">
        <w:rPr>
          <w:rStyle w:val="BodyTextChar"/>
          <w:rFonts w:cs="Calibri"/>
        </w:rPr>
        <w:t xml:space="preserve">All details of </w:t>
      </w:r>
      <w:r w:rsidR="00590388" w:rsidRPr="00150391">
        <w:rPr>
          <w:rStyle w:val="BodyTextChar"/>
          <w:rFonts w:cs="Calibri"/>
        </w:rPr>
        <w:t xml:space="preserve">October </w:t>
      </w:r>
      <w:r w:rsidR="0007613A" w:rsidRPr="00150391">
        <w:rPr>
          <w:rStyle w:val="BodyTextChar"/>
          <w:rFonts w:cs="Calibri"/>
        </w:rPr>
        <w:t>2022</w:t>
      </w:r>
      <w:r w:rsidRPr="00150391">
        <w:rPr>
          <w:rStyle w:val="BodyTextChar"/>
          <w:rFonts w:cs="Calibri"/>
        </w:rPr>
        <w:t>-</w:t>
      </w:r>
      <w:r w:rsidR="0007613A" w:rsidRPr="00150391">
        <w:rPr>
          <w:rStyle w:val="BodyTextChar"/>
          <w:rFonts w:cs="Calibri"/>
        </w:rPr>
        <w:t xml:space="preserve">23 </w:t>
      </w:r>
      <w:r w:rsidRPr="00150391">
        <w:rPr>
          <w:rStyle w:val="BodyTextChar"/>
          <w:rFonts w:cs="Calibri"/>
        </w:rPr>
        <w:t xml:space="preserve">Budget measures </w:t>
      </w:r>
      <w:r w:rsidRPr="00150391">
        <w:rPr>
          <w:rStyle w:val="BodyTextChar"/>
          <w:rFonts w:cs="Calibri"/>
          <w:b/>
          <w:bCs/>
        </w:rPr>
        <w:t>must match</w:t>
      </w:r>
      <w:r w:rsidRPr="00150391">
        <w:rPr>
          <w:rStyle w:val="BodyTextChar"/>
          <w:rFonts w:cs="Calibri"/>
        </w:rPr>
        <w:t xml:space="preserve"> the final measures list provided by Finance before being reported in </w:t>
      </w:r>
      <w:r w:rsidRPr="00150391">
        <w:rPr>
          <w:rStyle w:val="BodyTextChar"/>
          <w:rFonts w:cs="Calibri"/>
          <w:i/>
          <w:iCs/>
        </w:rPr>
        <w:t>Table 1.2</w:t>
      </w:r>
      <w:r w:rsidRPr="00150391">
        <w:rPr>
          <w:rStyle w:val="BodyTextChar"/>
          <w:rFonts w:cs="Calibri"/>
        </w:rPr>
        <w:t>. Measure figures are to be reported on the same basis on which BP No. 2 is prepared.</w:t>
      </w:r>
    </w:p>
    <w:p w14:paraId="719AFF96" w14:textId="77777777" w:rsidR="00B066EC" w:rsidRPr="00150391" w:rsidRDefault="53BF0693" w:rsidP="53BF0693">
      <w:pPr>
        <w:pStyle w:val="Boxed2Text"/>
        <w:rPr>
          <w:rStyle w:val="BodyTextChar"/>
          <w:rFonts w:cs="Calibri"/>
        </w:rPr>
      </w:pPr>
      <w:r w:rsidRPr="00150391">
        <w:rPr>
          <w:rStyle w:val="BodyTextChar"/>
          <w:rFonts w:cs="Calibri"/>
        </w:rPr>
        <w:t xml:space="preserve">Measures are reported in BP No. 2 and PB Statements in UCB terms. </w:t>
      </w:r>
    </w:p>
    <w:p w14:paraId="624C06D7" w14:textId="77777777" w:rsidR="00FA0945" w:rsidRPr="00150391" w:rsidRDefault="53BF0693" w:rsidP="53BF0693">
      <w:pPr>
        <w:rPr>
          <w:rStyle w:val="BodyTextChar"/>
          <w:rFonts w:cs="Calibri"/>
        </w:rPr>
      </w:pPr>
      <w:r w:rsidRPr="00150391">
        <w:rPr>
          <w:rStyle w:val="BodyTextChar"/>
          <w:rFonts w:cs="Calibri"/>
        </w:rPr>
        <w:t xml:space="preserve">The measure title for cross </w:t>
      </w:r>
      <w:r w:rsidR="00396887" w:rsidRPr="00150391">
        <w:rPr>
          <w:rStyle w:val="BodyTextChar"/>
          <w:rFonts w:cs="Calibri"/>
        </w:rPr>
        <w:t>portfolio</w:t>
      </w:r>
      <w:r w:rsidRPr="00150391">
        <w:rPr>
          <w:rStyle w:val="BodyTextChar"/>
          <w:rFonts w:cs="Calibri"/>
        </w:rPr>
        <w:t xml:space="preserve"> measures should be the same in all PB Statements affected by the measure. To increase transparency, where an entity is not the lead entity in a measure package, they are required to name the lead entity in a footnote to the measure to allow easy cross reference to the measure description in BP No. 2 and across PB Statements. This should be done with the following text:</w:t>
      </w:r>
    </w:p>
    <w:p w14:paraId="19AF4EEF" w14:textId="77777777" w:rsidR="00FA0945" w:rsidRPr="00150391" w:rsidRDefault="6B6EE5C4" w:rsidP="6B6EE5C4">
      <w:pPr>
        <w:rPr>
          <w:rStyle w:val="BodyTextChar"/>
          <w:rFonts w:cs="Calibri"/>
        </w:rPr>
      </w:pPr>
      <w:r w:rsidRPr="00150391">
        <w:rPr>
          <w:rStyle w:val="BodyTextChar"/>
          <w:rFonts w:cs="Calibri"/>
        </w:rPr>
        <w:t xml:space="preserve">The lead entity for measure titled xxxxxxx is </w:t>
      </w:r>
      <w:r w:rsidR="00A12716" w:rsidRPr="00150391">
        <w:rPr>
          <w:rStyle w:val="BodyTextChar"/>
          <w:rFonts w:cs="Calibri"/>
        </w:rPr>
        <w:t>yyyyyyy</w:t>
      </w:r>
      <w:r w:rsidRPr="00150391">
        <w:rPr>
          <w:rStyle w:val="BodyTextChar"/>
          <w:rFonts w:cs="Calibri"/>
        </w:rPr>
        <w:t xml:space="preserve">. The full measure description and package details appear in BP No. 2 under the </w:t>
      </w:r>
      <w:r w:rsidR="00A12716" w:rsidRPr="00150391">
        <w:rPr>
          <w:rStyle w:val="BodyTextChar"/>
          <w:rFonts w:cs="Calibri"/>
        </w:rPr>
        <w:t xml:space="preserve">yyyyyyy </w:t>
      </w:r>
      <w:r w:rsidRPr="00150391">
        <w:rPr>
          <w:rStyle w:val="BodyTextChar"/>
          <w:rFonts w:cs="Calibri"/>
        </w:rPr>
        <w:t>portfolio.</w:t>
      </w:r>
    </w:p>
    <w:p w14:paraId="7573DEB8" w14:textId="0F4580E4" w:rsidR="00D008E6" w:rsidRPr="00150391" w:rsidRDefault="53BF0693" w:rsidP="53BF0693">
      <w:pPr>
        <w:rPr>
          <w:rFonts w:cs="Calibri"/>
        </w:rPr>
      </w:pPr>
      <w:r w:rsidRPr="00150391">
        <w:rPr>
          <w:rStyle w:val="BodyTextChar"/>
          <w:rFonts w:cs="Calibri"/>
        </w:rPr>
        <w:t xml:space="preserve">The Budget measures published in </w:t>
      </w:r>
      <w:r w:rsidRPr="00150391">
        <w:rPr>
          <w:rStyle w:val="BodyTextChar"/>
          <w:rFonts w:cs="Calibri"/>
          <w:i/>
          <w:iCs/>
        </w:rPr>
        <w:t>Table 1.2</w:t>
      </w:r>
      <w:r w:rsidRPr="00150391">
        <w:rPr>
          <w:rStyle w:val="BodyTextChar"/>
          <w:rFonts w:cs="Calibri"/>
        </w:rPr>
        <w:t xml:space="preserve"> should match the measures published as printed in the </w:t>
      </w:r>
      <w:r w:rsidR="0007613A" w:rsidRPr="00150391">
        <w:rPr>
          <w:rStyle w:val="BodyTextChar"/>
          <w:rFonts w:cs="Calibri"/>
        </w:rPr>
        <w:t>2022</w:t>
      </w:r>
      <w:r w:rsidRPr="00150391">
        <w:rPr>
          <w:rStyle w:val="BodyTextChar"/>
          <w:rFonts w:cs="Calibri"/>
        </w:rPr>
        <w:t>-</w:t>
      </w:r>
      <w:r w:rsidR="0007613A" w:rsidRPr="00150391">
        <w:rPr>
          <w:rStyle w:val="BodyTextChar"/>
          <w:rFonts w:cs="Calibri"/>
        </w:rPr>
        <w:t xml:space="preserve">23 </w:t>
      </w:r>
      <w:r w:rsidRPr="00150391">
        <w:rPr>
          <w:rStyle w:val="BodyTextChar"/>
          <w:rFonts w:cs="Calibri"/>
        </w:rPr>
        <w:t xml:space="preserve">BP No. 2. Noting </w:t>
      </w:r>
      <w:r w:rsidRPr="00150391">
        <w:rPr>
          <w:rFonts w:cs="Calibri"/>
        </w:rPr>
        <w:t xml:space="preserve">measures are presented in UCB terms, the financial implications table will reflect receipt and payment impacts only. Capital spending components will be </w:t>
      </w:r>
      <w:r w:rsidR="00C90E71" w:rsidRPr="00150391">
        <w:rPr>
          <w:rFonts w:cs="Calibri"/>
        </w:rPr>
        <w:t xml:space="preserve">included </w:t>
      </w:r>
      <w:r w:rsidRPr="00150391">
        <w:rPr>
          <w:rFonts w:cs="Calibri"/>
        </w:rPr>
        <w:t>in the payment impacts.</w:t>
      </w:r>
    </w:p>
    <w:p w14:paraId="79342603" w14:textId="41F66B55" w:rsidR="005379D4" w:rsidRPr="00150391" w:rsidRDefault="53BF0693" w:rsidP="53BF0693">
      <w:pPr>
        <w:rPr>
          <w:rStyle w:val="BodyTextChar"/>
          <w:rFonts w:cs="Calibri"/>
        </w:rPr>
      </w:pPr>
      <w:r w:rsidRPr="00150391">
        <w:rPr>
          <w:rStyle w:val="BodyTextChar"/>
          <w:rFonts w:cs="Calibri"/>
        </w:rPr>
        <w:t>Entities should discuss with their AAU if there are any Decision</w:t>
      </w:r>
      <w:r w:rsidR="006C1558" w:rsidRPr="00150391">
        <w:rPr>
          <w:rStyle w:val="BodyTextChar"/>
          <w:rFonts w:cs="Calibri"/>
        </w:rPr>
        <w:t>s</w:t>
      </w:r>
      <w:r w:rsidRPr="00150391">
        <w:rPr>
          <w:rStyle w:val="BodyTextChar"/>
          <w:rFonts w:cs="Calibri"/>
        </w:rPr>
        <w:t xml:space="preserve"> </w:t>
      </w:r>
      <w:r w:rsidR="00C17A41" w:rsidRPr="00150391">
        <w:rPr>
          <w:rStyle w:val="BodyTextChar"/>
          <w:rFonts w:cs="Calibri"/>
        </w:rPr>
        <w:t>T</w:t>
      </w:r>
      <w:r w:rsidRPr="00150391">
        <w:rPr>
          <w:rStyle w:val="BodyTextChar"/>
          <w:rFonts w:cs="Calibri"/>
        </w:rPr>
        <w:t xml:space="preserve">aken </w:t>
      </w:r>
      <w:r w:rsidR="00C17A41" w:rsidRPr="00150391">
        <w:rPr>
          <w:rStyle w:val="BodyTextChar"/>
          <w:rFonts w:cs="Calibri"/>
        </w:rPr>
        <w:t>B</w:t>
      </w:r>
      <w:r w:rsidRPr="00150391">
        <w:rPr>
          <w:rStyle w:val="BodyTextChar"/>
          <w:rFonts w:cs="Calibri"/>
        </w:rPr>
        <w:t xml:space="preserve">ut </w:t>
      </w:r>
      <w:r w:rsidR="00C17A41" w:rsidRPr="00150391">
        <w:rPr>
          <w:rStyle w:val="BodyTextChar"/>
          <w:rFonts w:cs="Calibri"/>
        </w:rPr>
        <w:t>N</w:t>
      </w:r>
      <w:r w:rsidRPr="00150391">
        <w:rPr>
          <w:rStyle w:val="BodyTextChar"/>
          <w:rFonts w:cs="Calibri"/>
        </w:rPr>
        <w:t xml:space="preserve">ot </w:t>
      </w:r>
      <w:r w:rsidR="00C17A41" w:rsidRPr="00150391">
        <w:rPr>
          <w:rStyle w:val="BodyTextChar"/>
          <w:rFonts w:cs="Calibri"/>
        </w:rPr>
        <w:t>Y</w:t>
      </w:r>
      <w:r w:rsidRPr="00150391">
        <w:rPr>
          <w:rStyle w:val="BodyTextChar"/>
          <w:rFonts w:cs="Calibri"/>
        </w:rPr>
        <w:t xml:space="preserve">et </w:t>
      </w:r>
      <w:r w:rsidR="00C17A41" w:rsidRPr="00150391">
        <w:rPr>
          <w:rStyle w:val="BodyTextChar"/>
          <w:rFonts w:cs="Calibri"/>
        </w:rPr>
        <w:t>A</w:t>
      </w:r>
      <w:r w:rsidRPr="00150391">
        <w:rPr>
          <w:rStyle w:val="BodyTextChar"/>
          <w:rFonts w:cs="Calibri"/>
        </w:rPr>
        <w:t xml:space="preserve">nnounced (DTBNYA) or indicative cost measures from a previous economic update </w:t>
      </w:r>
      <w:r w:rsidR="006C1558" w:rsidRPr="00150391">
        <w:rPr>
          <w:rStyle w:val="BodyTextChar"/>
          <w:rFonts w:cs="Calibri"/>
        </w:rPr>
        <w:t xml:space="preserve">to determine whether </w:t>
      </w:r>
      <w:r w:rsidRPr="00150391">
        <w:rPr>
          <w:rStyle w:val="BodyTextChar"/>
          <w:rFonts w:cs="Calibri"/>
        </w:rPr>
        <w:t>they should be reported as some of the guidance below may not apply.</w:t>
      </w:r>
    </w:p>
    <w:p w14:paraId="45158125" w14:textId="77777777" w:rsidR="00560241" w:rsidRPr="00150391" w:rsidRDefault="00560241" w:rsidP="00560241">
      <w:pPr>
        <w:pStyle w:val="Heading2Numbered"/>
        <w:rPr>
          <w:rStyle w:val="BodyTextChar"/>
          <w:rFonts w:ascii="Calibri" w:hAnsi="Calibri" w:cs="Calibri"/>
        </w:rPr>
      </w:pPr>
      <w:bookmarkStart w:id="523" w:name="_Toc61875011"/>
      <w:bookmarkStart w:id="524" w:name="_Toc62648863"/>
      <w:bookmarkStart w:id="525" w:name="_Toc46327349"/>
      <w:bookmarkStart w:id="526" w:name="_Toc46327350"/>
      <w:bookmarkStart w:id="527" w:name="_Toc46327351"/>
      <w:bookmarkStart w:id="528" w:name="_Toc46327355"/>
      <w:bookmarkStart w:id="529" w:name="_Toc46327356"/>
      <w:bookmarkStart w:id="530" w:name="_Toc46327358"/>
      <w:bookmarkStart w:id="531" w:name="_Toc46327360"/>
      <w:bookmarkStart w:id="532" w:name="_Toc46327363"/>
      <w:bookmarkStart w:id="533" w:name="_Toc46327366"/>
      <w:bookmarkStart w:id="534" w:name="_Toc45026853"/>
      <w:bookmarkStart w:id="535" w:name="_Toc45026954"/>
      <w:bookmarkStart w:id="536" w:name="_Toc46327367"/>
      <w:bookmarkStart w:id="537" w:name="_Toc45026855"/>
      <w:bookmarkStart w:id="538" w:name="_Toc45026956"/>
      <w:bookmarkStart w:id="539" w:name="_Toc46327369"/>
      <w:bookmarkStart w:id="540" w:name="_Toc45026856"/>
      <w:bookmarkStart w:id="541" w:name="_Toc45026957"/>
      <w:bookmarkStart w:id="542" w:name="_Toc46327370"/>
      <w:bookmarkStart w:id="543" w:name="_Toc114576293"/>
      <w:bookmarkStart w:id="544" w:name="_Toc63347706"/>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150391">
        <w:rPr>
          <w:rStyle w:val="BodyTextChar"/>
          <w:rFonts w:ascii="Calibri" w:hAnsi="Calibri" w:cs="Calibri"/>
        </w:rPr>
        <w:t>Footnote for a Measure’s capital component</w:t>
      </w:r>
      <w:bookmarkEnd w:id="543"/>
    </w:p>
    <w:p w14:paraId="65084400" w14:textId="0B6DDF2C" w:rsidR="00560241" w:rsidRPr="00150391" w:rsidRDefault="00560241" w:rsidP="00560241">
      <w:pPr>
        <w:rPr>
          <w:rStyle w:val="BodyTextChar"/>
          <w:rFonts w:cs="Calibri"/>
        </w:rPr>
      </w:pPr>
      <w:r w:rsidRPr="00150391">
        <w:rPr>
          <w:rStyle w:val="BodyTextChar"/>
          <w:rFonts w:cs="Calibri"/>
        </w:rPr>
        <w:t>Where a measure’s capital component forms 30 per</w:t>
      </w:r>
      <w:r w:rsidR="00AA7EC6" w:rsidRPr="00150391">
        <w:rPr>
          <w:rStyle w:val="BodyTextChar"/>
          <w:rFonts w:cs="Calibri"/>
        </w:rPr>
        <w:t xml:space="preserve"> </w:t>
      </w:r>
      <w:r w:rsidRPr="00150391">
        <w:rPr>
          <w:rStyle w:val="BodyTextChar"/>
          <w:rFonts w:cs="Calibri"/>
        </w:rPr>
        <w:t xml:space="preserve">cent or more of the payment impact total the </w:t>
      </w:r>
      <w:r w:rsidRPr="00150391">
        <w:rPr>
          <w:rFonts w:cs="Calibri"/>
        </w:rPr>
        <w:t>entity should</w:t>
      </w:r>
      <w:r w:rsidR="00FC1061" w:rsidRPr="00150391">
        <w:rPr>
          <w:rFonts w:cs="Calibri"/>
        </w:rPr>
        <w:t xml:space="preserve"> include a footnote for this amount</w:t>
      </w:r>
      <w:r w:rsidRPr="00150391">
        <w:rPr>
          <w:rStyle w:val="BodyTextChar"/>
          <w:rFonts w:cs="Calibri"/>
        </w:rPr>
        <w:t>. This approach aligns with how the capital funding component will be reported within the measure’s description in BP No.2.</w:t>
      </w:r>
    </w:p>
    <w:p w14:paraId="65AFA1C3" w14:textId="617602AF" w:rsidR="00560241" w:rsidRPr="00150391" w:rsidRDefault="00560241" w:rsidP="00F56063">
      <w:pPr>
        <w:rPr>
          <w:rStyle w:val="BodyTextChar"/>
          <w:rFonts w:cs="Calibri"/>
          <w:bCs/>
        </w:rPr>
      </w:pPr>
      <w:r w:rsidRPr="00150391">
        <w:rPr>
          <w:rStyle w:val="BodyTextChar"/>
          <w:rFonts w:cs="Calibri"/>
        </w:rPr>
        <w:t>A footnote has been included in the PB statement measure’s table within both the Excel and Word templates for entity use.</w:t>
      </w:r>
    </w:p>
    <w:p w14:paraId="3C67BFDD" w14:textId="7B898491" w:rsidR="00FA0945" w:rsidRPr="00150391" w:rsidRDefault="53BF0693" w:rsidP="53BF0693">
      <w:pPr>
        <w:pStyle w:val="Heading2Numbered"/>
        <w:rPr>
          <w:rStyle w:val="BodyTextChar"/>
          <w:rFonts w:ascii="Calibri" w:eastAsia="MS Gothic" w:hAnsi="Calibri" w:cs="Calibri"/>
          <w:i/>
          <w:iCs/>
          <w:color w:val="auto"/>
        </w:rPr>
      </w:pPr>
      <w:bookmarkStart w:id="545" w:name="_Toc114576294"/>
      <w:r w:rsidRPr="00150391">
        <w:rPr>
          <w:rStyle w:val="BodyTextChar"/>
          <w:rFonts w:ascii="Calibri" w:eastAsia="MS Gothic" w:hAnsi="Calibri" w:cs="Calibri"/>
        </w:rPr>
        <w:t>Measure reversals</w:t>
      </w:r>
      <w:bookmarkEnd w:id="544"/>
      <w:bookmarkEnd w:id="545"/>
    </w:p>
    <w:p w14:paraId="73385A72" w14:textId="6E37E09E" w:rsidR="006F1726" w:rsidRPr="00150391" w:rsidRDefault="53BF0693" w:rsidP="53BF0693">
      <w:pPr>
        <w:rPr>
          <w:rStyle w:val="BodyTextChar"/>
          <w:rFonts w:cs="Calibri"/>
        </w:rPr>
      </w:pPr>
      <w:r w:rsidRPr="00150391">
        <w:rPr>
          <w:rStyle w:val="BodyTextChar"/>
          <w:rFonts w:cs="Calibri"/>
        </w:rPr>
        <w:t xml:space="preserve">Where a measure reversal will be reported in </w:t>
      </w:r>
      <w:r w:rsidR="00584B66" w:rsidRPr="00150391">
        <w:rPr>
          <w:rStyle w:val="BodyTextChar"/>
          <w:rFonts w:cs="Calibri"/>
        </w:rPr>
        <w:t xml:space="preserve">the October </w:t>
      </w:r>
      <w:r w:rsidRPr="00150391">
        <w:rPr>
          <w:rStyle w:val="BodyTextChar"/>
          <w:rFonts w:cs="Calibri"/>
        </w:rPr>
        <w:t>BP No. 2, the measure reversal needs to be reported in Part 1 of the measures table.</w:t>
      </w:r>
    </w:p>
    <w:p w14:paraId="53F2CD76" w14:textId="01C63AE2" w:rsidR="00FA0945" w:rsidRPr="00150391" w:rsidRDefault="53BF0693" w:rsidP="53BF0693">
      <w:pPr>
        <w:rPr>
          <w:rStyle w:val="BodyTextChar"/>
          <w:rFonts w:cs="Calibri"/>
        </w:rPr>
      </w:pPr>
      <w:r w:rsidRPr="00150391">
        <w:rPr>
          <w:rStyle w:val="BodyTextChar"/>
          <w:rFonts w:cs="Calibri"/>
        </w:rPr>
        <w:t xml:space="preserve">Where a measure reversal has been reported in </w:t>
      </w:r>
      <w:r w:rsidR="00584B66" w:rsidRPr="00150391">
        <w:rPr>
          <w:rStyle w:val="BodyTextChar"/>
          <w:rFonts w:cs="Calibri"/>
        </w:rPr>
        <w:t>the March BP No.2</w:t>
      </w:r>
      <w:r w:rsidR="30B59CBF" w:rsidRPr="002B4935">
        <w:rPr>
          <w:rStyle w:val="BodyTextChar"/>
          <w:rFonts w:cs="Calibri"/>
        </w:rPr>
        <w:t xml:space="preserve">, but has not been reported in </w:t>
      </w:r>
      <w:r w:rsidR="00584B66" w:rsidRPr="00150391">
        <w:rPr>
          <w:rStyle w:val="BodyTextChar"/>
          <w:rFonts w:cs="Calibri"/>
        </w:rPr>
        <w:t>the March 2022-23 PB Statement</w:t>
      </w:r>
      <w:r w:rsidRPr="00150391">
        <w:rPr>
          <w:rStyle w:val="BodyTextChar"/>
          <w:rFonts w:cs="Calibri"/>
        </w:rPr>
        <w:t>, the reversal needs to be reported in Part 2 of the measures table.</w:t>
      </w:r>
    </w:p>
    <w:p w14:paraId="24C1000F" w14:textId="29443F9A" w:rsidR="00FA0945" w:rsidRPr="00150391" w:rsidRDefault="53BF0693" w:rsidP="53BF0693">
      <w:pPr>
        <w:rPr>
          <w:rStyle w:val="BodyTextChar"/>
          <w:rFonts w:cs="Calibri"/>
        </w:rPr>
      </w:pPr>
      <w:r w:rsidRPr="00150391">
        <w:rPr>
          <w:rStyle w:val="BodyTextChar"/>
          <w:rFonts w:cs="Calibri"/>
        </w:rPr>
        <w:t xml:space="preserve">Measure reversals reported in either Part 1 </w:t>
      </w:r>
      <w:r w:rsidR="0088079B" w:rsidRPr="00150391">
        <w:rPr>
          <w:rStyle w:val="BodyTextChar"/>
          <w:rFonts w:cs="Calibri"/>
        </w:rPr>
        <w:t xml:space="preserve">or </w:t>
      </w:r>
      <w:r w:rsidRPr="00150391">
        <w:rPr>
          <w:rStyle w:val="BodyTextChar"/>
          <w:rFonts w:cs="Calibri"/>
        </w:rPr>
        <w:t>2 of the measures table need to be reported on the following basis:</w:t>
      </w:r>
    </w:p>
    <w:p w14:paraId="1B2C1146"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where it is a full reversal, the measure should include dashes for the underlying cash impact (as zero net cash impact) </w:t>
      </w:r>
    </w:p>
    <w:p w14:paraId="049F6B65" w14:textId="786E656B" w:rsidR="00EE503C" w:rsidRPr="00150391" w:rsidRDefault="53BF0693" w:rsidP="53BF0693">
      <w:pPr>
        <w:pStyle w:val="Bullet1"/>
        <w:rPr>
          <w:rStyle w:val="BodyTextChar"/>
          <w:rFonts w:ascii="Calibri" w:hAnsi="Calibri" w:cs="Calibri"/>
        </w:rPr>
      </w:pPr>
      <w:r w:rsidRPr="00150391">
        <w:rPr>
          <w:rStyle w:val="BodyTextChar"/>
          <w:rFonts w:ascii="Calibri" w:hAnsi="Calibri" w:cs="Calibri"/>
        </w:rPr>
        <w:t>where it is a partial reversal, the measure should reflect the final amount to be appropriated (i.e. the difference between the initial measure and the partial reversal).</w:t>
      </w:r>
    </w:p>
    <w:tbl>
      <w:tblPr>
        <w:tblW w:w="7924" w:type="dxa"/>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076"/>
      </w:tblGrid>
      <w:tr w:rsidR="004D479A" w:rsidRPr="00150391" w14:paraId="40E4045A" w14:textId="77777777" w:rsidTr="30B59CBF">
        <w:trPr>
          <w:cantSplit/>
          <w:jc w:val="center"/>
        </w:trPr>
        <w:tc>
          <w:tcPr>
            <w:tcW w:w="7924" w:type="dxa"/>
            <w:shd w:val="clear" w:color="auto" w:fill="DDF3FA"/>
          </w:tcPr>
          <w:p w14:paraId="72E7C7AC" w14:textId="77777777" w:rsidR="004D479A" w:rsidRPr="00150391" w:rsidRDefault="004D479A" w:rsidP="53BF0693">
            <w:pPr>
              <w:pStyle w:val="TableText-Medium"/>
              <w:rPr>
                <w:rStyle w:val="BodyTextChar"/>
                <w:rFonts w:cs="Calibri"/>
              </w:rPr>
            </w:pPr>
            <w:r w:rsidRPr="00150391">
              <w:rPr>
                <w:rStyle w:val="BodyTextChar"/>
                <w:rFonts w:cs="Calibri"/>
              </w:rPr>
              <w:br w:type="page"/>
            </w:r>
            <w:r w:rsidRPr="00150391">
              <w:rPr>
                <w:rFonts w:cs="Calibri"/>
              </w:rPr>
              <w:br w:type="page"/>
            </w:r>
            <w:r w:rsidRPr="00150391">
              <w:rPr>
                <w:rStyle w:val="BodyTextChar"/>
                <w:rFonts w:cs="Calibri"/>
              </w:rPr>
              <w:br w:type="page"/>
            </w:r>
            <w:r w:rsidR="53BF0693" w:rsidRPr="00150391">
              <w:rPr>
                <w:rStyle w:val="BodyTextChar"/>
                <w:rFonts w:cs="Calibri"/>
                <w:u w:val="single"/>
              </w:rPr>
              <w:t>Example</w:t>
            </w:r>
            <w:r w:rsidR="53BF0693" w:rsidRPr="00150391">
              <w:rPr>
                <w:rStyle w:val="BodyTextChar"/>
                <w:rFonts w:cs="Calibri"/>
              </w:rPr>
              <w:t xml:space="preserve"> – Reporting Measure Reversals</w:t>
            </w:r>
          </w:p>
        </w:tc>
      </w:tr>
      <w:tr w:rsidR="004D479A" w:rsidRPr="00150391" w14:paraId="73C61A84" w14:textId="77777777" w:rsidTr="30B59CBF">
        <w:trPr>
          <w:trHeight w:val="57"/>
          <w:jc w:val="center"/>
        </w:trPr>
        <w:tc>
          <w:tcPr>
            <w:tcW w:w="7924" w:type="dxa"/>
          </w:tcPr>
          <w:p w14:paraId="0687B5B5" w14:textId="77777777" w:rsidR="004D479A" w:rsidRPr="00150391" w:rsidRDefault="53BF0693" w:rsidP="001D30A2">
            <w:pPr>
              <w:pStyle w:val="TableText-Medium"/>
              <w:rPr>
                <w:rFonts w:cs="Calibri"/>
              </w:rPr>
            </w:pPr>
            <w:r w:rsidRPr="00150391">
              <w:rPr>
                <w:rFonts w:cs="Calibri"/>
              </w:rPr>
              <w:t>Entity X has two measures that were announced in an Economic Statement, the Pre</w:t>
            </w:r>
            <w:r w:rsidR="00A12716" w:rsidRPr="00150391">
              <w:rPr>
                <w:rFonts w:cs="Calibri"/>
              </w:rPr>
              <w:noBreakHyphen/>
            </w:r>
            <w:r w:rsidRPr="00150391">
              <w:rPr>
                <w:rFonts w:cs="Calibri"/>
              </w:rPr>
              <w:t xml:space="preserve">Election Economic and Fiscal Outlook or </w:t>
            </w:r>
            <w:r w:rsidR="00A12716" w:rsidRPr="00150391">
              <w:rPr>
                <w:rFonts w:cs="Calibri"/>
              </w:rPr>
              <w:t>MYEFO</w:t>
            </w:r>
            <w:r w:rsidRPr="00150391">
              <w:rPr>
                <w:rFonts w:cs="Calibri"/>
              </w:rPr>
              <w:t>:</w:t>
            </w:r>
          </w:p>
          <w:tbl>
            <w:tblPr>
              <w:tblW w:w="6626" w:type="dxa"/>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076"/>
              <w:gridCol w:w="1236"/>
              <w:gridCol w:w="1245"/>
              <w:gridCol w:w="1249"/>
            </w:tblGrid>
            <w:tr w:rsidR="00EE503C" w:rsidRPr="00150391" w14:paraId="117CD045" w14:textId="77777777" w:rsidTr="6B6EE5C4">
              <w:trPr>
                <w:trHeight w:val="446"/>
                <w:tblHeader/>
                <w:jc w:val="center"/>
              </w:trPr>
              <w:tc>
                <w:tcPr>
                  <w:tcW w:w="1820" w:type="dxa"/>
                </w:tcPr>
                <w:p w14:paraId="1F529F65" w14:textId="77777777" w:rsidR="00EE503C" w:rsidRPr="00150391" w:rsidRDefault="53BF0693" w:rsidP="53BF0693">
                  <w:pPr>
                    <w:pStyle w:val="TableText-Medium"/>
                    <w:rPr>
                      <w:rStyle w:val="BodyTextChar"/>
                      <w:rFonts w:cs="Calibri"/>
                    </w:rPr>
                  </w:pPr>
                  <w:r w:rsidRPr="00150391">
                    <w:rPr>
                      <w:rStyle w:val="BodyTextChar"/>
                      <w:rFonts w:cs="Calibri"/>
                    </w:rPr>
                    <w:t>Measure Title</w:t>
                  </w:r>
                </w:p>
              </w:tc>
              <w:tc>
                <w:tcPr>
                  <w:tcW w:w="1076" w:type="dxa"/>
                </w:tcPr>
                <w:p w14:paraId="3FB9B9D6" w14:textId="77777777" w:rsidR="00EE503C" w:rsidRPr="00150391" w:rsidRDefault="6B6EE5C4" w:rsidP="00B31ED0">
                  <w:pPr>
                    <w:pStyle w:val="TableText-Medium"/>
                    <w:jc w:val="center"/>
                    <w:rPr>
                      <w:rFonts w:cs="Calibri"/>
                    </w:rPr>
                  </w:pPr>
                  <w:r w:rsidRPr="00150391">
                    <w:rPr>
                      <w:rFonts w:cs="Calibri"/>
                    </w:rPr>
                    <w:t>202</w:t>
                  </w:r>
                  <w:r w:rsidR="0007613A" w:rsidRPr="00150391">
                    <w:rPr>
                      <w:rFonts w:cs="Calibri"/>
                    </w:rPr>
                    <w:t>2</w:t>
                  </w:r>
                  <w:r w:rsidRPr="00150391">
                    <w:rPr>
                      <w:rFonts w:cs="Calibri"/>
                    </w:rPr>
                    <w:t>-</w:t>
                  </w:r>
                  <w:r w:rsidR="0007613A" w:rsidRPr="00150391">
                    <w:rPr>
                      <w:rFonts w:cs="Calibri"/>
                    </w:rPr>
                    <w:t>23</w:t>
                  </w:r>
                </w:p>
                <w:p w14:paraId="531B1FE8" w14:textId="77777777" w:rsidR="00EE503C" w:rsidRPr="00150391" w:rsidRDefault="6B6EE5C4" w:rsidP="00B31ED0">
                  <w:pPr>
                    <w:pStyle w:val="TableText-Medium"/>
                    <w:jc w:val="center"/>
                    <w:rPr>
                      <w:rFonts w:cs="Calibri"/>
                    </w:rPr>
                  </w:pPr>
                  <w:r w:rsidRPr="00150391">
                    <w:rPr>
                      <w:rFonts w:cs="Calibri"/>
                    </w:rPr>
                    <w:t>$m</w:t>
                  </w:r>
                </w:p>
              </w:tc>
              <w:tc>
                <w:tcPr>
                  <w:tcW w:w="1236" w:type="dxa"/>
                </w:tcPr>
                <w:p w14:paraId="52A3E6F7" w14:textId="77777777" w:rsidR="00EE503C" w:rsidRPr="00150391" w:rsidRDefault="0007613A" w:rsidP="00B31ED0">
                  <w:pPr>
                    <w:pStyle w:val="TableText-Medium"/>
                    <w:jc w:val="center"/>
                    <w:rPr>
                      <w:rFonts w:cs="Calibri"/>
                    </w:rPr>
                  </w:pPr>
                  <w:r w:rsidRPr="00150391">
                    <w:rPr>
                      <w:rFonts w:cs="Calibri"/>
                    </w:rPr>
                    <w:t>2023</w:t>
                  </w:r>
                  <w:r w:rsidR="6B6EE5C4" w:rsidRPr="00150391">
                    <w:rPr>
                      <w:rFonts w:cs="Calibri"/>
                    </w:rPr>
                    <w:t>-</w:t>
                  </w:r>
                  <w:r w:rsidRPr="00150391">
                    <w:rPr>
                      <w:rFonts w:cs="Calibri"/>
                    </w:rPr>
                    <w:t>24</w:t>
                  </w:r>
                </w:p>
                <w:p w14:paraId="74E069D8" w14:textId="77777777" w:rsidR="00EE503C" w:rsidRPr="00150391" w:rsidRDefault="6B6EE5C4" w:rsidP="00B31ED0">
                  <w:pPr>
                    <w:pStyle w:val="TableText-Medium"/>
                    <w:jc w:val="center"/>
                    <w:rPr>
                      <w:rFonts w:cs="Calibri"/>
                    </w:rPr>
                  </w:pPr>
                  <w:r w:rsidRPr="00150391">
                    <w:rPr>
                      <w:rFonts w:cs="Calibri"/>
                    </w:rPr>
                    <w:t>$m</w:t>
                  </w:r>
                </w:p>
              </w:tc>
              <w:tc>
                <w:tcPr>
                  <w:tcW w:w="1245" w:type="dxa"/>
                </w:tcPr>
                <w:p w14:paraId="604974AF" w14:textId="77777777" w:rsidR="00EE503C" w:rsidRPr="00150391" w:rsidRDefault="0007613A" w:rsidP="00B31ED0">
                  <w:pPr>
                    <w:pStyle w:val="TableText-Medium"/>
                    <w:jc w:val="center"/>
                    <w:rPr>
                      <w:rFonts w:cs="Calibri"/>
                    </w:rPr>
                  </w:pPr>
                  <w:r w:rsidRPr="00150391">
                    <w:rPr>
                      <w:rFonts w:cs="Calibri"/>
                    </w:rPr>
                    <w:t>2024</w:t>
                  </w:r>
                  <w:r w:rsidR="6B6EE5C4" w:rsidRPr="00150391">
                    <w:rPr>
                      <w:rFonts w:cs="Calibri"/>
                    </w:rPr>
                    <w:t>-</w:t>
                  </w:r>
                  <w:r w:rsidRPr="00150391">
                    <w:rPr>
                      <w:rFonts w:cs="Calibri"/>
                    </w:rPr>
                    <w:t>2025</w:t>
                  </w:r>
                </w:p>
                <w:p w14:paraId="7D0E4918" w14:textId="77777777" w:rsidR="00EE503C" w:rsidRPr="00150391" w:rsidRDefault="6B6EE5C4" w:rsidP="00B31ED0">
                  <w:pPr>
                    <w:pStyle w:val="TableText-Medium"/>
                    <w:jc w:val="center"/>
                    <w:rPr>
                      <w:rFonts w:cs="Calibri"/>
                    </w:rPr>
                  </w:pPr>
                  <w:r w:rsidRPr="00150391">
                    <w:rPr>
                      <w:rFonts w:cs="Calibri"/>
                    </w:rPr>
                    <w:t>$m</w:t>
                  </w:r>
                </w:p>
              </w:tc>
              <w:tc>
                <w:tcPr>
                  <w:tcW w:w="1249" w:type="dxa"/>
                </w:tcPr>
                <w:p w14:paraId="281710A9" w14:textId="77777777" w:rsidR="00EE503C" w:rsidRPr="00150391" w:rsidRDefault="0007613A" w:rsidP="00B31ED0">
                  <w:pPr>
                    <w:pStyle w:val="TableText-Medium"/>
                    <w:jc w:val="center"/>
                    <w:rPr>
                      <w:rFonts w:cs="Calibri"/>
                    </w:rPr>
                  </w:pPr>
                  <w:r w:rsidRPr="00150391">
                    <w:rPr>
                      <w:rFonts w:cs="Calibri"/>
                    </w:rPr>
                    <w:t>2025</w:t>
                  </w:r>
                  <w:r w:rsidR="6B6EE5C4" w:rsidRPr="00150391">
                    <w:rPr>
                      <w:rFonts w:cs="Calibri"/>
                    </w:rPr>
                    <w:t>-</w:t>
                  </w:r>
                  <w:r w:rsidRPr="00150391">
                    <w:rPr>
                      <w:rFonts w:cs="Calibri"/>
                    </w:rPr>
                    <w:t>2026</w:t>
                  </w:r>
                </w:p>
                <w:p w14:paraId="17E6EF73" w14:textId="77777777" w:rsidR="00EE503C" w:rsidRPr="00150391" w:rsidRDefault="6B6EE5C4" w:rsidP="00B31ED0">
                  <w:pPr>
                    <w:pStyle w:val="TableText-Medium"/>
                    <w:jc w:val="center"/>
                    <w:rPr>
                      <w:rFonts w:cs="Calibri"/>
                    </w:rPr>
                  </w:pPr>
                  <w:r w:rsidRPr="00150391">
                    <w:rPr>
                      <w:rFonts w:cs="Calibri"/>
                    </w:rPr>
                    <w:t>$m</w:t>
                  </w:r>
                </w:p>
              </w:tc>
            </w:tr>
            <w:tr w:rsidR="00EE503C" w:rsidRPr="00150391" w14:paraId="4D0A9784" w14:textId="77777777" w:rsidTr="6B6EE5C4">
              <w:trPr>
                <w:trHeight w:val="211"/>
                <w:jc w:val="center"/>
              </w:trPr>
              <w:tc>
                <w:tcPr>
                  <w:tcW w:w="1820" w:type="dxa"/>
                </w:tcPr>
                <w:p w14:paraId="7C4E9119" w14:textId="77777777" w:rsidR="00EE503C" w:rsidRPr="00150391" w:rsidRDefault="53BF0693" w:rsidP="53BF0693">
                  <w:pPr>
                    <w:pStyle w:val="TableText-Medium"/>
                    <w:rPr>
                      <w:rStyle w:val="BodyTextChar"/>
                      <w:rFonts w:cs="Calibri"/>
                    </w:rPr>
                  </w:pPr>
                  <w:r w:rsidRPr="00150391">
                    <w:rPr>
                      <w:rStyle w:val="BodyTextChar"/>
                      <w:rFonts w:cs="Calibri"/>
                    </w:rPr>
                    <w:t>X Measure</w:t>
                  </w:r>
                </w:p>
              </w:tc>
              <w:tc>
                <w:tcPr>
                  <w:tcW w:w="1076" w:type="dxa"/>
                </w:tcPr>
                <w:p w14:paraId="6D216876" w14:textId="77777777" w:rsidR="00EE503C" w:rsidRPr="00150391" w:rsidRDefault="6B6EE5C4" w:rsidP="00B31ED0">
                  <w:pPr>
                    <w:pStyle w:val="TableText-Medium"/>
                    <w:jc w:val="center"/>
                    <w:rPr>
                      <w:rStyle w:val="BodyTextChar"/>
                      <w:rFonts w:cs="Calibri"/>
                    </w:rPr>
                  </w:pPr>
                  <w:r w:rsidRPr="00150391">
                    <w:rPr>
                      <w:rStyle w:val="BodyTextChar"/>
                      <w:rFonts w:cs="Calibri"/>
                    </w:rPr>
                    <w:t>$4</w:t>
                  </w:r>
                </w:p>
              </w:tc>
              <w:tc>
                <w:tcPr>
                  <w:tcW w:w="1236" w:type="dxa"/>
                </w:tcPr>
                <w:p w14:paraId="35B164CA" w14:textId="77777777" w:rsidR="00EE503C" w:rsidRPr="00150391" w:rsidRDefault="6B6EE5C4" w:rsidP="00B31ED0">
                  <w:pPr>
                    <w:pStyle w:val="TableText-Medium"/>
                    <w:jc w:val="center"/>
                    <w:rPr>
                      <w:rStyle w:val="BodyTextChar"/>
                      <w:rFonts w:cs="Calibri"/>
                    </w:rPr>
                  </w:pPr>
                  <w:r w:rsidRPr="00150391">
                    <w:rPr>
                      <w:rStyle w:val="BodyTextChar"/>
                      <w:rFonts w:cs="Calibri"/>
                    </w:rPr>
                    <w:t>$6</w:t>
                  </w:r>
                </w:p>
              </w:tc>
              <w:tc>
                <w:tcPr>
                  <w:tcW w:w="1245" w:type="dxa"/>
                </w:tcPr>
                <w:p w14:paraId="71745ED7" w14:textId="77777777" w:rsidR="00EE503C" w:rsidRPr="00150391" w:rsidRDefault="6B6EE5C4" w:rsidP="00B31ED0">
                  <w:pPr>
                    <w:pStyle w:val="TableText-Medium"/>
                    <w:jc w:val="center"/>
                    <w:rPr>
                      <w:rStyle w:val="BodyTextChar"/>
                      <w:rFonts w:cs="Calibri"/>
                    </w:rPr>
                  </w:pPr>
                  <w:r w:rsidRPr="00150391">
                    <w:rPr>
                      <w:rStyle w:val="BodyTextChar"/>
                      <w:rFonts w:cs="Calibri"/>
                    </w:rPr>
                    <w:t>$8</w:t>
                  </w:r>
                </w:p>
              </w:tc>
              <w:tc>
                <w:tcPr>
                  <w:tcW w:w="1249" w:type="dxa"/>
                </w:tcPr>
                <w:p w14:paraId="1867468F" w14:textId="77777777" w:rsidR="00EE503C" w:rsidRPr="00150391" w:rsidRDefault="6B6EE5C4" w:rsidP="00B31ED0">
                  <w:pPr>
                    <w:pStyle w:val="TableText-Medium"/>
                    <w:jc w:val="center"/>
                    <w:rPr>
                      <w:rStyle w:val="BodyTextChar"/>
                      <w:rFonts w:cs="Calibri"/>
                    </w:rPr>
                  </w:pPr>
                  <w:r w:rsidRPr="00150391">
                    <w:rPr>
                      <w:rStyle w:val="BodyTextChar"/>
                      <w:rFonts w:cs="Calibri"/>
                    </w:rPr>
                    <w:t>$10</w:t>
                  </w:r>
                </w:p>
              </w:tc>
            </w:tr>
            <w:tr w:rsidR="00EE503C" w:rsidRPr="00150391" w14:paraId="12C5AAB9" w14:textId="77777777" w:rsidTr="6B6EE5C4">
              <w:trPr>
                <w:trHeight w:val="100"/>
                <w:jc w:val="center"/>
              </w:trPr>
              <w:tc>
                <w:tcPr>
                  <w:tcW w:w="1820" w:type="dxa"/>
                </w:tcPr>
                <w:p w14:paraId="2A638C4E" w14:textId="77777777" w:rsidR="00EE503C" w:rsidRPr="00150391" w:rsidRDefault="53BF0693" w:rsidP="53BF0693">
                  <w:pPr>
                    <w:pStyle w:val="TableText-Medium"/>
                    <w:rPr>
                      <w:rStyle w:val="BodyTextChar"/>
                      <w:rFonts w:cs="Calibri"/>
                    </w:rPr>
                  </w:pPr>
                  <w:r w:rsidRPr="00150391">
                    <w:rPr>
                      <w:rStyle w:val="BodyTextChar"/>
                      <w:rFonts w:cs="Calibri"/>
                    </w:rPr>
                    <w:t>Y Measure</w:t>
                  </w:r>
                </w:p>
              </w:tc>
              <w:tc>
                <w:tcPr>
                  <w:tcW w:w="1076" w:type="dxa"/>
                </w:tcPr>
                <w:p w14:paraId="480A4EA6" w14:textId="77777777" w:rsidR="00EE503C" w:rsidRPr="00150391" w:rsidRDefault="6B6EE5C4" w:rsidP="00B31ED0">
                  <w:pPr>
                    <w:pStyle w:val="TableText-Medium"/>
                    <w:jc w:val="center"/>
                    <w:rPr>
                      <w:rStyle w:val="BodyTextChar"/>
                      <w:rFonts w:cs="Calibri"/>
                    </w:rPr>
                  </w:pPr>
                  <w:r w:rsidRPr="00150391">
                    <w:rPr>
                      <w:rStyle w:val="BodyTextChar"/>
                      <w:rFonts w:cs="Calibri"/>
                    </w:rPr>
                    <w:t>$2</w:t>
                  </w:r>
                </w:p>
              </w:tc>
              <w:tc>
                <w:tcPr>
                  <w:tcW w:w="1236" w:type="dxa"/>
                </w:tcPr>
                <w:p w14:paraId="4E7806A1" w14:textId="77777777" w:rsidR="00EE503C" w:rsidRPr="00150391" w:rsidRDefault="6B6EE5C4" w:rsidP="00B31ED0">
                  <w:pPr>
                    <w:pStyle w:val="TableText-Medium"/>
                    <w:jc w:val="center"/>
                    <w:rPr>
                      <w:rStyle w:val="BodyTextChar"/>
                      <w:rFonts w:cs="Calibri"/>
                    </w:rPr>
                  </w:pPr>
                  <w:r w:rsidRPr="00150391">
                    <w:rPr>
                      <w:rStyle w:val="BodyTextChar"/>
                      <w:rFonts w:cs="Calibri"/>
                    </w:rPr>
                    <w:t>$3</w:t>
                  </w:r>
                </w:p>
              </w:tc>
              <w:tc>
                <w:tcPr>
                  <w:tcW w:w="1245" w:type="dxa"/>
                </w:tcPr>
                <w:p w14:paraId="6DA31D89" w14:textId="77777777" w:rsidR="00EE503C" w:rsidRPr="00150391" w:rsidRDefault="6B6EE5C4" w:rsidP="00B31ED0">
                  <w:pPr>
                    <w:pStyle w:val="TableText-Medium"/>
                    <w:jc w:val="center"/>
                    <w:rPr>
                      <w:rStyle w:val="BodyTextChar"/>
                      <w:rFonts w:cs="Calibri"/>
                    </w:rPr>
                  </w:pPr>
                  <w:r w:rsidRPr="00150391">
                    <w:rPr>
                      <w:rStyle w:val="BodyTextChar"/>
                      <w:rFonts w:cs="Calibri"/>
                    </w:rPr>
                    <w:t>$4</w:t>
                  </w:r>
                </w:p>
              </w:tc>
              <w:tc>
                <w:tcPr>
                  <w:tcW w:w="1249" w:type="dxa"/>
                </w:tcPr>
                <w:p w14:paraId="25B102D0" w14:textId="77777777" w:rsidR="00EE503C" w:rsidRPr="00150391" w:rsidRDefault="6B6EE5C4" w:rsidP="00B31ED0">
                  <w:pPr>
                    <w:pStyle w:val="TableText-Medium"/>
                    <w:jc w:val="center"/>
                    <w:rPr>
                      <w:rStyle w:val="BodyTextChar"/>
                      <w:rFonts w:cs="Calibri"/>
                    </w:rPr>
                  </w:pPr>
                  <w:r w:rsidRPr="00150391">
                    <w:rPr>
                      <w:rStyle w:val="BodyTextChar"/>
                      <w:rFonts w:cs="Calibri"/>
                    </w:rPr>
                    <w:t>$5</w:t>
                  </w:r>
                </w:p>
              </w:tc>
            </w:tr>
          </w:tbl>
          <w:p w14:paraId="443347C9" w14:textId="77777777" w:rsidR="004D479A" w:rsidRPr="00150391" w:rsidRDefault="53BF0693" w:rsidP="53BF0693">
            <w:pPr>
              <w:pStyle w:val="TableText-Medium"/>
              <w:rPr>
                <w:rStyle w:val="BodyTextChar"/>
                <w:rFonts w:cs="Calibri"/>
              </w:rPr>
            </w:pPr>
            <w:r w:rsidRPr="00150391">
              <w:rPr>
                <w:rStyle w:val="BodyTextChar"/>
                <w:rFonts w:cs="Calibri"/>
              </w:rPr>
              <w:t>These measures were subsequently reversed at Budget (fully or partially) through the announcement of the following measure reversals: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012"/>
              <w:gridCol w:w="1300"/>
              <w:gridCol w:w="1188"/>
              <w:gridCol w:w="1188"/>
            </w:tblGrid>
            <w:tr w:rsidR="00EE503C" w:rsidRPr="00150391" w14:paraId="2FD33B14" w14:textId="77777777" w:rsidTr="53BF0693">
              <w:trPr>
                <w:trHeight w:val="446"/>
                <w:jc w:val="center"/>
              </w:trPr>
              <w:tc>
                <w:tcPr>
                  <w:tcW w:w="1820" w:type="dxa"/>
                </w:tcPr>
                <w:p w14:paraId="7E55B5EB" w14:textId="77777777" w:rsidR="00EE503C" w:rsidRPr="00150391" w:rsidRDefault="53BF0693" w:rsidP="53BF0693">
                  <w:pPr>
                    <w:pStyle w:val="TableText-Medium"/>
                    <w:rPr>
                      <w:rStyle w:val="BodyTextChar"/>
                      <w:rFonts w:cs="Calibri"/>
                    </w:rPr>
                  </w:pPr>
                  <w:r w:rsidRPr="00150391">
                    <w:rPr>
                      <w:rStyle w:val="BodyTextChar"/>
                      <w:rFonts w:cs="Calibri"/>
                    </w:rPr>
                    <w:t>Measure Title</w:t>
                  </w:r>
                </w:p>
              </w:tc>
              <w:tc>
                <w:tcPr>
                  <w:tcW w:w="1012" w:type="dxa"/>
                </w:tcPr>
                <w:p w14:paraId="3930F8A6" w14:textId="77777777" w:rsidR="00EE503C" w:rsidRPr="00150391" w:rsidRDefault="0007613A" w:rsidP="00BA2416">
                  <w:pPr>
                    <w:pStyle w:val="TableText-Medium"/>
                    <w:jc w:val="center"/>
                    <w:rPr>
                      <w:rFonts w:cs="Calibri"/>
                    </w:rPr>
                  </w:pPr>
                  <w:r w:rsidRPr="00150391">
                    <w:rPr>
                      <w:rFonts w:cs="Calibri"/>
                    </w:rPr>
                    <w:t>2022</w:t>
                  </w:r>
                  <w:r w:rsidR="53BF0693" w:rsidRPr="00150391">
                    <w:rPr>
                      <w:rFonts w:cs="Calibri"/>
                    </w:rPr>
                    <w:t>-</w:t>
                  </w:r>
                  <w:r w:rsidRPr="00150391">
                    <w:rPr>
                      <w:rFonts w:cs="Calibri"/>
                    </w:rPr>
                    <w:t xml:space="preserve">23 </w:t>
                  </w:r>
                  <w:r w:rsidR="53BF0693" w:rsidRPr="00150391">
                    <w:rPr>
                      <w:rFonts w:cs="Calibri"/>
                    </w:rPr>
                    <w:t>$m</w:t>
                  </w:r>
                </w:p>
              </w:tc>
              <w:tc>
                <w:tcPr>
                  <w:tcW w:w="1300" w:type="dxa"/>
                </w:tcPr>
                <w:p w14:paraId="26BFD0F2" w14:textId="77777777" w:rsidR="00EE503C" w:rsidRPr="00150391" w:rsidRDefault="0007613A" w:rsidP="0081792A">
                  <w:pPr>
                    <w:pStyle w:val="TableText-Medium"/>
                    <w:jc w:val="center"/>
                    <w:rPr>
                      <w:rFonts w:cs="Calibri"/>
                    </w:rPr>
                  </w:pPr>
                  <w:r w:rsidRPr="00150391">
                    <w:rPr>
                      <w:rFonts w:cs="Calibri"/>
                    </w:rPr>
                    <w:t>2023</w:t>
                  </w:r>
                  <w:r w:rsidR="53BF0693" w:rsidRPr="00150391">
                    <w:rPr>
                      <w:rFonts w:cs="Calibri"/>
                    </w:rPr>
                    <w:t>-</w:t>
                  </w:r>
                  <w:r w:rsidRPr="00150391">
                    <w:rPr>
                      <w:rFonts w:cs="Calibri"/>
                    </w:rPr>
                    <w:t xml:space="preserve">24 </w:t>
                  </w:r>
                  <w:r w:rsidR="53BF0693" w:rsidRPr="00150391">
                    <w:rPr>
                      <w:rFonts w:cs="Calibri"/>
                    </w:rPr>
                    <w:t>$m</w:t>
                  </w:r>
                </w:p>
              </w:tc>
              <w:tc>
                <w:tcPr>
                  <w:tcW w:w="1188" w:type="dxa"/>
                </w:tcPr>
                <w:p w14:paraId="27BFA92F" w14:textId="77777777" w:rsidR="00EE503C" w:rsidRPr="00150391" w:rsidRDefault="0007613A" w:rsidP="00F456EC">
                  <w:pPr>
                    <w:pStyle w:val="TableText-Medium"/>
                    <w:jc w:val="center"/>
                    <w:rPr>
                      <w:rFonts w:cs="Calibri"/>
                    </w:rPr>
                  </w:pPr>
                  <w:r w:rsidRPr="00150391">
                    <w:rPr>
                      <w:rFonts w:cs="Calibri"/>
                    </w:rPr>
                    <w:t>2024</w:t>
                  </w:r>
                  <w:r w:rsidR="53BF0693" w:rsidRPr="00150391">
                    <w:rPr>
                      <w:rFonts w:cs="Calibri"/>
                    </w:rPr>
                    <w:t>-</w:t>
                  </w:r>
                  <w:r w:rsidRPr="00150391">
                    <w:rPr>
                      <w:rFonts w:cs="Calibri"/>
                    </w:rPr>
                    <w:t xml:space="preserve">2025 </w:t>
                  </w:r>
                  <w:r w:rsidR="53BF0693" w:rsidRPr="00150391">
                    <w:rPr>
                      <w:rFonts w:cs="Calibri"/>
                    </w:rPr>
                    <w:t>$m</w:t>
                  </w:r>
                </w:p>
              </w:tc>
              <w:tc>
                <w:tcPr>
                  <w:tcW w:w="1188" w:type="dxa"/>
                </w:tcPr>
                <w:p w14:paraId="7ECA3EAC" w14:textId="77777777" w:rsidR="00EE503C" w:rsidRPr="00150391" w:rsidRDefault="53BF0693" w:rsidP="00B31ED0">
                  <w:pPr>
                    <w:pStyle w:val="TableText-Medium"/>
                    <w:jc w:val="center"/>
                    <w:rPr>
                      <w:rFonts w:cs="Calibri"/>
                    </w:rPr>
                  </w:pPr>
                  <w:r w:rsidRPr="00150391">
                    <w:rPr>
                      <w:rFonts w:cs="Calibri"/>
                    </w:rPr>
                    <w:t>202</w:t>
                  </w:r>
                  <w:r w:rsidR="0007613A" w:rsidRPr="00150391">
                    <w:rPr>
                      <w:rFonts w:cs="Calibri"/>
                    </w:rPr>
                    <w:t>5</w:t>
                  </w:r>
                  <w:r w:rsidRPr="00150391">
                    <w:rPr>
                      <w:rFonts w:cs="Calibri"/>
                    </w:rPr>
                    <w:t>-202</w:t>
                  </w:r>
                  <w:r w:rsidR="0007613A" w:rsidRPr="00150391">
                    <w:rPr>
                      <w:rFonts w:cs="Calibri"/>
                    </w:rPr>
                    <w:t>6</w:t>
                  </w:r>
                  <w:r w:rsidRPr="00150391">
                    <w:rPr>
                      <w:rFonts w:cs="Calibri"/>
                    </w:rPr>
                    <w:t xml:space="preserve"> $m</w:t>
                  </w:r>
                </w:p>
              </w:tc>
            </w:tr>
            <w:tr w:rsidR="00EE503C" w:rsidRPr="00150391" w14:paraId="21282123" w14:textId="77777777" w:rsidTr="53BF0693">
              <w:trPr>
                <w:trHeight w:val="446"/>
                <w:jc w:val="center"/>
              </w:trPr>
              <w:tc>
                <w:tcPr>
                  <w:tcW w:w="1820" w:type="dxa"/>
                </w:tcPr>
                <w:p w14:paraId="558E4C00" w14:textId="77777777" w:rsidR="00EE503C" w:rsidRPr="00150391" w:rsidRDefault="53BF0693" w:rsidP="53BF0693">
                  <w:pPr>
                    <w:pStyle w:val="TableText-Medium"/>
                    <w:rPr>
                      <w:rStyle w:val="BodyTextChar"/>
                      <w:rFonts w:cs="Calibri"/>
                    </w:rPr>
                  </w:pPr>
                  <w:r w:rsidRPr="00150391">
                    <w:rPr>
                      <w:rStyle w:val="BodyTextChar"/>
                      <w:rFonts w:cs="Calibri"/>
                    </w:rPr>
                    <w:t>X Measure – reduction</w:t>
                  </w:r>
                </w:p>
              </w:tc>
              <w:tc>
                <w:tcPr>
                  <w:tcW w:w="1012" w:type="dxa"/>
                </w:tcPr>
                <w:p w14:paraId="4F067EC1" w14:textId="77777777" w:rsidR="00EE503C" w:rsidRPr="00150391" w:rsidRDefault="53BF0693" w:rsidP="00B31ED0">
                  <w:pPr>
                    <w:pStyle w:val="TableText-Medium"/>
                    <w:jc w:val="center"/>
                    <w:rPr>
                      <w:rStyle w:val="BodyTextChar"/>
                      <w:rFonts w:cs="Calibri"/>
                    </w:rPr>
                  </w:pPr>
                  <w:r w:rsidRPr="00150391">
                    <w:rPr>
                      <w:rStyle w:val="BodyTextChar"/>
                      <w:rFonts w:cs="Calibri"/>
                    </w:rPr>
                    <w:t>($2)</w:t>
                  </w:r>
                </w:p>
              </w:tc>
              <w:tc>
                <w:tcPr>
                  <w:tcW w:w="1300" w:type="dxa"/>
                </w:tcPr>
                <w:p w14:paraId="47399B63" w14:textId="77777777" w:rsidR="00EE503C" w:rsidRPr="00150391" w:rsidRDefault="53BF0693" w:rsidP="00B31ED0">
                  <w:pPr>
                    <w:pStyle w:val="TableText-Medium"/>
                    <w:jc w:val="center"/>
                    <w:rPr>
                      <w:rStyle w:val="BodyTextChar"/>
                      <w:rFonts w:cs="Calibri"/>
                    </w:rPr>
                  </w:pPr>
                  <w:r w:rsidRPr="00150391">
                    <w:rPr>
                      <w:rStyle w:val="BodyTextChar"/>
                      <w:rFonts w:cs="Calibri"/>
                    </w:rPr>
                    <w:t>($3)</w:t>
                  </w:r>
                </w:p>
              </w:tc>
              <w:tc>
                <w:tcPr>
                  <w:tcW w:w="1188" w:type="dxa"/>
                </w:tcPr>
                <w:p w14:paraId="080B06AD" w14:textId="77777777" w:rsidR="00EE503C" w:rsidRPr="00150391" w:rsidRDefault="53BF0693" w:rsidP="00B31ED0">
                  <w:pPr>
                    <w:pStyle w:val="TableText-Medium"/>
                    <w:jc w:val="center"/>
                    <w:rPr>
                      <w:rStyle w:val="BodyTextChar"/>
                      <w:rFonts w:cs="Calibri"/>
                    </w:rPr>
                  </w:pPr>
                  <w:r w:rsidRPr="00150391">
                    <w:rPr>
                      <w:rStyle w:val="BodyTextChar"/>
                      <w:rFonts w:cs="Calibri"/>
                    </w:rPr>
                    <w:t>($4)</w:t>
                  </w:r>
                </w:p>
              </w:tc>
              <w:tc>
                <w:tcPr>
                  <w:tcW w:w="1188" w:type="dxa"/>
                </w:tcPr>
                <w:p w14:paraId="2A0BC8EE" w14:textId="77777777" w:rsidR="00EE503C" w:rsidRPr="00150391" w:rsidRDefault="53BF0693" w:rsidP="00B31ED0">
                  <w:pPr>
                    <w:pStyle w:val="TableText-Medium"/>
                    <w:jc w:val="center"/>
                    <w:rPr>
                      <w:rStyle w:val="BodyTextChar"/>
                      <w:rFonts w:cs="Calibri"/>
                    </w:rPr>
                  </w:pPr>
                  <w:r w:rsidRPr="00150391">
                    <w:rPr>
                      <w:rStyle w:val="BodyTextChar"/>
                      <w:rFonts w:cs="Calibri"/>
                    </w:rPr>
                    <w:t>($5)</w:t>
                  </w:r>
                </w:p>
              </w:tc>
            </w:tr>
            <w:tr w:rsidR="00EE503C" w:rsidRPr="00150391" w14:paraId="49AB14C0" w14:textId="77777777" w:rsidTr="53BF0693">
              <w:trPr>
                <w:trHeight w:val="446"/>
                <w:jc w:val="center"/>
              </w:trPr>
              <w:tc>
                <w:tcPr>
                  <w:tcW w:w="1820" w:type="dxa"/>
                </w:tcPr>
                <w:p w14:paraId="1B8C0AEB" w14:textId="77777777" w:rsidR="00EE503C" w:rsidRPr="00150391" w:rsidRDefault="53BF0693" w:rsidP="53BF0693">
                  <w:pPr>
                    <w:pStyle w:val="TableText-Medium"/>
                    <w:rPr>
                      <w:rStyle w:val="BodyTextChar"/>
                      <w:rFonts w:cs="Calibri"/>
                    </w:rPr>
                  </w:pPr>
                  <w:r w:rsidRPr="00150391">
                    <w:rPr>
                      <w:rStyle w:val="BodyTextChar"/>
                      <w:rFonts w:cs="Calibri"/>
                    </w:rPr>
                    <w:t xml:space="preserve">Y Measure </w:t>
                  </w:r>
                  <w:r w:rsidRPr="00150391">
                    <w:rPr>
                      <w:rFonts w:cs="Calibri"/>
                    </w:rPr>
                    <w:t>–</w:t>
                  </w:r>
                  <w:r w:rsidRPr="00150391">
                    <w:rPr>
                      <w:rStyle w:val="BodyTextChar"/>
                      <w:rFonts w:cs="Calibri"/>
                    </w:rPr>
                    <w:t>cessation</w:t>
                  </w:r>
                </w:p>
              </w:tc>
              <w:tc>
                <w:tcPr>
                  <w:tcW w:w="1012" w:type="dxa"/>
                </w:tcPr>
                <w:p w14:paraId="668B8C9F" w14:textId="77777777" w:rsidR="00EE503C" w:rsidRPr="00150391" w:rsidRDefault="53BF0693" w:rsidP="00B31ED0">
                  <w:pPr>
                    <w:pStyle w:val="TableText-Medium"/>
                    <w:jc w:val="center"/>
                    <w:rPr>
                      <w:rStyle w:val="BodyTextChar"/>
                      <w:rFonts w:cs="Calibri"/>
                    </w:rPr>
                  </w:pPr>
                  <w:r w:rsidRPr="00150391">
                    <w:rPr>
                      <w:rStyle w:val="BodyTextChar"/>
                      <w:rFonts w:cs="Calibri"/>
                    </w:rPr>
                    <w:t>($2)</w:t>
                  </w:r>
                </w:p>
              </w:tc>
              <w:tc>
                <w:tcPr>
                  <w:tcW w:w="1300" w:type="dxa"/>
                </w:tcPr>
                <w:p w14:paraId="129E92E5" w14:textId="77777777" w:rsidR="00EE503C" w:rsidRPr="00150391" w:rsidRDefault="53BF0693" w:rsidP="00B31ED0">
                  <w:pPr>
                    <w:pStyle w:val="TableText-Medium"/>
                    <w:jc w:val="center"/>
                    <w:rPr>
                      <w:rStyle w:val="BodyTextChar"/>
                      <w:rFonts w:cs="Calibri"/>
                    </w:rPr>
                  </w:pPr>
                  <w:r w:rsidRPr="00150391">
                    <w:rPr>
                      <w:rStyle w:val="BodyTextChar"/>
                      <w:rFonts w:cs="Calibri"/>
                    </w:rPr>
                    <w:t>($3)</w:t>
                  </w:r>
                </w:p>
              </w:tc>
              <w:tc>
                <w:tcPr>
                  <w:tcW w:w="1188" w:type="dxa"/>
                </w:tcPr>
                <w:p w14:paraId="68761A94" w14:textId="77777777" w:rsidR="00EE503C" w:rsidRPr="00150391" w:rsidRDefault="53BF0693" w:rsidP="00B31ED0">
                  <w:pPr>
                    <w:pStyle w:val="TableText-Medium"/>
                    <w:jc w:val="center"/>
                    <w:rPr>
                      <w:rStyle w:val="BodyTextChar"/>
                      <w:rFonts w:cs="Calibri"/>
                    </w:rPr>
                  </w:pPr>
                  <w:r w:rsidRPr="00150391">
                    <w:rPr>
                      <w:rStyle w:val="BodyTextChar"/>
                      <w:rFonts w:cs="Calibri"/>
                    </w:rPr>
                    <w:t>($4)</w:t>
                  </w:r>
                </w:p>
              </w:tc>
              <w:tc>
                <w:tcPr>
                  <w:tcW w:w="1188" w:type="dxa"/>
                </w:tcPr>
                <w:p w14:paraId="15E6933C" w14:textId="77777777" w:rsidR="00EE503C" w:rsidRPr="00150391" w:rsidRDefault="53BF0693" w:rsidP="00B31ED0">
                  <w:pPr>
                    <w:pStyle w:val="TableText-Medium"/>
                    <w:jc w:val="center"/>
                    <w:rPr>
                      <w:rStyle w:val="BodyTextChar"/>
                      <w:rFonts w:cs="Calibri"/>
                    </w:rPr>
                  </w:pPr>
                  <w:r w:rsidRPr="00150391">
                    <w:rPr>
                      <w:rStyle w:val="BodyTextChar"/>
                      <w:rFonts w:cs="Calibri"/>
                    </w:rPr>
                    <w:t>($5)</w:t>
                  </w:r>
                </w:p>
              </w:tc>
            </w:tr>
          </w:tbl>
          <w:p w14:paraId="4347ED2E" w14:textId="77777777" w:rsidR="004D479A" w:rsidRPr="00150391" w:rsidRDefault="53BF0693" w:rsidP="53BF0693">
            <w:pPr>
              <w:pStyle w:val="TableText-Medium"/>
              <w:rPr>
                <w:rStyle w:val="BodyTextChar"/>
                <w:rFonts w:cs="Calibri"/>
              </w:rPr>
            </w:pPr>
            <w:r w:rsidRPr="00150391">
              <w:rPr>
                <w:rStyle w:val="BodyTextChar"/>
                <w:rFonts w:cs="Calibri"/>
              </w:rPr>
              <w:t>Entity X should report the following in their PB Statements that shows the net effect of these full/partial reversals, with an explanatory footnote to provide context:</w:t>
            </w:r>
          </w:p>
          <w:tbl>
            <w:tblPr>
              <w:tblW w:w="8071" w:type="dxa"/>
              <w:jc w:val="center"/>
              <w:tblLook w:val="04A0" w:firstRow="1" w:lastRow="0" w:firstColumn="1" w:lastColumn="0" w:noHBand="0" w:noVBand="1"/>
            </w:tblPr>
            <w:tblGrid>
              <w:gridCol w:w="2432"/>
              <w:gridCol w:w="1100"/>
              <w:gridCol w:w="1076"/>
              <w:gridCol w:w="1134"/>
              <w:gridCol w:w="1134"/>
              <w:gridCol w:w="1195"/>
            </w:tblGrid>
            <w:tr w:rsidR="004D479A" w:rsidRPr="00150391" w14:paraId="202AAB71" w14:textId="77777777" w:rsidTr="002B4935">
              <w:trPr>
                <w:trHeight w:val="225"/>
                <w:jc w:val="center"/>
              </w:trPr>
              <w:tc>
                <w:tcPr>
                  <w:tcW w:w="8071" w:type="dxa"/>
                  <w:gridSpan w:val="6"/>
                  <w:tcBorders>
                    <w:top w:val="nil"/>
                    <w:left w:val="nil"/>
                    <w:bottom w:val="nil"/>
                    <w:right w:val="nil"/>
                  </w:tcBorders>
                  <w:shd w:val="clear" w:color="auto" w:fill="auto"/>
                  <w:noWrap/>
                  <w:vAlign w:val="bottom"/>
                  <w:hideMark/>
                </w:tcPr>
                <w:p w14:paraId="3962D8F9" w14:textId="27CFC871" w:rsidR="004D479A" w:rsidRPr="00150391" w:rsidRDefault="53BF0693" w:rsidP="00BA2416">
                  <w:pPr>
                    <w:pStyle w:val="TableText-SuperSmallBold"/>
                    <w:rPr>
                      <w:rFonts w:cs="Calibri"/>
                    </w:rPr>
                  </w:pPr>
                  <w:r w:rsidRPr="00150391">
                    <w:rPr>
                      <w:rFonts w:cs="Calibri"/>
                    </w:rPr>
                    <w:t>Table 1.2</w:t>
                  </w:r>
                  <w:r w:rsidRPr="000D6117">
                    <w:rPr>
                      <w:rFonts w:cs="Calibri"/>
                    </w:rPr>
                    <w:t xml:space="preserve">:  Entity </w:t>
                  </w:r>
                  <w:r w:rsidR="000E3921" w:rsidRPr="000D6117">
                    <w:rPr>
                      <w:rFonts w:cs="Calibri"/>
                    </w:rPr>
                    <w:t xml:space="preserve">October </w:t>
                  </w:r>
                  <w:r w:rsidRPr="000D6117">
                    <w:rPr>
                      <w:rFonts w:cs="Calibri"/>
                    </w:rPr>
                    <w:t>202</w:t>
                  </w:r>
                  <w:r w:rsidR="0007613A" w:rsidRPr="000D6117">
                    <w:rPr>
                      <w:rFonts w:cs="Calibri"/>
                    </w:rPr>
                    <w:t>2</w:t>
                  </w:r>
                  <w:r w:rsidRPr="000D6117">
                    <w:rPr>
                      <w:rFonts w:cs="Calibri"/>
                    </w:rPr>
                    <w:t>-2</w:t>
                  </w:r>
                  <w:r w:rsidR="0007613A" w:rsidRPr="000D6117">
                    <w:rPr>
                      <w:rFonts w:cs="Calibri"/>
                    </w:rPr>
                    <w:t>3</w:t>
                  </w:r>
                  <w:r w:rsidRPr="000D6117">
                    <w:rPr>
                      <w:rFonts w:cs="Calibri"/>
                    </w:rPr>
                    <w:t xml:space="preserve"> Budget Measures</w:t>
                  </w:r>
                </w:p>
              </w:tc>
            </w:tr>
            <w:tr w:rsidR="004D479A" w:rsidRPr="00150391" w14:paraId="31628D35" w14:textId="77777777" w:rsidTr="002B4935">
              <w:trPr>
                <w:trHeight w:val="225"/>
                <w:jc w:val="center"/>
              </w:trPr>
              <w:tc>
                <w:tcPr>
                  <w:tcW w:w="8071" w:type="dxa"/>
                  <w:gridSpan w:val="6"/>
                  <w:tcBorders>
                    <w:top w:val="nil"/>
                    <w:left w:val="nil"/>
                    <w:bottom w:val="nil"/>
                    <w:right w:val="nil"/>
                  </w:tcBorders>
                  <w:shd w:val="clear" w:color="auto" w:fill="auto"/>
                  <w:noWrap/>
                  <w:vAlign w:val="bottom"/>
                  <w:hideMark/>
                </w:tcPr>
                <w:p w14:paraId="1FFFBF81" w14:textId="2BB230D4" w:rsidR="004D479A" w:rsidRPr="00150391" w:rsidRDefault="53BF0693" w:rsidP="004E2597">
                  <w:pPr>
                    <w:pStyle w:val="TableText-SuperSmallBold"/>
                    <w:rPr>
                      <w:rFonts w:cs="Calibri"/>
                    </w:rPr>
                  </w:pPr>
                  <w:r w:rsidRPr="00150391">
                    <w:rPr>
                      <w:rFonts w:cs="Calibri"/>
                    </w:rPr>
                    <w:t>Measures announced since the</w:t>
                  </w:r>
                  <w:r w:rsidR="000E3921" w:rsidRPr="00150391">
                    <w:rPr>
                      <w:rFonts w:cs="Calibri"/>
                    </w:rPr>
                    <w:t xml:space="preserve"> </w:t>
                  </w:r>
                  <w:r w:rsidR="004E2597" w:rsidRPr="00150391">
                    <w:rPr>
                      <w:rFonts w:cs="Calibri"/>
                    </w:rPr>
                    <w:t xml:space="preserve">March 2022-23 Budget </w:t>
                  </w:r>
                </w:p>
              </w:tc>
            </w:tr>
            <w:tr w:rsidR="00EE503C" w:rsidRPr="00150391" w14:paraId="6855E586" w14:textId="77777777" w:rsidTr="002B4935">
              <w:trPr>
                <w:trHeight w:val="225"/>
                <w:jc w:val="center"/>
              </w:trPr>
              <w:tc>
                <w:tcPr>
                  <w:tcW w:w="2432" w:type="dxa"/>
                  <w:tcBorders>
                    <w:top w:val="single" w:sz="4" w:space="0" w:color="auto"/>
                    <w:left w:val="nil"/>
                    <w:bottom w:val="nil"/>
                    <w:right w:val="nil"/>
                  </w:tcBorders>
                  <w:shd w:val="clear" w:color="auto" w:fill="auto"/>
                  <w:noWrap/>
                  <w:vAlign w:val="bottom"/>
                  <w:hideMark/>
                </w:tcPr>
                <w:p w14:paraId="2CCFFFD3" w14:textId="77777777" w:rsidR="00EE503C" w:rsidRPr="00150391" w:rsidRDefault="6B6EE5C4" w:rsidP="000A7DEC">
                  <w:pPr>
                    <w:pStyle w:val="TableText-SuperSmallBold"/>
                    <w:rPr>
                      <w:rFonts w:cs="Calibri"/>
                    </w:rPr>
                  </w:pPr>
                  <w:r w:rsidRPr="00150391">
                    <w:rPr>
                      <w:rFonts w:cs="Calibri"/>
                    </w:rPr>
                    <w:t> </w:t>
                  </w:r>
                </w:p>
              </w:tc>
              <w:tc>
                <w:tcPr>
                  <w:tcW w:w="1100" w:type="dxa"/>
                  <w:tcBorders>
                    <w:top w:val="single" w:sz="4" w:space="0" w:color="auto"/>
                    <w:left w:val="nil"/>
                    <w:bottom w:val="nil"/>
                    <w:right w:val="nil"/>
                  </w:tcBorders>
                  <w:shd w:val="clear" w:color="auto" w:fill="auto"/>
                  <w:noWrap/>
                  <w:vAlign w:val="bottom"/>
                  <w:hideMark/>
                </w:tcPr>
                <w:p w14:paraId="429605C3" w14:textId="77777777" w:rsidR="00EE503C" w:rsidRPr="00150391" w:rsidRDefault="53BF0693" w:rsidP="000A7DEC">
                  <w:pPr>
                    <w:pStyle w:val="TableText-SuperSmallBold"/>
                    <w:rPr>
                      <w:rFonts w:cs="Calibri"/>
                    </w:rPr>
                  </w:pPr>
                  <w:r w:rsidRPr="00150391">
                    <w:rPr>
                      <w:rFonts w:cs="Calibri"/>
                    </w:rPr>
                    <w:t>Program</w:t>
                  </w:r>
                </w:p>
              </w:tc>
              <w:tc>
                <w:tcPr>
                  <w:tcW w:w="1076" w:type="dxa"/>
                  <w:tcBorders>
                    <w:top w:val="single" w:sz="4" w:space="0" w:color="auto"/>
                    <w:left w:val="nil"/>
                    <w:bottom w:val="nil"/>
                    <w:right w:val="nil"/>
                  </w:tcBorders>
                  <w:shd w:val="clear" w:color="auto" w:fill="FFFFFF" w:themeFill="background1"/>
                  <w:noWrap/>
                  <w:vAlign w:val="bottom"/>
                  <w:hideMark/>
                </w:tcPr>
                <w:p w14:paraId="1067E7F4" w14:textId="77777777" w:rsidR="00EE503C" w:rsidRPr="00150391" w:rsidRDefault="0007613A" w:rsidP="00BA2416">
                  <w:pPr>
                    <w:pStyle w:val="TableText-SuperSmallBold"/>
                    <w:jc w:val="center"/>
                    <w:rPr>
                      <w:rFonts w:cs="Calibri"/>
                    </w:rPr>
                  </w:pPr>
                  <w:r w:rsidRPr="00150391">
                    <w:rPr>
                      <w:rFonts w:cs="Calibri"/>
                    </w:rPr>
                    <w:t>2022</w:t>
                  </w:r>
                  <w:r w:rsidR="6B6EE5C4" w:rsidRPr="00150391">
                    <w:rPr>
                      <w:rFonts w:cs="Calibri"/>
                    </w:rPr>
                    <w:t>-</w:t>
                  </w:r>
                  <w:r w:rsidRPr="00150391">
                    <w:rPr>
                      <w:rFonts w:cs="Calibri"/>
                    </w:rPr>
                    <w:t>23</w:t>
                  </w:r>
                </w:p>
              </w:tc>
              <w:tc>
                <w:tcPr>
                  <w:tcW w:w="1134" w:type="dxa"/>
                  <w:tcBorders>
                    <w:top w:val="single" w:sz="4" w:space="0" w:color="auto"/>
                    <w:left w:val="nil"/>
                    <w:bottom w:val="nil"/>
                    <w:right w:val="nil"/>
                  </w:tcBorders>
                  <w:shd w:val="clear" w:color="auto" w:fill="E6E6E6"/>
                  <w:noWrap/>
                  <w:vAlign w:val="bottom"/>
                  <w:hideMark/>
                </w:tcPr>
                <w:p w14:paraId="7D3A3482" w14:textId="77777777" w:rsidR="00EE503C" w:rsidRPr="00150391" w:rsidRDefault="0007613A" w:rsidP="0081792A">
                  <w:pPr>
                    <w:pStyle w:val="TableText-SuperSmallBold"/>
                    <w:jc w:val="center"/>
                    <w:rPr>
                      <w:rFonts w:cs="Calibri"/>
                    </w:rPr>
                  </w:pPr>
                  <w:r w:rsidRPr="00150391">
                    <w:rPr>
                      <w:rFonts w:cs="Calibri"/>
                    </w:rPr>
                    <w:t>2023</w:t>
                  </w:r>
                  <w:r w:rsidR="6B6EE5C4" w:rsidRPr="00150391">
                    <w:rPr>
                      <w:rFonts w:cs="Calibri"/>
                    </w:rPr>
                    <w:t>-</w:t>
                  </w:r>
                  <w:r w:rsidRPr="00150391">
                    <w:rPr>
                      <w:rFonts w:cs="Calibri"/>
                    </w:rPr>
                    <w:t>24</w:t>
                  </w:r>
                </w:p>
              </w:tc>
              <w:tc>
                <w:tcPr>
                  <w:tcW w:w="1134" w:type="dxa"/>
                  <w:tcBorders>
                    <w:top w:val="single" w:sz="4" w:space="0" w:color="auto"/>
                    <w:left w:val="nil"/>
                    <w:bottom w:val="nil"/>
                    <w:right w:val="nil"/>
                  </w:tcBorders>
                  <w:shd w:val="clear" w:color="auto" w:fill="FFFFFF" w:themeFill="background1"/>
                  <w:noWrap/>
                  <w:vAlign w:val="bottom"/>
                  <w:hideMark/>
                </w:tcPr>
                <w:p w14:paraId="3CFD5A42" w14:textId="77777777" w:rsidR="00EE503C" w:rsidRPr="00150391" w:rsidRDefault="0007613A" w:rsidP="00F456EC">
                  <w:pPr>
                    <w:pStyle w:val="TableText-SuperSmallBold"/>
                    <w:jc w:val="center"/>
                    <w:rPr>
                      <w:rFonts w:cs="Calibri"/>
                    </w:rPr>
                  </w:pPr>
                  <w:r w:rsidRPr="00150391">
                    <w:rPr>
                      <w:rFonts w:cs="Calibri"/>
                    </w:rPr>
                    <w:t>2024</w:t>
                  </w:r>
                  <w:r w:rsidR="6B6EE5C4" w:rsidRPr="00150391">
                    <w:rPr>
                      <w:rFonts w:cs="Calibri"/>
                    </w:rPr>
                    <w:t>-2</w:t>
                  </w:r>
                  <w:r w:rsidRPr="00150391">
                    <w:rPr>
                      <w:rFonts w:cs="Calibri"/>
                    </w:rPr>
                    <w:t>5</w:t>
                  </w:r>
                </w:p>
              </w:tc>
              <w:tc>
                <w:tcPr>
                  <w:tcW w:w="1134" w:type="dxa"/>
                  <w:tcBorders>
                    <w:top w:val="single" w:sz="4" w:space="0" w:color="auto"/>
                    <w:left w:val="nil"/>
                    <w:bottom w:val="nil"/>
                    <w:right w:val="nil"/>
                  </w:tcBorders>
                  <w:shd w:val="clear" w:color="auto" w:fill="E6E6E6"/>
                  <w:noWrap/>
                  <w:vAlign w:val="bottom"/>
                  <w:hideMark/>
                </w:tcPr>
                <w:p w14:paraId="5E7C79B4" w14:textId="77777777" w:rsidR="00EE503C" w:rsidRPr="00150391" w:rsidRDefault="0007613A" w:rsidP="00F456EC">
                  <w:pPr>
                    <w:pStyle w:val="TableText-SuperSmallBold"/>
                    <w:jc w:val="center"/>
                    <w:rPr>
                      <w:rFonts w:cs="Calibri"/>
                    </w:rPr>
                  </w:pPr>
                  <w:r w:rsidRPr="00150391">
                    <w:rPr>
                      <w:rFonts w:cs="Calibri"/>
                    </w:rPr>
                    <w:t>2025</w:t>
                  </w:r>
                  <w:r w:rsidR="6B6EE5C4" w:rsidRPr="00150391">
                    <w:rPr>
                      <w:rFonts w:cs="Calibri"/>
                    </w:rPr>
                    <w:t>-</w:t>
                  </w:r>
                  <w:r w:rsidRPr="00150391">
                    <w:rPr>
                      <w:rFonts w:cs="Calibri"/>
                    </w:rPr>
                    <w:t>26</w:t>
                  </w:r>
                </w:p>
              </w:tc>
            </w:tr>
            <w:tr w:rsidR="00EE503C" w:rsidRPr="00150391" w14:paraId="1734EC2F" w14:textId="77777777" w:rsidTr="002B4935">
              <w:trPr>
                <w:trHeight w:val="225"/>
                <w:jc w:val="center"/>
              </w:trPr>
              <w:tc>
                <w:tcPr>
                  <w:tcW w:w="2432" w:type="dxa"/>
                  <w:tcBorders>
                    <w:top w:val="nil"/>
                    <w:left w:val="nil"/>
                    <w:bottom w:val="nil"/>
                    <w:right w:val="nil"/>
                  </w:tcBorders>
                  <w:shd w:val="clear" w:color="auto" w:fill="auto"/>
                  <w:noWrap/>
                  <w:vAlign w:val="bottom"/>
                  <w:hideMark/>
                </w:tcPr>
                <w:p w14:paraId="42533E8A" w14:textId="77777777" w:rsidR="00EE503C" w:rsidRPr="00150391" w:rsidRDefault="00EE503C" w:rsidP="000A7DEC">
                  <w:pPr>
                    <w:pStyle w:val="TableText-SuperSmallBold"/>
                    <w:rPr>
                      <w:rFonts w:cs="Calibri"/>
                    </w:rPr>
                  </w:pPr>
                </w:p>
              </w:tc>
              <w:tc>
                <w:tcPr>
                  <w:tcW w:w="1100" w:type="dxa"/>
                  <w:tcBorders>
                    <w:top w:val="nil"/>
                    <w:left w:val="nil"/>
                    <w:bottom w:val="single" w:sz="4" w:space="0" w:color="auto"/>
                    <w:right w:val="nil"/>
                  </w:tcBorders>
                  <w:shd w:val="clear" w:color="auto" w:fill="auto"/>
                  <w:noWrap/>
                  <w:vAlign w:val="bottom"/>
                  <w:hideMark/>
                </w:tcPr>
                <w:p w14:paraId="0E930D73" w14:textId="77777777" w:rsidR="00EE503C" w:rsidRPr="00150391" w:rsidRDefault="6B6EE5C4" w:rsidP="000A7DEC">
                  <w:pPr>
                    <w:pStyle w:val="TableText-SuperSmallBold"/>
                    <w:rPr>
                      <w:rFonts w:cs="Calibri"/>
                    </w:rPr>
                  </w:pPr>
                  <w:r w:rsidRPr="00150391">
                    <w:rPr>
                      <w:rFonts w:cs="Calibri"/>
                    </w:rPr>
                    <w:t> </w:t>
                  </w:r>
                </w:p>
              </w:tc>
              <w:tc>
                <w:tcPr>
                  <w:tcW w:w="1076" w:type="dxa"/>
                  <w:tcBorders>
                    <w:top w:val="nil"/>
                    <w:left w:val="nil"/>
                    <w:bottom w:val="single" w:sz="4" w:space="0" w:color="auto"/>
                    <w:right w:val="nil"/>
                  </w:tcBorders>
                  <w:shd w:val="clear" w:color="auto" w:fill="FFFFFF" w:themeFill="background1"/>
                  <w:noWrap/>
                  <w:vAlign w:val="bottom"/>
                  <w:hideMark/>
                </w:tcPr>
                <w:p w14:paraId="3A77BC09" w14:textId="77777777" w:rsidR="00EE503C" w:rsidRPr="00150391" w:rsidRDefault="53BF0693" w:rsidP="00B31ED0">
                  <w:pPr>
                    <w:pStyle w:val="TableText-SuperSmallBold"/>
                    <w:jc w:val="center"/>
                    <w:rPr>
                      <w:rFonts w:cs="Calibri"/>
                    </w:rPr>
                  </w:pPr>
                  <w:r w:rsidRPr="00150391">
                    <w:rPr>
                      <w:rFonts w:cs="Calibri"/>
                    </w:rPr>
                    <w:t>$'000</w:t>
                  </w:r>
                </w:p>
              </w:tc>
              <w:tc>
                <w:tcPr>
                  <w:tcW w:w="1134" w:type="dxa"/>
                  <w:tcBorders>
                    <w:top w:val="nil"/>
                    <w:left w:val="nil"/>
                    <w:bottom w:val="single" w:sz="4" w:space="0" w:color="auto"/>
                    <w:right w:val="nil"/>
                  </w:tcBorders>
                  <w:shd w:val="clear" w:color="auto" w:fill="E6E6E6"/>
                  <w:noWrap/>
                  <w:vAlign w:val="bottom"/>
                  <w:hideMark/>
                </w:tcPr>
                <w:p w14:paraId="1E757525" w14:textId="77777777" w:rsidR="00EE503C" w:rsidRPr="00150391" w:rsidRDefault="53BF0693" w:rsidP="00B31ED0">
                  <w:pPr>
                    <w:pStyle w:val="TableText-SuperSmallBold"/>
                    <w:jc w:val="center"/>
                    <w:rPr>
                      <w:rFonts w:cs="Calibri"/>
                    </w:rPr>
                  </w:pPr>
                  <w:r w:rsidRPr="00150391">
                    <w:rPr>
                      <w:rFonts w:cs="Calibri"/>
                    </w:rPr>
                    <w:t>$'000</w:t>
                  </w:r>
                </w:p>
              </w:tc>
              <w:tc>
                <w:tcPr>
                  <w:tcW w:w="1134" w:type="dxa"/>
                  <w:tcBorders>
                    <w:top w:val="nil"/>
                    <w:left w:val="nil"/>
                    <w:bottom w:val="single" w:sz="4" w:space="0" w:color="auto"/>
                    <w:right w:val="nil"/>
                  </w:tcBorders>
                  <w:shd w:val="clear" w:color="auto" w:fill="FFFFFF" w:themeFill="background1"/>
                  <w:noWrap/>
                  <w:vAlign w:val="bottom"/>
                  <w:hideMark/>
                </w:tcPr>
                <w:p w14:paraId="1B1BD80C" w14:textId="77777777" w:rsidR="00EE503C" w:rsidRPr="00150391" w:rsidRDefault="53BF0693" w:rsidP="00B31ED0">
                  <w:pPr>
                    <w:pStyle w:val="TableText-SuperSmallBold"/>
                    <w:jc w:val="center"/>
                    <w:rPr>
                      <w:rFonts w:cs="Calibri"/>
                    </w:rPr>
                  </w:pPr>
                  <w:r w:rsidRPr="00150391">
                    <w:rPr>
                      <w:rFonts w:cs="Calibri"/>
                    </w:rPr>
                    <w:t>$'000</w:t>
                  </w:r>
                </w:p>
              </w:tc>
              <w:tc>
                <w:tcPr>
                  <w:tcW w:w="1134" w:type="dxa"/>
                  <w:tcBorders>
                    <w:top w:val="nil"/>
                    <w:left w:val="nil"/>
                    <w:bottom w:val="single" w:sz="4" w:space="0" w:color="auto"/>
                    <w:right w:val="nil"/>
                  </w:tcBorders>
                  <w:shd w:val="clear" w:color="auto" w:fill="E6E6E6"/>
                  <w:noWrap/>
                  <w:vAlign w:val="bottom"/>
                  <w:hideMark/>
                </w:tcPr>
                <w:p w14:paraId="163C0267" w14:textId="77777777" w:rsidR="00EE503C" w:rsidRPr="00150391" w:rsidRDefault="53BF0693" w:rsidP="00B31ED0">
                  <w:pPr>
                    <w:pStyle w:val="TableText-SuperSmallBold"/>
                    <w:jc w:val="center"/>
                    <w:rPr>
                      <w:rFonts w:cs="Calibri"/>
                    </w:rPr>
                  </w:pPr>
                  <w:r w:rsidRPr="00150391">
                    <w:rPr>
                      <w:rFonts w:cs="Calibri"/>
                    </w:rPr>
                    <w:t>$'000</w:t>
                  </w:r>
                </w:p>
              </w:tc>
            </w:tr>
            <w:tr w:rsidR="00EE503C" w:rsidRPr="00150391" w14:paraId="016EC382" w14:textId="77777777" w:rsidTr="002B4935">
              <w:trPr>
                <w:trHeight w:val="225"/>
                <w:jc w:val="center"/>
              </w:trPr>
              <w:tc>
                <w:tcPr>
                  <w:tcW w:w="2432" w:type="dxa"/>
                  <w:tcBorders>
                    <w:top w:val="nil"/>
                    <w:left w:val="nil"/>
                    <w:bottom w:val="nil"/>
                    <w:right w:val="nil"/>
                  </w:tcBorders>
                  <w:shd w:val="clear" w:color="auto" w:fill="auto"/>
                  <w:noWrap/>
                  <w:vAlign w:val="bottom"/>
                  <w:hideMark/>
                </w:tcPr>
                <w:p w14:paraId="6455747B" w14:textId="77777777" w:rsidR="00EE503C" w:rsidRPr="00150391" w:rsidRDefault="53BF0693" w:rsidP="000A7DEC">
                  <w:pPr>
                    <w:pStyle w:val="TableText-SuperSmallBold"/>
                    <w:rPr>
                      <w:rFonts w:cs="Calibri"/>
                    </w:rPr>
                  </w:pPr>
                  <w:r w:rsidRPr="00150391">
                    <w:rPr>
                      <w:rFonts w:cs="Calibri"/>
                    </w:rPr>
                    <w:t>Payment measures</w:t>
                  </w:r>
                </w:p>
              </w:tc>
              <w:tc>
                <w:tcPr>
                  <w:tcW w:w="1100" w:type="dxa"/>
                  <w:tcBorders>
                    <w:top w:val="nil"/>
                    <w:left w:val="nil"/>
                    <w:bottom w:val="nil"/>
                    <w:right w:val="nil"/>
                  </w:tcBorders>
                  <w:shd w:val="clear" w:color="auto" w:fill="auto"/>
                  <w:noWrap/>
                  <w:vAlign w:val="bottom"/>
                  <w:hideMark/>
                </w:tcPr>
                <w:p w14:paraId="3D626F5F" w14:textId="77777777" w:rsidR="00EE503C" w:rsidRPr="00150391" w:rsidRDefault="00EE503C" w:rsidP="000A7DEC">
                  <w:pPr>
                    <w:pStyle w:val="TableText-SuperSmallBold"/>
                    <w:rPr>
                      <w:rFonts w:cs="Calibri"/>
                    </w:rPr>
                  </w:pPr>
                </w:p>
              </w:tc>
              <w:tc>
                <w:tcPr>
                  <w:tcW w:w="1076" w:type="dxa"/>
                  <w:tcBorders>
                    <w:top w:val="nil"/>
                    <w:left w:val="nil"/>
                    <w:bottom w:val="nil"/>
                    <w:right w:val="nil"/>
                  </w:tcBorders>
                  <w:shd w:val="clear" w:color="auto" w:fill="FFFFFF" w:themeFill="background1"/>
                  <w:noWrap/>
                  <w:vAlign w:val="bottom"/>
                  <w:hideMark/>
                </w:tcPr>
                <w:p w14:paraId="04575D71"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26A867EF"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FFFFFF" w:themeFill="background1"/>
                  <w:noWrap/>
                  <w:vAlign w:val="bottom"/>
                  <w:hideMark/>
                </w:tcPr>
                <w:p w14:paraId="25A7F1ED"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36F8CA1E" w14:textId="77777777" w:rsidR="00EE503C" w:rsidRPr="00150391" w:rsidRDefault="00EE503C" w:rsidP="00B31ED0">
                  <w:pPr>
                    <w:pStyle w:val="TableText-SuperSmallBold"/>
                    <w:jc w:val="center"/>
                    <w:rPr>
                      <w:rFonts w:cs="Calibri"/>
                    </w:rPr>
                  </w:pPr>
                </w:p>
              </w:tc>
            </w:tr>
            <w:tr w:rsidR="00EE503C" w:rsidRPr="00150391" w14:paraId="0EC26CFE" w14:textId="77777777" w:rsidTr="002B4935">
              <w:trPr>
                <w:trHeight w:val="225"/>
                <w:jc w:val="center"/>
              </w:trPr>
              <w:tc>
                <w:tcPr>
                  <w:tcW w:w="2432" w:type="dxa"/>
                  <w:tcBorders>
                    <w:top w:val="nil"/>
                    <w:left w:val="nil"/>
                    <w:bottom w:val="nil"/>
                    <w:right w:val="nil"/>
                  </w:tcBorders>
                  <w:shd w:val="clear" w:color="auto" w:fill="auto"/>
                  <w:noWrap/>
                  <w:vAlign w:val="bottom"/>
                  <w:hideMark/>
                </w:tcPr>
                <w:p w14:paraId="114F0734" w14:textId="77777777" w:rsidR="00EE503C" w:rsidRPr="00150391" w:rsidRDefault="53BF0693" w:rsidP="000A7DEC">
                  <w:pPr>
                    <w:pStyle w:val="TableText-SuperSmallBold"/>
                    <w:rPr>
                      <w:rFonts w:cs="Calibri"/>
                    </w:rPr>
                  </w:pPr>
                  <w:r w:rsidRPr="00150391">
                    <w:rPr>
                      <w:rFonts w:cs="Calibri"/>
                    </w:rPr>
                    <w:t>X Measure (a)</w:t>
                  </w:r>
                </w:p>
              </w:tc>
              <w:tc>
                <w:tcPr>
                  <w:tcW w:w="1100" w:type="dxa"/>
                  <w:tcBorders>
                    <w:top w:val="nil"/>
                    <w:left w:val="nil"/>
                    <w:bottom w:val="nil"/>
                    <w:right w:val="nil"/>
                  </w:tcBorders>
                  <w:shd w:val="clear" w:color="auto" w:fill="auto"/>
                  <w:noWrap/>
                  <w:vAlign w:val="bottom"/>
                  <w:hideMark/>
                </w:tcPr>
                <w:p w14:paraId="1FD4197B" w14:textId="77777777" w:rsidR="00EE503C" w:rsidRPr="00150391" w:rsidRDefault="6B6EE5C4" w:rsidP="00123B3F">
                  <w:pPr>
                    <w:pStyle w:val="TableText-SuperSmallBold"/>
                    <w:jc w:val="center"/>
                    <w:rPr>
                      <w:rFonts w:cs="Calibri"/>
                    </w:rPr>
                  </w:pPr>
                  <w:r w:rsidRPr="00150391">
                    <w:rPr>
                      <w:rFonts w:cs="Calibri"/>
                    </w:rPr>
                    <w:t>1.1</w:t>
                  </w:r>
                </w:p>
              </w:tc>
              <w:tc>
                <w:tcPr>
                  <w:tcW w:w="1076" w:type="dxa"/>
                  <w:tcBorders>
                    <w:top w:val="nil"/>
                    <w:left w:val="nil"/>
                    <w:bottom w:val="nil"/>
                    <w:right w:val="nil"/>
                  </w:tcBorders>
                  <w:shd w:val="clear" w:color="auto" w:fill="FFFFFF" w:themeFill="background1"/>
                  <w:noWrap/>
                  <w:vAlign w:val="bottom"/>
                  <w:hideMark/>
                </w:tcPr>
                <w:p w14:paraId="26E23C85"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50387852"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FFFFFF" w:themeFill="background1"/>
                  <w:noWrap/>
                  <w:vAlign w:val="bottom"/>
                  <w:hideMark/>
                </w:tcPr>
                <w:p w14:paraId="216CB440"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624BBDEF" w14:textId="77777777" w:rsidR="00EE503C" w:rsidRPr="00150391" w:rsidRDefault="00EE503C" w:rsidP="00B31ED0">
                  <w:pPr>
                    <w:pStyle w:val="TableText-SuperSmallBold"/>
                    <w:jc w:val="center"/>
                    <w:rPr>
                      <w:rFonts w:cs="Calibri"/>
                    </w:rPr>
                  </w:pPr>
                </w:p>
              </w:tc>
            </w:tr>
            <w:tr w:rsidR="00EE503C" w:rsidRPr="00150391" w14:paraId="3164D05C" w14:textId="77777777" w:rsidTr="002B4935">
              <w:trPr>
                <w:trHeight w:val="225"/>
                <w:jc w:val="center"/>
              </w:trPr>
              <w:tc>
                <w:tcPr>
                  <w:tcW w:w="2432" w:type="dxa"/>
                  <w:tcBorders>
                    <w:top w:val="nil"/>
                    <w:left w:val="nil"/>
                    <w:bottom w:val="nil"/>
                    <w:right w:val="nil"/>
                  </w:tcBorders>
                  <w:shd w:val="clear" w:color="auto" w:fill="auto"/>
                  <w:noWrap/>
                  <w:vAlign w:val="bottom"/>
                  <w:hideMark/>
                </w:tcPr>
                <w:p w14:paraId="53DC06B7" w14:textId="77777777" w:rsidR="00EE503C" w:rsidRPr="00150391" w:rsidRDefault="53BF0693">
                  <w:pPr>
                    <w:pStyle w:val="TableText-SuperSmallBold"/>
                    <w:rPr>
                      <w:rFonts w:cs="Calibri"/>
                    </w:rPr>
                  </w:pPr>
                  <w:r w:rsidRPr="00150391">
                    <w:rPr>
                      <w:rFonts w:cs="Calibri"/>
                    </w:rPr>
                    <w:t>Administered payment</w:t>
                  </w:r>
                </w:p>
              </w:tc>
              <w:tc>
                <w:tcPr>
                  <w:tcW w:w="1100" w:type="dxa"/>
                  <w:tcBorders>
                    <w:top w:val="nil"/>
                    <w:left w:val="nil"/>
                    <w:bottom w:val="nil"/>
                    <w:right w:val="nil"/>
                  </w:tcBorders>
                  <w:shd w:val="clear" w:color="auto" w:fill="auto"/>
                  <w:noWrap/>
                  <w:vAlign w:val="bottom"/>
                  <w:hideMark/>
                </w:tcPr>
                <w:p w14:paraId="3AFA8E65" w14:textId="77777777" w:rsidR="00EE503C" w:rsidRPr="00150391" w:rsidRDefault="00EE503C" w:rsidP="00123B3F">
                  <w:pPr>
                    <w:pStyle w:val="TableText-SuperSmallBold"/>
                    <w:jc w:val="center"/>
                    <w:rPr>
                      <w:rFonts w:cs="Calibri"/>
                    </w:rPr>
                  </w:pPr>
                </w:p>
              </w:tc>
              <w:tc>
                <w:tcPr>
                  <w:tcW w:w="1076" w:type="dxa"/>
                  <w:tcBorders>
                    <w:top w:val="nil"/>
                    <w:left w:val="nil"/>
                    <w:bottom w:val="nil"/>
                    <w:right w:val="nil"/>
                  </w:tcBorders>
                  <w:shd w:val="clear" w:color="auto" w:fill="FFFFFF" w:themeFill="background1"/>
                  <w:noWrap/>
                  <w:vAlign w:val="bottom"/>
                  <w:hideMark/>
                </w:tcPr>
                <w:p w14:paraId="39359275" w14:textId="77777777" w:rsidR="00EE503C" w:rsidRPr="00150391" w:rsidRDefault="6B6EE5C4" w:rsidP="00B31ED0">
                  <w:pPr>
                    <w:pStyle w:val="TableText-SuperSmallBold"/>
                    <w:jc w:val="center"/>
                    <w:rPr>
                      <w:rFonts w:cs="Calibri"/>
                    </w:rPr>
                  </w:pPr>
                  <w:r w:rsidRPr="00150391">
                    <w:rPr>
                      <w:rFonts w:cs="Calibri"/>
                    </w:rPr>
                    <w:t>2,000</w:t>
                  </w:r>
                </w:p>
              </w:tc>
              <w:tc>
                <w:tcPr>
                  <w:tcW w:w="1134" w:type="dxa"/>
                  <w:tcBorders>
                    <w:top w:val="nil"/>
                    <w:left w:val="nil"/>
                    <w:bottom w:val="nil"/>
                    <w:right w:val="nil"/>
                  </w:tcBorders>
                  <w:shd w:val="clear" w:color="auto" w:fill="E6E6E6"/>
                  <w:noWrap/>
                  <w:vAlign w:val="bottom"/>
                  <w:hideMark/>
                </w:tcPr>
                <w:p w14:paraId="57405D35" w14:textId="77777777" w:rsidR="00EE503C" w:rsidRPr="00150391" w:rsidRDefault="6B6EE5C4" w:rsidP="00B31ED0">
                  <w:pPr>
                    <w:pStyle w:val="TableText-SuperSmallBold"/>
                    <w:jc w:val="center"/>
                    <w:rPr>
                      <w:rFonts w:cs="Calibri"/>
                    </w:rPr>
                  </w:pPr>
                  <w:r w:rsidRPr="00150391">
                    <w:rPr>
                      <w:rFonts w:cs="Calibri"/>
                    </w:rPr>
                    <w:t>3,000</w:t>
                  </w:r>
                </w:p>
              </w:tc>
              <w:tc>
                <w:tcPr>
                  <w:tcW w:w="1134" w:type="dxa"/>
                  <w:tcBorders>
                    <w:top w:val="nil"/>
                    <w:left w:val="nil"/>
                    <w:bottom w:val="nil"/>
                    <w:right w:val="nil"/>
                  </w:tcBorders>
                  <w:shd w:val="clear" w:color="auto" w:fill="FFFFFF" w:themeFill="background1"/>
                  <w:noWrap/>
                  <w:vAlign w:val="bottom"/>
                  <w:hideMark/>
                </w:tcPr>
                <w:p w14:paraId="5B4497C3" w14:textId="77777777" w:rsidR="00EE503C" w:rsidRPr="00150391" w:rsidRDefault="6B6EE5C4" w:rsidP="00B31ED0">
                  <w:pPr>
                    <w:pStyle w:val="TableText-SuperSmallBold"/>
                    <w:jc w:val="center"/>
                    <w:rPr>
                      <w:rFonts w:cs="Calibri"/>
                    </w:rPr>
                  </w:pPr>
                  <w:r w:rsidRPr="00150391">
                    <w:rPr>
                      <w:rFonts w:cs="Calibri"/>
                    </w:rPr>
                    <w:t>4,000</w:t>
                  </w:r>
                </w:p>
              </w:tc>
              <w:tc>
                <w:tcPr>
                  <w:tcW w:w="1134" w:type="dxa"/>
                  <w:tcBorders>
                    <w:top w:val="nil"/>
                    <w:left w:val="nil"/>
                    <w:bottom w:val="nil"/>
                    <w:right w:val="nil"/>
                  </w:tcBorders>
                  <w:shd w:val="clear" w:color="auto" w:fill="E6E6E6"/>
                  <w:noWrap/>
                  <w:vAlign w:val="bottom"/>
                  <w:hideMark/>
                </w:tcPr>
                <w:p w14:paraId="717F080D" w14:textId="77777777" w:rsidR="00EE503C" w:rsidRPr="00150391" w:rsidRDefault="6B6EE5C4" w:rsidP="00B31ED0">
                  <w:pPr>
                    <w:pStyle w:val="TableText-SuperSmallBold"/>
                    <w:jc w:val="center"/>
                    <w:rPr>
                      <w:rFonts w:cs="Calibri"/>
                    </w:rPr>
                  </w:pPr>
                  <w:r w:rsidRPr="00150391">
                    <w:rPr>
                      <w:rFonts w:cs="Calibri"/>
                    </w:rPr>
                    <w:t>5,000</w:t>
                  </w:r>
                </w:p>
              </w:tc>
            </w:tr>
            <w:tr w:rsidR="00EE503C" w:rsidRPr="00150391" w14:paraId="10CF67DF" w14:textId="77777777" w:rsidTr="002B4935">
              <w:trPr>
                <w:trHeight w:val="225"/>
                <w:jc w:val="center"/>
              </w:trPr>
              <w:tc>
                <w:tcPr>
                  <w:tcW w:w="2432" w:type="dxa"/>
                  <w:tcBorders>
                    <w:top w:val="nil"/>
                    <w:left w:val="nil"/>
                    <w:bottom w:val="nil"/>
                    <w:right w:val="nil"/>
                  </w:tcBorders>
                  <w:shd w:val="clear" w:color="auto" w:fill="auto"/>
                  <w:noWrap/>
                  <w:vAlign w:val="bottom"/>
                  <w:hideMark/>
                </w:tcPr>
                <w:p w14:paraId="039A3A29" w14:textId="77777777" w:rsidR="00EE503C" w:rsidRPr="00150391" w:rsidRDefault="53BF0693" w:rsidP="000A7DEC">
                  <w:pPr>
                    <w:pStyle w:val="TableText-SuperSmallBold"/>
                    <w:rPr>
                      <w:rFonts w:cs="Calibri"/>
                    </w:rPr>
                  </w:pPr>
                  <w:r w:rsidRPr="00150391">
                    <w:rPr>
                      <w:rFonts w:cs="Calibri"/>
                    </w:rPr>
                    <w:t xml:space="preserve">Total </w:t>
                  </w:r>
                </w:p>
              </w:tc>
              <w:tc>
                <w:tcPr>
                  <w:tcW w:w="1100" w:type="dxa"/>
                  <w:tcBorders>
                    <w:top w:val="nil"/>
                    <w:left w:val="nil"/>
                    <w:bottom w:val="nil"/>
                    <w:right w:val="nil"/>
                  </w:tcBorders>
                  <w:shd w:val="clear" w:color="auto" w:fill="auto"/>
                  <w:noWrap/>
                  <w:vAlign w:val="bottom"/>
                  <w:hideMark/>
                </w:tcPr>
                <w:p w14:paraId="4EB5D71D" w14:textId="77777777" w:rsidR="00EE503C" w:rsidRPr="00150391" w:rsidRDefault="00EE503C" w:rsidP="00123B3F">
                  <w:pPr>
                    <w:pStyle w:val="TableText-SuperSmallBold"/>
                    <w:jc w:val="center"/>
                    <w:rPr>
                      <w:rFonts w:cs="Calibri"/>
                    </w:rPr>
                  </w:pPr>
                </w:p>
              </w:tc>
              <w:tc>
                <w:tcPr>
                  <w:tcW w:w="1076" w:type="dxa"/>
                  <w:tcBorders>
                    <w:top w:val="nil"/>
                    <w:left w:val="nil"/>
                    <w:bottom w:val="nil"/>
                    <w:right w:val="nil"/>
                  </w:tcBorders>
                  <w:shd w:val="clear" w:color="auto" w:fill="FFFFFF" w:themeFill="background1"/>
                  <w:noWrap/>
                  <w:vAlign w:val="bottom"/>
                  <w:hideMark/>
                </w:tcPr>
                <w:p w14:paraId="310A516C" w14:textId="77777777" w:rsidR="00EE503C" w:rsidRPr="00150391" w:rsidRDefault="6B6EE5C4" w:rsidP="00B31ED0">
                  <w:pPr>
                    <w:pStyle w:val="TableText-SuperSmallBold"/>
                    <w:jc w:val="center"/>
                    <w:rPr>
                      <w:rFonts w:cs="Calibri"/>
                    </w:rPr>
                  </w:pPr>
                  <w:r w:rsidRPr="00150391">
                    <w:rPr>
                      <w:rFonts w:cs="Calibri"/>
                    </w:rPr>
                    <w:t>2,000</w:t>
                  </w:r>
                </w:p>
              </w:tc>
              <w:tc>
                <w:tcPr>
                  <w:tcW w:w="1134" w:type="dxa"/>
                  <w:tcBorders>
                    <w:top w:val="nil"/>
                    <w:left w:val="nil"/>
                    <w:bottom w:val="nil"/>
                    <w:right w:val="nil"/>
                  </w:tcBorders>
                  <w:shd w:val="clear" w:color="auto" w:fill="E6E6E6"/>
                  <w:noWrap/>
                  <w:vAlign w:val="bottom"/>
                  <w:hideMark/>
                </w:tcPr>
                <w:p w14:paraId="73E2668F" w14:textId="77777777" w:rsidR="00EE503C" w:rsidRPr="00150391" w:rsidRDefault="6B6EE5C4" w:rsidP="00B31ED0">
                  <w:pPr>
                    <w:pStyle w:val="TableText-SuperSmallBold"/>
                    <w:jc w:val="center"/>
                    <w:rPr>
                      <w:rFonts w:cs="Calibri"/>
                    </w:rPr>
                  </w:pPr>
                  <w:r w:rsidRPr="00150391">
                    <w:rPr>
                      <w:rFonts w:cs="Calibri"/>
                    </w:rPr>
                    <w:t>3,000</w:t>
                  </w:r>
                </w:p>
              </w:tc>
              <w:tc>
                <w:tcPr>
                  <w:tcW w:w="1134" w:type="dxa"/>
                  <w:tcBorders>
                    <w:top w:val="nil"/>
                    <w:left w:val="nil"/>
                    <w:bottom w:val="nil"/>
                    <w:right w:val="nil"/>
                  </w:tcBorders>
                  <w:shd w:val="clear" w:color="auto" w:fill="FFFFFF" w:themeFill="background1"/>
                  <w:noWrap/>
                  <w:vAlign w:val="bottom"/>
                  <w:hideMark/>
                </w:tcPr>
                <w:p w14:paraId="4F858358" w14:textId="77777777" w:rsidR="00EE503C" w:rsidRPr="00150391" w:rsidRDefault="6B6EE5C4" w:rsidP="00B31ED0">
                  <w:pPr>
                    <w:pStyle w:val="TableText-SuperSmallBold"/>
                    <w:jc w:val="center"/>
                    <w:rPr>
                      <w:rFonts w:cs="Calibri"/>
                    </w:rPr>
                  </w:pPr>
                  <w:r w:rsidRPr="00150391">
                    <w:rPr>
                      <w:rFonts w:cs="Calibri"/>
                    </w:rPr>
                    <w:t>4,000</w:t>
                  </w:r>
                </w:p>
              </w:tc>
              <w:tc>
                <w:tcPr>
                  <w:tcW w:w="1134" w:type="dxa"/>
                  <w:tcBorders>
                    <w:top w:val="nil"/>
                    <w:left w:val="nil"/>
                    <w:bottom w:val="nil"/>
                    <w:right w:val="nil"/>
                  </w:tcBorders>
                  <w:shd w:val="clear" w:color="auto" w:fill="E6E6E6"/>
                  <w:noWrap/>
                  <w:vAlign w:val="bottom"/>
                  <w:hideMark/>
                </w:tcPr>
                <w:p w14:paraId="500CA980" w14:textId="77777777" w:rsidR="00EE503C" w:rsidRPr="00150391" w:rsidRDefault="6B6EE5C4" w:rsidP="00B31ED0">
                  <w:pPr>
                    <w:pStyle w:val="TableText-SuperSmallBold"/>
                    <w:jc w:val="center"/>
                    <w:rPr>
                      <w:rFonts w:cs="Calibri"/>
                    </w:rPr>
                  </w:pPr>
                  <w:r w:rsidRPr="00150391">
                    <w:rPr>
                      <w:rFonts w:cs="Calibri"/>
                    </w:rPr>
                    <w:t>5,000</w:t>
                  </w:r>
                </w:p>
              </w:tc>
            </w:tr>
            <w:tr w:rsidR="00EE503C" w:rsidRPr="00150391" w14:paraId="47156251" w14:textId="77777777" w:rsidTr="002B4935">
              <w:trPr>
                <w:trHeight w:val="60"/>
                <w:jc w:val="center"/>
              </w:trPr>
              <w:tc>
                <w:tcPr>
                  <w:tcW w:w="2432" w:type="dxa"/>
                  <w:tcBorders>
                    <w:top w:val="nil"/>
                    <w:left w:val="nil"/>
                    <w:bottom w:val="nil"/>
                    <w:right w:val="nil"/>
                  </w:tcBorders>
                  <w:shd w:val="clear" w:color="auto" w:fill="auto"/>
                  <w:noWrap/>
                  <w:vAlign w:val="bottom"/>
                  <w:hideMark/>
                </w:tcPr>
                <w:p w14:paraId="7FD09DB7" w14:textId="77777777" w:rsidR="00EE503C" w:rsidRPr="00150391" w:rsidRDefault="00EE503C" w:rsidP="000A7DEC">
                  <w:pPr>
                    <w:pStyle w:val="TableText-SuperSmallBold"/>
                    <w:rPr>
                      <w:rFonts w:cs="Calibri"/>
                    </w:rPr>
                  </w:pPr>
                </w:p>
              </w:tc>
              <w:tc>
                <w:tcPr>
                  <w:tcW w:w="1100" w:type="dxa"/>
                  <w:tcBorders>
                    <w:top w:val="nil"/>
                    <w:left w:val="nil"/>
                    <w:bottom w:val="nil"/>
                    <w:right w:val="nil"/>
                  </w:tcBorders>
                  <w:shd w:val="clear" w:color="auto" w:fill="auto"/>
                  <w:noWrap/>
                  <w:vAlign w:val="bottom"/>
                  <w:hideMark/>
                </w:tcPr>
                <w:p w14:paraId="013F6F2B" w14:textId="77777777" w:rsidR="00EE503C" w:rsidRPr="00150391" w:rsidRDefault="00EE503C" w:rsidP="00123B3F">
                  <w:pPr>
                    <w:pStyle w:val="TableText-SuperSmallBold"/>
                    <w:jc w:val="center"/>
                    <w:rPr>
                      <w:rFonts w:cs="Calibri"/>
                    </w:rPr>
                  </w:pPr>
                </w:p>
              </w:tc>
              <w:tc>
                <w:tcPr>
                  <w:tcW w:w="1076" w:type="dxa"/>
                  <w:tcBorders>
                    <w:top w:val="nil"/>
                    <w:left w:val="nil"/>
                    <w:bottom w:val="nil"/>
                    <w:right w:val="nil"/>
                  </w:tcBorders>
                  <w:shd w:val="clear" w:color="auto" w:fill="FFFFFF" w:themeFill="background1"/>
                  <w:noWrap/>
                  <w:vAlign w:val="bottom"/>
                  <w:hideMark/>
                </w:tcPr>
                <w:p w14:paraId="7998777F"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692D29CA"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FFFFFF" w:themeFill="background1"/>
                  <w:noWrap/>
                  <w:vAlign w:val="bottom"/>
                  <w:hideMark/>
                </w:tcPr>
                <w:p w14:paraId="04A909EC"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63EE468C" w14:textId="77777777" w:rsidR="00EE503C" w:rsidRPr="00150391" w:rsidRDefault="00EE503C" w:rsidP="00B31ED0">
                  <w:pPr>
                    <w:pStyle w:val="TableText-SuperSmallBold"/>
                    <w:jc w:val="center"/>
                    <w:rPr>
                      <w:rFonts w:cs="Calibri"/>
                    </w:rPr>
                  </w:pPr>
                </w:p>
              </w:tc>
            </w:tr>
            <w:tr w:rsidR="00EE503C" w:rsidRPr="00150391" w14:paraId="7E9AF0A3" w14:textId="77777777" w:rsidTr="002B4935">
              <w:trPr>
                <w:trHeight w:val="225"/>
                <w:jc w:val="center"/>
              </w:trPr>
              <w:tc>
                <w:tcPr>
                  <w:tcW w:w="2432" w:type="dxa"/>
                  <w:tcBorders>
                    <w:top w:val="nil"/>
                    <w:left w:val="nil"/>
                    <w:bottom w:val="nil"/>
                    <w:right w:val="nil"/>
                  </w:tcBorders>
                  <w:shd w:val="clear" w:color="auto" w:fill="auto"/>
                  <w:noWrap/>
                  <w:vAlign w:val="bottom"/>
                  <w:hideMark/>
                </w:tcPr>
                <w:p w14:paraId="1A69A820" w14:textId="77777777" w:rsidR="00EE503C" w:rsidRPr="00150391" w:rsidRDefault="53BF0693" w:rsidP="000A7DEC">
                  <w:pPr>
                    <w:pStyle w:val="TableText-SuperSmallBold"/>
                    <w:rPr>
                      <w:rFonts w:cs="Calibri"/>
                    </w:rPr>
                  </w:pPr>
                  <w:r w:rsidRPr="00150391">
                    <w:rPr>
                      <w:rFonts w:cs="Calibri"/>
                    </w:rPr>
                    <w:t>Y Measure (b)</w:t>
                  </w:r>
                </w:p>
              </w:tc>
              <w:tc>
                <w:tcPr>
                  <w:tcW w:w="1100" w:type="dxa"/>
                  <w:tcBorders>
                    <w:top w:val="nil"/>
                    <w:left w:val="nil"/>
                    <w:bottom w:val="nil"/>
                    <w:right w:val="nil"/>
                  </w:tcBorders>
                  <w:shd w:val="clear" w:color="auto" w:fill="auto"/>
                  <w:noWrap/>
                  <w:vAlign w:val="bottom"/>
                  <w:hideMark/>
                </w:tcPr>
                <w:p w14:paraId="6263A046" w14:textId="77777777" w:rsidR="00EE503C" w:rsidRPr="00150391" w:rsidRDefault="6B6EE5C4" w:rsidP="00123B3F">
                  <w:pPr>
                    <w:pStyle w:val="TableText-SuperSmallBold"/>
                    <w:jc w:val="center"/>
                    <w:rPr>
                      <w:rFonts w:cs="Calibri"/>
                    </w:rPr>
                  </w:pPr>
                  <w:r w:rsidRPr="00150391">
                    <w:rPr>
                      <w:rFonts w:cs="Calibri"/>
                    </w:rPr>
                    <w:t>2.2</w:t>
                  </w:r>
                </w:p>
              </w:tc>
              <w:tc>
                <w:tcPr>
                  <w:tcW w:w="1076" w:type="dxa"/>
                  <w:tcBorders>
                    <w:top w:val="nil"/>
                    <w:left w:val="nil"/>
                    <w:bottom w:val="nil"/>
                    <w:right w:val="nil"/>
                  </w:tcBorders>
                  <w:shd w:val="clear" w:color="auto" w:fill="FFFFFF" w:themeFill="background1"/>
                  <w:noWrap/>
                  <w:vAlign w:val="bottom"/>
                  <w:hideMark/>
                </w:tcPr>
                <w:p w14:paraId="230896AA"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1B88CD8E"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FFFFFF" w:themeFill="background1"/>
                  <w:noWrap/>
                  <w:vAlign w:val="bottom"/>
                  <w:hideMark/>
                </w:tcPr>
                <w:p w14:paraId="6A42733C" w14:textId="77777777" w:rsidR="00EE503C" w:rsidRPr="00150391" w:rsidRDefault="00EE503C" w:rsidP="00B31ED0">
                  <w:pPr>
                    <w:pStyle w:val="TableText-SuperSmallBold"/>
                    <w:jc w:val="center"/>
                    <w:rPr>
                      <w:rFonts w:cs="Calibri"/>
                    </w:rPr>
                  </w:pPr>
                </w:p>
              </w:tc>
              <w:tc>
                <w:tcPr>
                  <w:tcW w:w="1134" w:type="dxa"/>
                  <w:tcBorders>
                    <w:top w:val="nil"/>
                    <w:left w:val="nil"/>
                    <w:bottom w:val="nil"/>
                    <w:right w:val="nil"/>
                  </w:tcBorders>
                  <w:shd w:val="clear" w:color="auto" w:fill="E6E6E6"/>
                  <w:noWrap/>
                  <w:vAlign w:val="bottom"/>
                  <w:hideMark/>
                </w:tcPr>
                <w:p w14:paraId="124BBCE9" w14:textId="77777777" w:rsidR="00EE503C" w:rsidRPr="00150391" w:rsidRDefault="00EE503C" w:rsidP="00B31ED0">
                  <w:pPr>
                    <w:pStyle w:val="TableText-SuperSmallBold"/>
                    <w:jc w:val="center"/>
                    <w:rPr>
                      <w:rFonts w:cs="Calibri"/>
                    </w:rPr>
                  </w:pPr>
                </w:p>
              </w:tc>
            </w:tr>
            <w:tr w:rsidR="00EE503C" w:rsidRPr="00150391" w14:paraId="5C1EFA3D" w14:textId="77777777" w:rsidTr="002B4935">
              <w:trPr>
                <w:trHeight w:val="225"/>
                <w:jc w:val="center"/>
              </w:trPr>
              <w:tc>
                <w:tcPr>
                  <w:tcW w:w="2432" w:type="dxa"/>
                  <w:tcBorders>
                    <w:top w:val="nil"/>
                    <w:left w:val="nil"/>
                    <w:bottom w:val="nil"/>
                    <w:right w:val="nil"/>
                  </w:tcBorders>
                  <w:shd w:val="clear" w:color="auto" w:fill="auto"/>
                  <w:noWrap/>
                  <w:vAlign w:val="bottom"/>
                  <w:hideMark/>
                </w:tcPr>
                <w:p w14:paraId="190E8DAF" w14:textId="77777777" w:rsidR="00EE503C" w:rsidRPr="00150391" w:rsidRDefault="53BF0693">
                  <w:pPr>
                    <w:pStyle w:val="TableText-SuperSmallBold"/>
                    <w:rPr>
                      <w:rFonts w:cs="Calibri"/>
                    </w:rPr>
                  </w:pPr>
                  <w:r w:rsidRPr="00150391">
                    <w:rPr>
                      <w:rFonts w:cs="Calibri"/>
                    </w:rPr>
                    <w:t>Administered Payment</w:t>
                  </w:r>
                </w:p>
              </w:tc>
              <w:tc>
                <w:tcPr>
                  <w:tcW w:w="1100" w:type="dxa"/>
                  <w:tcBorders>
                    <w:top w:val="nil"/>
                    <w:left w:val="nil"/>
                    <w:bottom w:val="nil"/>
                    <w:right w:val="nil"/>
                  </w:tcBorders>
                  <w:shd w:val="clear" w:color="auto" w:fill="auto"/>
                  <w:noWrap/>
                  <w:vAlign w:val="bottom"/>
                  <w:hideMark/>
                </w:tcPr>
                <w:p w14:paraId="5E5E3EC6" w14:textId="77777777" w:rsidR="00EE503C" w:rsidRPr="00150391" w:rsidRDefault="00EE503C" w:rsidP="00123B3F">
                  <w:pPr>
                    <w:pStyle w:val="TableText-SuperSmallBold"/>
                    <w:jc w:val="center"/>
                    <w:rPr>
                      <w:rFonts w:cs="Calibri"/>
                    </w:rPr>
                  </w:pPr>
                </w:p>
              </w:tc>
              <w:tc>
                <w:tcPr>
                  <w:tcW w:w="1076" w:type="dxa"/>
                  <w:tcBorders>
                    <w:top w:val="nil"/>
                    <w:left w:val="nil"/>
                    <w:bottom w:val="nil"/>
                    <w:right w:val="nil"/>
                  </w:tcBorders>
                  <w:shd w:val="clear" w:color="auto" w:fill="FFFFFF" w:themeFill="background1"/>
                  <w:noWrap/>
                  <w:vAlign w:val="bottom"/>
                  <w:hideMark/>
                </w:tcPr>
                <w:p w14:paraId="609B27B7" w14:textId="77777777" w:rsidR="00EE503C" w:rsidRPr="00150391" w:rsidRDefault="6B6EE5C4" w:rsidP="000A7DEC">
                  <w:pPr>
                    <w:pStyle w:val="TableText-SuperSmallBold"/>
                    <w:rPr>
                      <w:rFonts w:cs="Calibri"/>
                    </w:rPr>
                  </w:pPr>
                  <w:r w:rsidRPr="00150391">
                    <w:rPr>
                      <w:rFonts w:cs="Calibri"/>
                    </w:rPr>
                    <w:t>-</w:t>
                  </w:r>
                </w:p>
              </w:tc>
              <w:tc>
                <w:tcPr>
                  <w:tcW w:w="1134" w:type="dxa"/>
                  <w:tcBorders>
                    <w:top w:val="nil"/>
                    <w:left w:val="nil"/>
                    <w:bottom w:val="nil"/>
                    <w:right w:val="nil"/>
                  </w:tcBorders>
                  <w:shd w:val="clear" w:color="auto" w:fill="E6E6E6"/>
                  <w:noWrap/>
                  <w:vAlign w:val="bottom"/>
                  <w:hideMark/>
                </w:tcPr>
                <w:p w14:paraId="3B4F8600" w14:textId="77777777" w:rsidR="00EE503C" w:rsidRPr="00150391" w:rsidRDefault="6B6EE5C4" w:rsidP="000A7DEC">
                  <w:pPr>
                    <w:pStyle w:val="TableText-SuperSmallBold"/>
                    <w:rPr>
                      <w:rFonts w:cs="Calibri"/>
                    </w:rPr>
                  </w:pPr>
                  <w:r w:rsidRPr="00150391">
                    <w:rPr>
                      <w:rFonts w:cs="Calibri"/>
                    </w:rPr>
                    <w:t>-</w:t>
                  </w:r>
                </w:p>
              </w:tc>
              <w:tc>
                <w:tcPr>
                  <w:tcW w:w="1134" w:type="dxa"/>
                  <w:tcBorders>
                    <w:top w:val="nil"/>
                    <w:left w:val="nil"/>
                    <w:bottom w:val="nil"/>
                    <w:right w:val="nil"/>
                  </w:tcBorders>
                  <w:shd w:val="clear" w:color="auto" w:fill="FFFFFF" w:themeFill="background1"/>
                  <w:noWrap/>
                  <w:vAlign w:val="bottom"/>
                  <w:hideMark/>
                </w:tcPr>
                <w:p w14:paraId="74D484C4" w14:textId="77777777" w:rsidR="00EE503C" w:rsidRPr="00150391" w:rsidRDefault="6B6EE5C4" w:rsidP="000A7DEC">
                  <w:pPr>
                    <w:pStyle w:val="TableText-SuperSmallBold"/>
                    <w:rPr>
                      <w:rFonts w:cs="Calibri"/>
                    </w:rPr>
                  </w:pPr>
                  <w:r w:rsidRPr="00150391">
                    <w:rPr>
                      <w:rFonts w:cs="Calibri"/>
                    </w:rPr>
                    <w:t>-</w:t>
                  </w:r>
                </w:p>
              </w:tc>
              <w:tc>
                <w:tcPr>
                  <w:tcW w:w="1134" w:type="dxa"/>
                  <w:tcBorders>
                    <w:top w:val="nil"/>
                    <w:left w:val="nil"/>
                    <w:bottom w:val="nil"/>
                    <w:right w:val="nil"/>
                  </w:tcBorders>
                  <w:shd w:val="clear" w:color="auto" w:fill="E6E6E6"/>
                  <w:noWrap/>
                  <w:vAlign w:val="bottom"/>
                  <w:hideMark/>
                </w:tcPr>
                <w:p w14:paraId="17F63A15" w14:textId="77777777" w:rsidR="00EE503C" w:rsidRPr="00150391" w:rsidRDefault="6B6EE5C4" w:rsidP="000A7DEC">
                  <w:pPr>
                    <w:pStyle w:val="TableText-SuperSmallBold"/>
                    <w:rPr>
                      <w:rFonts w:cs="Calibri"/>
                    </w:rPr>
                  </w:pPr>
                  <w:r w:rsidRPr="00150391">
                    <w:rPr>
                      <w:rFonts w:cs="Calibri"/>
                    </w:rPr>
                    <w:t>-</w:t>
                  </w:r>
                </w:p>
              </w:tc>
            </w:tr>
            <w:tr w:rsidR="00EE503C" w:rsidRPr="00150391" w14:paraId="02C72842" w14:textId="77777777" w:rsidTr="002B4935">
              <w:trPr>
                <w:trHeight w:val="225"/>
                <w:jc w:val="center"/>
              </w:trPr>
              <w:tc>
                <w:tcPr>
                  <w:tcW w:w="2432" w:type="dxa"/>
                  <w:tcBorders>
                    <w:top w:val="nil"/>
                    <w:left w:val="nil"/>
                    <w:bottom w:val="single" w:sz="4" w:space="0" w:color="auto"/>
                    <w:right w:val="nil"/>
                  </w:tcBorders>
                  <w:shd w:val="clear" w:color="auto" w:fill="auto"/>
                  <w:noWrap/>
                  <w:vAlign w:val="bottom"/>
                  <w:hideMark/>
                </w:tcPr>
                <w:p w14:paraId="2B72E25C" w14:textId="77777777" w:rsidR="00EE503C" w:rsidRPr="00150391" w:rsidRDefault="53BF0693" w:rsidP="000A7DEC">
                  <w:pPr>
                    <w:pStyle w:val="TableText-SuperSmallBold"/>
                    <w:rPr>
                      <w:rFonts w:cs="Calibri"/>
                    </w:rPr>
                  </w:pPr>
                  <w:r w:rsidRPr="00150391">
                    <w:rPr>
                      <w:rFonts w:cs="Calibri"/>
                    </w:rPr>
                    <w:t xml:space="preserve">Total </w:t>
                  </w:r>
                </w:p>
              </w:tc>
              <w:tc>
                <w:tcPr>
                  <w:tcW w:w="1100" w:type="dxa"/>
                  <w:tcBorders>
                    <w:top w:val="nil"/>
                    <w:left w:val="nil"/>
                    <w:bottom w:val="single" w:sz="4" w:space="0" w:color="auto"/>
                    <w:right w:val="nil"/>
                  </w:tcBorders>
                  <w:shd w:val="clear" w:color="auto" w:fill="auto"/>
                  <w:noWrap/>
                  <w:vAlign w:val="bottom"/>
                  <w:hideMark/>
                </w:tcPr>
                <w:p w14:paraId="7162A1FC" w14:textId="77777777" w:rsidR="00EE503C" w:rsidRPr="00150391" w:rsidRDefault="00EE503C" w:rsidP="000A7DEC">
                  <w:pPr>
                    <w:pStyle w:val="TableText-SuperSmallBold"/>
                    <w:rPr>
                      <w:rFonts w:cs="Calibri"/>
                    </w:rPr>
                  </w:pPr>
                </w:p>
              </w:tc>
              <w:tc>
                <w:tcPr>
                  <w:tcW w:w="1076" w:type="dxa"/>
                  <w:tcBorders>
                    <w:top w:val="nil"/>
                    <w:left w:val="nil"/>
                    <w:bottom w:val="single" w:sz="4" w:space="0" w:color="auto"/>
                    <w:right w:val="nil"/>
                  </w:tcBorders>
                  <w:shd w:val="clear" w:color="auto" w:fill="FFFFFF" w:themeFill="background1"/>
                  <w:noWrap/>
                  <w:vAlign w:val="bottom"/>
                  <w:hideMark/>
                </w:tcPr>
                <w:p w14:paraId="6FED3415" w14:textId="77777777" w:rsidR="00EE503C" w:rsidRPr="00150391" w:rsidRDefault="6B6EE5C4" w:rsidP="000A7DEC">
                  <w:pPr>
                    <w:pStyle w:val="TableText-SuperSmallBold"/>
                    <w:rPr>
                      <w:rFonts w:cs="Calibri"/>
                    </w:rPr>
                  </w:pPr>
                  <w:r w:rsidRPr="00150391">
                    <w:rPr>
                      <w:rFonts w:cs="Calibri"/>
                    </w:rPr>
                    <w:t>-</w:t>
                  </w:r>
                </w:p>
              </w:tc>
              <w:tc>
                <w:tcPr>
                  <w:tcW w:w="1134" w:type="dxa"/>
                  <w:tcBorders>
                    <w:top w:val="nil"/>
                    <w:left w:val="nil"/>
                    <w:bottom w:val="single" w:sz="4" w:space="0" w:color="auto"/>
                    <w:right w:val="nil"/>
                  </w:tcBorders>
                  <w:shd w:val="clear" w:color="auto" w:fill="E6E6E6"/>
                  <w:noWrap/>
                  <w:vAlign w:val="bottom"/>
                  <w:hideMark/>
                </w:tcPr>
                <w:p w14:paraId="79F40D6D" w14:textId="77777777" w:rsidR="00EE503C" w:rsidRPr="00150391" w:rsidRDefault="6B6EE5C4" w:rsidP="000A7DEC">
                  <w:pPr>
                    <w:pStyle w:val="TableText-SuperSmallBold"/>
                    <w:rPr>
                      <w:rFonts w:cs="Calibri"/>
                    </w:rPr>
                  </w:pPr>
                  <w:r w:rsidRPr="00150391">
                    <w:rPr>
                      <w:rFonts w:cs="Calibri"/>
                    </w:rPr>
                    <w:t>-</w:t>
                  </w:r>
                </w:p>
              </w:tc>
              <w:tc>
                <w:tcPr>
                  <w:tcW w:w="1134" w:type="dxa"/>
                  <w:tcBorders>
                    <w:top w:val="nil"/>
                    <w:left w:val="nil"/>
                    <w:bottom w:val="single" w:sz="4" w:space="0" w:color="auto"/>
                    <w:right w:val="nil"/>
                  </w:tcBorders>
                  <w:shd w:val="clear" w:color="auto" w:fill="FFFFFF" w:themeFill="background1"/>
                  <w:noWrap/>
                  <w:vAlign w:val="bottom"/>
                  <w:hideMark/>
                </w:tcPr>
                <w:p w14:paraId="22B3FBEC" w14:textId="77777777" w:rsidR="00EE503C" w:rsidRPr="00150391" w:rsidRDefault="6B6EE5C4" w:rsidP="000A7DEC">
                  <w:pPr>
                    <w:pStyle w:val="TableText-SuperSmallBold"/>
                    <w:rPr>
                      <w:rFonts w:cs="Calibri"/>
                    </w:rPr>
                  </w:pPr>
                  <w:r w:rsidRPr="00150391">
                    <w:rPr>
                      <w:rFonts w:cs="Calibri"/>
                    </w:rPr>
                    <w:t>-</w:t>
                  </w:r>
                </w:p>
              </w:tc>
              <w:tc>
                <w:tcPr>
                  <w:tcW w:w="1134" w:type="dxa"/>
                  <w:tcBorders>
                    <w:top w:val="nil"/>
                    <w:left w:val="nil"/>
                    <w:bottom w:val="single" w:sz="4" w:space="0" w:color="auto"/>
                    <w:right w:val="nil"/>
                  </w:tcBorders>
                  <w:shd w:val="clear" w:color="auto" w:fill="E6E6E6"/>
                  <w:noWrap/>
                  <w:vAlign w:val="bottom"/>
                  <w:hideMark/>
                </w:tcPr>
                <w:p w14:paraId="6DD440CF" w14:textId="77777777" w:rsidR="00EE503C" w:rsidRPr="00150391" w:rsidRDefault="6B6EE5C4" w:rsidP="000A7DEC">
                  <w:pPr>
                    <w:pStyle w:val="TableText-SuperSmallBold"/>
                    <w:rPr>
                      <w:rFonts w:cs="Calibri"/>
                    </w:rPr>
                  </w:pPr>
                  <w:r w:rsidRPr="00150391">
                    <w:rPr>
                      <w:rFonts w:cs="Calibri"/>
                    </w:rPr>
                    <w:t>-</w:t>
                  </w:r>
                </w:p>
              </w:tc>
            </w:tr>
          </w:tbl>
          <w:p w14:paraId="2D60248D" w14:textId="7273FAD7" w:rsidR="004D479A" w:rsidRPr="000D6117" w:rsidRDefault="53BF0693" w:rsidP="53BF0693">
            <w:pPr>
              <w:pStyle w:val="TableText-Normal"/>
              <w:numPr>
                <w:ilvl w:val="0"/>
                <w:numId w:val="105"/>
              </w:numPr>
              <w:rPr>
                <w:rStyle w:val="BodyTextChar"/>
                <w:rFonts w:cs="Calibri"/>
                <w:sz w:val="18"/>
                <w:szCs w:val="18"/>
              </w:rPr>
            </w:pPr>
            <w:r w:rsidRPr="00150391">
              <w:rPr>
                <w:rStyle w:val="BodyTextChar"/>
                <w:rFonts w:cs="Calibri"/>
                <w:sz w:val="18"/>
                <w:szCs w:val="18"/>
              </w:rPr>
              <w:t>this measure was originally announced in the 20XX Economic Statement/20XX Pre</w:t>
            </w:r>
            <w:r w:rsidR="00401DFC" w:rsidRPr="00150391">
              <w:rPr>
                <w:rStyle w:val="BodyTextChar"/>
                <w:rFonts w:cs="Calibri"/>
                <w:sz w:val="18"/>
                <w:szCs w:val="18"/>
              </w:rPr>
              <w:noBreakHyphen/>
            </w:r>
            <w:r w:rsidRPr="00150391">
              <w:rPr>
                <w:rStyle w:val="BodyTextChar"/>
                <w:rFonts w:cs="Calibri"/>
                <w:sz w:val="18"/>
                <w:szCs w:val="18"/>
              </w:rPr>
              <w:t xml:space="preserve">Election Economic and Fiscal </w:t>
            </w:r>
            <w:r w:rsidRPr="000D6117">
              <w:rPr>
                <w:rStyle w:val="BodyTextChar"/>
                <w:rFonts w:cs="Calibri"/>
                <w:sz w:val="18"/>
                <w:szCs w:val="18"/>
              </w:rPr>
              <w:t>Outlook/</w:t>
            </w:r>
            <w:r w:rsidR="000E3921" w:rsidRPr="000D6117">
              <w:rPr>
                <w:rStyle w:val="BodyTextChar"/>
                <w:rFonts w:cs="Calibri"/>
                <w:sz w:val="18"/>
                <w:szCs w:val="18"/>
              </w:rPr>
              <w:t xml:space="preserve">March </w:t>
            </w:r>
            <w:r w:rsidR="008E1BDD" w:rsidRPr="000D6117">
              <w:rPr>
                <w:rStyle w:val="BodyTextChar"/>
                <w:rFonts w:cs="Calibri"/>
                <w:sz w:val="18"/>
                <w:szCs w:val="18"/>
              </w:rPr>
              <w:t>202</w:t>
            </w:r>
            <w:r w:rsidR="000E3921" w:rsidRPr="000D6117">
              <w:rPr>
                <w:rStyle w:val="BodyTextChar"/>
                <w:rFonts w:cs="Calibri"/>
                <w:sz w:val="18"/>
                <w:szCs w:val="18"/>
              </w:rPr>
              <w:t>2</w:t>
            </w:r>
            <w:r w:rsidRPr="000D6117">
              <w:rPr>
                <w:rStyle w:val="BodyTextChar"/>
                <w:rFonts w:cs="Calibri"/>
                <w:sz w:val="18"/>
                <w:szCs w:val="18"/>
              </w:rPr>
              <w:t>-</w:t>
            </w:r>
            <w:r w:rsidR="008E1BDD" w:rsidRPr="000D6117">
              <w:rPr>
                <w:rStyle w:val="BodyTextChar"/>
                <w:rFonts w:cs="Calibri"/>
                <w:sz w:val="18"/>
                <w:szCs w:val="18"/>
              </w:rPr>
              <w:t>2</w:t>
            </w:r>
            <w:r w:rsidR="000E3921" w:rsidRPr="000D6117">
              <w:rPr>
                <w:rStyle w:val="BodyTextChar"/>
                <w:rFonts w:cs="Calibri"/>
                <w:sz w:val="18"/>
                <w:szCs w:val="18"/>
              </w:rPr>
              <w:t>3</w:t>
            </w:r>
            <w:r w:rsidR="008E1BDD" w:rsidRPr="000D6117">
              <w:rPr>
                <w:rStyle w:val="BodyTextChar"/>
                <w:rFonts w:cs="Calibri"/>
                <w:sz w:val="18"/>
                <w:szCs w:val="18"/>
              </w:rPr>
              <w:t xml:space="preserve"> </w:t>
            </w:r>
            <w:r w:rsidR="000E3921" w:rsidRPr="000D6117">
              <w:rPr>
                <w:rStyle w:val="BodyTextChar"/>
                <w:rFonts w:cs="Calibri"/>
                <w:sz w:val="18"/>
                <w:szCs w:val="18"/>
              </w:rPr>
              <w:t>Budget</w:t>
            </w:r>
            <w:r w:rsidRPr="000D6117">
              <w:rPr>
                <w:rStyle w:val="BodyTextChar"/>
                <w:rFonts w:cs="Calibri"/>
                <w:sz w:val="18"/>
                <w:szCs w:val="18"/>
              </w:rPr>
              <w:t xml:space="preserve"> </w:t>
            </w:r>
            <w:r w:rsidRPr="000D6117">
              <w:rPr>
                <w:rStyle w:val="BodyTextChar"/>
                <w:rFonts w:cs="Calibri"/>
                <w:color w:val="FF0000"/>
                <w:sz w:val="18"/>
                <w:szCs w:val="18"/>
              </w:rPr>
              <w:t>(whichever applies)</w:t>
            </w:r>
            <w:r w:rsidRPr="000D6117">
              <w:rPr>
                <w:rStyle w:val="BodyTextChar"/>
                <w:rFonts w:cs="Calibri"/>
                <w:sz w:val="18"/>
                <w:szCs w:val="18"/>
              </w:rPr>
              <w:t xml:space="preserve"> and has been partially reversed by (measure title) announced in the </w:t>
            </w:r>
            <w:r w:rsidR="000E3921" w:rsidRPr="000D6117">
              <w:rPr>
                <w:rStyle w:val="BodyTextChar"/>
                <w:rFonts w:cs="Calibri"/>
                <w:sz w:val="18"/>
                <w:szCs w:val="18"/>
              </w:rPr>
              <w:t xml:space="preserve">October </w:t>
            </w:r>
            <w:r w:rsidR="0007613A" w:rsidRPr="000D6117">
              <w:rPr>
                <w:rStyle w:val="BodyTextChar"/>
                <w:rFonts w:cs="Calibri"/>
                <w:sz w:val="18"/>
                <w:szCs w:val="18"/>
              </w:rPr>
              <w:t>2022</w:t>
            </w:r>
            <w:r w:rsidRPr="000D6117">
              <w:rPr>
                <w:rStyle w:val="BodyTextChar"/>
                <w:rFonts w:cs="Calibri"/>
                <w:sz w:val="18"/>
                <w:szCs w:val="18"/>
              </w:rPr>
              <w:t>-</w:t>
            </w:r>
            <w:r w:rsidR="0007613A" w:rsidRPr="000D6117">
              <w:rPr>
                <w:rStyle w:val="BodyTextChar"/>
                <w:rFonts w:cs="Calibri"/>
                <w:sz w:val="18"/>
                <w:szCs w:val="18"/>
              </w:rPr>
              <w:t xml:space="preserve">23 </w:t>
            </w:r>
            <w:r w:rsidRPr="000D6117">
              <w:rPr>
                <w:rStyle w:val="BodyTextChar"/>
                <w:rFonts w:cs="Calibri"/>
                <w:sz w:val="18"/>
                <w:szCs w:val="18"/>
              </w:rPr>
              <w:t>Budget. The above financial figures reflect the current net fiscal impact of the measure</w:t>
            </w:r>
          </w:p>
          <w:p w14:paraId="5C66EE05" w14:textId="70F75BBF" w:rsidR="004D479A" w:rsidRPr="00150391" w:rsidRDefault="53BF0693" w:rsidP="00590388">
            <w:pPr>
              <w:pStyle w:val="TableText-Normal"/>
              <w:numPr>
                <w:ilvl w:val="0"/>
                <w:numId w:val="105"/>
              </w:numPr>
              <w:rPr>
                <w:rStyle w:val="BodyTextChar"/>
                <w:rFonts w:cs="Calibri"/>
                <w:sz w:val="18"/>
                <w:szCs w:val="18"/>
              </w:rPr>
            </w:pPr>
            <w:r w:rsidRPr="000D6117">
              <w:rPr>
                <w:rStyle w:val="BodyTextChar"/>
                <w:rFonts w:cs="Calibri"/>
                <w:sz w:val="18"/>
                <w:szCs w:val="18"/>
              </w:rPr>
              <w:t>this measure was originally announced in the 20XX Economic Statement/20XX Pre</w:t>
            </w:r>
            <w:r w:rsidR="00401DFC" w:rsidRPr="000D6117">
              <w:rPr>
                <w:rStyle w:val="BodyTextChar"/>
                <w:rFonts w:cs="Calibri"/>
                <w:sz w:val="18"/>
                <w:szCs w:val="18"/>
              </w:rPr>
              <w:noBreakHyphen/>
            </w:r>
            <w:r w:rsidRPr="000D6117">
              <w:rPr>
                <w:rStyle w:val="BodyTextChar"/>
                <w:rFonts w:cs="Calibri"/>
                <w:sz w:val="18"/>
                <w:szCs w:val="18"/>
              </w:rPr>
              <w:t>Election Economic and Fiscal Outlook/</w:t>
            </w:r>
            <w:r w:rsidR="000E3921" w:rsidRPr="000D6117">
              <w:rPr>
                <w:rStyle w:val="BodyTextChar"/>
                <w:rFonts w:cs="Calibri"/>
                <w:sz w:val="18"/>
                <w:szCs w:val="18"/>
              </w:rPr>
              <w:t xml:space="preserve">March </w:t>
            </w:r>
            <w:r w:rsidR="008E1BDD" w:rsidRPr="000D6117">
              <w:rPr>
                <w:rStyle w:val="BodyTextChar"/>
                <w:rFonts w:cs="Calibri"/>
                <w:sz w:val="18"/>
                <w:szCs w:val="18"/>
              </w:rPr>
              <w:t>202</w:t>
            </w:r>
            <w:r w:rsidR="000E3921" w:rsidRPr="000D6117">
              <w:rPr>
                <w:rStyle w:val="BodyTextChar"/>
                <w:rFonts w:cs="Calibri"/>
                <w:sz w:val="18"/>
                <w:szCs w:val="18"/>
              </w:rPr>
              <w:t>2</w:t>
            </w:r>
            <w:r w:rsidRPr="000D6117">
              <w:rPr>
                <w:rStyle w:val="BodyTextChar"/>
                <w:rFonts w:cs="Calibri"/>
                <w:sz w:val="18"/>
                <w:szCs w:val="18"/>
              </w:rPr>
              <w:t>-</w:t>
            </w:r>
            <w:r w:rsidR="008E1BDD" w:rsidRPr="000D6117">
              <w:rPr>
                <w:rStyle w:val="BodyTextChar"/>
                <w:rFonts w:cs="Calibri"/>
                <w:sz w:val="18"/>
                <w:szCs w:val="18"/>
              </w:rPr>
              <w:t>2</w:t>
            </w:r>
            <w:r w:rsidR="000E3921" w:rsidRPr="000D6117">
              <w:rPr>
                <w:rStyle w:val="BodyTextChar"/>
                <w:rFonts w:cs="Calibri"/>
                <w:sz w:val="18"/>
                <w:szCs w:val="18"/>
              </w:rPr>
              <w:t>3</w:t>
            </w:r>
            <w:r w:rsidR="008E1BDD" w:rsidRPr="000D6117">
              <w:rPr>
                <w:rStyle w:val="BodyTextChar"/>
                <w:rFonts w:cs="Calibri"/>
                <w:sz w:val="18"/>
                <w:szCs w:val="18"/>
              </w:rPr>
              <w:t xml:space="preserve"> </w:t>
            </w:r>
            <w:r w:rsidR="000E3921" w:rsidRPr="000D6117">
              <w:rPr>
                <w:rStyle w:val="BodyTextChar"/>
                <w:rFonts w:cs="Calibri"/>
                <w:sz w:val="18"/>
                <w:szCs w:val="18"/>
              </w:rPr>
              <w:t>Budget</w:t>
            </w:r>
            <w:r w:rsidRPr="000D6117">
              <w:rPr>
                <w:rStyle w:val="BodyTextChar"/>
                <w:rFonts w:cs="Calibri"/>
                <w:sz w:val="18"/>
                <w:szCs w:val="18"/>
              </w:rPr>
              <w:t xml:space="preserve"> </w:t>
            </w:r>
            <w:r w:rsidRPr="000D6117">
              <w:rPr>
                <w:rStyle w:val="BodyTextChar"/>
                <w:rFonts w:cs="Calibri"/>
                <w:color w:val="FF0000"/>
                <w:sz w:val="18"/>
                <w:szCs w:val="18"/>
              </w:rPr>
              <w:t>(whichever applies)</w:t>
            </w:r>
            <w:r w:rsidRPr="000D6117">
              <w:rPr>
                <w:rStyle w:val="BodyTextChar"/>
                <w:rFonts w:cs="Calibri"/>
                <w:sz w:val="18"/>
                <w:szCs w:val="18"/>
              </w:rPr>
              <w:t xml:space="preserve"> and has been fully reversed by (measure title) announced in the </w:t>
            </w:r>
            <w:r w:rsidR="000E3921" w:rsidRPr="000D6117">
              <w:rPr>
                <w:rStyle w:val="BodyTextChar"/>
                <w:rFonts w:cs="Calibri"/>
                <w:sz w:val="18"/>
                <w:szCs w:val="18"/>
              </w:rPr>
              <w:t xml:space="preserve">October </w:t>
            </w:r>
            <w:r w:rsidR="0007613A" w:rsidRPr="000D6117">
              <w:rPr>
                <w:rStyle w:val="BodyTextChar"/>
                <w:rFonts w:cs="Calibri"/>
                <w:sz w:val="18"/>
                <w:szCs w:val="18"/>
              </w:rPr>
              <w:t>2022</w:t>
            </w:r>
            <w:r w:rsidRPr="000D6117">
              <w:rPr>
                <w:rStyle w:val="BodyTextChar"/>
                <w:rFonts w:cs="Calibri"/>
                <w:sz w:val="18"/>
                <w:szCs w:val="18"/>
              </w:rPr>
              <w:t>-</w:t>
            </w:r>
            <w:r w:rsidR="0007613A" w:rsidRPr="000D6117">
              <w:rPr>
                <w:rStyle w:val="BodyTextChar"/>
                <w:rFonts w:cs="Calibri"/>
                <w:sz w:val="18"/>
                <w:szCs w:val="18"/>
              </w:rPr>
              <w:t xml:space="preserve">23 </w:t>
            </w:r>
            <w:r w:rsidRPr="000D6117">
              <w:rPr>
                <w:rStyle w:val="BodyTextChar"/>
                <w:rFonts w:cs="Calibri"/>
                <w:sz w:val="18"/>
                <w:szCs w:val="18"/>
              </w:rPr>
              <w:t>Budget. The abo</w:t>
            </w:r>
            <w:r w:rsidRPr="00150391">
              <w:rPr>
                <w:rStyle w:val="BodyTextChar"/>
                <w:rFonts w:cs="Calibri"/>
                <w:sz w:val="18"/>
                <w:szCs w:val="18"/>
              </w:rPr>
              <w:t xml:space="preserve">ve dashes reflect that the measure has no fiscal impact as it has ceased. </w:t>
            </w:r>
          </w:p>
        </w:tc>
      </w:tr>
    </w:tbl>
    <w:p w14:paraId="11F43EF4" w14:textId="77777777" w:rsidR="00FA0945" w:rsidRPr="00150391" w:rsidRDefault="53BF0693" w:rsidP="53BF0693">
      <w:pPr>
        <w:pStyle w:val="Heading2Numbered"/>
        <w:rPr>
          <w:rStyle w:val="BodyTextChar"/>
          <w:rFonts w:ascii="Calibri" w:eastAsiaTheme="majorEastAsia" w:hAnsi="Calibri" w:cs="Calibri"/>
        </w:rPr>
      </w:pPr>
      <w:bookmarkStart w:id="546" w:name="_Toc63347707"/>
      <w:bookmarkStart w:id="547" w:name="_Toc114576295"/>
      <w:r w:rsidRPr="00150391">
        <w:rPr>
          <w:rStyle w:val="BodyTextChar"/>
          <w:rFonts w:ascii="Calibri" w:eastAsiaTheme="majorEastAsia" w:hAnsi="Calibri" w:cs="Calibri"/>
        </w:rPr>
        <w:t>Decisions taken but not yet announced</w:t>
      </w:r>
      <w:bookmarkEnd w:id="546"/>
      <w:bookmarkEnd w:id="547"/>
    </w:p>
    <w:p w14:paraId="621FDA00" w14:textId="77777777" w:rsidR="00FA0945" w:rsidRPr="00150391" w:rsidRDefault="53BF0693" w:rsidP="53BF0693">
      <w:pPr>
        <w:rPr>
          <w:rFonts w:cs="Calibri"/>
        </w:rPr>
      </w:pPr>
      <w:r w:rsidRPr="00150391">
        <w:rPr>
          <w:rStyle w:val="BodyTextChar"/>
          <w:rFonts w:cs="Calibri"/>
        </w:rPr>
        <w:t>Where a measure was included in an economic statement as a DTBNYA but has since been announced, it should generally be published in the next available budget stateme</w:t>
      </w:r>
      <w:r w:rsidR="006C1558" w:rsidRPr="00150391">
        <w:rPr>
          <w:rStyle w:val="BodyTextChar"/>
          <w:rFonts w:cs="Calibri"/>
        </w:rPr>
        <w:t>nt following that announcement:</w:t>
      </w:r>
    </w:p>
    <w:p w14:paraId="7AFB1726"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the measure should be listed in </w:t>
      </w:r>
      <w:r w:rsidRPr="00150391">
        <w:rPr>
          <w:rStyle w:val="BodyTextChar"/>
          <w:rFonts w:ascii="Calibri" w:hAnsi="Calibri" w:cs="Calibri"/>
          <w:i/>
          <w:iCs/>
        </w:rPr>
        <w:t>Table 1.2</w:t>
      </w:r>
      <w:r w:rsidRPr="00150391">
        <w:rPr>
          <w:rStyle w:val="BodyTextChar"/>
          <w:rFonts w:ascii="Calibri" w:hAnsi="Calibri" w:cs="Calibri"/>
        </w:rPr>
        <w:t xml:space="preserve"> with its full measure title and dashes ‘-‘ for the financials as these costs were previously included as an aggregate amount</w:t>
      </w:r>
    </w:p>
    <w:p w14:paraId="0DB41541"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a footnote </w:t>
      </w:r>
      <w:r w:rsidR="006C1558" w:rsidRPr="00150391">
        <w:rPr>
          <w:rStyle w:val="BodyTextChar"/>
          <w:rFonts w:ascii="Calibri" w:hAnsi="Calibri" w:cs="Calibri"/>
        </w:rPr>
        <w:t xml:space="preserve">should be included </w:t>
      </w:r>
      <w:r w:rsidRPr="00150391">
        <w:rPr>
          <w:rStyle w:val="BodyTextChar"/>
          <w:rFonts w:ascii="Calibri" w:hAnsi="Calibri" w:cs="Calibri"/>
        </w:rPr>
        <w:t>explaining the item such as “Decision taken but not yet announced in the 20XX-XX Budget/MYEFO, with the following impact: 20XX-XX $XX.XXX million; 20XX-XX $X.XXX million and 20XX-XX $X.XXX million”</w:t>
      </w:r>
    </w:p>
    <w:p w14:paraId="50A0093F"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where the measure has not been or will not be (i.e. for national security reasons) announced publicly at the release of the next budget statement, the costs for the measure should continue to be included as part of the “Decisions taken but not yet announced” total line at the bottom of </w:t>
      </w:r>
      <w:r w:rsidRPr="00150391">
        <w:rPr>
          <w:rStyle w:val="BodyTextChar"/>
          <w:rFonts w:ascii="Calibri" w:hAnsi="Calibri" w:cs="Calibri"/>
          <w:i/>
          <w:iCs/>
        </w:rPr>
        <w:t>Table 1.2</w:t>
      </w:r>
      <w:r w:rsidRPr="00150391">
        <w:rPr>
          <w:rStyle w:val="BodyTextChar"/>
          <w:rFonts w:ascii="Calibri" w:hAnsi="Calibri" w:cs="Calibri"/>
        </w:rPr>
        <w:t>. The measure title should not be listed separately.</w:t>
      </w:r>
    </w:p>
    <w:p w14:paraId="268F9D4A" w14:textId="77777777" w:rsidR="001807A9" w:rsidRPr="00150391" w:rsidRDefault="53BF0693" w:rsidP="53BF0693">
      <w:pPr>
        <w:rPr>
          <w:rStyle w:val="BodyTextChar"/>
          <w:rFonts w:cs="Calibri"/>
        </w:rPr>
      </w:pPr>
      <w:r w:rsidRPr="00150391">
        <w:rPr>
          <w:rStyle w:val="BodyTextChar"/>
          <w:rFonts w:cs="Calibri"/>
        </w:rPr>
        <w:t>For further information the relevant AAU should be contacted in the first instance.</w:t>
      </w:r>
    </w:p>
    <w:p w14:paraId="6E91ECD5" w14:textId="6D2ECEA5" w:rsidR="002078B6" w:rsidRPr="00150391" w:rsidRDefault="53BF0693" w:rsidP="00580008">
      <w:pPr>
        <w:pStyle w:val="Boxed2Text"/>
        <w:rPr>
          <w:rFonts w:cs="Calibri"/>
        </w:rPr>
      </w:pPr>
      <w:r w:rsidRPr="00150391">
        <w:rPr>
          <w:rFonts w:cs="Calibri"/>
        </w:rPr>
        <w:t xml:space="preserve">Amounts in the </w:t>
      </w:r>
      <w:r w:rsidRPr="00150391">
        <w:rPr>
          <w:rFonts w:cs="Calibri"/>
          <w:b/>
          <w:bCs/>
        </w:rPr>
        <w:t xml:space="preserve">contingency reserve (CR) </w:t>
      </w:r>
      <w:r w:rsidRPr="00150391">
        <w:rPr>
          <w:rFonts w:cs="Calibri"/>
        </w:rPr>
        <w:t xml:space="preserve">must not be entered as estimates in </w:t>
      </w:r>
      <w:r w:rsidR="0077748F" w:rsidRPr="00150391">
        <w:rPr>
          <w:rFonts w:cs="Calibri"/>
        </w:rPr>
        <w:t xml:space="preserve">the </w:t>
      </w:r>
      <w:r w:rsidRPr="00150391">
        <w:rPr>
          <w:rFonts w:cs="Calibri"/>
        </w:rPr>
        <w:t>PBF under the relevant entity nor where they are intended to be appropriated as annual or special appropriations. Whilst the estimates are recorded in the CR, they cannot be appropriated in the current year.</w:t>
      </w:r>
    </w:p>
    <w:p w14:paraId="6F37961F" w14:textId="77777777" w:rsidR="00FA0945" w:rsidRPr="00150391" w:rsidRDefault="53BF0693" w:rsidP="53BF0693">
      <w:pPr>
        <w:pStyle w:val="Heading2Numbered"/>
        <w:rPr>
          <w:rStyle w:val="BodyTextChar"/>
          <w:rFonts w:ascii="Calibri" w:eastAsiaTheme="majorEastAsia" w:hAnsi="Calibri" w:cs="Calibri"/>
        </w:rPr>
      </w:pPr>
      <w:bookmarkStart w:id="548" w:name="_Toc63347708"/>
      <w:bookmarkStart w:id="549" w:name="_Toc114576296"/>
      <w:r w:rsidRPr="00150391">
        <w:rPr>
          <w:rStyle w:val="BodyTextChar"/>
          <w:rFonts w:ascii="Calibri" w:eastAsiaTheme="majorEastAsia" w:hAnsi="Calibri" w:cs="Calibri"/>
        </w:rPr>
        <w:t>Measures with indicative costs</w:t>
      </w:r>
      <w:bookmarkEnd w:id="548"/>
      <w:bookmarkEnd w:id="549"/>
    </w:p>
    <w:p w14:paraId="42870F15" w14:textId="77777777" w:rsidR="00FA0945" w:rsidRPr="00150391" w:rsidRDefault="53BF0693" w:rsidP="000A7DEC">
      <w:pPr>
        <w:rPr>
          <w:rFonts w:cs="Calibri"/>
        </w:rPr>
      </w:pPr>
      <w:r w:rsidRPr="00150391">
        <w:rPr>
          <w:rStyle w:val="BodyTextChar"/>
          <w:rFonts w:cs="Calibri"/>
        </w:rPr>
        <w:t xml:space="preserve">Where measures are published in an economic statement with indicative costs, these measures should be listed in </w:t>
      </w:r>
      <w:r w:rsidRPr="00150391">
        <w:rPr>
          <w:rStyle w:val="BodyTextChar"/>
          <w:rFonts w:cs="Calibri"/>
          <w:i/>
          <w:iCs/>
        </w:rPr>
        <w:t>Table 1.2</w:t>
      </w:r>
      <w:r w:rsidRPr="00150391">
        <w:rPr>
          <w:rStyle w:val="BodyTextChar"/>
          <w:rFonts w:cs="Calibri"/>
        </w:rPr>
        <w:t xml:space="preserve"> only where the costs are known for an affected entity.</w:t>
      </w:r>
    </w:p>
    <w:p w14:paraId="525A8127"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once final costs have been agreed, entities may republish the measure in </w:t>
      </w:r>
      <w:r w:rsidRPr="00150391">
        <w:rPr>
          <w:rStyle w:val="BodyTextChar"/>
          <w:rFonts w:ascii="Calibri" w:hAnsi="Calibri" w:cs="Calibri"/>
          <w:i/>
          <w:iCs/>
        </w:rPr>
        <w:t xml:space="preserve">Table 1.2 </w:t>
      </w:r>
      <w:r w:rsidRPr="00150391">
        <w:rPr>
          <w:rStyle w:val="BodyTextChar"/>
          <w:rFonts w:ascii="Calibri" w:hAnsi="Calibri" w:cs="Calibri"/>
        </w:rPr>
        <w:t>of the PB Statements, and include a footnote stating that the measure was previously published in BP No. 2/MYEFO/the relevant economic statement and the costs shown are now final</w:t>
      </w:r>
    </w:p>
    <w:p w14:paraId="75199DEA" w14:textId="77777777" w:rsidR="00FA0945"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for cross-portfolio measures where final costs have now been agreed for each entity, the measure should be listed in </w:t>
      </w:r>
      <w:r w:rsidRPr="00150391">
        <w:rPr>
          <w:rStyle w:val="BodyTextChar"/>
          <w:rFonts w:ascii="Calibri" w:hAnsi="Calibri" w:cs="Calibri"/>
          <w:i/>
          <w:iCs/>
        </w:rPr>
        <w:t>Table 1.2</w:t>
      </w:r>
      <w:r w:rsidRPr="00150391">
        <w:rPr>
          <w:rStyle w:val="BodyTextChar"/>
          <w:rFonts w:ascii="Calibri" w:hAnsi="Calibri" w:cs="Calibri"/>
        </w:rPr>
        <w:t xml:space="preserve"> with the final agreed costs, with a footnote noting that it is a cross-portfolio measure previously published in BP No. 2/MYEFO/the relevant economic statement and naming the lead entity</w:t>
      </w:r>
    </w:p>
    <w:p w14:paraId="72CC17A9" w14:textId="77777777" w:rsidR="009154E4" w:rsidRPr="00150391" w:rsidRDefault="53BF0693" w:rsidP="53BF0693">
      <w:pPr>
        <w:pStyle w:val="Bullet1"/>
        <w:rPr>
          <w:rStyle w:val="BodyTextChar"/>
          <w:rFonts w:ascii="Calibri" w:hAnsi="Calibri" w:cs="Calibri"/>
        </w:rPr>
      </w:pPr>
      <w:r w:rsidRPr="00150391">
        <w:rPr>
          <w:rStyle w:val="BodyTextChar"/>
          <w:rFonts w:ascii="Calibri" w:hAnsi="Calibri" w:cs="Calibri"/>
        </w:rPr>
        <w:t xml:space="preserve">the measure should be listed in </w:t>
      </w:r>
      <w:r w:rsidRPr="00150391">
        <w:rPr>
          <w:rStyle w:val="BodyTextChar"/>
          <w:rFonts w:ascii="Calibri" w:hAnsi="Calibri" w:cs="Calibri"/>
          <w:i/>
          <w:iCs/>
        </w:rPr>
        <w:t>Table 1.2</w:t>
      </w:r>
      <w:r w:rsidRPr="00150391">
        <w:rPr>
          <w:rStyle w:val="BodyTextChar"/>
          <w:rFonts w:ascii="Calibri" w:hAnsi="Calibri" w:cs="Calibri"/>
        </w:rPr>
        <w:t xml:space="preserve"> with its full measure title and dashes ‘-‘ for the financials as these costs have previously been allocated to the entity.</w:t>
      </w:r>
    </w:p>
    <w:p w14:paraId="1AB49FC3" w14:textId="77777777" w:rsidR="002F0743" w:rsidRPr="00150391" w:rsidRDefault="002F0743" w:rsidP="002F0743">
      <w:pPr>
        <w:pStyle w:val="Heading2Numbered"/>
        <w:rPr>
          <w:rStyle w:val="BodyTextChar"/>
          <w:rFonts w:ascii="Calibri" w:hAnsi="Calibri" w:cs="Calibri"/>
        </w:rPr>
      </w:pPr>
      <w:bookmarkStart w:id="550" w:name="_Ref86420508"/>
      <w:bookmarkStart w:id="551" w:name="_Ref86420554"/>
      <w:bookmarkStart w:id="552" w:name="_Ref86420596"/>
      <w:bookmarkStart w:id="553" w:name="_Toc114576297"/>
      <w:r w:rsidRPr="00150391">
        <w:rPr>
          <w:rStyle w:val="BodyTextChar"/>
          <w:rFonts w:ascii="Calibri" w:hAnsi="Calibri" w:cs="Calibri"/>
        </w:rPr>
        <w:t>Measures earmarked as ‘not for publication’</w:t>
      </w:r>
      <w:bookmarkEnd w:id="550"/>
      <w:bookmarkEnd w:id="551"/>
      <w:bookmarkEnd w:id="552"/>
      <w:bookmarkEnd w:id="553"/>
    </w:p>
    <w:p w14:paraId="1E61CEF0" w14:textId="05A0A643" w:rsidR="002F0743" w:rsidRPr="00150391" w:rsidRDefault="007E6381" w:rsidP="00580008">
      <w:pPr>
        <w:rPr>
          <w:rFonts w:cs="Calibri"/>
        </w:rPr>
      </w:pPr>
      <w:r w:rsidRPr="00150391">
        <w:rPr>
          <w:rFonts w:cs="Calibri"/>
        </w:rPr>
        <w:t xml:space="preserve">Where </w:t>
      </w:r>
      <w:r w:rsidR="008F5DC1" w:rsidRPr="00150391">
        <w:rPr>
          <w:rFonts w:cs="Calibri"/>
        </w:rPr>
        <w:t xml:space="preserve">the </w:t>
      </w:r>
      <w:r w:rsidRPr="00150391">
        <w:rPr>
          <w:rFonts w:cs="Calibri"/>
        </w:rPr>
        <w:t>amount</w:t>
      </w:r>
      <w:r w:rsidR="008F5DC1" w:rsidRPr="00150391">
        <w:rPr>
          <w:rFonts w:cs="Calibri"/>
        </w:rPr>
        <w:t xml:space="preserve"> of</w:t>
      </w:r>
      <w:r w:rsidRPr="00150391">
        <w:rPr>
          <w:rFonts w:cs="Calibri"/>
        </w:rPr>
        <w:t xml:space="preserve"> </w:t>
      </w:r>
      <w:r w:rsidR="008F5DC1" w:rsidRPr="00150391">
        <w:rPr>
          <w:rFonts w:cs="Calibri"/>
        </w:rPr>
        <w:t xml:space="preserve">a measure </w:t>
      </w:r>
      <w:r w:rsidRPr="00150391">
        <w:rPr>
          <w:rFonts w:cs="Calibri"/>
        </w:rPr>
        <w:t xml:space="preserve">is </w:t>
      </w:r>
      <w:r w:rsidR="00CA44DE" w:rsidRPr="00150391">
        <w:rPr>
          <w:rFonts w:cs="Calibri"/>
        </w:rPr>
        <w:t xml:space="preserve">disclosed </w:t>
      </w:r>
      <w:r w:rsidRPr="00150391">
        <w:rPr>
          <w:rFonts w:cs="Calibri"/>
        </w:rPr>
        <w:t>as nfp, entities are required to add a footnote to provide a high-level explanation clarifying why the measure has been reported this way.</w:t>
      </w:r>
    </w:p>
    <w:p w14:paraId="294C9186" w14:textId="7513C40D" w:rsidR="007E6381" w:rsidRPr="00150391" w:rsidRDefault="007E6381" w:rsidP="002F0743">
      <w:pPr>
        <w:rPr>
          <w:rStyle w:val="BodyTextChar"/>
          <w:rFonts w:cs="Calibri"/>
        </w:rPr>
      </w:pPr>
      <w:r w:rsidRPr="00150391">
        <w:rPr>
          <w:rStyle w:val="BodyTextChar"/>
          <w:rFonts w:cs="Calibri"/>
        </w:rPr>
        <w:t xml:space="preserve">Amounts are usually </w:t>
      </w:r>
      <w:r w:rsidR="00CA44DE" w:rsidRPr="00150391">
        <w:rPr>
          <w:rStyle w:val="BodyTextChar"/>
          <w:rFonts w:cs="Calibri"/>
        </w:rPr>
        <w:t xml:space="preserve">disclosed </w:t>
      </w:r>
      <w:r w:rsidRPr="00150391">
        <w:rPr>
          <w:rStyle w:val="BodyTextChar"/>
          <w:rFonts w:cs="Calibri"/>
        </w:rPr>
        <w:t>as nfp due to national security and /or for commercial in</w:t>
      </w:r>
      <w:r w:rsidRPr="00150391">
        <w:rPr>
          <w:rStyle w:val="BodyTextChar"/>
          <w:rFonts w:cs="Calibri"/>
        </w:rPr>
        <w:noBreakHyphen/>
        <w:t>confidence considerations.</w:t>
      </w:r>
    </w:p>
    <w:p w14:paraId="79778E54" w14:textId="77777777" w:rsidR="00FA0945" w:rsidRPr="00150391" w:rsidRDefault="53BF0693" w:rsidP="53BF0693">
      <w:pPr>
        <w:pStyle w:val="Heading2Numbered"/>
        <w:rPr>
          <w:rStyle w:val="BodyTextChar"/>
          <w:rFonts w:ascii="Calibri" w:eastAsiaTheme="majorEastAsia" w:hAnsi="Calibri" w:cs="Calibri"/>
        </w:rPr>
      </w:pPr>
      <w:bookmarkStart w:id="554" w:name="_Toc63347709"/>
      <w:bookmarkStart w:id="555" w:name="_Toc114576298"/>
      <w:r w:rsidRPr="00150391">
        <w:rPr>
          <w:rStyle w:val="BodyTextChar"/>
          <w:rFonts w:ascii="Calibri" w:eastAsiaTheme="majorEastAsia" w:hAnsi="Calibri" w:cs="Calibri"/>
        </w:rPr>
        <w:t>Machinery of government changes</w:t>
      </w:r>
      <w:bookmarkEnd w:id="554"/>
      <w:bookmarkEnd w:id="555"/>
    </w:p>
    <w:p w14:paraId="7A9C25BF" w14:textId="6484125E" w:rsidR="001D5761" w:rsidRPr="00150391" w:rsidRDefault="6B6EE5C4" w:rsidP="6B6EE5C4">
      <w:pPr>
        <w:rPr>
          <w:rStyle w:val="BodyTextChar"/>
          <w:rFonts w:cs="Calibri"/>
        </w:rPr>
      </w:pPr>
      <w:r w:rsidRPr="00150391">
        <w:rPr>
          <w:rStyle w:val="BodyTextChar"/>
          <w:rFonts w:cs="Calibri"/>
        </w:rPr>
        <w:t xml:space="preserve">Where there are MoG changes, </w:t>
      </w:r>
      <w:r w:rsidRPr="00150391">
        <w:rPr>
          <w:rStyle w:val="BodyTextChar"/>
          <w:rFonts w:eastAsiaTheme="minorEastAsia" w:cs="Calibri"/>
        </w:rPr>
        <w:t>the</w:t>
      </w:r>
      <w:r w:rsidRPr="00150391">
        <w:rPr>
          <w:rStyle w:val="BodyTextChar"/>
          <w:rFonts w:cs="Calibri"/>
        </w:rPr>
        <w:t xml:space="preserve"> gaining entity should publish any new measures relating to the function(s) being gained.</w:t>
      </w:r>
    </w:p>
    <w:p w14:paraId="53610CB1" w14:textId="40721511" w:rsidR="00FA0945" w:rsidRPr="00150391" w:rsidRDefault="00FA0945" w:rsidP="6B6EE5C4">
      <w:pPr>
        <w:rPr>
          <w:rStyle w:val="BodyTextChar"/>
          <w:rFonts w:cs="Calibri"/>
        </w:rPr>
      </w:pPr>
      <w:r w:rsidRPr="00150391">
        <w:rPr>
          <w:rStyle w:val="BodyTextChar"/>
          <w:rFonts w:cs="Calibri"/>
        </w:rPr>
        <w:t xml:space="preserve">For further information on showing </w:t>
      </w:r>
      <w:r w:rsidR="00B40B6A" w:rsidRPr="00150391">
        <w:rPr>
          <w:rStyle w:val="BodyTextChar"/>
          <w:rFonts w:cs="Calibri"/>
        </w:rPr>
        <w:t xml:space="preserve">MoG </w:t>
      </w:r>
      <w:r w:rsidRPr="00150391">
        <w:rPr>
          <w:rStyle w:val="BodyTextChar"/>
          <w:rFonts w:cs="Calibri"/>
        </w:rPr>
        <w:t xml:space="preserve">changes in the PB Statements, refer to </w:t>
      </w:r>
      <w:r w:rsidR="000031B3" w:rsidRPr="00150391">
        <w:rPr>
          <w:rStyle w:val="BodyTextChar"/>
          <w:rFonts w:cs="Calibri"/>
        </w:rPr>
        <w:t xml:space="preserve">section </w:t>
      </w:r>
      <w:r w:rsidR="00B40B6A" w:rsidRPr="002B4935">
        <w:rPr>
          <w:rStyle w:val="CrossReferenceChar"/>
          <w:rFonts w:cs="Calibri"/>
          <w:color w:val="0070C0"/>
        </w:rPr>
        <w:fldChar w:fldCharType="begin"/>
      </w:r>
      <w:r w:rsidR="00B40B6A" w:rsidRPr="002B4935">
        <w:rPr>
          <w:rStyle w:val="CrossReferenceChar"/>
          <w:rFonts w:cs="Calibri"/>
          <w:color w:val="0070C0"/>
        </w:rPr>
        <w:instrText xml:space="preserve"> REF _Ref29396037 \w \h  \* MERGEFORMAT </w:instrText>
      </w:r>
      <w:r w:rsidR="00B40B6A" w:rsidRPr="002B4935">
        <w:rPr>
          <w:rStyle w:val="CrossReferenceChar"/>
          <w:rFonts w:cs="Calibri"/>
          <w:color w:val="0070C0"/>
        </w:rPr>
      </w:r>
      <w:r w:rsidR="00B40B6A" w:rsidRPr="002B4935">
        <w:rPr>
          <w:rStyle w:val="CrossReferenceChar"/>
          <w:rFonts w:cs="Calibri"/>
          <w:color w:val="0070C0"/>
        </w:rPr>
        <w:fldChar w:fldCharType="separate"/>
      </w:r>
      <w:r w:rsidR="0073409A">
        <w:rPr>
          <w:rStyle w:val="CrossReferenceChar"/>
          <w:rFonts w:cs="Calibri"/>
          <w:color w:val="0070C0"/>
        </w:rPr>
        <w:t>12.1</w:t>
      </w:r>
      <w:r w:rsidR="00B40B6A" w:rsidRPr="002B4935">
        <w:rPr>
          <w:rStyle w:val="CrossReferenceChar"/>
          <w:rFonts w:cs="Calibri"/>
          <w:color w:val="0070C0"/>
        </w:rPr>
        <w:fldChar w:fldCharType="end"/>
      </w:r>
      <w:r w:rsidR="006C1558" w:rsidRPr="002B4935">
        <w:rPr>
          <w:rStyle w:val="CrossReferenceChar"/>
          <w:rFonts w:cs="Calibri"/>
          <w:color w:val="0070C0"/>
        </w:rPr>
        <w:t> </w:t>
      </w:r>
      <w:hyperlink w:anchor="_Machinery_of_Government" w:history="1">
        <w:r w:rsidR="00B932FB" w:rsidRPr="002B4935">
          <w:rPr>
            <w:rStyle w:val="CrossReferenceChar"/>
            <w:rFonts w:cs="Calibri"/>
            <w:color w:val="0070C0"/>
          </w:rPr>
          <w:fldChar w:fldCharType="begin"/>
        </w:r>
        <w:r w:rsidR="00B932FB" w:rsidRPr="002B4935">
          <w:rPr>
            <w:rStyle w:val="CrossReferenceChar"/>
            <w:rFonts w:cs="Calibri"/>
            <w:color w:val="0070C0"/>
          </w:rPr>
          <w:instrText xml:space="preserve"> REF _Ref29395943 \h  \* MERGEFORMAT </w:instrText>
        </w:r>
        <w:r w:rsidR="00B932FB" w:rsidRPr="002B4935">
          <w:rPr>
            <w:rStyle w:val="CrossReferenceChar"/>
            <w:rFonts w:cs="Calibri"/>
            <w:color w:val="0070C0"/>
          </w:rPr>
        </w:r>
        <w:r w:rsidR="00B932FB" w:rsidRPr="002B4935">
          <w:rPr>
            <w:rStyle w:val="CrossReferenceChar"/>
            <w:rFonts w:cs="Calibri"/>
            <w:color w:val="0070C0"/>
          </w:rPr>
          <w:fldChar w:fldCharType="separate"/>
        </w:r>
        <w:r w:rsidR="0073409A" w:rsidRPr="0073409A">
          <w:rPr>
            <w:rStyle w:val="CrossReferenceChar"/>
            <w:color w:val="0070C0"/>
          </w:rPr>
          <w:t>Machinery of government changes</w:t>
        </w:r>
        <w:r w:rsidR="00B932FB" w:rsidRPr="002B4935">
          <w:rPr>
            <w:rStyle w:val="CrossReferenceChar"/>
            <w:rFonts w:cs="Calibri"/>
            <w:color w:val="0070C0"/>
          </w:rPr>
          <w:fldChar w:fldCharType="end"/>
        </w:r>
      </w:hyperlink>
      <w:r w:rsidRPr="00150391">
        <w:rPr>
          <w:rStyle w:val="BodyTextChar"/>
          <w:rFonts w:cs="Calibri"/>
        </w:rPr>
        <w:t>.</w:t>
      </w:r>
    </w:p>
    <w:p w14:paraId="4D30C954" w14:textId="77777777" w:rsidR="00FA0945" w:rsidRPr="00150391" w:rsidRDefault="53BF0693" w:rsidP="53BF0693">
      <w:pPr>
        <w:pStyle w:val="Heading4"/>
        <w:rPr>
          <w:rStyle w:val="BodyTextChar"/>
          <w:rFonts w:ascii="Calibri" w:hAnsi="Calibri" w:cs="Calibri"/>
          <w:b/>
          <w:sz w:val="24"/>
          <w:szCs w:val="24"/>
        </w:rPr>
      </w:pPr>
      <w:r w:rsidRPr="00150391">
        <w:rPr>
          <w:rStyle w:val="BodyTextChar"/>
          <w:rFonts w:ascii="Calibri" w:hAnsi="Calibri" w:cs="Calibri"/>
        </w:rPr>
        <w:t>Source of information</w:t>
      </w:r>
    </w:p>
    <w:p w14:paraId="63A86BFD" w14:textId="77777777" w:rsidR="00FA0945" w:rsidRPr="00150391" w:rsidRDefault="53BF0693" w:rsidP="53BF0693">
      <w:pPr>
        <w:pStyle w:val="Bullet1"/>
        <w:numPr>
          <w:ilvl w:val="0"/>
          <w:numId w:val="0"/>
        </w:numPr>
        <w:rPr>
          <w:rStyle w:val="BodyTextChar"/>
          <w:rFonts w:ascii="Calibri" w:hAnsi="Calibri" w:cs="Calibri"/>
        </w:rPr>
      </w:pPr>
      <w:r w:rsidRPr="00150391">
        <w:rPr>
          <w:rStyle w:val="BodyTextChar"/>
          <w:rFonts w:ascii="Calibri" w:hAnsi="Calibri" w:cs="Calibri"/>
        </w:rPr>
        <w:t>To confirm the correct amounts, refer to the costing agreement provided by your AAU.</w:t>
      </w:r>
    </w:p>
    <w:p w14:paraId="4F43A5E5" w14:textId="77777777" w:rsidR="00FA0945" w:rsidRPr="00150391" w:rsidRDefault="53BF0693" w:rsidP="53BF0693">
      <w:pPr>
        <w:pStyle w:val="Bullet1"/>
        <w:numPr>
          <w:ilvl w:val="0"/>
          <w:numId w:val="0"/>
        </w:numPr>
        <w:rPr>
          <w:rStyle w:val="BodyTextChar"/>
          <w:rFonts w:ascii="Calibri" w:hAnsi="Calibri" w:cs="Calibri"/>
        </w:rPr>
      </w:pPr>
      <w:r w:rsidRPr="00150391">
        <w:rPr>
          <w:rStyle w:val="BodyTextChar"/>
          <w:rFonts w:ascii="Calibri" w:hAnsi="Calibri" w:cs="Calibri"/>
        </w:rPr>
        <w:t>Information to be included in this table may also be taken from estimates adjustments for measures (i.e. those entered against the reason code “Government decision or measure”) in CBMS.</w:t>
      </w:r>
    </w:p>
    <w:p w14:paraId="71402BFD" w14:textId="6C755BD1" w:rsidR="00A01D1B" w:rsidRPr="00150391" w:rsidRDefault="53BF0693" w:rsidP="53BF0693">
      <w:pPr>
        <w:pStyle w:val="Bullet1"/>
        <w:numPr>
          <w:ilvl w:val="0"/>
          <w:numId w:val="0"/>
        </w:numPr>
        <w:rPr>
          <w:rStyle w:val="BodyTextChar"/>
          <w:rFonts w:ascii="Calibri" w:hAnsi="Calibri" w:cs="Calibri"/>
        </w:rPr>
      </w:pPr>
      <w:r w:rsidRPr="00150391">
        <w:rPr>
          <w:rStyle w:val="BodyTextChar"/>
          <w:rFonts w:ascii="Calibri" w:hAnsi="Calibri" w:cs="Calibri"/>
        </w:rPr>
        <w:t xml:space="preserve">Titles of measures are to be confirmed against the final agreed measures list </w:t>
      </w:r>
      <w:r w:rsidR="008D2853" w:rsidRPr="00150391">
        <w:rPr>
          <w:rStyle w:val="BodyTextChar"/>
          <w:rFonts w:ascii="Calibri" w:hAnsi="Calibri" w:cs="Calibri"/>
        </w:rPr>
        <w:t xml:space="preserve">distributed </w:t>
      </w:r>
      <w:r w:rsidRPr="00150391">
        <w:rPr>
          <w:rStyle w:val="BodyTextChar"/>
          <w:rFonts w:ascii="Calibri" w:hAnsi="Calibri" w:cs="Calibri"/>
        </w:rPr>
        <w:t>by Finance</w:t>
      </w:r>
      <w:r w:rsidR="008D2853" w:rsidRPr="00150391">
        <w:rPr>
          <w:rStyle w:val="BodyTextChar"/>
          <w:rFonts w:ascii="Calibri" w:hAnsi="Calibri" w:cs="Calibri"/>
        </w:rPr>
        <w:t>’s</w:t>
      </w:r>
      <w:r w:rsidR="004929D8" w:rsidRPr="00150391">
        <w:rPr>
          <w:rStyle w:val="BodyTextChar"/>
          <w:rFonts w:ascii="Calibri" w:hAnsi="Calibri" w:cs="Calibri"/>
        </w:rPr>
        <w:t xml:space="preserve"> AAU</w:t>
      </w:r>
      <w:r w:rsidR="008D2853" w:rsidRPr="00150391">
        <w:rPr>
          <w:rStyle w:val="BodyTextChar"/>
          <w:rFonts w:ascii="Calibri" w:hAnsi="Calibri" w:cs="Calibri"/>
        </w:rPr>
        <w:t>s to the lead portfolio departments</w:t>
      </w:r>
      <w:r w:rsidRPr="00150391">
        <w:rPr>
          <w:rStyle w:val="BodyTextChar"/>
          <w:rFonts w:ascii="Calibri" w:hAnsi="Calibri" w:cs="Calibri"/>
        </w:rPr>
        <w:t>.</w:t>
      </w:r>
    </w:p>
    <w:p w14:paraId="45E47508" w14:textId="77777777" w:rsidR="00755929" w:rsidRPr="00150391" w:rsidRDefault="00755929" w:rsidP="000A7DEC">
      <w:pPr>
        <w:rPr>
          <w:rFonts w:cs="Calibri"/>
        </w:rPr>
      </w:pPr>
      <w:r w:rsidRPr="00150391">
        <w:rPr>
          <w:rFonts w:cs="Calibri"/>
        </w:rPr>
        <w:br w:type="page"/>
      </w:r>
    </w:p>
    <w:p w14:paraId="686A91F0" w14:textId="77777777" w:rsidR="00FA0945" w:rsidRPr="00150391" w:rsidRDefault="53BF0693" w:rsidP="53BF0693">
      <w:pPr>
        <w:pStyle w:val="Heading1Numbered"/>
        <w:rPr>
          <w:rFonts w:ascii="Calibri" w:hAnsi="Calibri" w:cs="Calibri"/>
        </w:rPr>
      </w:pPr>
      <w:bookmarkStart w:id="556" w:name="_Toc534459664"/>
      <w:bookmarkStart w:id="557" w:name="_Toc534519159"/>
      <w:bookmarkStart w:id="558" w:name="_Toc534520069"/>
      <w:bookmarkStart w:id="559" w:name="_Toc534520339"/>
      <w:bookmarkStart w:id="560" w:name="_Toc534527551"/>
      <w:bookmarkStart w:id="561" w:name="_Toc534528281"/>
      <w:bookmarkStart w:id="562" w:name="_Toc534803502"/>
      <w:bookmarkStart w:id="563" w:name="_Toc534814193"/>
      <w:bookmarkStart w:id="564" w:name="_Toc536108566"/>
      <w:bookmarkStart w:id="565" w:name="_Toc534458876"/>
      <w:bookmarkStart w:id="566" w:name="_Toc534459665"/>
      <w:bookmarkStart w:id="567" w:name="_Toc534519160"/>
      <w:bookmarkStart w:id="568" w:name="_Toc534520070"/>
      <w:bookmarkStart w:id="569" w:name="_Toc534520340"/>
      <w:bookmarkStart w:id="570" w:name="_Toc534527552"/>
      <w:bookmarkStart w:id="571" w:name="_Toc534528282"/>
      <w:bookmarkStart w:id="572" w:name="_Toc534803503"/>
      <w:bookmarkStart w:id="573" w:name="_Toc534814194"/>
      <w:bookmarkStart w:id="574" w:name="_Toc536108567"/>
      <w:bookmarkStart w:id="575" w:name="_Toc411852679"/>
      <w:bookmarkStart w:id="576" w:name="_Toc534382559"/>
      <w:bookmarkStart w:id="577" w:name="_Toc63347710"/>
      <w:bookmarkStart w:id="578" w:name="_Toc114576299"/>
      <w:bookmarkStart w:id="579" w:name="OLE_LINK3"/>
      <w:bookmarkStart w:id="580" w:name="OLE_LINK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150391">
        <w:rPr>
          <w:rFonts w:ascii="Calibri" w:hAnsi="Calibri" w:cs="Calibri"/>
        </w:rPr>
        <w:t>Outcomes and planned performance</w:t>
      </w:r>
      <w:bookmarkEnd w:id="575"/>
      <w:bookmarkEnd w:id="576"/>
      <w:bookmarkEnd w:id="577"/>
      <w:bookmarkEnd w:id="578"/>
    </w:p>
    <w:p w14:paraId="5B6DA2D1" w14:textId="4A199EFF" w:rsidR="00945BF5" w:rsidRPr="00150391" w:rsidRDefault="53BF0693" w:rsidP="000A7DEC">
      <w:pPr>
        <w:pStyle w:val="Boxed2Text"/>
        <w:rPr>
          <w:rFonts w:cs="Calibri"/>
        </w:rPr>
      </w:pPr>
      <w:r w:rsidRPr="00150391">
        <w:rPr>
          <w:rStyle w:val="BodyTextChar"/>
          <w:rFonts w:cs="Calibri"/>
        </w:rPr>
        <w:t xml:space="preserve">For </w:t>
      </w:r>
      <w:r w:rsidR="009D4B71" w:rsidRPr="00150391">
        <w:rPr>
          <w:rFonts w:cs="Calibri"/>
        </w:rPr>
        <w:t xml:space="preserve">information </w:t>
      </w:r>
      <w:r w:rsidRPr="00150391">
        <w:rPr>
          <w:rFonts w:cs="Calibri"/>
        </w:rPr>
        <w:t xml:space="preserve">regarding performance reporting in the PB Statements, please </w:t>
      </w:r>
      <w:r w:rsidR="009D4B71" w:rsidRPr="00150391">
        <w:rPr>
          <w:rFonts w:cs="Calibri"/>
        </w:rPr>
        <w:t xml:space="preserve">refer to </w:t>
      </w:r>
      <w:hyperlink r:id="rId74" w:history="1">
        <w:r w:rsidR="003A47EE" w:rsidRPr="002B4935">
          <w:rPr>
            <w:rStyle w:val="Hyperlink"/>
            <w:rFonts w:ascii="Calibri" w:hAnsi="Calibri" w:cs="Calibri"/>
            <w:color w:val="0070C0"/>
          </w:rPr>
          <w:t>Reporting performance information in Portfolio Budget Statements (RMG 129)</w:t>
        </w:r>
      </w:hyperlink>
      <w:r w:rsidR="009D4B71" w:rsidRPr="00150391">
        <w:rPr>
          <w:rFonts w:cs="Calibri"/>
        </w:rPr>
        <w:t xml:space="preserve"> or </w:t>
      </w:r>
      <w:r w:rsidRPr="00150391">
        <w:rPr>
          <w:rFonts w:cs="Calibri"/>
        </w:rPr>
        <w:t xml:space="preserve">contact the </w:t>
      </w:r>
      <w:r w:rsidR="00B50E22" w:rsidRPr="00150391">
        <w:rPr>
          <w:rFonts w:cs="Calibri"/>
        </w:rPr>
        <w:t>PGPA and Digital Reporting</w:t>
      </w:r>
      <w:r w:rsidRPr="00150391">
        <w:rPr>
          <w:rFonts w:cs="Calibri"/>
        </w:rPr>
        <w:t xml:space="preserve"> Branch in Finance </w:t>
      </w:r>
      <w:hyperlink r:id="rId75">
        <w:r w:rsidRPr="002B4935">
          <w:rPr>
            <w:rStyle w:val="Hyperlink"/>
            <w:rFonts w:ascii="Calibri" w:hAnsi="Calibri" w:cs="Calibri"/>
            <w:color w:val="0070C0"/>
          </w:rPr>
          <w:t>PGPA@finance.gov.au</w:t>
        </w:r>
      </w:hyperlink>
      <w:r w:rsidRPr="00150391">
        <w:rPr>
          <w:rFonts w:cs="Calibri"/>
        </w:rPr>
        <w:t xml:space="preserve"> or on (02) 6215 3130.</w:t>
      </w:r>
    </w:p>
    <w:p w14:paraId="180C04B8" w14:textId="77777777" w:rsidR="00945BF5" w:rsidRPr="00150391" w:rsidRDefault="53BF0693" w:rsidP="000A7DEC">
      <w:pPr>
        <w:pStyle w:val="Boxed2Text"/>
        <w:rPr>
          <w:rFonts w:cs="Calibri"/>
        </w:rPr>
      </w:pPr>
      <w:r w:rsidRPr="00150391">
        <w:rPr>
          <w:rFonts w:cs="Calibri"/>
        </w:rPr>
        <w:t>For advice on changing outcome statements or programs, please contact your AAU in Finance in the first instance.</w:t>
      </w:r>
    </w:p>
    <w:p w14:paraId="201DC3B0" w14:textId="2C4F4387" w:rsidR="00FA0945" w:rsidRPr="00150391" w:rsidRDefault="53BF0693" w:rsidP="53BF0693">
      <w:pPr>
        <w:rPr>
          <w:rStyle w:val="BodyTextChar"/>
          <w:rFonts w:cs="Calibri"/>
        </w:rPr>
      </w:pPr>
      <w:r w:rsidRPr="00150391">
        <w:rPr>
          <w:rStyle w:val="BodyTextChar"/>
          <w:rFonts w:cs="Calibri"/>
        </w:rPr>
        <w:t xml:space="preserve">The PB Statements </w:t>
      </w:r>
      <w:r w:rsidRPr="00150391">
        <w:rPr>
          <w:rStyle w:val="BodyTextChar"/>
          <w:rFonts w:cs="Calibri"/>
          <w:i/>
          <w:iCs/>
        </w:rPr>
        <w:t>Outcomes and planned performance</w:t>
      </w:r>
      <w:r w:rsidRPr="00150391">
        <w:rPr>
          <w:rStyle w:val="BodyTextChar"/>
          <w:rFonts w:cs="Calibri"/>
        </w:rPr>
        <w:t xml:space="preserve"> section (Section 2) details the expenses incurred in delivering the outcomes and programs of an entity, and the performance information that will be used by </w:t>
      </w:r>
      <w:r w:rsidR="00003A8D" w:rsidRPr="00150391">
        <w:rPr>
          <w:rStyle w:val="BodyTextChar"/>
          <w:rFonts w:cs="Calibri"/>
        </w:rPr>
        <w:t>p</w:t>
      </w:r>
      <w:r w:rsidRPr="00150391">
        <w:rPr>
          <w:rStyle w:val="BodyTextChar"/>
          <w:rFonts w:cs="Calibri"/>
        </w:rPr>
        <w:t>arliament and other key stakeholders to assess the impact of this expenditure.</w:t>
      </w:r>
    </w:p>
    <w:p w14:paraId="30E8FD4C" w14:textId="213B34F3" w:rsidR="00FA0945" w:rsidRPr="00150391" w:rsidRDefault="53BF0693" w:rsidP="53BF0693">
      <w:pPr>
        <w:rPr>
          <w:rStyle w:val="BodyTextChar"/>
          <w:rFonts w:cs="Calibri"/>
        </w:rPr>
      </w:pPr>
      <w:r w:rsidRPr="00150391">
        <w:rPr>
          <w:rStyle w:val="BodyTextChar"/>
          <w:rFonts w:cs="Calibri"/>
        </w:rPr>
        <w:t xml:space="preserve">PB Statements are used to provide structured summary reporting of an entity’s intended performance, focusing on programs. The reporting structure allows entities to outline their intended performance in a logical and consistent manner, which shows the resourcing provided and expected progress towards achieving </w:t>
      </w:r>
      <w:r w:rsidR="006418EA" w:rsidRPr="00150391">
        <w:rPr>
          <w:rStyle w:val="BodyTextChar"/>
          <w:rFonts w:cs="Calibri"/>
        </w:rPr>
        <w:t>government</w:t>
      </w:r>
      <w:r w:rsidRPr="00150391">
        <w:rPr>
          <w:rStyle w:val="BodyTextChar"/>
          <w:rFonts w:cs="Calibri"/>
        </w:rPr>
        <w:t xml:space="preserve"> policy objectives.</w:t>
      </w:r>
    </w:p>
    <w:p w14:paraId="754A1596" w14:textId="77777777" w:rsidR="00FA0945" w:rsidRPr="00150391" w:rsidRDefault="6B6EE5C4" w:rsidP="6B6EE5C4">
      <w:pPr>
        <w:rPr>
          <w:rStyle w:val="BodyTextChar"/>
          <w:rFonts w:cs="Calibri"/>
        </w:rPr>
      </w:pPr>
      <w:r w:rsidRPr="00150391">
        <w:rPr>
          <w:rStyle w:val="BodyTextChar"/>
          <w:rFonts w:cs="Calibri"/>
          <w:i/>
          <w:iCs/>
        </w:rPr>
        <w:t>Table 2.X.3:</w:t>
      </w:r>
      <w:r w:rsidRPr="00150391">
        <w:rPr>
          <w:rStyle w:val="BodyTextChar"/>
          <w:rFonts w:cs="Calibri"/>
        </w:rPr>
        <w:t xml:space="preserve"> </w:t>
      </w:r>
      <w:r w:rsidRPr="00150391">
        <w:rPr>
          <w:rStyle w:val="BodyTextChar"/>
          <w:rFonts w:cs="Calibri"/>
          <w:i/>
          <w:iCs/>
        </w:rPr>
        <w:t xml:space="preserve">Performance </w:t>
      </w:r>
      <w:r w:rsidR="00171243" w:rsidRPr="00150391">
        <w:rPr>
          <w:rStyle w:val="BodyTextChar"/>
          <w:rFonts w:cs="Calibri"/>
          <w:i/>
          <w:iCs/>
        </w:rPr>
        <w:t>measure</w:t>
      </w:r>
      <w:r w:rsidRPr="00150391">
        <w:rPr>
          <w:rStyle w:val="BodyTextChar"/>
          <w:rFonts w:cs="Calibri"/>
          <w:i/>
          <w:iCs/>
        </w:rPr>
        <w:t xml:space="preserve"> for Outcome X</w:t>
      </w:r>
      <w:r w:rsidRPr="00150391">
        <w:rPr>
          <w:rStyle w:val="BodyTextChar"/>
          <w:rFonts w:cs="Calibri"/>
        </w:rPr>
        <w:t xml:space="preserve"> helps to meet the requirements of the Commonwealth performance framework. Performance information should be presented clearly and consistently across reporting documents (PB Statements, corporate plans and annual performance statements) and cycles. This means, for example, that performance measures provided in the PB Statements and corporate plans are then clearly reconciled in annual performance statements.</w:t>
      </w:r>
    </w:p>
    <w:p w14:paraId="362B188C" w14:textId="5BE5090F" w:rsidR="00FA0945" w:rsidRPr="00150391" w:rsidRDefault="53BF0693" w:rsidP="53BF0693">
      <w:pPr>
        <w:rPr>
          <w:rStyle w:val="BodyTextChar"/>
          <w:rFonts w:cs="Calibri"/>
        </w:rPr>
      </w:pPr>
      <w:r w:rsidRPr="00150391">
        <w:rPr>
          <w:rStyle w:val="BodyTextChar"/>
          <w:rFonts w:cs="Calibri"/>
        </w:rPr>
        <w:t>Further explanation of the relationship between reporting documents is provided in a standard diagram, ‘Commonwealth Performance Framework – key components of relevant publications’, situated in the User Guide section of the PB Statements Word template</w:t>
      </w:r>
      <w:r w:rsidR="00ED6CA3" w:rsidRPr="00150391">
        <w:rPr>
          <w:rStyle w:val="BodyTextChar"/>
          <w:rFonts w:cs="Calibri"/>
        </w:rPr>
        <w:t xml:space="preserve"> (Attachment C)</w:t>
      </w:r>
      <w:r w:rsidRPr="00150391">
        <w:rPr>
          <w:rStyle w:val="BodyTextChar"/>
          <w:rFonts w:cs="Calibri"/>
        </w:rPr>
        <w:t xml:space="preserve">. </w:t>
      </w:r>
    </w:p>
    <w:p w14:paraId="2E5992D8" w14:textId="77777777" w:rsidR="00FA0945" w:rsidRPr="00150391" w:rsidRDefault="53BF0693" w:rsidP="006C1558">
      <w:pPr>
        <w:pStyle w:val="Heading2Numbered"/>
        <w:rPr>
          <w:rStyle w:val="BodyTextChar"/>
          <w:rFonts w:ascii="Calibri" w:hAnsi="Calibri" w:cs="Calibri"/>
        </w:rPr>
      </w:pPr>
      <w:bookmarkStart w:id="581" w:name="_Toc534382560"/>
      <w:bookmarkStart w:id="582" w:name="_Toc63347711"/>
      <w:bookmarkStart w:id="583" w:name="_Toc114576300"/>
      <w:r w:rsidRPr="00150391">
        <w:rPr>
          <w:rStyle w:val="BodyTextChar"/>
          <w:rFonts w:ascii="Calibri" w:hAnsi="Calibri" w:cs="Calibri"/>
        </w:rPr>
        <w:t xml:space="preserve">Finance Secretary </w:t>
      </w:r>
      <w:bookmarkEnd w:id="581"/>
      <w:bookmarkEnd w:id="582"/>
      <w:r w:rsidR="00DA73DA" w:rsidRPr="00150391">
        <w:rPr>
          <w:rStyle w:val="BodyTextChar"/>
          <w:rFonts w:ascii="Calibri" w:hAnsi="Calibri" w:cs="Calibri"/>
        </w:rPr>
        <w:t>Direction</w:t>
      </w:r>
      <w:bookmarkEnd w:id="583"/>
    </w:p>
    <w:p w14:paraId="3D633618" w14:textId="6D5055BD" w:rsidR="00E47F62" w:rsidRPr="00150391" w:rsidRDefault="53BF0693" w:rsidP="53BF0693">
      <w:pPr>
        <w:rPr>
          <w:rStyle w:val="BodyTextChar"/>
          <w:rFonts w:cs="Calibri"/>
          <w:color w:val="1C1C1C" w:themeColor="text2"/>
          <w:sz w:val="34"/>
          <w:szCs w:val="34"/>
        </w:rPr>
      </w:pPr>
      <w:r w:rsidRPr="00150391">
        <w:rPr>
          <w:rStyle w:val="BodyTextChar"/>
          <w:rFonts w:cs="Calibri"/>
        </w:rPr>
        <w:t xml:space="preserve">The requirements for reporting program performance in PB Statements are set out in a </w:t>
      </w:r>
      <w:hyperlink r:id="rId76">
        <w:r w:rsidR="00DA73DA" w:rsidRPr="002B4935">
          <w:rPr>
            <w:rStyle w:val="Hyperlink"/>
            <w:rFonts w:ascii="Calibri" w:eastAsia="Cambria" w:hAnsi="Calibri" w:cs="Calibri"/>
            <w:color w:val="0070C0"/>
          </w:rPr>
          <w:t>Direction issued by the Finance Secretary under subsection 36(3) of the PGPA Act</w:t>
        </w:r>
      </w:hyperlink>
      <w:r w:rsidR="0059137E" w:rsidRPr="002B4935">
        <w:rPr>
          <w:rStyle w:val="Hyperlink"/>
          <w:rFonts w:ascii="Calibri" w:eastAsia="Cambria" w:hAnsi="Calibri" w:cs="Calibri"/>
          <w:color w:val="0070C0"/>
        </w:rPr>
        <w:t xml:space="preserve"> </w:t>
      </w:r>
      <w:r w:rsidR="0059137E" w:rsidRPr="002B4935">
        <w:rPr>
          <w:rStyle w:val="BodyTextChar"/>
          <w:rFonts w:cs="Calibri"/>
          <w:color w:val="0070C0"/>
        </w:rPr>
        <w:t>(</w:t>
      </w:r>
      <w:hyperlink r:id="rId77" w:history="1">
        <w:r w:rsidR="0059137E" w:rsidRPr="002B4935">
          <w:rPr>
            <w:rStyle w:val="Hyperlink"/>
            <w:rFonts w:ascii="Calibri" w:eastAsia="Cambria" w:hAnsi="Calibri" w:cs="Calibri"/>
            <w:color w:val="0070C0"/>
          </w:rPr>
          <w:t>the Direction</w:t>
        </w:r>
      </w:hyperlink>
      <w:r w:rsidR="0059137E" w:rsidRPr="002B4935">
        <w:rPr>
          <w:rStyle w:val="BodyTextChar"/>
          <w:rFonts w:cs="Calibri"/>
          <w:color w:val="0070C0"/>
        </w:rPr>
        <w:t>)</w:t>
      </w:r>
      <w:r w:rsidRPr="00C903B0">
        <w:rPr>
          <w:rStyle w:val="BodyTextChar"/>
          <w:rFonts w:cs="Calibri"/>
        </w:rPr>
        <w:t xml:space="preserve">. </w:t>
      </w:r>
      <w:r w:rsidRPr="00150391">
        <w:rPr>
          <w:rStyle w:val="BodyTextChar"/>
          <w:rFonts w:cs="Calibri"/>
        </w:rPr>
        <w:t xml:space="preserve">This </w:t>
      </w:r>
      <w:r w:rsidR="00B50E22" w:rsidRPr="00150391">
        <w:rPr>
          <w:rStyle w:val="BodyTextChar"/>
          <w:rFonts w:cs="Calibri"/>
        </w:rPr>
        <w:t xml:space="preserve">Direction </w:t>
      </w:r>
      <w:r w:rsidRPr="00150391">
        <w:rPr>
          <w:rStyle w:val="BodyTextChar"/>
          <w:rFonts w:cs="Calibri"/>
        </w:rPr>
        <w:t>sets out the minimum mandatory requirements for performance information to be included in PB Statements.</w:t>
      </w:r>
      <w:r w:rsidR="00DA73DA" w:rsidRPr="00150391">
        <w:rPr>
          <w:rStyle w:val="BodyTextChar"/>
          <w:rFonts w:cs="Calibri"/>
        </w:rPr>
        <w:t xml:space="preserve"> The Direction was amended on 8 December 2021 to have effect for the 2022-23 Budget.  Table 2.X.3 has been amended to reflect the amendments to the Direction and to provide clarity in respect to reporting periods.</w:t>
      </w:r>
    </w:p>
    <w:p w14:paraId="221F1774" w14:textId="776B007A" w:rsidR="00C25CF4" w:rsidRPr="00150391" w:rsidRDefault="0059137E">
      <w:pPr>
        <w:pStyle w:val="BodyText"/>
        <w:rPr>
          <w:rFonts w:cs="Calibri"/>
        </w:rPr>
      </w:pPr>
      <w:r w:rsidRPr="00150391">
        <w:rPr>
          <w:rStyle w:val="BodyTextChar"/>
          <w:rFonts w:cs="Calibri"/>
        </w:rPr>
        <w:t>Under the Direction, t</w:t>
      </w:r>
      <w:r w:rsidR="53BF0693" w:rsidRPr="00150391">
        <w:rPr>
          <w:rStyle w:val="BodyTextChar"/>
          <w:rFonts w:cs="Calibri"/>
        </w:rPr>
        <w:t xml:space="preserve">he </w:t>
      </w:r>
      <w:r w:rsidR="53BF0693" w:rsidRPr="00150391">
        <w:rPr>
          <w:rFonts w:cs="Calibri"/>
        </w:rPr>
        <w:t>mandatory disclosure requirements in PB Statements are</w:t>
      </w:r>
      <w:r w:rsidR="00851EFB" w:rsidRPr="00150391">
        <w:rPr>
          <w:rFonts w:cs="Calibri"/>
        </w:rPr>
        <w:t xml:space="preserve"> that</w:t>
      </w:r>
      <w:r w:rsidR="53BF0693" w:rsidRPr="00150391">
        <w:rPr>
          <w:rFonts w:cs="Calibri"/>
        </w:rPr>
        <w:t>:</w:t>
      </w:r>
    </w:p>
    <w:p w14:paraId="1DD383BA" w14:textId="739F0656" w:rsidR="00374DC8" w:rsidRPr="00150391" w:rsidRDefault="009772EE" w:rsidP="53BF0693">
      <w:pPr>
        <w:pStyle w:val="BodyText"/>
        <w:numPr>
          <w:ilvl w:val="6"/>
          <w:numId w:val="172"/>
        </w:numPr>
        <w:rPr>
          <w:rFonts w:cs="Calibri"/>
          <w:i/>
          <w:iCs/>
        </w:rPr>
      </w:pPr>
      <w:r w:rsidRPr="00150391">
        <w:rPr>
          <w:rFonts w:cs="Calibri"/>
        </w:rPr>
        <w:t>A</w:t>
      </w:r>
      <w:r w:rsidR="00A6141B" w:rsidRPr="00150391">
        <w:rPr>
          <w:rFonts w:cs="Calibri"/>
        </w:rPr>
        <w:t xml:space="preserve">ll </w:t>
      </w:r>
      <w:r w:rsidR="00DA73DA" w:rsidRPr="00150391">
        <w:rPr>
          <w:rFonts w:cs="Calibri"/>
        </w:rPr>
        <w:t>outcomes, programs and performance measures must be mapped to the entity’s key activities as expressed in the current corporate plan</w:t>
      </w:r>
      <w:r w:rsidR="00DA73DA" w:rsidRPr="00150391" w:rsidDel="00DA73DA">
        <w:rPr>
          <w:rFonts w:cs="Calibri"/>
        </w:rPr>
        <w:t xml:space="preserve"> </w:t>
      </w:r>
      <w:r w:rsidR="00037182" w:rsidRPr="00150391">
        <w:rPr>
          <w:rFonts w:cs="Calibri"/>
        </w:rPr>
        <w:t>(s</w:t>
      </w:r>
      <w:r w:rsidR="009A1479" w:rsidRPr="00150391">
        <w:rPr>
          <w:rFonts w:cs="Calibri"/>
        </w:rPr>
        <w:t>ee section</w:t>
      </w:r>
      <w:r w:rsidR="00F721CA" w:rsidRPr="00150391">
        <w:rPr>
          <w:rFonts w:cs="Calibri"/>
        </w:rPr>
        <w:t xml:space="preserve"> </w:t>
      </w:r>
      <w:r w:rsidR="00F721CA" w:rsidRPr="002B4935">
        <w:rPr>
          <w:rFonts w:cs="Calibri"/>
          <w:color w:val="0070C0"/>
          <w:u w:val="single"/>
        </w:rPr>
        <w:fldChar w:fldCharType="begin"/>
      </w:r>
      <w:r w:rsidR="00F721CA" w:rsidRPr="002B4935">
        <w:rPr>
          <w:rFonts w:cs="Calibri"/>
          <w:color w:val="0070C0"/>
          <w:u w:val="single"/>
        </w:rPr>
        <w:instrText xml:space="preserve"> REF _Ref92377011 \r \h </w:instrText>
      </w:r>
      <w:r w:rsidR="00150391" w:rsidRPr="002B4935">
        <w:rPr>
          <w:rFonts w:cs="Calibri"/>
          <w:color w:val="0070C0"/>
          <w:u w:val="single"/>
        </w:rPr>
        <w:instrText xml:space="preserve"> \* MERGEFORMAT </w:instrText>
      </w:r>
      <w:r w:rsidR="00F721CA" w:rsidRPr="002B4935">
        <w:rPr>
          <w:rFonts w:cs="Calibri"/>
          <w:color w:val="0070C0"/>
          <w:u w:val="single"/>
        </w:rPr>
      </w:r>
      <w:r w:rsidR="00F721CA" w:rsidRPr="002B4935">
        <w:rPr>
          <w:rFonts w:cs="Calibri"/>
          <w:color w:val="0070C0"/>
          <w:u w:val="single"/>
        </w:rPr>
        <w:fldChar w:fldCharType="separate"/>
      </w:r>
      <w:r w:rsidR="0073409A">
        <w:rPr>
          <w:rFonts w:cs="Calibri"/>
          <w:color w:val="0070C0"/>
          <w:u w:val="single"/>
        </w:rPr>
        <w:t>10.7.3</w:t>
      </w:r>
      <w:r w:rsidR="00F721CA" w:rsidRPr="002B4935">
        <w:rPr>
          <w:rFonts w:cs="Calibri"/>
          <w:color w:val="0070C0"/>
          <w:u w:val="single"/>
        </w:rPr>
        <w:fldChar w:fldCharType="end"/>
      </w:r>
      <w:r w:rsidR="00851EFB" w:rsidRPr="002B4935">
        <w:rPr>
          <w:rFonts w:cs="Calibri"/>
          <w:color w:val="0070C0"/>
          <w:u w:val="single"/>
        </w:rPr>
        <w:t> </w:t>
      </w:r>
      <w:r w:rsidR="00F721CA" w:rsidRPr="002B4935">
        <w:rPr>
          <w:rFonts w:cs="Calibri"/>
          <w:color w:val="0070C0"/>
          <w:u w:val="single"/>
        </w:rPr>
        <w:fldChar w:fldCharType="begin"/>
      </w:r>
      <w:r w:rsidR="00F721CA" w:rsidRPr="002B4935">
        <w:rPr>
          <w:rFonts w:cs="Calibri"/>
          <w:color w:val="0070C0"/>
          <w:u w:val="single"/>
        </w:rPr>
        <w:instrText xml:space="preserve"> REF _Ref92377019 \h </w:instrText>
      </w:r>
      <w:r w:rsidR="00150391" w:rsidRPr="002B4935">
        <w:rPr>
          <w:rFonts w:cs="Calibri"/>
          <w:color w:val="0070C0"/>
          <w:u w:val="single"/>
        </w:rPr>
        <w:instrText xml:space="preserve"> \* MERGEFORMAT </w:instrText>
      </w:r>
      <w:r w:rsidR="00F721CA" w:rsidRPr="002B4935">
        <w:rPr>
          <w:rFonts w:cs="Calibri"/>
          <w:color w:val="0070C0"/>
          <w:u w:val="single"/>
        </w:rPr>
      </w:r>
      <w:r w:rsidR="00F721CA" w:rsidRPr="002B4935">
        <w:rPr>
          <w:rFonts w:cs="Calibri"/>
          <w:color w:val="0070C0"/>
          <w:u w:val="single"/>
        </w:rPr>
        <w:fldChar w:fldCharType="separate"/>
      </w:r>
      <w:r w:rsidR="0073409A" w:rsidRPr="0073409A">
        <w:rPr>
          <w:rFonts w:cs="Calibri"/>
          <w:color w:val="0070C0"/>
          <w:u w:val="single"/>
        </w:rPr>
        <w:t>Key Activities</w:t>
      </w:r>
      <w:r w:rsidR="00F721CA" w:rsidRPr="002B4935">
        <w:rPr>
          <w:rFonts w:cs="Calibri"/>
          <w:color w:val="0070C0"/>
          <w:u w:val="single"/>
        </w:rPr>
        <w:fldChar w:fldCharType="end"/>
      </w:r>
      <w:r w:rsidR="00037182" w:rsidRPr="00150391">
        <w:rPr>
          <w:rFonts w:cs="Calibri"/>
        </w:rPr>
        <w:t>)</w:t>
      </w:r>
      <w:r w:rsidRPr="00150391">
        <w:rPr>
          <w:rFonts w:cs="Calibri"/>
        </w:rPr>
        <w:t>.</w:t>
      </w:r>
    </w:p>
    <w:p w14:paraId="56712E17" w14:textId="36C3174A" w:rsidR="00374DC8" w:rsidRPr="00150391" w:rsidRDefault="0091515A">
      <w:pPr>
        <w:pStyle w:val="BodyText"/>
        <w:numPr>
          <w:ilvl w:val="6"/>
          <w:numId w:val="172"/>
        </w:numPr>
        <w:rPr>
          <w:rFonts w:cs="Calibri"/>
        </w:rPr>
      </w:pPr>
      <w:r w:rsidRPr="00150391">
        <w:rPr>
          <w:rFonts w:cs="Calibri"/>
        </w:rPr>
        <w:t>E</w:t>
      </w:r>
      <w:r w:rsidR="00DA73DA" w:rsidRPr="00150391">
        <w:rPr>
          <w:rFonts w:cs="Calibri"/>
        </w:rPr>
        <w:t>xisting programs</w:t>
      </w:r>
      <w:r w:rsidRPr="00150391">
        <w:rPr>
          <w:rFonts w:cs="Calibri"/>
        </w:rPr>
        <w:t xml:space="preserve"> -</w:t>
      </w:r>
      <w:r w:rsidR="00DA73DA" w:rsidRPr="00150391">
        <w:rPr>
          <w:rFonts w:cs="Calibri"/>
        </w:rPr>
        <w:t xml:space="preserve"> for the Budget year and three forward estimate years, report at least one high level performance measure and planned performance results, including targets where it is reasonably practicable to set a target.  </w:t>
      </w:r>
      <w:r w:rsidRPr="00150391">
        <w:rPr>
          <w:rFonts w:cs="Calibri"/>
        </w:rPr>
        <w:t>Where applicable, report the estimated date of achievement of the program objectives</w:t>
      </w:r>
      <w:r w:rsidR="00037182" w:rsidRPr="00150391">
        <w:rPr>
          <w:rFonts w:cs="Calibri"/>
        </w:rPr>
        <w:t xml:space="preserve"> (s</w:t>
      </w:r>
      <w:r w:rsidR="009A1479" w:rsidRPr="00150391">
        <w:rPr>
          <w:rFonts w:cs="Calibri"/>
        </w:rPr>
        <w:t>ee section</w:t>
      </w:r>
      <w:r w:rsidR="00037182" w:rsidRPr="00150391">
        <w:rPr>
          <w:rFonts w:cs="Calibri"/>
          <w:i/>
          <w:iCs/>
        </w:rPr>
        <w:t xml:space="preserve"> </w:t>
      </w:r>
      <w:r w:rsidR="00037182" w:rsidRPr="002B4935">
        <w:rPr>
          <w:rStyle w:val="CrossReferenceChar"/>
          <w:rFonts w:cs="Calibri"/>
          <w:color w:val="0070C0"/>
        </w:rPr>
        <w:fldChar w:fldCharType="begin"/>
      </w:r>
      <w:r w:rsidR="00037182" w:rsidRPr="002B4935">
        <w:rPr>
          <w:rStyle w:val="CrossReferenceChar"/>
          <w:rFonts w:cs="Calibri"/>
          <w:color w:val="0070C0"/>
        </w:rPr>
        <w:instrText xml:space="preserve"> REF _Ref62052309 \w \h  \* MERGEFORMAT </w:instrText>
      </w:r>
      <w:r w:rsidR="00037182" w:rsidRPr="002B4935">
        <w:rPr>
          <w:rStyle w:val="CrossReferenceChar"/>
          <w:rFonts w:cs="Calibri"/>
          <w:color w:val="0070C0"/>
        </w:rPr>
      </w:r>
      <w:r w:rsidR="00037182" w:rsidRPr="002B4935">
        <w:rPr>
          <w:rStyle w:val="CrossReferenceChar"/>
          <w:rFonts w:cs="Calibri"/>
          <w:color w:val="0070C0"/>
        </w:rPr>
        <w:fldChar w:fldCharType="separate"/>
      </w:r>
      <w:r w:rsidR="0073409A">
        <w:rPr>
          <w:rStyle w:val="CrossReferenceChar"/>
          <w:rFonts w:cs="Calibri"/>
          <w:color w:val="0070C0"/>
        </w:rPr>
        <w:t>10.7.4</w:t>
      </w:r>
      <w:r w:rsidR="00037182" w:rsidRPr="002B4935">
        <w:rPr>
          <w:rStyle w:val="CrossReferenceChar"/>
          <w:rFonts w:cs="Calibri"/>
          <w:color w:val="0070C0"/>
        </w:rPr>
        <w:fldChar w:fldCharType="end"/>
      </w:r>
      <w:r w:rsidR="00562BE7" w:rsidRPr="002B4935">
        <w:rPr>
          <w:rStyle w:val="CrossReferenceChar"/>
          <w:rFonts w:cs="Calibri"/>
          <w:color w:val="0070C0"/>
        </w:rPr>
        <w:t xml:space="preserve"> </w:t>
      </w:r>
      <w:r w:rsidR="00562BE7" w:rsidRPr="002B4935">
        <w:rPr>
          <w:rStyle w:val="CrossReferenceChar"/>
          <w:rFonts w:cs="Calibri"/>
          <w:color w:val="0070C0"/>
        </w:rPr>
        <w:fldChar w:fldCharType="begin"/>
      </w:r>
      <w:r w:rsidR="00562BE7" w:rsidRPr="002B4935">
        <w:rPr>
          <w:rStyle w:val="CrossReferenceChar"/>
          <w:rFonts w:cs="Calibri"/>
          <w:color w:val="0070C0"/>
        </w:rPr>
        <w:instrText xml:space="preserve"> REF _Ref62052762 \h </w:instrText>
      </w:r>
      <w:r w:rsidR="00B31ED0" w:rsidRPr="002B4935">
        <w:rPr>
          <w:rStyle w:val="CrossReferenceChar"/>
          <w:rFonts w:cs="Calibri"/>
          <w:color w:val="0070C0"/>
        </w:rPr>
        <w:instrText xml:space="preserve"> \* MERGEFORMAT </w:instrText>
      </w:r>
      <w:r w:rsidR="00562BE7" w:rsidRPr="002B4935">
        <w:rPr>
          <w:rStyle w:val="CrossReferenceChar"/>
          <w:rFonts w:cs="Calibri"/>
          <w:color w:val="0070C0"/>
        </w:rPr>
      </w:r>
      <w:r w:rsidR="00562BE7" w:rsidRPr="002B4935">
        <w:rPr>
          <w:rStyle w:val="CrossReferenceChar"/>
          <w:rFonts w:cs="Calibri"/>
          <w:color w:val="0070C0"/>
        </w:rPr>
        <w:fldChar w:fldCharType="separate"/>
      </w:r>
      <w:r w:rsidR="0073409A" w:rsidRPr="0073409A">
        <w:rPr>
          <w:rStyle w:val="CrossReferenceChar"/>
          <w:color w:val="0070C0"/>
        </w:rPr>
        <w:t>Performance measures</w:t>
      </w:r>
      <w:r w:rsidR="00562BE7" w:rsidRPr="002B4935">
        <w:rPr>
          <w:rStyle w:val="CrossReferenceChar"/>
          <w:rFonts w:cs="Calibri"/>
          <w:color w:val="0070C0"/>
        </w:rPr>
        <w:fldChar w:fldCharType="end"/>
      </w:r>
      <w:r w:rsidR="00037182" w:rsidRPr="00150391">
        <w:rPr>
          <w:rFonts w:cs="Calibri"/>
        </w:rPr>
        <w:t>)</w:t>
      </w:r>
      <w:r w:rsidR="009772EE" w:rsidRPr="00150391">
        <w:rPr>
          <w:rFonts w:cs="Calibri"/>
        </w:rPr>
        <w:t>.</w:t>
      </w:r>
    </w:p>
    <w:p w14:paraId="4F02190C" w14:textId="40F87C45" w:rsidR="00374DC8" w:rsidRPr="00150391" w:rsidRDefault="0091515A" w:rsidP="00913329">
      <w:pPr>
        <w:pStyle w:val="BodyText"/>
        <w:ind w:left="502"/>
        <w:rPr>
          <w:rFonts w:cs="Calibri"/>
          <w:color w:val="000000" w:themeColor="text1"/>
          <w:u w:val="single" w:color="0070C0"/>
        </w:rPr>
      </w:pPr>
      <w:r w:rsidRPr="00150391">
        <w:rPr>
          <w:rFonts w:cs="Calibri"/>
        </w:rPr>
        <w:t>New or materially changed programs - for the budget year and the three forward estimate years, report all performance measures and planned performance results, including targets where it is reasonably practicable to set a target. Where applicable, report the estimated date of achievement of the program objectives</w:t>
      </w:r>
      <w:r w:rsidR="00A6141B" w:rsidRPr="00150391">
        <w:rPr>
          <w:rFonts w:cs="Calibri"/>
        </w:rPr>
        <w:t xml:space="preserve"> </w:t>
      </w:r>
      <w:r w:rsidR="00037182" w:rsidRPr="00150391">
        <w:rPr>
          <w:rFonts w:cs="Calibri"/>
        </w:rPr>
        <w:t>(s</w:t>
      </w:r>
      <w:r w:rsidR="009A1479" w:rsidRPr="00150391">
        <w:rPr>
          <w:rFonts w:cs="Calibri"/>
        </w:rPr>
        <w:t>ee section</w:t>
      </w:r>
      <w:r w:rsidR="00A6141B" w:rsidRPr="00150391">
        <w:rPr>
          <w:rFonts w:cs="Calibri"/>
        </w:rPr>
        <w:t xml:space="preserve"> </w:t>
      </w:r>
      <w:r w:rsidR="00BB5AB3" w:rsidRPr="002B4935">
        <w:rPr>
          <w:rStyle w:val="CrossReferenceChar"/>
          <w:rFonts w:cs="Calibri"/>
          <w:color w:val="0070C0"/>
        </w:rPr>
        <w:fldChar w:fldCharType="begin"/>
      </w:r>
      <w:r w:rsidR="00BB5AB3" w:rsidRPr="002B4935">
        <w:rPr>
          <w:rStyle w:val="CrossReferenceChar"/>
          <w:rFonts w:cs="Calibri"/>
          <w:color w:val="0070C0"/>
        </w:rPr>
        <w:instrText xml:space="preserve"> REF _Ref94874409 \r \h </w:instrText>
      </w:r>
      <w:r w:rsidR="00150391" w:rsidRPr="002B4935">
        <w:rPr>
          <w:rStyle w:val="CrossReferenceChar"/>
          <w:rFonts w:cs="Calibri"/>
          <w:color w:val="0070C0"/>
        </w:rPr>
        <w:instrText xml:space="preserve"> \* MERGEFORMAT </w:instrText>
      </w:r>
      <w:r w:rsidR="00BB5AB3" w:rsidRPr="002B4935">
        <w:rPr>
          <w:rStyle w:val="CrossReferenceChar"/>
          <w:rFonts w:cs="Calibri"/>
          <w:color w:val="0070C0"/>
        </w:rPr>
      </w:r>
      <w:r w:rsidR="00BB5AB3" w:rsidRPr="002B4935">
        <w:rPr>
          <w:rStyle w:val="CrossReferenceChar"/>
          <w:rFonts w:cs="Calibri"/>
          <w:color w:val="0070C0"/>
        </w:rPr>
        <w:fldChar w:fldCharType="separate"/>
      </w:r>
      <w:r w:rsidR="0073409A">
        <w:rPr>
          <w:rStyle w:val="CrossReferenceChar"/>
          <w:rFonts w:cs="Calibri"/>
          <w:color w:val="0070C0"/>
        </w:rPr>
        <w:t>10.7.5</w:t>
      </w:r>
      <w:r w:rsidR="00BB5AB3" w:rsidRPr="002B4935">
        <w:rPr>
          <w:rStyle w:val="CrossReferenceChar"/>
          <w:rFonts w:cs="Calibri"/>
          <w:color w:val="0070C0"/>
        </w:rPr>
        <w:fldChar w:fldCharType="end"/>
      </w:r>
      <w:r w:rsidR="00562BE7" w:rsidRPr="002B4935">
        <w:rPr>
          <w:rStyle w:val="CrossReferenceChar"/>
          <w:rFonts w:cs="Calibri"/>
          <w:color w:val="0070C0"/>
        </w:rPr>
        <w:t xml:space="preserve"> </w:t>
      </w:r>
      <w:r w:rsidR="00562BE7" w:rsidRPr="002B4935">
        <w:rPr>
          <w:rStyle w:val="CrossReferenceChar"/>
          <w:rFonts w:cs="Calibri"/>
          <w:color w:val="0070C0"/>
        </w:rPr>
        <w:fldChar w:fldCharType="begin"/>
      </w:r>
      <w:r w:rsidR="00562BE7" w:rsidRPr="002B4935">
        <w:rPr>
          <w:rStyle w:val="CrossReferenceChar"/>
          <w:rFonts w:cs="Calibri"/>
          <w:color w:val="0070C0"/>
        </w:rPr>
        <w:instrText xml:space="preserve"> REF _Ref62052777 \h </w:instrText>
      </w:r>
      <w:r w:rsidR="00B31ED0" w:rsidRPr="002B4935">
        <w:rPr>
          <w:rStyle w:val="CrossReferenceChar"/>
          <w:rFonts w:cs="Calibri"/>
          <w:color w:val="0070C0"/>
        </w:rPr>
        <w:instrText xml:space="preserve"> \* MERGEFORMAT </w:instrText>
      </w:r>
      <w:r w:rsidR="00562BE7" w:rsidRPr="002B4935">
        <w:rPr>
          <w:rStyle w:val="CrossReferenceChar"/>
          <w:rFonts w:cs="Calibri"/>
          <w:color w:val="0070C0"/>
        </w:rPr>
      </w:r>
      <w:r w:rsidR="00562BE7" w:rsidRPr="002B4935">
        <w:rPr>
          <w:rStyle w:val="CrossReferenceChar"/>
          <w:rFonts w:cs="Calibri"/>
          <w:color w:val="0070C0"/>
        </w:rPr>
        <w:fldChar w:fldCharType="separate"/>
      </w:r>
      <w:r w:rsidR="0073409A" w:rsidRPr="0073409A">
        <w:rPr>
          <w:rStyle w:val="CrossReferenceChar"/>
          <w:color w:val="0070C0"/>
        </w:rPr>
        <w:t>Presentation of new or modified performance</w:t>
      </w:r>
      <w:r w:rsidR="0073409A" w:rsidRPr="00150391">
        <w:rPr>
          <w:rFonts w:cs="Calibri"/>
        </w:rPr>
        <w:t xml:space="preserve"> measures </w:t>
      </w:r>
      <w:r w:rsidR="00562BE7" w:rsidRPr="002B4935">
        <w:rPr>
          <w:rStyle w:val="CrossReferenceChar"/>
          <w:rFonts w:cs="Calibri"/>
          <w:color w:val="0070C0"/>
        </w:rPr>
        <w:fldChar w:fldCharType="end"/>
      </w:r>
      <w:r w:rsidR="00037182" w:rsidRPr="00150391">
        <w:rPr>
          <w:rFonts w:cs="Calibri"/>
        </w:rPr>
        <w:t>)</w:t>
      </w:r>
      <w:r w:rsidR="009772EE" w:rsidRPr="00150391">
        <w:rPr>
          <w:rFonts w:cs="Calibri"/>
        </w:rPr>
        <w:t>.</w:t>
      </w:r>
    </w:p>
    <w:p w14:paraId="1E87C265" w14:textId="761A7C88" w:rsidR="00926879" w:rsidRPr="00150391" w:rsidRDefault="0091515A" w:rsidP="001D30A2">
      <w:pPr>
        <w:pStyle w:val="BodyText"/>
        <w:numPr>
          <w:ilvl w:val="6"/>
          <w:numId w:val="172"/>
        </w:numPr>
        <w:rPr>
          <w:rFonts w:cs="Calibri"/>
        </w:rPr>
      </w:pPr>
      <w:r w:rsidRPr="00150391">
        <w:rPr>
          <w:rFonts w:cs="Calibri"/>
        </w:rPr>
        <w:t xml:space="preserve">Expected performance results for the current year - report expected performance results for the program for the current financial year </w:t>
      </w:r>
      <w:r w:rsidR="00037182" w:rsidRPr="00150391">
        <w:rPr>
          <w:rFonts w:cs="Calibri"/>
        </w:rPr>
        <w:t>(s</w:t>
      </w:r>
      <w:r w:rsidR="009A1479" w:rsidRPr="00150391">
        <w:rPr>
          <w:rFonts w:cs="Calibri"/>
        </w:rPr>
        <w:t>ee section</w:t>
      </w:r>
      <w:r w:rsidR="00037182" w:rsidRPr="00150391">
        <w:rPr>
          <w:rFonts w:cs="Calibri"/>
        </w:rPr>
        <w:t xml:space="preserve"> </w:t>
      </w:r>
      <w:r w:rsidR="00037182" w:rsidRPr="002B4935">
        <w:rPr>
          <w:rStyle w:val="CrossReferenceChar"/>
          <w:rFonts w:cs="Calibri"/>
          <w:color w:val="0070C0"/>
        </w:rPr>
        <w:fldChar w:fldCharType="begin"/>
      </w:r>
      <w:r w:rsidR="00037182" w:rsidRPr="002B4935">
        <w:rPr>
          <w:rStyle w:val="CrossReferenceChar"/>
          <w:rFonts w:cs="Calibri"/>
          <w:color w:val="0070C0"/>
        </w:rPr>
        <w:instrText xml:space="preserve"> REF _Ref62052417 \w \h </w:instrText>
      </w:r>
      <w:r w:rsidR="00411378" w:rsidRPr="002B4935">
        <w:rPr>
          <w:rStyle w:val="CrossReferenceChar"/>
          <w:rFonts w:cs="Calibri"/>
          <w:color w:val="0070C0"/>
        </w:rPr>
        <w:instrText xml:space="preserve"> \* MERGEFORMAT </w:instrText>
      </w:r>
      <w:r w:rsidR="00037182" w:rsidRPr="002B4935">
        <w:rPr>
          <w:rStyle w:val="CrossReferenceChar"/>
          <w:rFonts w:cs="Calibri"/>
          <w:color w:val="0070C0"/>
        </w:rPr>
      </w:r>
      <w:r w:rsidR="00037182" w:rsidRPr="002B4935">
        <w:rPr>
          <w:rStyle w:val="CrossReferenceChar"/>
          <w:rFonts w:cs="Calibri"/>
          <w:color w:val="0070C0"/>
        </w:rPr>
        <w:fldChar w:fldCharType="separate"/>
      </w:r>
      <w:r w:rsidR="0073409A">
        <w:rPr>
          <w:rStyle w:val="CrossReferenceChar"/>
          <w:rFonts w:cs="Calibri"/>
          <w:color w:val="0070C0"/>
        </w:rPr>
        <w:t>10.7</w:t>
      </w:r>
      <w:r w:rsidR="00037182" w:rsidRPr="002B4935">
        <w:rPr>
          <w:rStyle w:val="CrossReferenceChar"/>
          <w:rFonts w:cs="Calibri"/>
          <w:color w:val="0070C0"/>
        </w:rPr>
        <w:fldChar w:fldCharType="end"/>
      </w:r>
      <w:r w:rsidR="00562BE7" w:rsidRPr="002B4935">
        <w:rPr>
          <w:rStyle w:val="CrossReferenceChar"/>
          <w:rFonts w:cs="Calibri"/>
          <w:color w:val="0070C0"/>
        </w:rPr>
        <w:t xml:space="preserve"> </w:t>
      </w:r>
      <w:r w:rsidR="00562BE7" w:rsidRPr="002B4935">
        <w:rPr>
          <w:rStyle w:val="CrossReferenceChar"/>
          <w:rFonts w:cs="Calibri"/>
          <w:color w:val="0070C0"/>
        </w:rPr>
        <w:fldChar w:fldCharType="begin"/>
      </w:r>
      <w:r w:rsidR="00562BE7" w:rsidRPr="002B4935">
        <w:rPr>
          <w:rStyle w:val="CrossReferenceChar"/>
          <w:rFonts w:cs="Calibri"/>
          <w:color w:val="0070C0"/>
        </w:rPr>
        <w:instrText xml:space="preserve"> REF _Ref62052788 \h </w:instrText>
      </w:r>
      <w:r w:rsidR="00557F46" w:rsidRPr="002B4935">
        <w:rPr>
          <w:rStyle w:val="CrossReferenceChar"/>
          <w:rFonts w:cs="Calibri"/>
          <w:color w:val="0070C0"/>
        </w:rPr>
        <w:instrText xml:space="preserve"> \* MERGEFORMAT </w:instrText>
      </w:r>
      <w:r w:rsidR="00562BE7" w:rsidRPr="002B4935">
        <w:rPr>
          <w:rStyle w:val="CrossReferenceChar"/>
          <w:rFonts w:cs="Calibri"/>
          <w:color w:val="0070C0"/>
        </w:rPr>
      </w:r>
      <w:r w:rsidR="00562BE7" w:rsidRPr="002B4935">
        <w:rPr>
          <w:rStyle w:val="CrossReferenceChar"/>
          <w:rFonts w:cs="Calibri"/>
          <w:color w:val="0070C0"/>
        </w:rPr>
        <w:fldChar w:fldCharType="separate"/>
      </w:r>
      <w:r w:rsidR="0073409A" w:rsidRPr="0073409A">
        <w:rPr>
          <w:rStyle w:val="CrossReferenceChar"/>
          <w:color w:val="0070C0"/>
        </w:rPr>
        <w:t>Overview of table 2.X.3 – performance information</w:t>
      </w:r>
      <w:r w:rsidR="00562BE7" w:rsidRPr="002B4935">
        <w:rPr>
          <w:rStyle w:val="CrossReferenceChar"/>
          <w:rFonts w:cs="Calibri"/>
          <w:color w:val="0070C0"/>
        </w:rPr>
        <w:fldChar w:fldCharType="end"/>
      </w:r>
      <w:r w:rsidR="00037182" w:rsidRPr="00150391">
        <w:rPr>
          <w:rFonts w:cs="Calibri"/>
        </w:rPr>
        <w:t>)</w:t>
      </w:r>
      <w:r w:rsidR="009772EE" w:rsidRPr="00150391">
        <w:rPr>
          <w:rFonts w:cs="Calibri"/>
        </w:rPr>
        <w:t>.</w:t>
      </w:r>
    </w:p>
    <w:p w14:paraId="593958C8" w14:textId="34080DC4" w:rsidR="00374DC8" w:rsidRPr="00150391" w:rsidRDefault="0091515A" w:rsidP="001D30A2">
      <w:pPr>
        <w:pStyle w:val="BodyText"/>
        <w:numPr>
          <w:ilvl w:val="6"/>
          <w:numId w:val="172"/>
        </w:numPr>
        <w:rPr>
          <w:rFonts w:cs="Calibri"/>
        </w:rPr>
      </w:pPr>
      <w:r w:rsidRPr="00150391">
        <w:rPr>
          <w:rFonts w:cs="Calibri"/>
        </w:rPr>
        <w:t xml:space="preserve">Linked programs - for each outcome, report the programs of other entities that link to that outcome </w:t>
      </w:r>
      <w:r w:rsidR="00562BE7" w:rsidRPr="00150391">
        <w:rPr>
          <w:rFonts w:cs="Calibri"/>
        </w:rPr>
        <w:t>(s</w:t>
      </w:r>
      <w:r w:rsidR="009A1479" w:rsidRPr="00150391">
        <w:rPr>
          <w:rFonts w:cs="Calibri"/>
        </w:rPr>
        <w:t>ee section</w:t>
      </w:r>
      <w:r w:rsidR="00562BE7" w:rsidRPr="00150391">
        <w:rPr>
          <w:rFonts w:cs="Calibri"/>
        </w:rPr>
        <w:t xml:space="preserve"> </w:t>
      </w:r>
      <w:r w:rsidR="00562BE7" w:rsidRPr="002B4935">
        <w:rPr>
          <w:rStyle w:val="CrossReferenceChar"/>
          <w:rFonts w:cs="Calibri"/>
          <w:color w:val="0070C0"/>
        </w:rPr>
        <w:fldChar w:fldCharType="begin"/>
      </w:r>
      <w:r w:rsidR="00562BE7" w:rsidRPr="002B4935">
        <w:rPr>
          <w:rStyle w:val="CrossReferenceChar"/>
          <w:rFonts w:cs="Calibri"/>
          <w:color w:val="0070C0"/>
        </w:rPr>
        <w:instrText xml:space="preserve"> REF _Ref62052820 \w \h </w:instrText>
      </w:r>
      <w:r w:rsidR="00A41B4E" w:rsidRPr="002B4935">
        <w:rPr>
          <w:rStyle w:val="CrossReferenceChar"/>
          <w:rFonts w:cs="Calibri"/>
          <w:color w:val="0070C0"/>
        </w:rPr>
        <w:instrText xml:space="preserve"> \* MERGEFORMAT </w:instrText>
      </w:r>
      <w:r w:rsidR="00562BE7" w:rsidRPr="002B4935">
        <w:rPr>
          <w:rStyle w:val="CrossReferenceChar"/>
          <w:rFonts w:cs="Calibri"/>
          <w:color w:val="0070C0"/>
        </w:rPr>
      </w:r>
      <w:r w:rsidR="00562BE7" w:rsidRPr="002B4935">
        <w:rPr>
          <w:rStyle w:val="CrossReferenceChar"/>
          <w:rFonts w:cs="Calibri"/>
          <w:color w:val="0070C0"/>
        </w:rPr>
        <w:fldChar w:fldCharType="separate"/>
      </w:r>
      <w:r w:rsidR="0073409A">
        <w:rPr>
          <w:rStyle w:val="CrossReferenceChar"/>
          <w:rFonts w:cs="Calibri"/>
          <w:color w:val="0070C0"/>
        </w:rPr>
        <w:t>10.4</w:t>
      </w:r>
      <w:r w:rsidR="00562BE7" w:rsidRPr="002B4935">
        <w:rPr>
          <w:rStyle w:val="CrossReferenceChar"/>
          <w:rFonts w:cs="Calibri"/>
          <w:color w:val="0070C0"/>
        </w:rPr>
        <w:fldChar w:fldCharType="end"/>
      </w:r>
      <w:r w:rsidR="00557F46" w:rsidRPr="002B4935">
        <w:rPr>
          <w:rStyle w:val="CrossReferenceChar"/>
          <w:rFonts w:cs="Calibri"/>
          <w:color w:val="0070C0"/>
        </w:rPr>
        <w:t> </w:t>
      </w:r>
      <w:r w:rsidR="00562BE7" w:rsidRPr="002B4935">
        <w:rPr>
          <w:rStyle w:val="CrossReferenceChar"/>
          <w:rFonts w:cs="Calibri"/>
          <w:color w:val="0070C0"/>
        </w:rPr>
        <w:fldChar w:fldCharType="begin"/>
      </w:r>
      <w:r w:rsidR="00562BE7" w:rsidRPr="002B4935">
        <w:rPr>
          <w:rStyle w:val="CrossReferenceChar"/>
          <w:rFonts w:cs="Calibri"/>
          <w:color w:val="0070C0"/>
        </w:rPr>
        <w:instrText xml:space="preserve"> REF _Ref62052824 \h </w:instrText>
      </w:r>
      <w:r w:rsidR="00557F46" w:rsidRPr="002B4935">
        <w:rPr>
          <w:rStyle w:val="CrossReferenceChar"/>
          <w:rFonts w:cs="Calibri"/>
          <w:color w:val="0070C0"/>
        </w:rPr>
        <w:instrText xml:space="preserve"> \* MERGEFORMAT </w:instrText>
      </w:r>
      <w:r w:rsidR="00562BE7" w:rsidRPr="002B4935">
        <w:rPr>
          <w:rStyle w:val="CrossReferenceChar"/>
          <w:rFonts w:cs="Calibri"/>
          <w:color w:val="0070C0"/>
        </w:rPr>
      </w:r>
      <w:r w:rsidR="00562BE7" w:rsidRPr="002B4935">
        <w:rPr>
          <w:rStyle w:val="CrossReferenceChar"/>
          <w:rFonts w:cs="Calibri"/>
          <w:color w:val="0070C0"/>
        </w:rPr>
        <w:fldChar w:fldCharType="separate"/>
      </w:r>
      <w:r w:rsidR="0073409A" w:rsidRPr="0073409A">
        <w:rPr>
          <w:rStyle w:val="CrossReferenceChar"/>
          <w:color w:val="0070C0"/>
        </w:rPr>
        <w:t>Linked programs box</w:t>
      </w:r>
      <w:r w:rsidR="00562BE7" w:rsidRPr="002B4935">
        <w:rPr>
          <w:rStyle w:val="CrossReferenceChar"/>
          <w:rFonts w:cs="Calibri"/>
          <w:color w:val="0070C0"/>
        </w:rPr>
        <w:fldChar w:fldCharType="end"/>
      </w:r>
      <w:r w:rsidR="00562BE7" w:rsidRPr="00150391">
        <w:rPr>
          <w:rFonts w:cs="Calibri"/>
        </w:rPr>
        <w:t>)</w:t>
      </w:r>
      <w:r w:rsidR="005D37E2" w:rsidRPr="00150391">
        <w:rPr>
          <w:rStyle w:val="FootnoteReference"/>
          <w:rFonts w:cs="Calibri"/>
        </w:rPr>
        <w:footnoteReference w:id="2"/>
      </w:r>
      <w:r w:rsidR="00814F2A" w:rsidRPr="00150391">
        <w:rPr>
          <w:rFonts w:cs="Calibri"/>
        </w:rPr>
        <w:t>.</w:t>
      </w:r>
    </w:p>
    <w:p w14:paraId="080FE46D" w14:textId="77777777" w:rsidR="00FA0945" w:rsidRPr="00150391" w:rsidRDefault="53BF0693" w:rsidP="53BF0693">
      <w:pPr>
        <w:rPr>
          <w:rStyle w:val="BodyTextChar"/>
          <w:rFonts w:cs="Calibri"/>
        </w:rPr>
      </w:pPr>
      <w:r w:rsidRPr="00150391">
        <w:rPr>
          <w:rStyle w:val="BodyTextChar"/>
          <w:rFonts w:cs="Calibri"/>
        </w:rPr>
        <w:t xml:space="preserve">Subsection 36(3) of the PGPA Act requires the accountable authorities of entities, where relevant, to comply with the Finance Secretary’s </w:t>
      </w:r>
      <w:r w:rsidR="0091515A" w:rsidRPr="00150391">
        <w:rPr>
          <w:rStyle w:val="BodyTextChar"/>
          <w:rFonts w:cs="Calibri"/>
        </w:rPr>
        <w:t>Direction</w:t>
      </w:r>
      <w:r w:rsidRPr="00150391">
        <w:rPr>
          <w:rStyle w:val="BodyTextChar"/>
          <w:rFonts w:cs="Calibri"/>
        </w:rPr>
        <w:t xml:space="preserve">. </w:t>
      </w:r>
    </w:p>
    <w:p w14:paraId="64BACF0F" w14:textId="79460093" w:rsidR="00FA0945" w:rsidRPr="00150391" w:rsidRDefault="53BF0693" w:rsidP="53BF0693">
      <w:pPr>
        <w:pStyle w:val="Heading2Numbered"/>
        <w:rPr>
          <w:rFonts w:ascii="Calibri" w:hAnsi="Calibri" w:cs="Calibri"/>
        </w:rPr>
      </w:pPr>
      <w:bookmarkStart w:id="584" w:name="_Toc534382561"/>
      <w:bookmarkStart w:id="585" w:name="_Toc63347712"/>
      <w:bookmarkStart w:id="586" w:name="_Toc114576301"/>
      <w:r w:rsidRPr="00150391">
        <w:rPr>
          <w:rFonts w:ascii="Calibri" w:hAnsi="Calibri" w:cs="Calibri"/>
        </w:rPr>
        <w:t>Structure of section 2</w:t>
      </w:r>
      <w:bookmarkEnd w:id="584"/>
      <w:bookmarkEnd w:id="585"/>
      <w:bookmarkEnd w:id="586"/>
    </w:p>
    <w:p w14:paraId="6DA66BC1" w14:textId="468AE062" w:rsidR="00374DC8" w:rsidRPr="00150391" w:rsidRDefault="53BF0693" w:rsidP="53BF0693">
      <w:pPr>
        <w:rPr>
          <w:rStyle w:val="BodyTextChar"/>
          <w:rFonts w:cs="Calibri"/>
        </w:rPr>
      </w:pPr>
      <w:r w:rsidRPr="00150391">
        <w:rPr>
          <w:rStyle w:val="BodyTextChar"/>
          <w:rFonts w:cs="Calibri"/>
        </w:rPr>
        <w:t>The following illustrates the recommended structure for Section 2 of the PB Statements. Each outcome is described in a subsection 2.X as follows:</w:t>
      </w:r>
    </w:p>
    <w:p w14:paraId="58CEFB46" w14:textId="77777777" w:rsidR="00913329" w:rsidRPr="00150391" w:rsidRDefault="00913329" w:rsidP="53BF0693">
      <w:pPr>
        <w:rPr>
          <w:rStyle w:val="BodyTextChar"/>
          <w:rFonts w:cs="Calibri"/>
        </w:rPr>
      </w:pP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6518"/>
      </w:tblGrid>
      <w:tr w:rsidR="00913329" w:rsidRPr="00150391" w14:paraId="466D61AB" w14:textId="77777777" w:rsidTr="0037524E">
        <w:trPr>
          <w:tblHeader/>
          <w:jc w:val="center"/>
        </w:trPr>
        <w:tc>
          <w:tcPr>
            <w:tcW w:w="6518" w:type="dxa"/>
            <w:shd w:val="clear" w:color="auto" w:fill="DDF3FA"/>
          </w:tcPr>
          <w:p w14:paraId="4A1FF100" w14:textId="036280BB" w:rsidR="00913329" w:rsidRPr="00150391" w:rsidRDefault="00913329" w:rsidP="0037524E">
            <w:pPr>
              <w:pStyle w:val="BodyText"/>
              <w:spacing w:before="80" w:after="80" w:line="240" w:lineRule="auto"/>
              <w:rPr>
                <w:rFonts w:cs="Calibri"/>
              </w:rPr>
            </w:pPr>
            <w:r w:rsidRPr="00150391">
              <w:rPr>
                <w:rFonts w:cs="Calibri"/>
                <w:u w:val="single"/>
              </w:rPr>
              <w:t>Exemplar</w:t>
            </w:r>
            <w:r w:rsidRPr="00150391">
              <w:rPr>
                <w:rFonts w:cs="Calibri"/>
              </w:rPr>
              <w:t xml:space="preserve"> - Structure of Section 2</w:t>
            </w:r>
          </w:p>
        </w:tc>
      </w:tr>
      <w:tr w:rsidR="00913329" w:rsidRPr="00150391" w14:paraId="144D3F87" w14:textId="77777777" w:rsidTr="0037524E">
        <w:trPr>
          <w:jc w:val="center"/>
        </w:trPr>
        <w:tc>
          <w:tcPr>
            <w:tcW w:w="6518" w:type="dxa"/>
          </w:tcPr>
          <w:tbl>
            <w:tblPr>
              <w:tblW w:w="0" w:type="auto"/>
              <w:tblInd w:w="284" w:type="dxa"/>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6223"/>
            </w:tblGrid>
            <w:tr w:rsidR="00913329" w:rsidRPr="00150391" w14:paraId="1B157C3B" w14:textId="77777777" w:rsidTr="0037524E">
              <w:trPr>
                <w:cantSplit/>
              </w:trPr>
              <w:tc>
                <w:tcPr>
                  <w:tcW w:w="7371" w:type="dxa"/>
                  <w:tcBorders>
                    <w:bottom w:val="single" w:sz="2" w:space="0" w:color="A7B4BE"/>
                  </w:tcBorders>
                </w:tcPr>
                <w:p w14:paraId="6D48C0B3" w14:textId="77777777" w:rsidR="00913329" w:rsidRPr="00150391" w:rsidRDefault="00913329" w:rsidP="0037524E">
                  <w:pPr>
                    <w:pStyle w:val="BodyText"/>
                    <w:spacing w:before="60" w:after="60" w:line="240" w:lineRule="auto"/>
                    <w:rPr>
                      <w:rStyle w:val="BodyTextChar"/>
                      <w:rFonts w:cs="Calibri"/>
                      <w:b/>
                      <w:bCs/>
                      <w:sz w:val="20"/>
                      <w:szCs w:val="20"/>
                    </w:rPr>
                  </w:pPr>
                  <w:r w:rsidRPr="00150391">
                    <w:rPr>
                      <w:rStyle w:val="BodyTextChar"/>
                      <w:rFonts w:cs="Calibri"/>
                      <w:b/>
                      <w:bCs/>
                      <w:sz w:val="20"/>
                      <w:szCs w:val="20"/>
                    </w:rPr>
                    <w:t>Outcome Statement X</w:t>
                  </w:r>
                </w:p>
              </w:tc>
            </w:tr>
            <w:tr w:rsidR="00913329" w:rsidRPr="00150391" w14:paraId="490BB8C4" w14:textId="77777777" w:rsidTr="0037524E">
              <w:trPr>
                <w:cantSplit/>
                <w:trHeight w:val="62"/>
              </w:trPr>
              <w:tc>
                <w:tcPr>
                  <w:tcW w:w="7371" w:type="dxa"/>
                  <w:tcBorders>
                    <w:left w:val="nil"/>
                    <w:right w:val="nil"/>
                  </w:tcBorders>
                </w:tcPr>
                <w:p w14:paraId="224B97D0" w14:textId="77777777" w:rsidR="00913329" w:rsidRPr="00150391" w:rsidRDefault="00913329" w:rsidP="0037524E">
                  <w:pPr>
                    <w:pStyle w:val="BodyText"/>
                    <w:spacing w:after="0" w:line="240" w:lineRule="auto"/>
                    <w:rPr>
                      <w:rStyle w:val="BodyTextChar"/>
                      <w:rFonts w:cs="Calibri"/>
                      <w:sz w:val="4"/>
                      <w:szCs w:val="4"/>
                    </w:rPr>
                  </w:pPr>
                </w:p>
              </w:tc>
            </w:tr>
            <w:tr w:rsidR="00913329" w:rsidRPr="00150391" w14:paraId="052BF897" w14:textId="77777777" w:rsidTr="0037524E">
              <w:trPr>
                <w:cantSplit/>
              </w:trPr>
              <w:tc>
                <w:tcPr>
                  <w:tcW w:w="7371" w:type="dxa"/>
                  <w:tcBorders>
                    <w:bottom w:val="single" w:sz="2" w:space="0" w:color="A7B4BE"/>
                  </w:tcBorders>
                </w:tcPr>
                <w:p w14:paraId="61BC0580" w14:textId="77777777" w:rsidR="00913329" w:rsidRPr="00150391" w:rsidRDefault="00913329" w:rsidP="0037524E">
                  <w:pPr>
                    <w:pStyle w:val="BodyText"/>
                    <w:spacing w:before="60" w:after="60" w:line="240" w:lineRule="auto"/>
                    <w:rPr>
                      <w:rStyle w:val="BodyTextChar"/>
                      <w:rFonts w:cs="Calibri"/>
                      <w:b/>
                      <w:bCs/>
                      <w:sz w:val="20"/>
                      <w:szCs w:val="20"/>
                    </w:rPr>
                  </w:pPr>
                  <w:r w:rsidRPr="00150391">
                    <w:rPr>
                      <w:rStyle w:val="BodyTextChar"/>
                      <w:rFonts w:cs="Calibri"/>
                      <w:b/>
                      <w:bCs/>
                      <w:sz w:val="20"/>
                      <w:szCs w:val="20"/>
                    </w:rPr>
                    <w:t>Linked programs box</w:t>
                  </w:r>
                </w:p>
              </w:tc>
            </w:tr>
            <w:tr w:rsidR="00913329" w:rsidRPr="00150391" w14:paraId="4052E997" w14:textId="77777777" w:rsidTr="0037524E">
              <w:trPr>
                <w:cantSplit/>
                <w:trHeight w:val="100"/>
              </w:trPr>
              <w:tc>
                <w:tcPr>
                  <w:tcW w:w="7371" w:type="dxa"/>
                  <w:tcBorders>
                    <w:left w:val="nil"/>
                    <w:right w:val="nil"/>
                  </w:tcBorders>
                </w:tcPr>
                <w:p w14:paraId="02EC5A5A" w14:textId="77777777" w:rsidR="00913329" w:rsidRPr="00150391" w:rsidRDefault="00913329" w:rsidP="0037524E">
                  <w:pPr>
                    <w:pStyle w:val="BodyText"/>
                    <w:spacing w:before="60" w:after="60" w:line="240" w:lineRule="auto"/>
                    <w:rPr>
                      <w:rStyle w:val="BodyTextChar"/>
                      <w:rFonts w:cs="Calibri"/>
                      <w:sz w:val="4"/>
                      <w:szCs w:val="4"/>
                    </w:rPr>
                  </w:pPr>
                </w:p>
              </w:tc>
            </w:tr>
            <w:tr w:rsidR="00913329" w:rsidRPr="00150391" w14:paraId="47F1A799" w14:textId="77777777" w:rsidTr="0037524E">
              <w:trPr>
                <w:cantSplit/>
              </w:trPr>
              <w:tc>
                <w:tcPr>
                  <w:tcW w:w="7371" w:type="dxa"/>
                  <w:tcBorders>
                    <w:bottom w:val="single" w:sz="2" w:space="0" w:color="A7B4BE"/>
                  </w:tcBorders>
                </w:tcPr>
                <w:p w14:paraId="47D816DB" w14:textId="77777777" w:rsidR="00913329" w:rsidRPr="00150391" w:rsidRDefault="00913329" w:rsidP="0037524E">
                  <w:pPr>
                    <w:pStyle w:val="BodyText"/>
                    <w:spacing w:before="60" w:after="60" w:line="240" w:lineRule="auto"/>
                    <w:rPr>
                      <w:rStyle w:val="BodyTextChar"/>
                      <w:rFonts w:cs="Calibri"/>
                      <w:b/>
                      <w:bCs/>
                      <w:i/>
                      <w:iCs/>
                      <w:sz w:val="20"/>
                      <w:szCs w:val="20"/>
                    </w:rPr>
                  </w:pPr>
                  <w:r w:rsidRPr="00150391">
                    <w:rPr>
                      <w:rStyle w:val="BodyTextChar"/>
                      <w:rFonts w:cs="Calibri"/>
                      <w:b/>
                      <w:bCs/>
                      <w:i/>
                      <w:iCs/>
                      <w:sz w:val="20"/>
                      <w:szCs w:val="20"/>
                    </w:rPr>
                    <w:t>Table 2.X.1: Budgeted expenses for Outcome X</w:t>
                  </w:r>
                </w:p>
              </w:tc>
            </w:tr>
            <w:tr w:rsidR="00913329" w:rsidRPr="00150391" w14:paraId="4722EE95" w14:textId="77777777" w:rsidTr="0037524E">
              <w:trPr>
                <w:cantSplit/>
              </w:trPr>
              <w:tc>
                <w:tcPr>
                  <w:tcW w:w="7371" w:type="dxa"/>
                  <w:tcBorders>
                    <w:left w:val="nil"/>
                    <w:right w:val="nil"/>
                  </w:tcBorders>
                </w:tcPr>
                <w:p w14:paraId="1CB782D5" w14:textId="77777777" w:rsidR="00913329" w:rsidRPr="00150391" w:rsidRDefault="00913329" w:rsidP="0037524E">
                  <w:pPr>
                    <w:pStyle w:val="BodyText"/>
                    <w:spacing w:before="60" w:after="60" w:line="240" w:lineRule="auto"/>
                    <w:rPr>
                      <w:rStyle w:val="BodyTextChar"/>
                      <w:rFonts w:cs="Calibri"/>
                      <w:sz w:val="4"/>
                      <w:szCs w:val="4"/>
                    </w:rPr>
                  </w:pPr>
                </w:p>
              </w:tc>
            </w:tr>
            <w:tr w:rsidR="00913329" w:rsidRPr="00150391" w14:paraId="6873741D" w14:textId="77777777" w:rsidTr="0037524E">
              <w:trPr>
                <w:cantSplit/>
              </w:trPr>
              <w:tc>
                <w:tcPr>
                  <w:tcW w:w="7371" w:type="dxa"/>
                  <w:tcBorders>
                    <w:bottom w:val="single" w:sz="2" w:space="0" w:color="A7B4BE"/>
                  </w:tcBorders>
                </w:tcPr>
                <w:p w14:paraId="2227B5BA" w14:textId="77777777" w:rsidR="00913329" w:rsidRPr="00150391" w:rsidRDefault="00913329" w:rsidP="0037524E">
                  <w:pPr>
                    <w:pStyle w:val="BodyText"/>
                    <w:spacing w:before="60" w:after="60" w:line="240" w:lineRule="auto"/>
                    <w:rPr>
                      <w:rStyle w:val="BodyTextChar"/>
                      <w:rFonts w:cs="Calibri"/>
                      <w:b/>
                      <w:bCs/>
                      <w:i/>
                      <w:iCs/>
                      <w:sz w:val="20"/>
                      <w:szCs w:val="20"/>
                    </w:rPr>
                  </w:pPr>
                  <w:r w:rsidRPr="00150391">
                    <w:rPr>
                      <w:rStyle w:val="BodyTextChar"/>
                      <w:rFonts w:cs="Calibri"/>
                      <w:b/>
                      <w:bCs/>
                      <w:i/>
                      <w:iCs/>
                      <w:sz w:val="20"/>
                      <w:szCs w:val="20"/>
                    </w:rPr>
                    <w:t>Table 2.X.2: Program components for Outcome X</w:t>
                  </w:r>
                  <w:r w:rsidRPr="00150391">
                    <w:rPr>
                      <w:rStyle w:val="BodyTextChar"/>
                      <w:rFonts w:cs="Calibri"/>
                      <w:sz w:val="20"/>
                      <w:szCs w:val="20"/>
                    </w:rPr>
                    <w:t xml:space="preserve"> (optional)</w:t>
                  </w:r>
                </w:p>
              </w:tc>
            </w:tr>
            <w:tr w:rsidR="00913329" w:rsidRPr="00150391" w14:paraId="4C1B6F80" w14:textId="77777777" w:rsidTr="0037524E">
              <w:trPr>
                <w:cantSplit/>
              </w:trPr>
              <w:tc>
                <w:tcPr>
                  <w:tcW w:w="7371" w:type="dxa"/>
                  <w:tcBorders>
                    <w:left w:val="nil"/>
                    <w:right w:val="nil"/>
                  </w:tcBorders>
                </w:tcPr>
                <w:p w14:paraId="303A6AAE" w14:textId="77777777" w:rsidR="00913329" w:rsidRPr="00150391" w:rsidRDefault="00913329" w:rsidP="0037524E">
                  <w:pPr>
                    <w:pStyle w:val="BodyText"/>
                    <w:spacing w:before="60" w:after="60" w:line="240" w:lineRule="auto"/>
                    <w:rPr>
                      <w:rStyle w:val="BodyTextChar"/>
                      <w:rFonts w:cs="Calibri"/>
                      <w:sz w:val="4"/>
                      <w:szCs w:val="4"/>
                    </w:rPr>
                  </w:pPr>
                </w:p>
              </w:tc>
            </w:tr>
            <w:tr w:rsidR="00913329" w:rsidRPr="00150391" w14:paraId="09B4D26E" w14:textId="77777777" w:rsidTr="0037524E">
              <w:trPr>
                <w:cantSplit/>
              </w:trPr>
              <w:tc>
                <w:tcPr>
                  <w:tcW w:w="7371" w:type="dxa"/>
                </w:tcPr>
                <w:p w14:paraId="5391569E" w14:textId="77777777" w:rsidR="00913329" w:rsidRPr="00150391" w:rsidRDefault="00913329" w:rsidP="0037524E">
                  <w:pPr>
                    <w:pStyle w:val="BodyText"/>
                    <w:spacing w:before="60" w:after="60" w:line="240" w:lineRule="auto"/>
                    <w:rPr>
                      <w:rStyle w:val="BodyTextChar"/>
                      <w:rFonts w:cs="Calibri"/>
                      <w:b/>
                      <w:bCs/>
                      <w:i/>
                      <w:iCs/>
                      <w:sz w:val="20"/>
                      <w:szCs w:val="20"/>
                    </w:rPr>
                  </w:pPr>
                  <w:r w:rsidRPr="00150391">
                    <w:rPr>
                      <w:rStyle w:val="BodyTextChar"/>
                      <w:rFonts w:cs="Calibri"/>
                      <w:b/>
                      <w:bCs/>
                      <w:i/>
                      <w:iCs/>
                      <w:sz w:val="20"/>
                      <w:szCs w:val="20"/>
                    </w:rPr>
                    <w:t>Table 2.X.3: Performance measure for Outcome X</w:t>
                  </w:r>
                </w:p>
              </w:tc>
            </w:tr>
          </w:tbl>
          <w:p w14:paraId="78F97011" w14:textId="77777777" w:rsidR="00913329" w:rsidRPr="00150391" w:rsidRDefault="00913329" w:rsidP="0037524E">
            <w:pPr>
              <w:rPr>
                <w:rStyle w:val="BodyTextChar"/>
                <w:rFonts w:cs="Calibri"/>
              </w:rPr>
            </w:pPr>
          </w:p>
        </w:tc>
      </w:tr>
    </w:tbl>
    <w:p w14:paraId="5AB7CEC8" w14:textId="17BB5891" w:rsidR="00E72765" w:rsidRPr="00150391" w:rsidRDefault="00E72765" w:rsidP="53BF0693">
      <w:pPr>
        <w:rPr>
          <w:rStyle w:val="BodyTextChar"/>
          <w:rFonts w:cs="Calibri"/>
        </w:rPr>
      </w:pPr>
    </w:p>
    <w:p w14:paraId="19BE2F3D" w14:textId="6629C311" w:rsidR="00FA0945" w:rsidRPr="00150391" w:rsidRDefault="53BF0693" w:rsidP="53BF0693">
      <w:pPr>
        <w:rPr>
          <w:rStyle w:val="BodyTextChar"/>
          <w:rFonts w:cs="Calibri"/>
        </w:rPr>
      </w:pPr>
      <w:r w:rsidRPr="00150391">
        <w:rPr>
          <w:rStyle w:val="BodyTextChar"/>
          <w:rFonts w:cs="Calibri"/>
        </w:rPr>
        <w:t>Entities with multiple outcomes would repeat subsection 2.X for each and every outcome (i.e. 2.1 for Outcome 1, 2.2 for Outcome 2, etc). Entities with a single outcome would include the elements shown above under a single subsection 2.1.</w:t>
      </w:r>
    </w:p>
    <w:p w14:paraId="3026EE3C" w14:textId="7D83AA44" w:rsidR="00530CED" w:rsidRPr="00150391" w:rsidRDefault="6B6EE5C4" w:rsidP="6B6EE5C4">
      <w:pPr>
        <w:rPr>
          <w:rStyle w:val="BodyTextChar"/>
          <w:rFonts w:cs="Calibri"/>
        </w:rPr>
      </w:pPr>
      <w:r w:rsidRPr="00150391">
        <w:rPr>
          <w:rStyle w:val="BodyTextChar"/>
          <w:rFonts w:cs="Calibri"/>
        </w:rPr>
        <w:t xml:space="preserve">Entities should use the table numbering scheme shown in the above exemplar. For example, </w:t>
      </w:r>
      <w:r w:rsidRPr="00150391">
        <w:rPr>
          <w:rStyle w:val="BodyTextChar"/>
          <w:rFonts w:cs="Calibri"/>
          <w:i/>
          <w:iCs/>
        </w:rPr>
        <w:t>Table 2.1.1 f</w:t>
      </w:r>
      <w:r w:rsidRPr="00150391">
        <w:rPr>
          <w:rStyle w:val="BodyTextChar"/>
          <w:rFonts w:cs="Calibri"/>
        </w:rPr>
        <w:t xml:space="preserve">or the Budgeted expenses for Outcome 1; </w:t>
      </w:r>
      <w:r w:rsidRPr="00150391">
        <w:rPr>
          <w:rStyle w:val="BodyTextChar"/>
          <w:rFonts w:cs="Calibri"/>
          <w:i/>
          <w:iCs/>
        </w:rPr>
        <w:t>Table 2.1.2</w:t>
      </w:r>
      <w:r w:rsidRPr="00150391">
        <w:rPr>
          <w:rStyle w:val="BodyTextChar"/>
          <w:rFonts w:cs="Calibri"/>
        </w:rPr>
        <w:t xml:space="preserve"> for program components related to Outcome 1</w:t>
      </w:r>
      <w:r w:rsidR="00F20126" w:rsidRPr="00150391">
        <w:rPr>
          <w:rStyle w:val="BodyTextChar"/>
          <w:rFonts w:cs="Calibri"/>
        </w:rPr>
        <w:t xml:space="preserve"> </w:t>
      </w:r>
      <w:r w:rsidRPr="00150391">
        <w:rPr>
          <w:rStyle w:val="BodyTextChar"/>
          <w:rFonts w:cs="Calibri"/>
        </w:rPr>
        <w:t xml:space="preserve">(if included); and </w:t>
      </w:r>
      <w:r w:rsidRPr="00150391">
        <w:rPr>
          <w:rStyle w:val="BodyTextChar"/>
          <w:rFonts w:cs="Calibri"/>
          <w:i/>
          <w:iCs/>
        </w:rPr>
        <w:t>Table 2.1.3</w:t>
      </w:r>
      <w:r w:rsidRPr="00150391">
        <w:rPr>
          <w:rStyle w:val="BodyTextChar"/>
          <w:rFonts w:cs="Calibri"/>
        </w:rPr>
        <w:t xml:space="preserve"> for planned performance information for Outcome 1 (or </w:t>
      </w:r>
      <w:r w:rsidRPr="00150391">
        <w:rPr>
          <w:rStyle w:val="BodyTextChar"/>
          <w:rFonts w:cs="Calibri"/>
          <w:i/>
          <w:iCs/>
        </w:rPr>
        <w:t>Table 2.1.2</w:t>
      </w:r>
      <w:r w:rsidRPr="00150391">
        <w:rPr>
          <w:rStyle w:val="BodyTextChar"/>
          <w:rFonts w:cs="Calibri"/>
        </w:rPr>
        <w:t xml:space="preserve"> if no program components are reported). </w:t>
      </w:r>
    </w:p>
    <w:p w14:paraId="608E3AAD" w14:textId="0FAAF2EB" w:rsidR="00FA0945" w:rsidRPr="00150391" w:rsidRDefault="53BF0693" w:rsidP="53BF0693">
      <w:pPr>
        <w:rPr>
          <w:rStyle w:val="BodyTextChar"/>
          <w:rFonts w:cs="Calibri"/>
        </w:rPr>
      </w:pPr>
      <w:r w:rsidRPr="00150391">
        <w:rPr>
          <w:rStyle w:val="BodyTextChar"/>
          <w:rFonts w:cs="Calibri"/>
        </w:rPr>
        <w:t xml:space="preserve">For Outcome 2, these table numbers would run in the following sequence: </w:t>
      </w:r>
      <w:r w:rsidRPr="00150391">
        <w:rPr>
          <w:rStyle w:val="BodyTextChar"/>
          <w:rFonts w:cs="Calibri"/>
          <w:i/>
          <w:iCs/>
        </w:rPr>
        <w:t>Table 2.2.1; Table 2.2.2</w:t>
      </w:r>
      <w:r w:rsidRPr="00150391">
        <w:rPr>
          <w:rStyle w:val="BodyTextChar"/>
          <w:rFonts w:cs="Calibri"/>
        </w:rPr>
        <w:t xml:space="preserve"> and </w:t>
      </w:r>
      <w:r w:rsidRPr="00150391">
        <w:rPr>
          <w:rStyle w:val="BodyTextChar"/>
          <w:rFonts w:cs="Calibri"/>
          <w:i/>
          <w:iCs/>
        </w:rPr>
        <w:t>Table 2.2.3</w:t>
      </w:r>
      <w:r w:rsidRPr="00150391">
        <w:rPr>
          <w:rStyle w:val="BodyTextChar"/>
          <w:rFonts w:cs="Calibri"/>
        </w:rPr>
        <w:t xml:space="preserve">. This scheme is intended to make it easy for readers to refer to information and provide consistency across PB Statements tabled by different </w:t>
      </w:r>
      <w:r w:rsidR="00F20126" w:rsidRPr="00150391">
        <w:rPr>
          <w:rStyle w:val="BodyTextChar"/>
          <w:rFonts w:cs="Calibri"/>
        </w:rPr>
        <w:t>M</w:t>
      </w:r>
      <w:r w:rsidRPr="00150391">
        <w:rPr>
          <w:rStyle w:val="BodyTextChar"/>
          <w:rFonts w:cs="Calibri"/>
        </w:rPr>
        <w:t>inisters.</w:t>
      </w:r>
    </w:p>
    <w:p w14:paraId="4B6DF89B" w14:textId="77777777" w:rsidR="00FA0945" w:rsidRPr="00150391" w:rsidRDefault="53BF0693" w:rsidP="53BF0693">
      <w:pPr>
        <w:pStyle w:val="Heading2Numbered"/>
        <w:rPr>
          <w:rFonts w:ascii="Calibri" w:hAnsi="Calibri" w:cs="Calibri"/>
        </w:rPr>
      </w:pPr>
      <w:bookmarkStart w:id="587" w:name="_Toc534382562"/>
      <w:bookmarkStart w:id="588" w:name="_Ref33520614"/>
      <w:bookmarkStart w:id="589" w:name="_Ref33520641"/>
      <w:bookmarkStart w:id="590" w:name="_Ref33520649"/>
      <w:bookmarkStart w:id="591" w:name="_Ref33521882"/>
      <w:bookmarkStart w:id="592" w:name="_Ref33521889"/>
      <w:bookmarkStart w:id="593" w:name="_Ref33521893"/>
      <w:bookmarkStart w:id="594" w:name="_Ref33522094"/>
      <w:bookmarkStart w:id="595" w:name="_Ref33522098"/>
      <w:bookmarkStart w:id="596" w:name="_Ref33522148"/>
      <w:bookmarkStart w:id="597" w:name="_Ref33522177"/>
      <w:bookmarkStart w:id="598" w:name="_Ref33522182"/>
      <w:bookmarkStart w:id="599" w:name="_Ref33522184"/>
      <w:bookmarkStart w:id="600" w:name="_Toc63347713"/>
      <w:bookmarkStart w:id="601" w:name="_Toc114576302"/>
      <w:r w:rsidRPr="00150391">
        <w:rPr>
          <w:rFonts w:ascii="Calibri" w:hAnsi="Calibri" w:cs="Calibri"/>
        </w:rPr>
        <w:t>Outcome statements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4E73284" w14:textId="77777777" w:rsidR="00265990" w:rsidRPr="00150391" w:rsidRDefault="53BF0693" w:rsidP="53BF0693">
      <w:pPr>
        <w:rPr>
          <w:rStyle w:val="BodyTextChar"/>
          <w:rFonts w:cs="Calibri"/>
        </w:rPr>
      </w:pPr>
      <w:r w:rsidRPr="00150391">
        <w:rPr>
          <w:rStyle w:val="BodyTextChar"/>
          <w:rFonts w:cs="Calibri"/>
        </w:rPr>
        <w:t>Outcome statements should repeat the wording approved by the Finance Minister (as per the Outcome and Programs policy referred to below).</w:t>
      </w:r>
    </w:p>
    <w:p w14:paraId="4489D47C" w14:textId="77777777" w:rsidR="00265990" w:rsidRPr="00150391" w:rsidRDefault="53BF0693" w:rsidP="53BF0693">
      <w:pPr>
        <w:rPr>
          <w:rStyle w:val="BodyTextChar"/>
          <w:rFonts w:cs="Calibri"/>
        </w:rPr>
      </w:pPr>
      <w:r w:rsidRPr="00150391">
        <w:rPr>
          <w:rStyle w:val="BodyTextChar"/>
          <w:rFonts w:cs="Calibri"/>
        </w:rPr>
        <w:t xml:space="preserve">Outcome statements articulate </w:t>
      </w:r>
      <w:r w:rsidR="006418EA" w:rsidRPr="00150391">
        <w:rPr>
          <w:rStyle w:val="BodyTextChar"/>
          <w:rFonts w:cs="Calibri"/>
        </w:rPr>
        <w:t>government</w:t>
      </w:r>
      <w:r w:rsidRPr="00150391">
        <w:rPr>
          <w:rStyle w:val="BodyTextChar"/>
          <w:rFonts w:cs="Calibri"/>
        </w:rPr>
        <w:t xml:space="preserve"> objectives and form an integral part of the appropriations framework. They:</w:t>
      </w:r>
    </w:p>
    <w:p w14:paraId="76A96D6A" w14:textId="77777777" w:rsidR="00265990" w:rsidRPr="00150391" w:rsidRDefault="53BF0693" w:rsidP="53BF0693">
      <w:pPr>
        <w:pStyle w:val="Numbered"/>
        <w:numPr>
          <w:ilvl w:val="0"/>
          <w:numId w:val="229"/>
        </w:numPr>
        <w:rPr>
          <w:rStyle w:val="BodyTextChar"/>
          <w:rFonts w:eastAsiaTheme="minorEastAsia" w:cs="Calibri"/>
        </w:rPr>
      </w:pPr>
      <w:r w:rsidRPr="00150391">
        <w:rPr>
          <w:rStyle w:val="BodyTextChar"/>
          <w:rFonts w:eastAsiaTheme="minorEastAsia" w:cs="Calibri"/>
        </w:rPr>
        <w:t xml:space="preserve">explain the purpose for which Annual Appropriations are approved by the Parliament for use by entities  </w:t>
      </w:r>
    </w:p>
    <w:p w14:paraId="5CD76993" w14:textId="77777777" w:rsidR="00265990" w:rsidRPr="00150391" w:rsidRDefault="53BF0693" w:rsidP="53BF0693">
      <w:pPr>
        <w:pStyle w:val="Numbered"/>
        <w:numPr>
          <w:ilvl w:val="0"/>
          <w:numId w:val="229"/>
        </w:numPr>
        <w:rPr>
          <w:rStyle w:val="BodyTextChar"/>
          <w:rFonts w:eastAsiaTheme="minorEastAsia" w:cs="Calibri"/>
        </w:rPr>
      </w:pPr>
      <w:r w:rsidRPr="00150391">
        <w:rPr>
          <w:rStyle w:val="BodyTextChar"/>
          <w:rFonts w:eastAsiaTheme="minorEastAsia" w:cs="Calibri"/>
        </w:rPr>
        <w:t>provide a basis for budgeting and reporting against the use of appropriated funds.</w:t>
      </w:r>
    </w:p>
    <w:p w14:paraId="4EFA2629" w14:textId="3404EB26" w:rsidR="00265990" w:rsidRPr="00150391" w:rsidRDefault="00265990" w:rsidP="00265990">
      <w:pPr>
        <w:rPr>
          <w:rFonts w:cs="Calibri"/>
        </w:rPr>
      </w:pPr>
      <w:r w:rsidRPr="00150391">
        <w:rPr>
          <w:rStyle w:val="BodyTextChar"/>
          <w:rFonts w:eastAsiaTheme="minorEastAsia" w:cs="Calibri"/>
        </w:rPr>
        <w:t xml:space="preserve">An outcome statement should provide an immediate impression of what success looks like. It should provide readers with a sense of what performance information is likely to be useful in assessing whether a specific outcome is delivered satisfactorily. Performance information described in PB Statements (for example, in section 2.x.3 and discussed in section </w:t>
      </w:r>
      <w:r w:rsidRPr="002B4935">
        <w:rPr>
          <w:rStyle w:val="CrossReferenceChar"/>
          <w:rFonts w:cs="Calibri"/>
          <w:color w:val="0070C0"/>
        </w:rPr>
        <w:fldChar w:fldCharType="begin"/>
      </w:r>
      <w:r w:rsidRPr="002B4935">
        <w:rPr>
          <w:rStyle w:val="CrossReferenceChar"/>
          <w:rFonts w:cs="Calibri"/>
          <w:color w:val="0070C0"/>
        </w:rPr>
        <w:instrText xml:space="preserve"> REF _Ref33522765 \r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Pr>
          <w:rStyle w:val="CrossReferenceChar"/>
          <w:rFonts w:cs="Calibri"/>
          <w:color w:val="0070C0"/>
        </w:rPr>
        <w:t>10.7</w:t>
      </w:r>
      <w:r w:rsidRPr="002B4935">
        <w:rPr>
          <w:rStyle w:val="CrossReferenceChar"/>
          <w:rFonts w:cs="Calibri"/>
          <w:color w:val="0070C0"/>
        </w:rPr>
        <w:fldChar w:fldCharType="end"/>
      </w:r>
      <w:r w:rsidRPr="002B4935">
        <w:rPr>
          <w:rStyle w:val="CrossReferenceChar"/>
          <w:rFonts w:cs="Calibri"/>
          <w:color w:val="0070C0"/>
        </w:rPr>
        <w:t> </w:t>
      </w:r>
      <w:r w:rsidRPr="002B4935">
        <w:rPr>
          <w:rStyle w:val="CrossReferenceChar"/>
          <w:rFonts w:cs="Calibri"/>
          <w:color w:val="0070C0"/>
        </w:rPr>
        <w:fldChar w:fldCharType="begin"/>
      </w:r>
      <w:r w:rsidRPr="002B4935">
        <w:rPr>
          <w:rStyle w:val="CrossReferenceChar"/>
          <w:rFonts w:cs="Calibri"/>
          <w:color w:val="0070C0"/>
        </w:rPr>
        <w:instrText xml:space="preserve"> REF _Ref33522777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sidRPr="0073409A">
        <w:rPr>
          <w:rStyle w:val="CrossReferenceChar"/>
          <w:color w:val="0070C0"/>
        </w:rPr>
        <w:t>Overview of table 2.X.3 – performance information</w:t>
      </w:r>
      <w:r w:rsidRPr="002B4935">
        <w:rPr>
          <w:rStyle w:val="CrossReferenceChar"/>
          <w:rFonts w:cs="Calibri"/>
          <w:color w:val="0070C0"/>
        </w:rPr>
        <w:fldChar w:fldCharType="end"/>
      </w:r>
      <w:r w:rsidRPr="00150391">
        <w:rPr>
          <w:rFonts w:cs="Calibri"/>
        </w:rPr>
        <w:t>)</w:t>
      </w:r>
      <w:r w:rsidRPr="00150391">
        <w:rPr>
          <w:rFonts w:cs="Calibri"/>
          <w:i/>
          <w:iCs/>
        </w:rPr>
        <w:t xml:space="preserve"> </w:t>
      </w:r>
      <w:r w:rsidRPr="00150391">
        <w:rPr>
          <w:rFonts w:cs="Calibri"/>
        </w:rPr>
        <w:t>should relate to the expectation created by the relevant outcome statement.</w:t>
      </w:r>
    </w:p>
    <w:p w14:paraId="6D96D31A" w14:textId="77777777" w:rsidR="00FA0945" w:rsidRPr="00150391" w:rsidRDefault="53BF0693">
      <w:pPr>
        <w:rPr>
          <w:rFonts w:cs="Calibri"/>
        </w:rPr>
      </w:pPr>
      <w:r w:rsidRPr="00150391">
        <w:rPr>
          <w:rStyle w:val="BodyTextChar"/>
          <w:rFonts w:cs="Calibri"/>
        </w:rPr>
        <w:t xml:space="preserve">Entities that wish to vary their outcome statements to reflect changes in government policy or its strategic environment should consult their relevant AAU well in advance of the preparation of the </w:t>
      </w:r>
      <w:r w:rsidR="0007613A" w:rsidRPr="00150391">
        <w:rPr>
          <w:rStyle w:val="BodyTextChar"/>
          <w:rFonts w:cs="Calibri"/>
        </w:rPr>
        <w:t>2022</w:t>
      </w:r>
      <w:r w:rsidRPr="00150391">
        <w:rPr>
          <w:rStyle w:val="BodyTextChar"/>
          <w:rFonts w:cs="Calibri"/>
        </w:rPr>
        <w:t>-</w:t>
      </w:r>
      <w:r w:rsidR="0007613A" w:rsidRPr="00150391">
        <w:rPr>
          <w:rStyle w:val="BodyTextChar"/>
          <w:rFonts w:cs="Calibri"/>
        </w:rPr>
        <w:t xml:space="preserve">23 </w:t>
      </w:r>
      <w:r w:rsidRPr="00150391">
        <w:rPr>
          <w:rStyle w:val="BodyTextChar"/>
          <w:rFonts w:cs="Calibri"/>
        </w:rPr>
        <w:t>Budget Appropriation Bills (and PB Statements). Agreement would ideally be sought on the wording of any proposed revisions to ensure the best prospects of obtaining the approval of the Finance Minister.</w:t>
      </w:r>
    </w:p>
    <w:p w14:paraId="40074144" w14:textId="3EF5FDE8" w:rsidR="000C42A6" w:rsidRPr="00150391" w:rsidRDefault="53BF0693" w:rsidP="00913329">
      <w:pPr>
        <w:rPr>
          <w:rStyle w:val="Hyperlink"/>
          <w:rFonts w:ascii="Calibri" w:eastAsia="Cambria" w:hAnsi="Calibri" w:cs="Calibri"/>
        </w:rPr>
      </w:pPr>
      <w:r w:rsidRPr="00150391">
        <w:rPr>
          <w:rStyle w:val="BodyTextChar"/>
          <w:rFonts w:cs="Calibri"/>
        </w:rPr>
        <w:t xml:space="preserve">For </w:t>
      </w:r>
      <w:r w:rsidRPr="00150391">
        <w:rPr>
          <w:rFonts w:cs="Calibri"/>
        </w:rPr>
        <w:t xml:space="preserve">information on the purpose, or process amending an entity’s existing Outcome Statement(s) or program structure, refer to the </w:t>
      </w:r>
      <w:hyperlink r:id="rId78" w:history="1">
        <w:r w:rsidRPr="002B4935">
          <w:rPr>
            <w:rStyle w:val="Hyperlink"/>
            <w:rFonts w:ascii="Calibri" w:hAnsi="Calibri" w:cs="Calibri"/>
            <w:color w:val="0070C0"/>
          </w:rPr>
          <w:t>Outcomes policy</w:t>
        </w:r>
      </w:hyperlink>
      <w:r w:rsidRPr="00150391">
        <w:rPr>
          <w:rFonts w:cs="Calibri"/>
        </w:rPr>
        <w:t xml:space="preserve"> and </w:t>
      </w:r>
      <w:hyperlink r:id="rId79" w:history="1">
        <w:r w:rsidRPr="002B4935">
          <w:rPr>
            <w:rStyle w:val="Hyperlink"/>
            <w:rFonts w:ascii="Calibri" w:hAnsi="Calibri" w:cs="Calibri"/>
            <w:color w:val="0070C0"/>
          </w:rPr>
          <w:t>Programs policy</w:t>
        </w:r>
      </w:hyperlink>
      <w:r w:rsidRPr="00150391">
        <w:rPr>
          <w:rFonts w:cs="Calibri"/>
        </w:rPr>
        <w:t>, both are available on the Finance website</w:t>
      </w:r>
      <w:r w:rsidR="008719B0" w:rsidRPr="00150391">
        <w:rPr>
          <w:rFonts w:cs="Calibri"/>
        </w:rPr>
        <w:t>.</w:t>
      </w:r>
    </w:p>
    <w:p w14:paraId="715F9C60" w14:textId="77777777" w:rsidR="00FA0945" w:rsidRPr="00150391" w:rsidRDefault="53BF0693" w:rsidP="53BF0693">
      <w:pPr>
        <w:pStyle w:val="Heading2Numbered"/>
        <w:rPr>
          <w:rFonts w:ascii="Calibri" w:hAnsi="Calibri" w:cs="Calibri"/>
        </w:rPr>
      </w:pPr>
      <w:bookmarkStart w:id="602" w:name="_Toc47369890"/>
      <w:bookmarkStart w:id="603" w:name="_Toc534382563"/>
      <w:bookmarkStart w:id="604" w:name="_Ref62052820"/>
      <w:bookmarkStart w:id="605" w:name="_Ref62052824"/>
      <w:bookmarkStart w:id="606" w:name="_Toc63347714"/>
      <w:bookmarkStart w:id="607" w:name="_Toc114576303"/>
      <w:bookmarkEnd w:id="602"/>
      <w:r w:rsidRPr="00150391">
        <w:rPr>
          <w:rFonts w:ascii="Calibri" w:hAnsi="Calibri" w:cs="Calibri"/>
        </w:rPr>
        <w:t>Linked programs box</w:t>
      </w:r>
      <w:bookmarkEnd w:id="603"/>
      <w:bookmarkEnd w:id="604"/>
      <w:bookmarkEnd w:id="605"/>
      <w:bookmarkEnd w:id="606"/>
      <w:bookmarkEnd w:id="607"/>
    </w:p>
    <w:p w14:paraId="7BFF046F" w14:textId="7E0D7E72" w:rsidR="0015783F" w:rsidRPr="00150391" w:rsidRDefault="53BF0693" w:rsidP="53BF0693">
      <w:pPr>
        <w:rPr>
          <w:rStyle w:val="BodyTextChar"/>
          <w:rFonts w:cs="Calibri"/>
        </w:rPr>
      </w:pPr>
      <w:r w:rsidRPr="00150391">
        <w:rPr>
          <w:rStyle w:val="BodyTextChar"/>
          <w:rFonts w:cs="Calibri"/>
        </w:rPr>
        <w:t xml:space="preserve">Linked programs are those undertaken by other entities that contribute to the achievement of </w:t>
      </w:r>
      <w:r w:rsidR="002377D9" w:rsidRPr="00150391">
        <w:rPr>
          <w:rStyle w:val="BodyTextChar"/>
          <w:rFonts w:cs="Calibri"/>
        </w:rPr>
        <w:t xml:space="preserve">another </w:t>
      </w:r>
      <w:r w:rsidRPr="00150391">
        <w:rPr>
          <w:rStyle w:val="BodyTextChar"/>
          <w:rFonts w:cs="Calibri"/>
        </w:rPr>
        <w:t xml:space="preserve">entity’s outcomes. </w:t>
      </w:r>
      <w:r w:rsidR="00611899" w:rsidRPr="00150391">
        <w:rPr>
          <w:rStyle w:val="BodyTextChar"/>
          <w:rFonts w:cs="Calibri"/>
        </w:rPr>
        <w:t xml:space="preserve">This reporting is ‘one way’ in nature, the contribution your entity makes to the achievement of another entity’s outcomes should not be reported. </w:t>
      </w:r>
      <w:r w:rsidRPr="00150391">
        <w:rPr>
          <w:rStyle w:val="BodyTextChar"/>
          <w:rFonts w:cs="Calibri"/>
        </w:rPr>
        <w:t xml:space="preserve">The </w:t>
      </w:r>
      <w:r w:rsidRPr="00150391">
        <w:rPr>
          <w:rStyle w:val="BodyTextChar"/>
          <w:rFonts w:cs="Calibri"/>
          <w:i/>
          <w:iCs/>
        </w:rPr>
        <w:t>linked programs box</w:t>
      </w:r>
      <w:r w:rsidRPr="00150391">
        <w:rPr>
          <w:rStyle w:val="BodyTextChar"/>
          <w:rFonts w:cs="Calibri"/>
        </w:rPr>
        <w:t xml:space="preserve"> should appear immediately after the Outcome Statement in subsection 2.X relevant to Outcome X. </w:t>
      </w:r>
    </w:p>
    <w:p w14:paraId="015A1661" w14:textId="78A0F2FA" w:rsidR="0015783F" w:rsidRPr="00150391" w:rsidRDefault="53BF0693" w:rsidP="0015783F">
      <w:pPr>
        <w:rPr>
          <w:rFonts w:cs="Calibri"/>
        </w:rPr>
      </w:pPr>
      <w:r w:rsidRPr="00150391">
        <w:rPr>
          <w:rFonts w:cs="Calibri"/>
        </w:rPr>
        <w:t>Linked programs box template:</w:t>
      </w:r>
    </w:p>
    <w:tbl>
      <w:tblPr>
        <w:tblpPr w:leftFromText="180" w:rightFromText="180" w:vertAnchor="text" w:horzAnchor="margin" w:tblpXSpec="center" w:tblpY="68"/>
        <w:tblOverlap w:val="never"/>
        <w:tblW w:w="0" w:type="auto"/>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33"/>
      </w:tblGrid>
      <w:tr w:rsidR="0015783F" w:rsidRPr="00150391" w14:paraId="7D60F3F5" w14:textId="77777777" w:rsidTr="53BF0693">
        <w:tc>
          <w:tcPr>
            <w:tcW w:w="7933" w:type="dxa"/>
          </w:tcPr>
          <w:p w14:paraId="78194B0C" w14:textId="77777777" w:rsidR="0015783F" w:rsidRPr="00150391" w:rsidRDefault="53BF0693" w:rsidP="53BF0693">
            <w:pPr>
              <w:pStyle w:val="TableText-Normal"/>
              <w:rPr>
                <w:rStyle w:val="BodyTextChar"/>
                <w:rFonts w:cs="Calibri"/>
                <w:b/>
                <w:bCs/>
              </w:rPr>
            </w:pPr>
            <w:r w:rsidRPr="00150391">
              <w:rPr>
                <w:rStyle w:val="BodyTextChar"/>
                <w:rFonts w:cs="Calibri"/>
                <w:b/>
                <w:bCs/>
              </w:rPr>
              <w:t xml:space="preserve">Entity A </w:t>
            </w:r>
            <w:r w:rsidRPr="00150391">
              <w:rPr>
                <w:rStyle w:val="BodyTextChar"/>
                <w:rFonts w:cs="Calibri"/>
                <w:i/>
                <w:iCs/>
                <w:color w:val="FF0000"/>
              </w:rPr>
              <w:t>(insert the name of the entity with programs linked to Outcome X)</w:t>
            </w:r>
          </w:p>
        </w:tc>
      </w:tr>
      <w:tr w:rsidR="0015783F" w:rsidRPr="00150391" w14:paraId="047B5726" w14:textId="77777777" w:rsidTr="53BF0693">
        <w:tc>
          <w:tcPr>
            <w:tcW w:w="7933" w:type="dxa"/>
          </w:tcPr>
          <w:p w14:paraId="0B7BF944" w14:textId="77777777" w:rsidR="0015783F" w:rsidRPr="00150391" w:rsidRDefault="53BF0693" w:rsidP="53BF0693">
            <w:pPr>
              <w:pStyle w:val="TableText-Normal"/>
              <w:rPr>
                <w:rStyle w:val="BodyTextChar"/>
                <w:rFonts w:cs="Calibri"/>
                <w:b/>
                <w:bCs/>
              </w:rPr>
            </w:pPr>
            <w:r w:rsidRPr="00150391">
              <w:rPr>
                <w:rStyle w:val="BodyTextChar"/>
                <w:rFonts w:cs="Calibri"/>
                <w:b/>
                <w:bCs/>
              </w:rPr>
              <w:t>Programs</w:t>
            </w:r>
          </w:p>
          <w:p w14:paraId="2E16518A" w14:textId="77777777" w:rsidR="0015783F" w:rsidRPr="00150391" w:rsidRDefault="0015783F" w:rsidP="53BF0693">
            <w:pPr>
              <w:pStyle w:val="TableText-Normal"/>
              <w:rPr>
                <w:rStyle w:val="BodyTextChar"/>
                <w:rFonts w:cs="Calibri"/>
              </w:rPr>
            </w:pPr>
            <w:r w:rsidRPr="00150391">
              <w:rPr>
                <w:rStyle w:val="BodyTextChar"/>
                <w:rFonts w:cs="Calibri"/>
              </w:rPr>
              <w:t>•</w:t>
            </w:r>
            <w:r w:rsidRPr="00150391">
              <w:rPr>
                <w:rStyle w:val="BodyTextChar"/>
                <w:rFonts w:cs="Calibri"/>
              </w:rPr>
              <w:tab/>
              <w:t xml:space="preserve">Program X.X – </w:t>
            </w:r>
            <w:r w:rsidRPr="00150391">
              <w:rPr>
                <w:rStyle w:val="BodyTextChar"/>
                <w:rFonts w:cs="Calibri"/>
                <w:i/>
                <w:iCs/>
                <w:color w:val="FF0000"/>
              </w:rPr>
              <w:t>insert program name</w:t>
            </w:r>
          </w:p>
          <w:p w14:paraId="2942D893" w14:textId="77777777" w:rsidR="0015783F" w:rsidRPr="00150391" w:rsidRDefault="0015783F" w:rsidP="53BF0693">
            <w:pPr>
              <w:pStyle w:val="TableText-Normal"/>
              <w:rPr>
                <w:rStyle w:val="BodyTextChar"/>
                <w:rFonts w:cs="Calibri"/>
              </w:rPr>
            </w:pPr>
            <w:r w:rsidRPr="00150391">
              <w:rPr>
                <w:rStyle w:val="BodyTextChar"/>
                <w:rFonts w:cs="Calibri"/>
              </w:rPr>
              <w:t>•</w:t>
            </w:r>
            <w:r w:rsidRPr="00150391">
              <w:rPr>
                <w:rStyle w:val="BodyTextChar"/>
                <w:rFonts w:cs="Calibri"/>
              </w:rPr>
              <w:tab/>
              <w:t xml:space="preserve">Program X.X – </w:t>
            </w:r>
            <w:r w:rsidRPr="00150391">
              <w:rPr>
                <w:rStyle w:val="BodyTextChar"/>
                <w:rFonts w:cs="Calibri"/>
                <w:i/>
                <w:iCs/>
                <w:color w:val="FF0000"/>
              </w:rPr>
              <w:t>insert program name</w:t>
            </w:r>
          </w:p>
        </w:tc>
      </w:tr>
      <w:tr w:rsidR="0015783F" w:rsidRPr="00150391" w14:paraId="640FA422" w14:textId="77777777" w:rsidTr="53BF0693">
        <w:tc>
          <w:tcPr>
            <w:tcW w:w="7933" w:type="dxa"/>
          </w:tcPr>
          <w:p w14:paraId="0ACAF4D2" w14:textId="77777777" w:rsidR="0015783F" w:rsidRPr="00150391" w:rsidRDefault="53BF0693" w:rsidP="53BF0693">
            <w:pPr>
              <w:pStyle w:val="TableText-Normal"/>
              <w:rPr>
                <w:rStyle w:val="BodyTextChar"/>
                <w:rFonts w:cs="Calibri"/>
                <w:b/>
                <w:bCs/>
              </w:rPr>
            </w:pPr>
            <w:r w:rsidRPr="00150391">
              <w:rPr>
                <w:rStyle w:val="BodyTextChar"/>
                <w:rFonts w:cs="Calibri"/>
                <w:b/>
                <w:bCs/>
              </w:rPr>
              <w:t>Contribution to Outcome X made by linked programs</w:t>
            </w:r>
          </w:p>
          <w:p w14:paraId="271ECF9E" w14:textId="77777777" w:rsidR="0015783F" w:rsidRPr="00150391" w:rsidRDefault="53BF0693" w:rsidP="53BF0693">
            <w:pPr>
              <w:pStyle w:val="TableText-Normal"/>
              <w:rPr>
                <w:rStyle w:val="BodyTextChar"/>
                <w:rFonts w:cs="Calibri"/>
                <w:b/>
                <w:bCs/>
              </w:rPr>
            </w:pPr>
            <w:r w:rsidRPr="00150391">
              <w:rPr>
                <w:rStyle w:val="ExampletextCharChar"/>
                <w:rFonts w:ascii="Calibri" w:eastAsia="Cambria" w:hAnsi="Calibri" w:cs="Calibri"/>
                <w:lang w:val="en-AU"/>
              </w:rPr>
              <w:t>Insert a concise explanation on how the linked programs contributes to Outcome X.</w:t>
            </w:r>
          </w:p>
        </w:tc>
      </w:tr>
    </w:tbl>
    <w:p w14:paraId="47188DFC" w14:textId="77777777" w:rsidR="0015783F" w:rsidRPr="00150391" w:rsidRDefault="0015783F" w:rsidP="0015783F">
      <w:pPr>
        <w:rPr>
          <w:rStyle w:val="BodyTextChar"/>
          <w:rFonts w:cs="Calibri"/>
        </w:rPr>
      </w:pPr>
    </w:p>
    <w:p w14:paraId="140BCA07" w14:textId="77777777" w:rsidR="0015783F" w:rsidRPr="00150391" w:rsidRDefault="0015783F" w:rsidP="0015783F">
      <w:pPr>
        <w:rPr>
          <w:rStyle w:val="BodyTextChar"/>
          <w:rFonts w:cs="Calibri"/>
        </w:rPr>
      </w:pPr>
    </w:p>
    <w:p w14:paraId="23521AFA" w14:textId="77777777" w:rsidR="0015783F" w:rsidRPr="00150391" w:rsidRDefault="0015783F" w:rsidP="0015783F">
      <w:pPr>
        <w:rPr>
          <w:rStyle w:val="BodyTextChar"/>
          <w:rFonts w:cs="Calibri"/>
        </w:rPr>
      </w:pPr>
    </w:p>
    <w:p w14:paraId="1FE1B7A6" w14:textId="77777777" w:rsidR="0015783F" w:rsidRPr="00150391" w:rsidRDefault="0015783F" w:rsidP="0015783F">
      <w:pPr>
        <w:rPr>
          <w:rStyle w:val="BodyTextChar"/>
          <w:rFonts w:cs="Calibri"/>
        </w:rPr>
      </w:pPr>
    </w:p>
    <w:p w14:paraId="314F1214" w14:textId="77777777" w:rsidR="0015783F" w:rsidRPr="00150391" w:rsidRDefault="0015783F" w:rsidP="0015783F">
      <w:pPr>
        <w:rPr>
          <w:rStyle w:val="BodyTextChar"/>
          <w:rFonts w:cs="Calibri"/>
        </w:rPr>
      </w:pPr>
    </w:p>
    <w:p w14:paraId="41755AA3" w14:textId="18E1EC29" w:rsidR="00D373D9" w:rsidRPr="00150391" w:rsidRDefault="002851B4" w:rsidP="53BF0693">
      <w:pPr>
        <w:rPr>
          <w:rStyle w:val="BodyTextChar"/>
          <w:rFonts w:cs="Calibri"/>
        </w:rPr>
      </w:pPr>
      <w:r w:rsidRPr="00150391">
        <w:rPr>
          <w:rStyle w:val="BodyTextChar"/>
          <w:rFonts w:cs="Calibri"/>
          <w:noProof/>
          <w:lang w:eastAsia="en-AU"/>
        </w:rPr>
        <mc:AlternateContent>
          <mc:Choice Requires="wps">
            <w:drawing>
              <wp:anchor distT="45720" distB="45720" distL="114300" distR="114300" simplePos="0" relativeHeight="251657216" behindDoc="0" locked="0" layoutInCell="1" allowOverlap="1" wp14:anchorId="09B7247C" wp14:editId="51FF66DD">
                <wp:simplePos x="0" y="0"/>
                <wp:positionH relativeFrom="column">
                  <wp:posOffset>104775</wp:posOffset>
                </wp:positionH>
                <wp:positionV relativeFrom="paragraph">
                  <wp:posOffset>728616</wp:posOffset>
                </wp:positionV>
                <wp:extent cx="5298440" cy="454025"/>
                <wp:effectExtent l="0" t="0" r="1651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440" cy="454025"/>
                        </a:xfrm>
                        <a:prstGeom prst="rect">
                          <a:avLst/>
                        </a:prstGeom>
                        <a:solidFill>
                          <a:srgbClr val="E0F4FC"/>
                        </a:solidFill>
                        <a:ln w="9525">
                          <a:solidFill>
                            <a:schemeClr val="tx2">
                              <a:lumMod val="50000"/>
                              <a:lumOff val="50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5176DC37" w14:textId="77777777" w:rsidR="00AA2CB0" w:rsidRDefault="00AA2CB0" w:rsidP="001D30A2">
                            <w:pPr>
                              <w:spacing w:before="0"/>
                            </w:pPr>
                            <w:r w:rsidRPr="000C5235">
                              <w:rPr>
                                <w:u w:val="single"/>
                              </w:rPr>
                              <w:t>Example</w:t>
                            </w:r>
                            <w:r w:rsidRPr="000C5235">
                              <w:t xml:space="preserve"> – </w:t>
                            </w:r>
                            <w:r>
                              <w:t>linked programs from Department of Homes Affairs 2021-22 PB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247C" id="Text Box 2" o:spid="_x0000_s1036" type="#_x0000_t202" style="position:absolute;margin-left:8.25pt;margin-top:57.35pt;width:417.2pt;height:3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" fillcolor="#e0f4fc" strokecolor="#8d8d8d [1631]">
                <v:textbox>
                  <w:txbxContent>
                    <w:p w14:paraId="5176DC37" w14:textId="77777777" w:rsidR="00AA2CB0" w:rsidRDefault="00AA2CB0" w:rsidP="001D30A2">
                      <w:pPr>
                        <w:spacing w:before="0"/>
                      </w:pPr>
                      <w:r w:rsidRPr="000C5235">
                        <w:rPr>
                          <w:u w:val="single"/>
                        </w:rPr>
                        <w:t>Example</w:t>
                      </w:r>
                      <w:r w:rsidRPr="000C5235">
                        <w:t xml:space="preserve"> – </w:t>
                      </w:r>
                      <w:r>
                        <w:t>linked programs from Department of Homes Affairs 2021-22 PB Statements</w:t>
                      </w:r>
                    </w:p>
                  </w:txbxContent>
                </v:textbox>
                <w10:wrap type="square"/>
              </v:shape>
            </w:pict>
          </mc:Fallback>
        </mc:AlternateContent>
      </w:r>
      <w:r w:rsidR="0015783F" w:rsidRPr="00150391">
        <w:rPr>
          <w:rStyle w:val="BodyTextChar"/>
          <w:rFonts w:cs="Calibri"/>
        </w:rPr>
        <w:t xml:space="preserve">The template above for reporting linked programs is included under the </w:t>
      </w:r>
      <w:r w:rsidR="0015783F" w:rsidRPr="00150391">
        <w:rPr>
          <w:rStyle w:val="BodyTextChar"/>
          <w:rFonts w:cs="Calibri"/>
          <w:i/>
          <w:iCs/>
        </w:rPr>
        <w:t>Linked Programs</w:t>
      </w:r>
      <w:r w:rsidR="0015783F" w:rsidRPr="00150391">
        <w:rPr>
          <w:rStyle w:val="BodyTextChar"/>
          <w:rFonts w:cs="Calibri"/>
        </w:rPr>
        <w:t xml:space="preserve"> heading in the Word template</w:t>
      </w:r>
      <w:r w:rsidR="00ED6CA3" w:rsidRPr="00150391">
        <w:rPr>
          <w:rStyle w:val="BodyTextChar"/>
          <w:rFonts w:cs="Calibri"/>
        </w:rPr>
        <w:t xml:space="preserve"> (</w:t>
      </w:r>
      <w:r w:rsidR="00ED6CA3" w:rsidRPr="00150391">
        <w:rPr>
          <w:rStyle w:val="BodyTextChar"/>
          <w:rFonts w:cs="Calibri"/>
          <w:u w:val="single"/>
        </w:rPr>
        <w:t>Attachment C</w:t>
      </w:r>
      <w:r w:rsidR="00ED6CA3" w:rsidRPr="00150391">
        <w:rPr>
          <w:rStyle w:val="BodyTextChar"/>
          <w:rFonts w:cs="Calibri"/>
        </w:rPr>
        <w:t>)</w:t>
      </w:r>
      <w:r w:rsidR="0015783F" w:rsidRPr="00150391">
        <w:rPr>
          <w:rStyle w:val="BodyTextChar"/>
          <w:rFonts w:cs="Calibri"/>
        </w:rPr>
        <w:t>. The red text provides a description of what information is to be provided in each row.</w:t>
      </w:r>
    </w:p>
    <w:p w14:paraId="57EB040B" w14:textId="77777777" w:rsidR="0015783F" w:rsidRPr="00150391" w:rsidRDefault="009A1479" w:rsidP="001D30A2">
      <w:pPr>
        <w:spacing w:before="0"/>
        <w:rPr>
          <w:rStyle w:val="BodyTextChar"/>
          <w:rFonts w:cs="Calibri"/>
        </w:rPr>
      </w:pPr>
      <w:r w:rsidRPr="00150391">
        <w:rPr>
          <w:rFonts w:cs="Calibri"/>
          <w:noProof/>
          <w:lang w:eastAsia="en-AU"/>
        </w:rPr>
        <w:drawing>
          <wp:inline distT="0" distB="0" distL="0" distR="0" wp14:anchorId="4E1A0081" wp14:editId="569234FF">
            <wp:extent cx="5521960" cy="3404235"/>
            <wp:effectExtent l="0" t="0" r="254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srcRect t="1951"/>
                    <a:stretch/>
                  </pic:blipFill>
                  <pic:spPr bwMode="auto">
                    <a:xfrm>
                      <a:off x="0" y="0"/>
                      <a:ext cx="5533279" cy="3411213"/>
                    </a:xfrm>
                    <a:prstGeom prst="rect">
                      <a:avLst/>
                    </a:prstGeom>
                    <a:ln>
                      <a:noFill/>
                    </a:ln>
                    <a:extLst>
                      <a:ext uri="{53640926-AAD7-44D8-BBD7-CCE9431645EC}">
                        <a14:shadowObscured xmlns:a14="http://schemas.microsoft.com/office/drawing/2010/main"/>
                      </a:ext>
                    </a:extLst>
                  </pic:spPr>
                </pic:pic>
              </a:graphicData>
            </a:graphic>
          </wp:inline>
        </w:drawing>
      </w:r>
    </w:p>
    <w:p w14:paraId="1DADD46E" w14:textId="430C9F3C" w:rsidR="00FA0945" w:rsidRDefault="00FA0945" w:rsidP="000A7DEC">
      <w:pPr>
        <w:rPr>
          <w:rFonts w:cs="Calibri"/>
        </w:rPr>
      </w:pPr>
      <w:r w:rsidRPr="00150391">
        <w:rPr>
          <w:rFonts w:cs="Calibri"/>
        </w:rPr>
        <w:t>Where linked programs are covered by a cross-entity arrangement (</w:t>
      </w:r>
      <w:r w:rsidR="00D775DB" w:rsidRPr="00150391">
        <w:rPr>
          <w:rFonts w:cs="Calibri"/>
        </w:rPr>
        <w:t>i.e.</w:t>
      </w:r>
      <w:r w:rsidRPr="00150391">
        <w:rPr>
          <w:rFonts w:cs="Calibri"/>
        </w:rPr>
        <w:t xml:space="preserve"> a Memorandum of Understanding) or an intergovernmental agreement (</w:t>
      </w:r>
      <w:r w:rsidR="00D775DB" w:rsidRPr="00150391">
        <w:rPr>
          <w:rFonts w:cs="Calibri"/>
        </w:rPr>
        <w:t>i.e.</w:t>
      </w:r>
      <w:r w:rsidRPr="00150391">
        <w:rPr>
          <w:rFonts w:cs="Calibri"/>
        </w:rPr>
        <w:t xml:space="preserve"> a National Partnership Agreement) </w:t>
      </w:r>
      <w:r w:rsidR="00D47BA8" w:rsidRPr="00150391">
        <w:rPr>
          <w:rFonts w:cs="Calibri"/>
        </w:rPr>
        <w:t xml:space="preserve">entities are encouraged to </w:t>
      </w:r>
      <w:r w:rsidRPr="00150391">
        <w:rPr>
          <w:rFonts w:cs="Calibri"/>
        </w:rPr>
        <w:t xml:space="preserve">name this arrangement </w:t>
      </w:r>
      <w:r w:rsidR="00D47BA8" w:rsidRPr="00150391">
        <w:rPr>
          <w:rFonts w:cs="Calibri"/>
        </w:rPr>
        <w:t>in the explanation of the</w:t>
      </w:r>
      <w:r w:rsidRPr="00150391">
        <w:rPr>
          <w:rFonts w:cs="Calibri"/>
        </w:rPr>
        <w:t xml:space="preserve"> </w:t>
      </w:r>
      <w:r w:rsidR="00D47BA8" w:rsidRPr="00150391">
        <w:rPr>
          <w:rFonts w:cs="Calibri"/>
        </w:rPr>
        <w:t>l</w:t>
      </w:r>
      <w:r w:rsidRPr="00150391">
        <w:rPr>
          <w:rFonts w:cs="Calibri"/>
        </w:rPr>
        <w:t>inked programs.</w:t>
      </w:r>
    </w:p>
    <w:p w14:paraId="40FE3080" w14:textId="77777777" w:rsidR="00C903B0" w:rsidRDefault="00C903B0" w:rsidP="000A7DEC">
      <w:pPr>
        <w:rPr>
          <w:rFonts w:cs="Calibri"/>
        </w:rPr>
        <w:sectPr w:rsidR="00C903B0" w:rsidSect="00C32EB7">
          <w:pgSz w:w="11900" w:h="16840" w:code="9"/>
          <w:pgMar w:top="1418" w:right="1418" w:bottom="1276" w:left="1418" w:header="510" w:footer="510" w:gutter="0"/>
          <w:cols w:space="708"/>
          <w:docGrid w:linePitch="360"/>
        </w:sectPr>
      </w:pPr>
    </w:p>
    <w:p w14:paraId="0F2A0CF7" w14:textId="77777777" w:rsidR="00FA0945" w:rsidRPr="00150391" w:rsidRDefault="53BF0693" w:rsidP="53BF0693">
      <w:pPr>
        <w:pStyle w:val="Heading2Numbered"/>
        <w:rPr>
          <w:rFonts w:ascii="Calibri" w:hAnsi="Calibri" w:cs="Calibri"/>
        </w:rPr>
      </w:pPr>
      <w:bookmarkStart w:id="608" w:name="_Toc63357890"/>
      <w:bookmarkStart w:id="609" w:name="_Toc65165122"/>
      <w:bookmarkStart w:id="610" w:name="_Toc65230625"/>
      <w:bookmarkStart w:id="611" w:name="_Toc534458882"/>
      <w:bookmarkStart w:id="612" w:name="_Toc534459671"/>
      <w:bookmarkStart w:id="613" w:name="_Toc534519166"/>
      <w:bookmarkStart w:id="614" w:name="_Toc534520076"/>
      <w:bookmarkStart w:id="615" w:name="_Toc534520346"/>
      <w:bookmarkStart w:id="616" w:name="_Toc534527558"/>
      <w:bookmarkStart w:id="617" w:name="_Toc534528288"/>
      <w:bookmarkStart w:id="618" w:name="_Toc534803509"/>
      <w:bookmarkStart w:id="619" w:name="_Toc534814200"/>
      <w:bookmarkStart w:id="620" w:name="_Toc536108573"/>
      <w:bookmarkStart w:id="621" w:name="_Toc536802121"/>
      <w:bookmarkStart w:id="622" w:name="_Toc411852681"/>
      <w:bookmarkStart w:id="623" w:name="_Toc534382564"/>
      <w:bookmarkStart w:id="624" w:name="_Toc63347715"/>
      <w:bookmarkStart w:id="625" w:name="_Toc11457630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150391">
        <w:rPr>
          <w:rFonts w:ascii="Calibri" w:hAnsi="Calibri" w:cs="Calibri"/>
        </w:rPr>
        <w:t>Budgeted expenses by outcome table</w:t>
      </w:r>
      <w:bookmarkEnd w:id="622"/>
      <w:bookmarkEnd w:id="623"/>
      <w:bookmarkEnd w:id="624"/>
      <w:bookmarkEnd w:id="625"/>
    </w:p>
    <w:p w14:paraId="5B402783" w14:textId="77777777" w:rsidR="00FA0945" w:rsidRPr="00150391" w:rsidRDefault="53BF0693" w:rsidP="00580008">
      <w:pPr>
        <w:pStyle w:val="Boxed2Text"/>
        <w:rPr>
          <w:rFonts w:cs="Calibri"/>
        </w:rPr>
      </w:pPr>
      <w:r w:rsidRPr="00150391">
        <w:rPr>
          <w:rFonts w:cs="Calibri"/>
        </w:rPr>
        <w:t>The template for this table can be found in the “</w:t>
      </w:r>
      <w:r w:rsidRPr="00150391">
        <w:rPr>
          <w:rFonts w:cs="Calibri"/>
          <w:i/>
          <w:iCs/>
        </w:rPr>
        <w:t>Table 2.X.1</w:t>
      </w:r>
      <w:r w:rsidRPr="00150391">
        <w:rPr>
          <w:rFonts w:cs="Calibri"/>
        </w:rPr>
        <w:t>” tab</w:t>
      </w:r>
      <w:r w:rsidRPr="00150391">
        <w:rPr>
          <w:rStyle w:val="BodyTextChar"/>
          <w:rFonts w:cs="Calibri"/>
        </w:rPr>
        <w:t xml:space="preserve"> of the Excel Tables workbook (</w:t>
      </w:r>
      <w:r w:rsidRPr="00150391">
        <w:rPr>
          <w:rStyle w:val="BodyTextChar"/>
          <w:rFonts w:cs="Calibri"/>
          <w:u w:val="single"/>
        </w:rPr>
        <w:t>Attachment B</w:t>
      </w:r>
      <w:r w:rsidRPr="00150391">
        <w:rPr>
          <w:rStyle w:val="BodyTextChar"/>
          <w:rFonts w:cs="Calibri"/>
        </w:rPr>
        <w:t xml:space="preserve"> refers). There is a template for non-corporate Commonwealth entities (coloured green) and a template for corporate Commonwealth entities and Commonwealth companies (coloured red).</w:t>
      </w:r>
    </w:p>
    <w:p w14:paraId="4738BDE2" w14:textId="77777777" w:rsidR="00FA0945" w:rsidRPr="00150391" w:rsidRDefault="53BF0693" w:rsidP="000A7DEC">
      <w:pPr>
        <w:rPr>
          <w:rFonts w:cs="Calibri"/>
        </w:rPr>
      </w:pPr>
      <w:r w:rsidRPr="00150391">
        <w:rPr>
          <w:rStyle w:val="BodyTextChar"/>
          <w:rFonts w:cs="Calibri"/>
        </w:rPr>
        <w:t>The</w:t>
      </w:r>
      <w:r w:rsidRPr="00150391">
        <w:rPr>
          <w:rStyle w:val="BodyTextChar"/>
          <w:rFonts w:cs="Calibri"/>
          <w:i/>
          <w:iCs/>
        </w:rPr>
        <w:t xml:space="preserve"> Budgeted expenses by Outcome table (Table 2.X.1)</w:t>
      </w:r>
      <w:r w:rsidRPr="00150391">
        <w:rPr>
          <w:rStyle w:val="BodyTextChar"/>
          <w:rFonts w:cs="Calibri"/>
        </w:rPr>
        <w:t xml:space="preserve"> provides detail of an entity’s </w:t>
      </w:r>
      <w:r w:rsidRPr="00150391">
        <w:rPr>
          <w:rStyle w:val="BodyTextChar"/>
          <w:rFonts w:cs="Calibri"/>
          <w:b/>
          <w:bCs/>
        </w:rPr>
        <w:t>programs</w:t>
      </w:r>
      <w:r w:rsidRPr="00150391">
        <w:rPr>
          <w:rStyle w:val="BodyTextChar"/>
          <w:rFonts w:cs="Calibri"/>
        </w:rPr>
        <w:t xml:space="preserve"> and </w:t>
      </w:r>
      <w:r w:rsidRPr="00150391">
        <w:rPr>
          <w:rStyle w:val="BodyTextChar"/>
          <w:rFonts w:cs="Calibri"/>
          <w:b/>
          <w:bCs/>
        </w:rPr>
        <w:t>expenses</w:t>
      </w:r>
      <w:r w:rsidRPr="00150391">
        <w:rPr>
          <w:rStyle w:val="BodyTextChar"/>
          <w:rFonts w:cs="Calibri"/>
        </w:rPr>
        <w:t xml:space="preserve">. In particular, this table shows the proposed </w:t>
      </w:r>
      <w:r w:rsidRPr="00150391">
        <w:rPr>
          <w:rStyle w:val="BodyTextChar"/>
          <w:rFonts w:cs="Calibri"/>
          <w:b/>
          <w:bCs/>
        </w:rPr>
        <w:t>use</w:t>
      </w:r>
      <w:r w:rsidRPr="00150391">
        <w:rPr>
          <w:rStyle w:val="BodyTextChar"/>
          <w:rFonts w:cs="Calibri"/>
        </w:rPr>
        <w:t xml:space="preserve"> of appropriations, and links this expenditure to the entity’s financial statements (specifically the income statement). It provides a breakdown of total expenses for each outcome by funding source, and a short description of each outcome and program. A separate table should be prepared for each outcome. </w:t>
      </w:r>
    </w:p>
    <w:p w14:paraId="66D95327" w14:textId="3BBDED91" w:rsidR="00FA0945" w:rsidRPr="00150391" w:rsidRDefault="00FA0945" w:rsidP="6B6EE5C4">
      <w:pPr>
        <w:pStyle w:val="Bullet1"/>
        <w:rPr>
          <w:rStyle w:val="BodyTextChar"/>
          <w:rFonts w:ascii="Calibri" w:hAnsi="Calibri" w:cs="Calibri"/>
        </w:rPr>
      </w:pPr>
      <w:r w:rsidRPr="00150391">
        <w:rPr>
          <w:rStyle w:val="BodyTextChar"/>
          <w:rFonts w:ascii="Calibri" w:hAnsi="Calibri" w:cs="Calibri"/>
        </w:rPr>
        <w:t xml:space="preserve">Where an entity wishes to describe a program in greater detail, for example, where it is made up of </w:t>
      </w:r>
      <w:r w:rsidR="00EB2E04" w:rsidRPr="00150391">
        <w:rPr>
          <w:rStyle w:val="BodyTextChar"/>
          <w:rFonts w:ascii="Calibri" w:hAnsi="Calibri" w:cs="Calibri"/>
        </w:rPr>
        <w:t>several</w:t>
      </w:r>
      <w:r w:rsidRPr="00150391">
        <w:rPr>
          <w:rStyle w:val="BodyTextChar"/>
          <w:rFonts w:ascii="Calibri" w:hAnsi="Calibri" w:cs="Calibri"/>
        </w:rPr>
        <w:t xml:space="preserve"> sub-components, this should be done in </w:t>
      </w:r>
      <w:r w:rsidRPr="00150391">
        <w:rPr>
          <w:rStyle w:val="BodyTextChar"/>
          <w:rFonts w:ascii="Calibri" w:hAnsi="Calibri" w:cs="Calibri"/>
          <w:i/>
          <w:iCs/>
        </w:rPr>
        <w:t>Table 2.X.2: Program components</w:t>
      </w:r>
      <w:r w:rsidRPr="00150391">
        <w:rPr>
          <w:rStyle w:val="BodyTextChar"/>
          <w:rFonts w:ascii="Calibri" w:hAnsi="Calibri" w:cs="Calibri"/>
        </w:rPr>
        <w:t xml:space="preserve"> (described in </w:t>
      </w:r>
      <w:r w:rsidR="006C2F6D" w:rsidRPr="00150391">
        <w:rPr>
          <w:rStyle w:val="BodyTextChar"/>
          <w:rFonts w:ascii="Calibri" w:hAnsi="Calibri" w:cs="Calibri"/>
        </w:rPr>
        <w:t>s</w:t>
      </w:r>
      <w:r w:rsidRPr="00150391">
        <w:rPr>
          <w:rStyle w:val="BodyTextChar"/>
          <w:rFonts w:ascii="Calibri" w:hAnsi="Calibri" w:cs="Calibri"/>
        </w:rPr>
        <w:t xml:space="preserve">ection </w:t>
      </w:r>
      <w:r w:rsidR="006C2F6D" w:rsidRPr="002B4935">
        <w:rPr>
          <w:rStyle w:val="CrossReferenceChar"/>
          <w:rFonts w:ascii="Calibri" w:hAnsi="Calibri" w:cs="Calibri"/>
          <w:color w:val="0070C0"/>
        </w:rPr>
        <w:fldChar w:fldCharType="begin"/>
      </w:r>
      <w:r w:rsidR="006C2F6D" w:rsidRPr="002B4935">
        <w:rPr>
          <w:rStyle w:val="CrossReferenceChar"/>
          <w:rFonts w:ascii="Calibri" w:hAnsi="Calibri" w:cs="Calibri"/>
          <w:color w:val="0070C0"/>
        </w:rPr>
        <w:instrText xml:space="preserve"> REF _Ref33523258 \r \h  \* MERGEFORMAT </w:instrText>
      </w:r>
      <w:r w:rsidR="006C2F6D" w:rsidRPr="002B4935">
        <w:rPr>
          <w:rStyle w:val="CrossReferenceChar"/>
          <w:rFonts w:ascii="Calibri" w:hAnsi="Calibri" w:cs="Calibri"/>
          <w:color w:val="0070C0"/>
        </w:rPr>
      </w:r>
      <w:r w:rsidR="006C2F6D" w:rsidRPr="002B4935">
        <w:rPr>
          <w:rStyle w:val="CrossReferenceChar"/>
          <w:rFonts w:ascii="Calibri" w:hAnsi="Calibri" w:cs="Calibri"/>
          <w:color w:val="0070C0"/>
        </w:rPr>
        <w:fldChar w:fldCharType="separate"/>
      </w:r>
      <w:r w:rsidR="0073409A">
        <w:rPr>
          <w:rStyle w:val="CrossReferenceChar"/>
          <w:rFonts w:ascii="Calibri" w:hAnsi="Calibri" w:cs="Calibri"/>
          <w:color w:val="0070C0"/>
        </w:rPr>
        <w:t>10.6</w:t>
      </w:r>
      <w:r w:rsidR="006C2F6D" w:rsidRPr="002B4935">
        <w:rPr>
          <w:rStyle w:val="CrossReferenceChar"/>
          <w:rFonts w:ascii="Calibri" w:hAnsi="Calibri" w:cs="Calibri"/>
          <w:color w:val="0070C0"/>
        </w:rPr>
        <w:fldChar w:fldCharType="end"/>
      </w:r>
      <w:r w:rsidR="006C2F6D" w:rsidRPr="002B4935">
        <w:rPr>
          <w:rStyle w:val="CrossReferenceChar"/>
          <w:rFonts w:ascii="Calibri" w:hAnsi="Calibri" w:cs="Calibri"/>
          <w:color w:val="0070C0"/>
        </w:rPr>
        <w:t xml:space="preserve"> </w:t>
      </w:r>
      <w:r w:rsidR="006C2F6D" w:rsidRPr="002B4935">
        <w:rPr>
          <w:rStyle w:val="CrossReferenceChar"/>
          <w:rFonts w:ascii="Calibri" w:hAnsi="Calibri" w:cs="Calibri"/>
          <w:color w:val="0070C0"/>
        </w:rPr>
        <w:fldChar w:fldCharType="begin"/>
      </w:r>
      <w:r w:rsidR="006C2F6D" w:rsidRPr="002B4935">
        <w:rPr>
          <w:rStyle w:val="CrossReferenceChar"/>
          <w:rFonts w:ascii="Calibri" w:hAnsi="Calibri" w:cs="Calibri"/>
          <w:color w:val="0070C0"/>
        </w:rPr>
        <w:instrText xml:space="preserve"> REF _Ref33523261 \h  \* MERGEFORMAT </w:instrText>
      </w:r>
      <w:r w:rsidR="006C2F6D" w:rsidRPr="002B4935">
        <w:rPr>
          <w:rStyle w:val="CrossReferenceChar"/>
          <w:rFonts w:ascii="Calibri" w:hAnsi="Calibri" w:cs="Calibri"/>
          <w:color w:val="0070C0"/>
        </w:rPr>
      </w:r>
      <w:r w:rsidR="006C2F6D" w:rsidRPr="002B4935">
        <w:rPr>
          <w:rStyle w:val="CrossReferenceChar"/>
          <w:rFonts w:ascii="Calibri" w:hAnsi="Calibri" w:cs="Calibri"/>
          <w:color w:val="0070C0"/>
        </w:rPr>
        <w:fldChar w:fldCharType="separate"/>
      </w:r>
      <w:r w:rsidR="0073409A" w:rsidRPr="0073409A">
        <w:rPr>
          <w:rStyle w:val="CrossReferenceChar"/>
          <w:color w:val="0070C0"/>
        </w:rPr>
        <w:t>Program components</w:t>
      </w:r>
      <w:r w:rsidR="006C2F6D" w:rsidRPr="002B4935">
        <w:rPr>
          <w:rStyle w:val="CrossReferenceChar"/>
          <w:rFonts w:ascii="Calibri" w:hAnsi="Calibri" w:cs="Calibri"/>
          <w:color w:val="0070C0"/>
        </w:rPr>
        <w:fldChar w:fldCharType="end"/>
      </w:r>
      <w:r w:rsidRPr="00150391">
        <w:rPr>
          <w:rStyle w:val="BodyTextChar"/>
          <w:rFonts w:ascii="Calibri" w:eastAsiaTheme="minorEastAsia" w:hAnsi="Calibri" w:cs="Calibri"/>
        </w:rPr>
        <w:t>).</w:t>
      </w:r>
      <w:r w:rsidRPr="00150391">
        <w:rPr>
          <w:rStyle w:val="BodyTextChar"/>
          <w:rFonts w:ascii="Calibri" w:hAnsi="Calibri" w:cs="Calibri"/>
        </w:rPr>
        <w:t xml:space="preserve"> </w:t>
      </w:r>
    </w:p>
    <w:p w14:paraId="3A57E705" w14:textId="0B02BB2A" w:rsidR="00FA0945" w:rsidRPr="00150391" w:rsidRDefault="00FA0945" w:rsidP="53BF0693">
      <w:pPr>
        <w:rPr>
          <w:rStyle w:val="BodyTextChar"/>
          <w:rFonts w:cs="Calibri"/>
        </w:rPr>
      </w:pPr>
      <w:r w:rsidRPr="00150391">
        <w:rPr>
          <w:rStyle w:val="BodyTextChar"/>
          <w:rFonts w:cs="Calibri"/>
          <w:i/>
          <w:iCs/>
        </w:rPr>
        <w:t>Table 2.X.1</w:t>
      </w:r>
      <w:r w:rsidRPr="00150391">
        <w:rPr>
          <w:rStyle w:val="BodyTextChar"/>
          <w:rFonts w:cs="Calibri"/>
        </w:rPr>
        <w:t xml:space="preserve"> also provides an estimate of ASL by outcome for the budget and prior year. The total ASL figures across all outcomes should reconcile with the ASL figures to be published in BP No. 4 and the entity-level total included at the bottom of </w:t>
      </w:r>
      <w:r w:rsidRPr="00150391">
        <w:rPr>
          <w:rStyle w:val="BodyTextChar"/>
          <w:rFonts w:cs="Calibri"/>
          <w:i/>
          <w:iCs/>
        </w:rPr>
        <w:t>Table 1.1: Entity Resource Statement</w:t>
      </w:r>
      <w:r w:rsidRPr="00150391">
        <w:rPr>
          <w:rStyle w:val="BodyTextChar"/>
          <w:rFonts w:cs="Calibri"/>
        </w:rPr>
        <w:t>. Please refer to the latest Finance guidance on ASL</w:t>
      </w:r>
      <w:r w:rsidR="00935A98" w:rsidRPr="00150391">
        <w:rPr>
          <w:rStyle w:val="BodyTextChar"/>
          <w:rFonts w:cs="Calibri"/>
        </w:rPr>
        <w:t>.</w:t>
      </w:r>
      <w:r w:rsidRPr="00150391">
        <w:rPr>
          <w:rStyle w:val="BodyTextChar"/>
          <w:rFonts w:cs="Calibri"/>
        </w:rPr>
        <w:t xml:space="preserve"> </w:t>
      </w:r>
      <w:r w:rsidR="00935A98" w:rsidRPr="00150391">
        <w:rPr>
          <w:rStyle w:val="BodyTextChar"/>
          <w:rFonts w:cs="Calibri"/>
        </w:rPr>
        <w:t>F</w:t>
      </w:r>
      <w:r w:rsidRPr="00150391">
        <w:rPr>
          <w:rStyle w:val="BodyTextChar"/>
          <w:rFonts w:cs="Calibri"/>
        </w:rPr>
        <w:t>or more information on ASL reporting</w:t>
      </w:r>
      <w:r w:rsidR="00935A98" w:rsidRPr="00150391">
        <w:rPr>
          <w:rStyle w:val="BodyTextChar"/>
          <w:rFonts w:cs="Calibri"/>
        </w:rPr>
        <w:t>,</w:t>
      </w:r>
      <w:r w:rsidRPr="00150391">
        <w:rPr>
          <w:rStyle w:val="BodyTextChar"/>
          <w:rFonts w:cs="Calibri"/>
        </w:rPr>
        <w:t xml:space="preserve"> contacts are provided </w:t>
      </w:r>
      <w:r w:rsidR="00D45389" w:rsidRPr="00150391">
        <w:rPr>
          <w:rStyle w:val="BodyTextChar"/>
          <w:rFonts w:cs="Calibri"/>
        </w:rPr>
        <w:t xml:space="preserve">in </w:t>
      </w:r>
      <w:r w:rsidR="003600A3" w:rsidRPr="00150391">
        <w:rPr>
          <w:rStyle w:val="BodyTextChar"/>
          <w:rFonts w:cs="Calibri"/>
        </w:rPr>
        <w:t>s</w:t>
      </w:r>
      <w:r w:rsidR="00D45389" w:rsidRPr="00150391">
        <w:rPr>
          <w:rStyle w:val="BodyTextChar"/>
          <w:rFonts w:cs="Calibri"/>
        </w:rPr>
        <w:t xml:space="preserve">ection </w:t>
      </w:r>
      <w:r w:rsidR="003600A3" w:rsidRPr="002B4935">
        <w:rPr>
          <w:rStyle w:val="CrossReferenceChar"/>
          <w:rFonts w:cs="Calibri"/>
          <w:color w:val="0070C0"/>
        </w:rPr>
        <w:fldChar w:fldCharType="begin"/>
      </w:r>
      <w:r w:rsidR="003600A3" w:rsidRPr="002B4935">
        <w:rPr>
          <w:rStyle w:val="CrossReferenceChar"/>
          <w:rFonts w:cs="Calibri"/>
          <w:color w:val="0070C0"/>
        </w:rPr>
        <w:instrText xml:space="preserve"> REF _Ref61532163 \w \h </w:instrText>
      </w:r>
      <w:r w:rsidR="00A41B4E" w:rsidRPr="002B4935">
        <w:rPr>
          <w:rStyle w:val="CrossReferenceChar"/>
          <w:rFonts w:cs="Calibri"/>
          <w:color w:val="0070C0"/>
        </w:rPr>
        <w:instrText xml:space="preserve"> \* MERGEFORMAT </w:instrText>
      </w:r>
      <w:r w:rsidR="003600A3" w:rsidRPr="002B4935">
        <w:rPr>
          <w:rStyle w:val="CrossReferenceChar"/>
          <w:rFonts w:cs="Calibri"/>
          <w:color w:val="0070C0"/>
        </w:rPr>
      </w:r>
      <w:r w:rsidR="003600A3" w:rsidRPr="002B4935">
        <w:rPr>
          <w:rStyle w:val="CrossReferenceChar"/>
          <w:rFonts w:cs="Calibri"/>
          <w:color w:val="0070C0"/>
        </w:rPr>
        <w:fldChar w:fldCharType="separate"/>
      </w:r>
      <w:r w:rsidR="0073409A">
        <w:rPr>
          <w:rStyle w:val="CrossReferenceChar"/>
          <w:rFonts w:cs="Calibri"/>
          <w:color w:val="0070C0"/>
        </w:rPr>
        <w:t>8.3</w:t>
      </w:r>
      <w:r w:rsidR="003600A3" w:rsidRPr="002B4935">
        <w:rPr>
          <w:rStyle w:val="CrossReferenceChar"/>
          <w:rFonts w:cs="Calibri"/>
          <w:color w:val="0070C0"/>
        </w:rPr>
        <w:fldChar w:fldCharType="end"/>
      </w:r>
      <w:r w:rsidR="003600A3" w:rsidRPr="002B4935">
        <w:rPr>
          <w:rStyle w:val="CrossReferenceChar"/>
          <w:rFonts w:cs="Calibri"/>
          <w:color w:val="0070C0"/>
        </w:rPr>
        <w:t xml:space="preserve"> </w:t>
      </w:r>
      <w:r w:rsidR="003600A3" w:rsidRPr="002B4935">
        <w:rPr>
          <w:rStyle w:val="CrossReferenceChar"/>
          <w:rFonts w:cs="Calibri"/>
          <w:color w:val="0070C0"/>
        </w:rPr>
        <w:fldChar w:fldCharType="begin"/>
      </w:r>
      <w:r w:rsidR="003600A3" w:rsidRPr="002B4935">
        <w:rPr>
          <w:rStyle w:val="CrossReferenceChar"/>
          <w:rFonts w:cs="Calibri"/>
          <w:color w:val="0070C0"/>
        </w:rPr>
        <w:instrText xml:space="preserve"> REF _Ref61532167 \h </w:instrText>
      </w:r>
      <w:r w:rsidR="00B31ED0" w:rsidRPr="002B4935">
        <w:rPr>
          <w:rStyle w:val="CrossReferenceChar"/>
          <w:rFonts w:cs="Calibri"/>
          <w:color w:val="0070C0"/>
        </w:rPr>
        <w:instrText xml:space="preserve"> \* MERGEFORMAT </w:instrText>
      </w:r>
      <w:r w:rsidR="003600A3" w:rsidRPr="002B4935">
        <w:rPr>
          <w:rStyle w:val="CrossReferenceChar"/>
          <w:rFonts w:cs="Calibri"/>
          <w:color w:val="0070C0"/>
        </w:rPr>
      </w:r>
      <w:r w:rsidR="003600A3" w:rsidRPr="002B4935">
        <w:rPr>
          <w:rStyle w:val="CrossReferenceChar"/>
          <w:rFonts w:cs="Calibri"/>
          <w:color w:val="0070C0"/>
        </w:rPr>
        <w:fldChar w:fldCharType="separate"/>
      </w:r>
      <w:r w:rsidR="0073409A" w:rsidRPr="0073409A">
        <w:rPr>
          <w:rStyle w:val="CrossReferenceChar"/>
          <w:color w:val="0070C0"/>
        </w:rPr>
        <w:t>Resource statement sections</w:t>
      </w:r>
      <w:r w:rsidR="003600A3" w:rsidRPr="002B4935">
        <w:rPr>
          <w:rStyle w:val="CrossReferenceChar"/>
          <w:rFonts w:cs="Calibri"/>
          <w:color w:val="0070C0"/>
        </w:rPr>
        <w:fldChar w:fldCharType="end"/>
      </w:r>
      <w:r w:rsidRPr="00150391">
        <w:rPr>
          <w:rStyle w:val="BodyTextChar"/>
          <w:rFonts w:cs="Calibri"/>
        </w:rPr>
        <w:t xml:space="preserve">. </w:t>
      </w:r>
    </w:p>
    <w:p w14:paraId="59467B37" w14:textId="77777777" w:rsidR="00FA0945" w:rsidRPr="00150391" w:rsidRDefault="53BF0693" w:rsidP="53BF0693">
      <w:pPr>
        <w:rPr>
          <w:rStyle w:val="BodyTextChar"/>
          <w:rFonts w:cs="Calibri"/>
        </w:rPr>
      </w:pPr>
      <w:r w:rsidRPr="00150391">
        <w:rPr>
          <w:rStyle w:val="BodyTextChar"/>
          <w:rFonts w:cs="Calibri"/>
          <w:i/>
          <w:iCs/>
        </w:rPr>
        <w:t>Table 2.X.1</w:t>
      </w:r>
      <w:r w:rsidRPr="00150391">
        <w:rPr>
          <w:rStyle w:val="BodyTextChar"/>
          <w:rFonts w:cs="Calibri"/>
        </w:rPr>
        <w:t xml:space="preserve"> also includes information on movement of administered funds agreed at an outcome and program-level. This section details the amount of unexpended annual administered funding which the </w:t>
      </w:r>
      <w:r w:rsidR="006418EA" w:rsidRPr="00150391">
        <w:rPr>
          <w:rStyle w:val="BodyTextChar"/>
          <w:rFonts w:cs="Calibri"/>
        </w:rPr>
        <w:t>government</w:t>
      </w:r>
      <w:r w:rsidRPr="00150391">
        <w:rPr>
          <w:rStyle w:val="BodyTextChar"/>
          <w:rFonts w:cs="Calibri"/>
        </w:rPr>
        <w:t xml:space="preserve"> has agreed to reallocate from current or a prior financial years to the budget and forward years (</w:t>
      </w:r>
      <w:r w:rsidR="0007613A" w:rsidRPr="00150391">
        <w:rPr>
          <w:rStyle w:val="BodyTextChar"/>
          <w:rFonts w:cs="Calibri"/>
        </w:rPr>
        <w:t>2022</w:t>
      </w:r>
      <w:r w:rsidRPr="00150391">
        <w:rPr>
          <w:rStyle w:val="BodyTextChar"/>
          <w:rFonts w:cs="Calibri"/>
        </w:rPr>
        <w:t>-</w:t>
      </w:r>
      <w:r w:rsidR="0007613A" w:rsidRPr="00150391">
        <w:rPr>
          <w:rStyle w:val="BodyTextChar"/>
          <w:rFonts w:cs="Calibri"/>
        </w:rPr>
        <w:t xml:space="preserve">23 </w:t>
      </w:r>
      <w:r w:rsidRPr="00150391">
        <w:rPr>
          <w:rStyle w:val="BodyTextChar"/>
          <w:rFonts w:cs="Calibri"/>
        </w:rPr>
        <w:t xml:space="preserve">to </w:t>
      </w:r>
      <w:r w:rsidR="0007613A" w:rsidRPr="00150391">
        <w:rPr>
          <w:rStyle w:val="BodyTextChar"/>
          <w:rFonts w:cs="Calibri"/>
        </w:rPr>
        <w:t>2025</w:t>
      </w:r>
      <w:r w:rsidRPr="00150391">
        <w:rPr>
          <w:rStyle w:val="BodyTextChar"/>
          <w:rFonts w:cs="Calibri"/>
        </w:rPr>
        <w:t>-</w:t>
      </w:r>
      <w:r w:rsidR="0007613A" w:rsidRPr="00150391">
        <w:rPr>
          <w:rStyle w:val="BodyTextChar"/>
          <w:rFonts w:cs="Calibri"/>
        </w:rPr>
        <w:t>26</w:t>
      </w:r>
      <w:r w:rsidRPr="00150391">
        <w:rPr>
          <w:rStyle w:val="BodyTextChar"/>
          <w:rFonts w:cs="Calibri"/>
        </w:rPr>
        <w:t>).</w:t>
      </w:r>
    </w:p>
    <w:p w14:paraId="7FF1C2FF" w14:textId="77777777" w:rsidR="00FA0945" w:rsidRPr="00150391" w:rsidRDefault="53BF0693" w:rsidP="53BF0693">
      <w:pPr>
        <w:rPr>
          <w:rStyle w:val="BodyTextChar"/>
          <w:rFonts w:cs="Calibri"/>
        </w:rPr>
      </w:pPr>
      <w:r w:rsidRPr="00150391">
        <w:rPr>
          <w:rStyle w:val="BodyTextChar"/>
          <w:rFonts w:cs="Calibri"/>
          <w:i/>
          <w:iCs/>
        </w:rPr>
        <w:t>Table 2.X.1</w:t>
      </w:r>
      <w:r w:rsidRPr="00150391">
        <w:rPr>
          <w:rStyle w:val="BodyTextChar"/>
          <w:rFonts w:cs="Calibri"/>
        </w:rPr>
        <w:t xml:space="preserve"> complements the </w:t>
      </w:r>
      <w:r w:rsidRPr="00150391">
        <w:rPr>
          <w:rStyle w:val="BodyTextChar"/>
          <w:rFonts w:cs="Calibri"/>
          <w:i/>
          <w:iCs/>
        </w:rPr>
        <w:t>Table 1.1: Entity resource statement</w:t>
      </w:r>
      <w:r w:rsidRPr="00150391">
        <w:rPr>
          <w:rStyle w:val="BodyTextChar"/>
          <w:rFonts w:cs="Calibri"/>
        </w:rPr>
        <w:t>, which in contrast, provides a summary of funding sources but not forecast expenditure.</w:t>
      </w:r>
    </w:p>
    <w:p w14:paraId="78D29E8E" w14:textId="77777777" w:rsidR="00FA0945" w:rsidRPr="00150391" w:rsidRDefault="53BF0693" w:rsidP="53BF0693">
      <w:pPr>
        <w:pStyle w:val="Heading3Numbered"/>
        <w:rPr>
          <w:rStyle w:val="BodyTextChar"/>
          <w:rFonts w:ascii="Calibri" w:eastAsiaTheme="majorEastAsia" w:hAnsi="Calibri" w:cs="Calibri"/>
        </w:rPr>
      </w:pPr>
      <w:bookmarkStart w:id="626" w:name="_Toc63347716"/>
      <w:bookmarkStart w:id="627" w:name="_Toc114576305"/>
      <w:r w:rsidRPr="00150391">
        <w:rPr>
          <w:rStyle w:val="BodyTextChar"/>
          <w:rFonts w:ascii="Calibri" w:eastAsiaTheme="majorEastAsia" w:hAnsi="Calibri" w:cs="Calibri"/>
        </w:rPr>
        <w:t>Minimum reporting requirements</w:t>
      </w:r>
      <w:bookmarkEnd w:id="626"/>
      <w:bookmarkEnd w:id="627"/>
    </w:p>
    <w:p w14:paraId="43199968" w14:textId="76FD040E"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A</w:t>
      </w:r>
      <w:r w:rsidR="53BF0693" w:rsidRPr="00150391">
        <w:rPr>
          <w:rStyle w:val="BodyTextChar"/>
          <w:rFonts w:ascii="Calibri" w:hAnsi="Calibri" w:cs="Calibri"/>
        </w:rPr>
        <w:t xml:space="preserve">t a minimum, there should be a </w:t>
      </w:r>
      <w:r w:rsidR="53BF0693" w:rsidRPr="00150391">
        <w:rPr>
          <w:rStyle w:val="BodyTextChar"/>
          <w:rFonts w:ascii="Calibri" w:hAnsi="Calibri" w:cs="Calibri"/>
          <w:i/>
          <w:iCs/>
        </w:rPr>
        <w:t>Table 2.X.1</w:t>
      </w:r>
      <w:r w:rsidR="53BF0693" w:rsidRPr="00150391">
        <w:rPr>
          <w:rStyle w:val="BodyTextChar"/>
          <w:rFonts w:ascii="Calibri" w:hAnsi="Calibri" w:cs="Calibri"/>
        </w:rPr>
        <w:t xml:space="preserve"> for each outcome delivered by an entity (where X is “1” for Outcome 1, “2” for Outcome 2, etc)</w:t>
      </w:r>
      <w:r w:rsidRPr="00150391">
        <w:rPr>
          <w:rStyle w:val="BodyTextChar"/>
          <w:rFonts w:ascii="Calibri" w:hAnsi="Calibri" w:cs="Calibri"/>
        </w:rPr>
        <w:t>.</w:t>
      </w:r>
    </w:p>
    <w:p w14:paraId="481F134E" w14:textId="6391912F"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T</w:t>
      </w:r>
      <w:r w:rsidR="53BF0693" w:rsidRPr="00150391">
        <w:rPr>
          <w:rStyle w:val="BodyTextChar"/>
          <w:rFonts w:ascii="Calibri" w:hAnsi="Calibri" w:cs="Calibri"/>
        </w:rPr>
        <w:t xml:space="preserve">he total budgeted expenses for all outcomes reported in </w:t>
      </w:r>
      <w:r w:rsidR="53BF0693" w:rsidRPr="00150391">
        <w:rPr>
          <w:rStyle w:val="BodyTextChar"/>
          <w:rFonts w:ascii="Calibri" w:hAnsi="Calibri" w:cs="Calibri"/>
          <w:i/>
          <w:iCs/>
        </w:rPr>
        <w:t>Table 2.X.1</w:t>
      </w:r>
      <w:r w:rsidR="53BF0693" w:rsidRPr="00150391">
        <w:rPr>
          <w:rStyle w:val="BodyTextChar"/>
          <w:rFonts w:ascii="Calibri" w:hAnsi="Calibri" w:cs="Calibri"/>
        </w:rPr>
        <w:t xml:space="preserve"> must equal the aggregate of total Departmental and Administered expenses </w:t>
      </w:r>
      <w:r w:rsidR="00F13710" w:rsidRPr="00150391">
        <w:rPr>
          <w:rStyle w:val="BodyTextChar"/>
          <w:rFonts w:ascii="Calibri" w:hAnsi="Calibri" w:cs="Calibri"/>
        </w:rPr>
        <w:t>included</w:t>
      </w:r>
      <w:r w:rsidR="53BF0693" w:rsidRPr="00150391">
        <w:rPr>
          <w:rStyle w:val="BodyTextChar"/>
          <w:rFonts w:ascii="Calibri" w:hAnsi="Calibri" w:cs="Calibri"/>
        </w:rPr>
        <w:t xml:space="preserve"> in the </w:t>
      </w:r>
      <w:r w:rsidR="53BF0693" w:rsidRPr="00150391">
        <w:rPr>
          <w:rStyle w:val="BodyTextChar"/>
          <w:rFonts w:ascii="Calibri" w:hAnsi="Calibri" w:cs="Calibri"/>
          <w:i/>
          <w:iCs/>
        </w:rPr>
        <w:t>Comprehensive income statement (Table 3.1)</w:t>
      </w:r>
      <w:r w:rsidR="53BF0693" w:rsidRPr="00150391">
        <w:rPr>
          <w:rStyle w:val="BodyTextChar"/>
          <w:rFonts w:ascii="Calibri" w:hAnsi="Calibri" w:cs="Calibri"/>
        </w:rPr>
        <w:t xml:space="preserve"> and </w:t>
      </w:r>
      <w:r w:rsidR="53BF0693" w:rsidRPr="00150391">
        <w:rPr>
          <w:rStyle w:val="BodyTextChar"/>
          <w:rFonts w:ascii="Calibri" w:hAnsi="Calibri" w:cs="Calibri"/>
          <w:i/>
          <w:iCs/>
        </w:rPr>
        <w:t xml:space="preserve">Schedule of budgeted income and expenses administered on behalf of </w:t>
      </w:r>
      <w:r w:rsidR="006418EA" w:rsidRPr="00150391">
        <w:rPr>
          <w:rStyle w:val="BodyTextChar"/>
          <w:rFonts w:ascii="Calibri" w:hAnsi="Calibri" w:cs="Calibri"/>
          <w:i/>
          <w:iCs/>
        </w:rPr>
        <w:t>government</w:t>
      </w:r>
      <w:r w:rsidR="53BF0693" w:rsidRPr="00150391">
        <w:rPr>
          <w:rStyle w:val="BodyTextChar"/>
          <w:rFonts w:ascii="Calibri" w:hAnsi="Calibri" w:cs="Calibri"/>
          <w:i/>
          <w:iCs/>
        </w:rPr>
        <w:t xml:space="preserve"> (Table 3.7)</w:t>
      </w:r>
      <w:r w:rsidRPr="00150391">
        <w:rPr>
          <w:rStyle w:val="BodyTextChar"/>
          <w:rFonts w:ascii="Calibri" w:hAnsi="Calibri" w:cs="Calibri"/>
          <w:i/>
          <w:iCs/>
        </w:rPr>
        <w:t>.</w:t>
      </w:r>
    </w:p>
    <w:p w14:paraId="6B348015" w14:textId="77777777"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T</w:t>
      </w:r>
      <w:r w:rsidR="53BF0693" w:rsidRPr="00150391">
        <w:rPr>
          <w:rStyle w:val="BodyTextChar"/>
          <w:rFonts w:ascii="Calibri" w:hAnsi="Calibri" w:cs="Calibri"/>
        </w:rPr>
        <w:t xml:space="preserve">otal expenses shown in </w:t>
      </w:r>
      <w:r w:rsidR="53BF0693" w:rsidRPr="00150391">
        <w:rPr>
          <w:rStyle w:val="BodyTextChar"/>
          <w:rFonts w:ascii="Calibri" w:hAnsi="Calibri" w:cs="Calibri"/>
          <w:i/>
          <w:iCs/>
        </w:rPr>
        <w:t>Table 2.X.1</w:t>
      </w:r>
      <w:r w:rsidR="53BF0693" w:rsidRPr="00150391">
        <w:rPr>
          <w:rStyle w:val="BodyTextChar"/>
          <w:rFonts w:ascii="Calibri" w:hAnsi="Calibri" w:cs="Calibri"/>
        </w:rPr>
        <w:t xml:space="preserve"> should reconcile to program and outcome expenses captured in CBMS</w:t>
      </w:r>
      <w:r w:rsidR="009772EE" w:rsidRPr="00150391">
        <w:rPr>
          <w:rStyle w:val="BodyTextChar"/>
          <w:rFonts w:ascii="Calibri" w:hAnsi="Calibri" w:cs="Calibri"/>
        </w:rPr>
        <w:t>.</w:t>
      </w:r>
    </w:p>
    <w:p w14:paraId="5822A348" w14:textId="77777777"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W</w:t>
      </w:r>
      <w:r w:rsidR="53BF0693" w:rsidRPr="00150391">
        <w:rPr>
          <w:rStyle w:val="BodyTextChar"/>
          <w:rFonts w:ascii="Calibri" w:hAnsi="Calibri" w:cs="Calibri"/>
        </w:rPr>
        <w:t>here amounts are drawn down from an annual or special appropriation and credited to a special account, please ensure that the expenses are not double counted, for example, by only showing the final expenses against the special account rather than the annual appropriation. Entities may wish to include a footnote describing such transfers at a program-level</w:t>
      </w:r>
      <w:r w:rsidRPr="00150391">
        <w:rPr>
          <w:rStyle w:val="BodyTextChar"/>
          <w:rFonts w:ascii="Calibri" w:hAnsi="Calibri" w:cs="Calibri"/>
        </w:rPr>
        <w:t>.</w:t>
      </w:r>
    </w:p>
    <w:p w14:paraId="43DEF286" w14:textId="77777777"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F</w:t>
      </w:r>
      <w:r w:rsidR="53BF0693" w:rsidRPr="00150391">
        <w:rPr>
          <w:rStyle w:val="BodyTextChar"/>
          <w:rFonts w:ascii="Calibri" w:hAnsi="Calibri" w:cs="Calibri"/>
        </w:rPr>
        <w:t xml:space="preserve">or </w:t>
      </w:r>
      <w:r w:rsidR="00396887" w:rsidRPr="00150391">
        <w:rPr>
          <w:rStyle w:val="BodyTextChar"/>
          <w:rFonts w:ascii="Calibri" w:hAnsi="Calibri" w:cs="Calibri"/>
        </w:rPr>
        <w:t>portfolio department</w:t>
      </w:r>
      <w:r w:rsidR="53BF0693" w:rsidRPr="00150391">
        <w:rPr>
          <w:rStyle w:val="BodyTextChar"/>
          <w:rFonts w:ascii="Calibri" w:hAnsi="Calibri" w:cs="Calibri"/>
        </w:rPr>
        <w:t>s, payments made to corporate entities should be disclosed as a separate line item under the relevant outcome and program</w:t>
      </w:r>
      <w:r w:rsidRPr="00150391">
        <w:rPr>
          <w:rStyle w:val="BodyTextChar"/>
          <w:rFonts w:ascii="Calibri" w:hAnsi="Calibri" w:cs="Calibri"/>
        </w:rPr>
        <w:t>.</w:t>
      </w:r>
    </w:p>
    <w:p w14:paraId="5B0AD1B3" w14:textId="77777777"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E</w:t>
      </w:r>
      <w:r w:rsidR="53BF0693" w:rsidRPr="00150391">
        <w:rPr>
          <w:rStyle w:val="BodyTextChar"/>
          <w:rFonts w:ascii="Calibri" w:hAnsi="Calibri" w:cs="Calibri"/>
        </w:rPr>
        <w:t>ntities are to report on the costs of delivering specific, administered programs – these are referred to as program support. As program support will typically include an apportionment of corporate/overhead expenses (in addition to direct costs), a reliable and consistent allocation methodology should be used by entities to produce accurate information</w:t>
      </w:r>
      <w:r w:rsidRPr="00150391">
        <w:rPr>
          <w:rStyle w:val="BodyTextChar"/>
          <w:rFonts w:ascii="Calibri" w:hAnsi="Calibri" w:cs="Calibri"/>
        </w:rPr>
        <w:t>.</w:t>
      </w:r>
    </w:p>
    <w:p w14:paraId="491BA3C2" w14:textId="77777777"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E</w:t>
      </w:r>
      <w:r w:rsidR="53BF0693" w:rsidRPr="00150391">
        <w:rPr>
          <w:rStyle w:val="BodyTextChar"/>
          <w:rFonts w:ascii="Calibri" w:hAnsi="Calibri" w:cs="Calibri"/>
        </w:rPr>
        <w:t>xpenses deemed to be “program support” are likely to be recorded against the “Other Departmental” program in CBMS. Where these expenses are apportioned as “program support”, entities should ensure that estimates presented in the Outcome expense tables overall reconcile to the data in CBMS</w:t>
      </w:r>
      <w:r w:rsidRPr="00150391">
        <w:rPr>
          <w:rStyle w:val="BodyTextChar"/>
          <w:rFonts w:ascii="Calibri" w:hAnsi="Calibri" w:cs="Calibri"/>
        </w:rPr>
        <w:t>.</w:t>
      </w:r>
    </w:p>
    <w:p w14:paraId="44661A40" w14:textId="77777777" w:rsidR="00FA0945" w:rsidRPr="00150391" w:rsidRDefault="53BF0693" w:rsidP="53BF0693">
      <w:pPr>
        <w:pStyle w:val="Bullet2"/>
        <w:rPr>
          <w:rStyle w:val="BodyTextChar"/>
          <w:rFonts w:cs="Calibri"/>
        </w:rPr>
      </w:pPr>
      <w:r w:rsidRPr="00150391">
        <w:rPr>
          <w:rStyle w:val="BodyTextChar"/>
          <w:rFonts w:cs="Calibri"/>
        </w:rPr>
        <w:t xml:space="preserve">“Other Departmental” must not be used as a program name in the </w:t>
      </w:r>
      <w:r w:rsidRPr="00150391">
        <w:rPr>
          <w:rFonts w:cs="Calibri"/>
        </w:rPr>
        <w:t>PB Statements</w:t>
      </w:r>
      <w:r w:rsidRPr="00150391">
        <w:rPr>
          <w:rStyle w:val="BodyTextChar"/>
          <w:rFonts w:cs="Calibri"/>
        </w:rPr>
        <w:t>. For CBMS programs named as “Other Departmental”, these should be reported in the PB Statements as either:</w:t>
      </w:r>
    </w:p>
    <w:p w14:paraId="1C09DBC0" w14:textId="77777777" w:rsidR="00FA0945" w:rsidRPr="00150391" w:rsidRDefault="53BF0693" w:rsidP="53BF0693">
      <w:pPr>
        <w:pStyle w:val="Bullet3"/>
        <w:rPr>
          <w:rStyle w:val="BodyTextChar"/>
          <w:rFonts w:cs="Calibri"/>
        </w:rPr>
      </w:pPr>
      <w:r w:rsidRPr="00150391">
        <w:rPr>
          <w:rStyle w:val="BodyTextChar"/>
          <w:rFonts w:cs="Calibri"/>
        </w:rPr>
        <w:t xml:space="preserve">“program support” or </w:t>
      </w:r>
    </w:p>
    <w:p w14:paraId="414007B4" w14:textId="627B9AE7" w:rsidR="00FA0945" w:rsidRPr="00150391" w:rsidRDefault="53BF0693" w:rsidP="53BF0693">
      <w:pPr>
        <w:pStyle w:val="Bullet3"/>
        <w:rPr>
          <w:rStyle w:val="BodyTextChar"/>
          <w:rFonts w:cs="Calibri"/>
        </w:rPr>
      </w:pPr>
      <w:r w:rsidRPr="00150391">
        <w:rPr>
          <w:rStyle w:val="BodyTextChar"/>
          <w:rFonts w:cs="Calibri"/>
        </w:rPr>
        <w:t xml:space="preserve">where the entity only has one program and that funding covers </w:t>
      </w:r>
      <w:r w:rsidR="00F13710" w:rsidRPr="00150391">
        <w:rPr>
          <w:rStyle w:val="BodyTextChar"/>
          <w:rFonts w:cs="Calibri"/>
        </w:rPr>
        <w:t>all</w:t>
      </w:r>
      <w:r w:rsidRPr="00150391">
        <w:rPr>
          <w:rStyle w:val="BodyTextChar"/>
          <w:rFonts w:cs="Calibri"/>
        </w:rPr>
        <w:t xml:space="preserve"> functions of the entity, against the entity’s name (i.e. the Productivity Commission reports under a single program titled “Productivity Commission”)</w:t>
      </w:r>
    </w:p>
    <w:p w14:paraId="50744BA6" w14:textId="77777777" w:rsidR="00FA0945" w:rsidRPr="00150391" w:rsidRDefault="00BC0DB5" w:rsidP="53BF0693">
      <w:pPr>
        <w:pStyle w:val="Bullet1"/>
        <w:rPr>
          <w:rStyle w:val="BodyTextChar"/>
          <w:rFonts w:ascii="Calibri" w:hAnsi="Calibri" w:cs="Calibri"/>
        </w:rPr>
      </w:pPr>
      <w:r w:rsidRPr="00150391">
        <w:rPr>
          <w:rStyle w:val="BodyTextChar"/>
          <w:rFonts w:ascii="Calibri" w:hAnsi="Calibri" w:cs="Calibri"/>
        </w:rPr>
        <w:t>W</w:t>
      </w:r>
      <w:r w:rsidR="53BF0693" w:rsidRPr="00150391">
        <w:rPr>
          <w:rStyle w:val="BodyTextChar"/>
          <w:rFonts w:ascii="Calibri" w:hAnsi="Calibri" w:cs="Calibri"/>
        </w:rPr>
        <w:t>here relevant, entities may wish to include a footnote to relevant tables explaining that the allocation of departmental expenses to programs is notional only and based on attribution models maintained by entities.</w:t>
      </w:r>
    </w:p>
    <w:p w14:paraId="1886EF2E" w14:textId="77777777" w:rsidR="00E02C97" w:rsidRPr="00150391" w:rsidRDefault="53BF0693" w:rsidP="53BF0693">
      <w:pPr>
        <w:rPr>
          <w:rStyle w:val="BodyTextChar"/>
          <w:rFonts w:cs="Calibri"/>
        </w:rPr>
      </w:pPr>
      <w:r w:rsidRPr="00150391">
        <w:rPr>
          <w:rStyle w:val="BodyTextChar"/>
          <w:rFonts w:cs="Calibri"/>
        </w:rPr>
        <w:t xml:space="preserve">A summary of the relationship between </w:t>
      </w:r>
      <w:r w:rsidRPr="00150391">
        <w:rPr>
          <w:rStyle w:val="BodyTextChar"/>
          <w:rFonts w:cs="Calibri"/>
          <w:i/>
          <w:iCs/>
        </w:rPr>
        <w:t>Table 2.X.1</w:t>
      </w:r>
      <w:r w:rsidRPr="00150391">
        <w:rPr>
          <w:rStyle w:val="BodyTextChar"/>
          <w:rFonts w:cs="Calibri"/>
        </w:rPr>
        <w:t xml:space="preserve"> and the income statements is provided below:</w:t>
      </w:r>
    </w:p>
    <w:p w14:paraId="0B928351" w14:textId="77777777" w:rsidR="000E69EB" w:rsidRPr="00150391" w:rsidRDefault="00FA0945" w:rsidP="001D30A2">
      <w:pPr>
        <w:pStyle w:val="BodyText"/>
        <w:rPr>
          <w:rStyle w:val="BodyTextChar"/>
          <w:rFonts w:eastAsia="MS Gothic" w:cs="Calibri"/>
          <w:iCs/>
          <w:color w:val="005A77"/>
          <w:spacing w:val="-6"/>
          <w:sz w:val="32"/>
          <w:szCs w:val="24"/>
        </w:rPr>
      </w:pPr>
      <w:r w:rsidRPr="00150391">
        <w:rPr>
          <w:rStyle w:val="BodyTextChar"/>
          <w:rFonts w:cs="Calibri"/>
          <w:noProof/>
          <w:lang w:eastAsia="en-AU"/>
        </w:rPr>
        <mc:AlternateContent>
          <mc:Choice Requires="wpc">
            <w:drawing>
              <wp:inline distT="0" distB="0" distL="0" distR="0" wp14:anchorId="3EEB1626" wp14:editId="5BBD86A5">
                <wp:extent cx="6248400" cy="2644775"/>
                <wp:effectExtent l="0" t="0" r="19050" b="22225"/>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4" name="Text Box 20"/>
                        <wps:cNvSpPr txBox="1">
                          <a:spLocks noChangeArrowheads="1"/>
                        </wps:cNvSpPr>
                        <wps:spPr bwMode="auto">
                          <a:xfrm>
                            <a:off x="3514880" y="197108"/>
                            <a:ext cx="2640329" cy="2193395"/>
                          </a:xfrm>
                          <a:prstGeom prst="rect">
                            <a:avLst/>
                          </a:prstGeom>
                          <a:solidFill>
                            <a:schemeClr val="bg1"/>
                          </a:solidFill>
                          <a:ln w="9525">
                            <a:solidFill>
                              <a:srgbClr val="000000"/>
                            </a:solidFill>
                            <a:miter lim="800000"/>
                            <a:headEnd/>
                            <a:tailEnd/>
                          </a:ln>
                        </wps:spPr>
                        <wps:txbx>
                          <w:txbxContent>
                            <w:p w14:paraId="3253B4D4" w14:textId="77777777" w:rsidR="00AA2CB0" w:rsidRPr="003E3C9D" w:rsidRDefault="00AA2CB0" w:rsidP="000A7DEC">
                              <w:bookmarkStart w:id="628" w:name="_Hlk410817650"/>
                              <w:r w:rsidRPr="003E3C9D">
                                <w:t>Table 3.1: Comprehensive income statement (Departmental)</w:t>
                              </w:r>
                            </w:p>
                            <w:p w14:paraId="504D05B4" w14:textId="77777777" w:rsidR="00AA2CB0" w:rsidRPr="00CB2E1E" w:rsidRDefault="00AA2CB0">
                              <w:pPr>
                                <w:pStyle w:val="NormalTextRed"/>
                              </w:pPr>
                              <w:r w:rsidRPr="00A2522A">
                                <w:t>Total expenses</w:t>
                              </w:r>
                            </w:p>
                            <w:p w14:paraId="35E09851" w14:textId="77777777" w:rsidR="00AA2CB0" w:rsidRPr="003E3C9D" w:rsidRDefault="00AA2CB0" w:rsidP="000A7DEC">
                              <w:pPr>
                                <w:rPr>
                                  <w:b/>
                                </w:rPr>
                              </w:pPr>
                              <w:r>
                                <w:t xml:space="preserve">                    </w:t>
                              </w:r>
                              <w:r w:rsidRPr="003E3C9D">
                                <w:rPr>
                                  <w:b/>
                                </w:rPr>
                                <w:t>+</w:t>
                              </w:r>
                            </w:p>
                            <w:p w14:paraId="044031AC" w14:textId="77777777" w:rsidR="00AA2CB0" w:rsidRPr="003E3C9D" w:rsidRDefault="00AA2CB0" w:rsidP="000A7DEC">
                              <w:r w:rsidRPr="003E3C9D">
                                <w:t>Table 3.7: Schedule of budgeted income and expenses administered on behalf of Government</w:t>
                              </w:r>
                            </w:p>
                            <w:p w14:paraId="2DBE4996" w14:textId="77777777" w:rsidR="00AA2CB0" w:rsidRPr="00466C28" w:rsidRDefault="00AA2CB0">
                              <w:pPr>
                                <w:pStyle w:val="NormalTextRed"/>
                              </w:pPr>
                              <w:r w:rsidRPr="00A2522A">
                                <w:t>Total expenses</w:t>
                              </w:r>
                              <w:bookmarkEnd w:id="628"/>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86232" y="466677"/>
                            <a:ext cx="2932650" cy="1590724"/>
                          </a:xfrm>
                          <a:prstGeom prst="rect">
                            <a:avLst/>
                          </a:prstGeom>
                          <a:solidFill>
                            <a:schemeClr val="bg1"/>
                          </a:solidFill>
                          <a:ln w="9525">
                            <a:solidFill>
                              <a:srgbClr val="000000"/>
                            </a:solidFill>
                            <a:miter lim="800000"/>
                            <a:headEnd/>
                            <a:tailEnd/>
                          </a:ln>
                        </wps:spPr>
                        <wps:txbx>
                          <w:txbxContent>
                            <w:p w14:paraId="5A85C580" w14:textId="77777777" w:rsidR="00AA2CB0" w:rsidRPr="003E3C9D" w:rsidRDefault="00AA2CB0" w:rsidP="000A7DEC">
                              <w:r w:rsidRPr="003E3C9D">
                                <w:t>Table 2.X.1: Budgeted expenses for Outcome X</w:t>
                              </w:r>
                            </w:p>
                            <w:p w14:paraId="58F6A973" w14:textId="77777777" w:rsidR="00AA2CB0" w:rsidRPr="00CB2E1E" w:rsidRDefault="00AA2CB0">
                              <w:pPr>
                                <w:pStyle w:val="NormalTextRed"/>
                              </w:pPr>
                              <w:r w:rsidRPr="00A2522A">
                                <w:t>Total Departmental expenses</w:t>
                              </w:r>
                            </w:p>
                            <w:p w14:paraId="09CF747A" w14:textId="77777777" w:rsidR="00AA2CB0" w:rsidRPr="003E3C9D" w:rsidRDefault="00AA2CB0">
                              <w:pPr>
                                <w:rPr>
                                  <w:b/>
                                </w:rPr>
                              </w:pPr>
                              <w:r>
                                <w:t xml:space="preserve">                    </w:t>
                              </w:r>
                              <w:r w:rsidRPr="003E3C9D">
                                <w:rPr>
                                  <w:b/>
                                </w:rPr>
                                <w:t>+</w:t>
                              </w:r>
                            </w:p>
                            <w:p w14:paraId="76B41BAC" w14:textId="77777777" w:rsidR="00AA2CB0" w:rsidRPr="00CB2E1E" w:rsidRDefault="00AA2CB0">
                              <w:pPr>
                                <w:pStyle w:val="NormalTextRed"/>
                              </w:pPr>
                              <w:r w:rsidRPr="00A2522A">
                                <w:t>Total Administered expenses</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3089737" y="1058714"/>
                            <a:ext cx="307968" cy="458066"/>
                          </a:xfrm>
                          <a:prstGeom prst="rect">
                            <a:avLst/>
                          </a:prstGeom>
                          <a:solidFill>
                            <a:schemeClr val="bg1">
                              <a:lumMod val="85000"/>
                            </a:schemeClr>
                          </a:solidFill>
                          <a:ln>
                            <a:noFill/>
                          </a:ln>
                          <a:extLst/>
                        </wps:spPr>
                        <wps:txbx>
                          <w:txbxContent>
                            <w:p w14:paraId="704ADF60" w14:textId="77777777" w:rsidR="00AA2CB0" w:rsidRPr="003E3C9D" w:rsidRDefault="00AA2CB0">
                              <w:r w:rsidRPr="003E3C9D">
                                <w:t>=</w:t>
                              </w:r>
                            </w:p>
                          </w:txbxContent>
                        </wps:txbx>
                        <wps:bodyPr rot="0" vert="horz" wrap="square" lIns="91440" tIns="45720" rIns="91440" bIns="45720" anchor="t" anchorCtr="0" upright="1">
                          <a:noAutofit/>
                        </wps:bodyPr>
                      </wps:wsp>
                    </wpc:wpc>
                  </a:graphicData>
                </a:graphic>
              </wp:inline>
            </w:drawing>
          </mc:Choice>
          <mc:Fallback>
            <w:pict>
              <v:group w14:anchorId="3EEB1626" id="Canvas 37" o:spid="_x0000_s1037" editas="canvas" style="width:492pt;height:208.25pt;mso-position-horizontal-relative:char;mso-position-vertical-relative:line" coordsize="62484,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">
                <v:shape id="_x0000_s1038" type="#_x0000_t75" style="position:absolute;width:62484;height:26447;visibility:visible;mso-wrap-style:square" filled="t" fillcolor="#d8d8d8 [2732]" stroked="t" strokecolor="black [3213]">
                  <v:fill o:detectmouseclick="t"/>
                  <v:path o:connecttype="none"/>
                </v:shape>
                <v:shape id="Text Box 20" o:spid="_x0000_s1039" type="#_x0000_t202" style="position:absolute;left:35148;top:1971;width:26404;height:2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" fillcolor="white [3212]">
                  <v:textbox>
                    <w:txbxContent>
                      <w:p w14:paraId="3253B4D4" w14:textId="77777777" w:rsidR="00AA2CB0" w:rsidRPr="003E3C9D" w:rsidRDefault="00AA2CB0" w:rsidP="000A7DEC">
                        <w:bookmarkStart w:id="628" w:name="_Hlk410817650"/>
                        <w:r w:rsidRPr="003E3C9D">
                          <w:t>Table 3.1: Comprehensive income statement (Departmental)</w:t>
                        </w:r>
                      </w:p>
                      <w:p w14:paraId="504D05B4" w14:textId="77777777" w:rsidR="00AA2CB0" w:rsidRPr="00CB2E1E" w:rsidRDefault="00AA2CB0">
                        <w:pPr>
                          <w:pStyle w:val="NormalTextRed"/>
                        </w:pPr>
                        <w:r w:rsidRPr="00A2522A">
                          <w:t>Total expenses</w:t>
                        </w:r>
                      </w:p>
                      <w:p w14:paraId="35E09851" w14:textId="77777777" w:rsidR="00AA2CB0" w:rsidRPr="003E3C9D" w:rsidRDefault="00AA2CB0" w:rsidP="000A7DEC">
                        <w:pPr>
                          <w:rPr>
                            <w:b/>
                          </w:rPr>
                        </w:pPr>
                        <w:r>
                          <w:t xml:space="preserve">                    </w:t>
                        </w:r>
                        <w:r w:rsidRPr="003E3C9D">
                          <w:rPr>
                            <w:b/>
                          </w:rPr>
                          <w:t>+</w:t>
                        </w:r>
                      </w:p>
                      <w:p w14:paraId="044031AC" w14:textId="77777777" w:rsidR="00AA2CB0" w:rsidRPr="003E3C9D" w:rsidRDefault="00AA2CB0" w:rsidP="000A7DEC">
                        <w:r w:rsidRPr="003E3C9D">
                          <w:t>Table 3.7: Schedule of budgeted income and expenses administered on behalf of Government</w:t>
                        </w:r>
                      </w:p>
                      <w:p w14:paraId="2DBE4996" w14:textId="77777777" w:rsidR="00AA2CB0" w:rsidRPr="00466C28" w:rsidRDefault="00AA2CB0">
                        <w:pPr>
                          <w:pStyle w:val="NormalTextRed"/>
                        </w:pPr>
                        <w:r w:rsidRPr="00A2522A">
                          <w:t>Total expenses</w:t>
                        </w:r>
                        <w:bookmarkEnd w:id="628"/>
                      </w:p>
                    </w:txbxContent>
                  </v:textbox>
                </v:shape>
                <v:shape id="Text Box 21" o:spid="_x0000_s1040" type="#_x0000_t202" style="position:absolute;left:862;top:4666;width:29326;height:1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" fillcolor="white [3212]">
                  <v:textbox>
                    <w:txbxContent>
                      <w:p w14:paraId="5A85C580" w14:textId="77777777" w:rsidR="00AA2CB0" w:rsidRPr="003E3C9D" w:rsidRDefault="00AA2CB0" w:rsidP="000A7DEC">
                        <w:r w:rsidRPr="003E3C9D">
                          <w:t>Table 2.X.1: Budgeted expenses for Outcome X</w:t>
                        </w:r>
                      </w:p>
                      <w:p w14:paraId="58F6A973" w14:textId="77777777" w:rsidR="00AA2CB0" w:rsidRPr="00CB2E1E" w:rsidRDefault="00AA2CB0">
                        <w:pPr>
                          <w:pStyle w:val="NormalTextRed"/>
                        </w:pPr>
                        <w:r w:rsidRPr="00A2522A">
                          <w:t>Total Departmental expenses</w:t>
                        </w:r>
                      </w:p>
                      <w:p w14:paraId="09CF747A" w14:textId="77777777" w:rsidR="00AA2CB0" w:rsidRPr="003E3C9D" w:rsidRDefault="00AA2CB0">
                        <w:pPr>
                          <w:rPr>
                            <w:b/>
                          </w:rPr>
                        </w:pPr>
                        <w:r>
                          <w:t xml:space="preserve">                    </w:t>
                        </w:r>
                        <w:r w:rsidRPr="003E3C9D">
                          <w:rPr>
                            <w:b/>
                          </w:rPr>
                          <w:t>+</w:t>
                        </w:r>
                      </w:p>
                      <w:p w14:paraId="76B41BAC" w14:textId="77777777" w:rsidR="00AA2CB0" w:rsidRPr="00CB2E1E" w:rsidRDefault="00AA2CB0">
                        <w:pPr>
                          <w:pStyle w:val="NormalTextRed"/>
                        </w:pPr>
                        <w:r w:rsidRPr="00A2522A">
                          <w:t>Total Administered expenses</w:t>
                        </w:r>
                      </w:p>
                    </w:txbxContent>
                  </v:textbox>
                </v:shape>
                <v:shape id="Text Box 22" o:spid="_x0000_s1041" type="#_x0000_t202" style="position:absolute;left:30897;top:10587;width:3080;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" fillcolor="#d8d8d8 [2732]" stroked="f">
                  <v:textbox>
                    <w:txbxContent>
                      <w:p w14:paraId="704ADF60" w14:textId="77777777" w:rsidR="00AA2CB0" w:rsidRPr="003E3C9D" w:rsidRDefault="00AA2CB0">
                        <w:r w:rsidRPr="003E3C9D">
                          <w:t>=</w:t>
                        </w:r>
                      </w:p>
                    </w:txbxContent>
                  </v:textbox>
                </v:shape>
                <w10:anchorlock/>
              </v:group>
            </w:pict>
          </mc:Fallback>
        </mc:AlternateContent>
      </w:r>
      <w:bookmarkStart w:id="629" w:name="_Toc26963584"/>
    </w:p>
    <w:p w14:paraId="03685CB7" w14:textId="77777777" w:rsidR="00DE5C35" w:rsidRPr="00150391" w:rsidRDefault="6B6EE5C4" w:rsidP="6B6EE5C4">
      <w:pPr>
        <w:pStyle w:val="Heading3Numbered"/>
        <w:rPr>
          <w:rStyle w:val="BodyTextChar"/>
          <w:rFonts w:ascii="Calibri" w:eastAsiaTheme="majorEastAsia" w:hAnsi="Calibri" w:cs="Calibri"/>
        </w:rPr>
      </w:pPr>
      <w:bookmarkStart w:id="630" w:name="_Toc63347717"/>
      <w:bookmarkStart w:id="631" w:name="_Toc114576306"/>
      <w:r w:rsidRPr="00150391">
        <w:rPr>
          <w:rStyle w:val="BodyTextChar"/>
          <w:rFonts w:ascii="Calibri" w:eastAsiaTheme="majorEastAsia" w:hAnsi="Calibri" w:cs="Calibri"/>
        </w:rPr>
        <w:t>Interest and depreciation of Right-of-Use (RoU) assets reported as part of departmental appropriation expenses</w:t>
      </w:r>
      <w:bookmarkEnd w:id="629"/>
      <w:bookmarkEnd w:id="630"/>
      <w:bookmarkEnd w:id="631"/>
    </w:p>
    <w:p w14:paraId="55B98F41" w14:textId="77777777" w:rsidR="00DE5C35" w:rsidRPr="00150391" w:rsidRDefault="53BF0693">
      <w:pPr>
        <w:rPr>
          <w:rFonts w:cs="Calibri"/>
        </w:rPr>
      </w:pPr>
      <w:r w:rsidRPr="00150391">
        <w:rPr>
          <w:rFonts w:cs="Calibri"/>
        </w:rPr>
        <w:t xml:space="preserve">There are three main leasing components that are required to be calculated and included in </w:t>
      </w:r>
      <w:r w:rsidRPr="00150391">
        <w:rPr>
          <w:rStyle w:val="BodyTextChar"/>
          <w:rFonts w:cs="Calibri"/>
          <w:i/>
          <w:iCs/>
        </w:rPr>
        <w:t>Table 2.X.1</w:t>
      </w:r>
      <w:r w:rsidRPr="00150391">
        <w:rPr>
          <w:rFonts w:cs="Calibri"/>
        </w:rPr>
        <w:t>.</w:t>
      </w:r>
    </w:p>
    <w:p w14:paraId="4AB981FC" w14:textId="77777777" w:rsidR="00DE5C35" w:rsidRPr="00150391" w:rsidRDefault="53BF0693" w:rsidP="53BF0693">
      <w:pPr>
        <w:rPr>
          <w:rFonts w:cs="Calibri"/>
        </w:rPr>
      </w:pPr>
      <w:r w:rsidRPr="00150391">
        <w:rPr>
          <w:rFonts w:cs="Calibri"/>
        </w:rPr>
        <w:t>The following leasing components will be included in the Departmental appropriation expenses line:</w:t>
      </w:r>
    </w:p>
    <w:p w14:paraId="49BC846D" w14:textId="74AA6E4A" w:rsidR="00DE5C35" w:rsidRPr="00150391" w:rsidRDefault="6B6EE5C4" w:rsidP="6B6EE5C4">
      <w:pPr>
        <w:pStyle w:val="ListParagraph"/>
        <w:numPr>
          <w:ilvl w:val="0"/>
          <w:numId w:val="268"/>
        </w:numPr>
        <w:rPr>
          <w:rFonts w:ascii="Calibri" w:hAnsi="Calibri" w:cs="Calibri"/>
          <w:lang w:val="en-AU"/>
        </w:rPr>
      </w:pPr>
      <w:r w:rsidRPr="00150391">
        <w:rPr>
          <w:rFonts w:ascii="Calibri" w:hAnsi="Calibri" w:cs="Calibri"/>
          <w:b/>
          <w:bCs/>
          <w:lang w:val="en-AU"/>
        </w:rPr>
        <w:t>interest on RoU assets -</w:t>
      </w:r>
      <w:r w:rsidRPr="00150391">
        <w:rPr>
          <w:rFonts w:ascii="Calibri" w:hAnsi="Calibri" w:cs="Calibri"/>
          <w:lang w:val="en-AU"/>
        </w:rPr>
        <w:t xml:space="preserve"> as the account is reported as part of the Comprehensive Income Statement this needs to be reported as part of the ‘Departmental appropriation expenses’</w:t>
      </w:r>
    </w:p>
    <w:p w14:paraId="6031284E" w14:textId="77777777" w:rsidR="00243657" w:rsidRPr="00150391" w:rsidRDefault="00136F8A" w:rsidP="00B25E9E">
      <w:pPr>
        <w:pStyle w:val="ListParagraph"/>
        <w:numPr>
          <w:ilvl w:val="0"/>
          <w:numId w:val="268"/>
        </w:numPr>
        <w:rPr>
          <w:rFonts w:ascii="Calibri" w:hAnsi="Calibri" w:cs="Calibri"/>
          <w:lang w:val="en-AU"/>
        </w:rPr>
      </w:pPr>
      <w:r w:rsidRPr="00150391">
        <w:rPr>
          <w:rFonts w:ascii="Calibri" w:hAnsi="Calibri" w:cs="Calibri"/>
          <w:b/>
          <w:bCs/>
          <w:lang w:val="en-AU"/>
        </w:rPr>
        <w:t>d</w:t>
      </w:r>
      <w:r w:rsidR="00DE5C35" w:rsidRPr="00150391">
        <w:rPr>
          <w:rFonts w:ascii="Calibri" w:hAnsi="Calibri" w:cs="Calibri"/>
          <w:b/>
          <w:bCs/>
          <w:lang w:val="en-AU"/>
        </w:rPr>
        <w:t>epreciation</w:t>
      </w:r>
      <w:r w:rsidR="00BC0DB5" w:rsidRPr="00150391">
        <w:rPr>
          <w:rFonts w:ascii="Calibri" w:hAnsi="Calibri" w:cs="Calibri"/>
          <w:b/>
          <w:bCs/>
          <w:lang w:val="en-AU"/>
        </w:rPr>
        <w:t xml:space="preserve"> </w:t>
      </w:r>
      <w:r w:rsidR="00DE5C35" w:rsidRPr="00150391">
        <w:rPr>
          <w:rFonts w:ascii="Calibri" w:hAnsi="Calibri" w:cs="Calibri"/>
          <w:b/>
          <w:bCs/>
          <w:lang w:val="en-AU"/>
        </w:rPr>
        <w:t>/</w:t>
      </w:r>
      <w:r w:rsidR="00BC0DB5" w:rsidRPr="00150391">
        <w:rPr>
          <w:rFonts w:ascii="Calibri" w:hAnsi="Calibri" w:cs="Calibri"/>
          <w:b/>
          <w:bCs/>
          <w:lang w:val="en-AU"/>
        </w:rPr>
        <w:t xml:space="preserve"> </w:t>
      </w:r>
      <w:r w:rsidR="00DE5C35" w:rsidRPr="00150391">
        <w:rPr>
          <w:rFonts w:ascii="Calibri" w:hAnsi="Calibri" w:cs="Calibri"/>
          <w:b/>
          <w:bCs/>
          <w:lang w:val="en-AU"/>
        </w:rPr>
        <w:t xml:space="preserve">amortisation of </w:t>
      </w:r>
      <w:r w:rsidR="009F3C94" w:rsidRPr="00150391">
        <w:rPr>
          <w:rFonts w:ascii="Calibri" w:hAnsi="Calibri" w:cs="Calibri"/>
          <w:b/>
          <w:bCs/>
          <w:lang w:val="en-AU"/>
        </w:rPr>
        <w:t>RoU</w:t>
      </w:r>
      <w:r w:rsidR="00DE5C35" w:rsidRPr="00150391">
        <w:rPr>
          <w:rFonts w:ascii="Calibri" w:hAnsi="Calibri" w:cs="Calibri"/>
          <w:b/>
          <w:bCs/>
          <w:lang w:val="en-AU"/>
        </w:rPr>
        <w:t xml:space="preserve"> </w:t>
      </w:r>
      <w:r w:rsidR="00B51040" w:rsidRPr="00150391">
        <w:rPr>
          <w:rFonts w:ascii="Calibri" w:hAnsi="Calibri" w:cs="Calibri"/>
          <w:b/>
          <w:bCs/>
          <w:lang w:val="en-AU"/>
        </w:rPr>
        <w:t>a</w:t>
      </w:r>
      <w:r w:rsidR="00DE5C35" w:rsidRPr="00150391">
        <w:rPr>
          <w:rFonts w:ascii="Calibri" w:hAnsi="Calibri" w:cs="Calibri"/>
          <w:b/>
          <w:bCs/>
          <w:lang w:val="en-AU"/>
        </w:rPr>
        <w:t>sset</w:t>
      </w:r>
      <w:r w:rsidR="00FC0AF4" w:rsidRPr="00150391">
        <w:rPr>
          <w:rFonts w:ascii="Calibri" w:hAnsi="Calibri" w:cs="Calibri"/>
          <w:b/>
          <w:bCs/>
          <w:lang w:val="en-AU"/>
        </w:rPr>
        <w:t xml:space="preserve"> </w:t>
      </w:r>
      <w:r w:rsidR="00DE5C35" w:rsidRPr="00150391">
        <w:rPr>
          <w:rFonts w:ascii="Calibri" w:hAnsi="Calibri" w:cs="Calibri"/>
          <w:b/>
          <w:bCs/>
          <w:lang w:val="en-AU"/>
        </w:rPr>
        <w:t>-</w:t>
      </w:r>
      <w:r w:rsidR="00DE5C35" w:rsidRPr="00150391">
        <w:rPr>
          <w:rFonts w:ascii="Calibri" w:hAnsi="Calibri" w:cs="Calibri"/>
          <w:lang w:val="en-AU"/>
        </w:rPr>
        <w:t xml:space="preserve"> for </w:t>
      </w:r>
      <w:r w:rsidR="00DE5C35" w:rsidRPr="00150391">
        <w:rPr>
          <w:rFonts w:ascii="Calibri" w:hAnsi="Calibri" w:cs="Calibri"/>
          <w:i/>
          <w:iCs/>
          <w:lang w:val="en-AU"/>
        </w:rPr>
        <w:t>Non-Corporate Commonwealth entities</w:t>
      </w:r>
      <w:r w:rsidR="00DE5C35" w:rsidRPr="00150391">
        <w:rPr>
          <w:rFonts w:ascii="Calibri" w:hAnsi="Calibri" w:cs="Calibri"/>
          <w:b/>
          <w:bCs/>
          <w:lang w:val="en-AU"/>
        </w:rPr>
        <w:t xml:space="preserve"> </w:t>
      </w:r>
      <w:r w:rsidR="00DE5C35" w:rsidRPr="00150391">
        <w:rPr>
          <w:rFonts w:ascii="Calibri" w:hAnsi="Calibri" w:cs="Calibri"/>
          <w:lang w:val="en-AU"/>
        </w:rPr>
        <w:t xml:space="preserve">who receive a DCB, depreciation expenses between </w:t>
      </w:r>
      <w:r w:rsidR="009F3C94" w:rsidRPr="00150391">
        <w:rPr>
          <w:rFonts w:ascii="Calibri" w:hAnsi="Calibri" w:cs="Calibri"/>
          <w:lang w:val="en-AU"/>
        </w:rPr>
        <w:t>RoU</w:t>
      </w:r>
      <w:r w:rsidR="00DE5C35" w:rsidRPr="00150391">
        <w:rPr>
          <w:rFonts w:ascii="Calibri" w:hAnsi="Calibri" w:cs="Calibri"/>
          <w:lang w:val="en-AU"/>
        </w:rPr>
        <w:t xml:space="preserve"> </w:t>
      </w:r>
      <w:r w:rsidR="00071DD0" w:rsidRPr="00150391">
        <w:rPr>
          <w:rFonts w:ascii="Calibri" w:hAnsi="Calibri" w:cs="Calibri"/>
          <w:lang w:val="en-AU"/>
        </w:rPr>
        <w:t xml:space="preserve">assets </w:t>
      </w:r>
      <w:r w:rsidR="00DE5C35" w:rsidRPr="00150391">
        <w:rPr>
          <w:rFonts w:ascii="Calibri" w:hAnsi="Calibri" w:cs="Calibri"/>
          <w:lang w:val="en-AU"/>
        </w:rPr>
        <w:t>and Non</w:t>
      </w:r>
      <w:r w:rsidR="00071DD0" w:rsidRPr="00150391">
        <w:rPr>
          <w:rFonts w:ascii="Calibri" w:hAnsi="Calibri" w:cs="Calibri"/>
          <w:lang w:val="en-AU"/>
        </w:rPr>
        <w:noBreakHyphen/>
      </w:r>
      <w:r w:rsidR="009F3C94" w:rsidRPr="00150391">
        <w:rPr>
          <w:rFonts w:ascii="Calibri" w:hAnsi="Calibri" w:cs="Calibri"/>
          <w:lang w:val="en-AU"/>
        </w:rPr>
        <w:t>RoU</w:t>
      </w:r>
      <w:r w:rsidR="00071DD0" w:rsidRPr="00150391">
        <w:rPr>
          <w:rFonts w:ascii="Calibri" w:hAnsi="Calibri" w:cs="Calibri"/>
          <w:lang w:val="en-AU"/>
        </w:rPr>
        <w:t xml:space="preserve"> assets</w:t>
      </w:r>
      <w:r w:rsidR="00D77823" w:rsidRPr="00150391">
        <w:rPr>
          <w:rFonts w:ascii="Calibri" w:hAnsi="Calibri" w:cs="Calibri"/>
          <w:lang w:val="en-AU"/>
        </w:rPr>
        <w:t xml:space="preserve"> will need to be split</w:t>
      </w:r>
      <w:r w:rsidR="00DE5C35" w:rsidRPr="00150391">
        <w:rPr>
          <w:rFonts w:ascii="Calibri" w:hAnsi="Calibri" w:cs="Calibri"/>
          <w:lang w:val="en-AU"/>
        </w:rPr>
        <w:t>. Non-</w:t>
      </w:r>
      <w:r w:rsidR="009F3C94" w:rsidRPr="00150391">
        <w:rPr>
          <w:rFonts w:ascii="Calibri" w:hAnsi="Calibri" w:cs="Calibri"/>
          <w:lang w:val="en-AU"/>
        </w:rPr>
        <w:t>RoU</w:t>
      </w:r>
      <w:r w:rsidR="00DE5C35" w:rsidRPr="00150391">
        <w:rPr>
          <w:rFonts w:ascii="Calibri" w:hAnsi="Calibri" w:cs="Calibri"/>
          <w:lang w:val="en-AU"/>
        </w:rPr>
        <w:t xml:space="preserve"> depreciation will still be reported as Expenses not requiring appropriation and the </w:t>
      </w:r>
      <w:r w:rsidR="009F3C94" w:rsidRPr="00150391">
        <w:rPr>
          <w:rFonts w:ascii="Calibri" w:hAnsi="Calibri" w:cs="Calibri"/>
          <w:lang w:val="en-AU"/>
        </w:rPr>
        <w:t>RoU</w:t>
      </w:r>
      <w:r w:rsidR="00DE5C35" w:rsidRPr="00150391">
        <w:rPr>
          <w:rFonts w:ascii="Calibri" w:hAnsi="Calibri" w:cs="Calibri"/>
          <w:lang w:val="en-AU"/>
        </w:rPr>
        <w:t xml:space="preserve"> depreciation included as part of the entity’s Departmental appropriation expenses.</w:t>
      </w:r>
    </w:p>
    <w:p w14:paraId="58E428F4" w14:textId="35590D95" w:rsidR="00DE5C35" w:rsidRPr="00150391" w:rsidRDefault="6B6EE5C4">
      <w:pPr>
        <w:rPr>
          <w:rFonts w:cs="Calibri"/>
        </w:rPr>
      </w:pPr>
      <w:r w:rsidRPr="00150391">
        <w:rPr>
          <w:rFonts w:cs="Calibri"/>
          <w:i/>
          <w:iCs/>
        </w:rPr>
        <w:t>Corporate Commonwealth Entities</w:t>
      </w:r>
      <w:r w:rsidRPr="00150391">
        <w:rPr>
          <w:rFonts w:cs="Calibri"/>
        </w:rPr>
        <w:t xml:space="preserve"> </w:t>
      </w:r>
      <w:r w:rsidR="00A261E1" w:rsidRPr="00150391">
        <w:rPr>
          <w:rFonts w:cs="Calibri"/>
        </w:rPr>
        <w:t xml:space="preserve">that </w:t>
      </w:r>
      <w:r w:rsidRPr="00150391">
        <w:rPr>
          <w:rFonts w:cs="Calibri"/>
        </w:rPr>
        <w:t xml:space="preserve">are funded for depreciation, </w:t>
      </w:r>
      <w:r w:rsidR="00A261E1" w:rsidRPr="00150391">
        <w:rPr>
          <w:rFonts w:cs="Calibri"/>
        </w:rPr>
        <w:t>should</w:t>
      </w:r>
      <w:r w:rsidRPr="00150391">
        <w:rPr>
          <w:rFonts w:cs="Calibri"/>
        </w:rPr>
        <w:t xml:space="preserve"> report Depreciation/Amortisation of RoU assets in their program table as part of their Departmental appropriation expenses.</w:t>
      </w:r>
    </w:p>
    <w:p w14:paraId="4403F2B4" w14:textId="3AF28029" w:rsidR="00EC3AA9" w:rsidRPr="00150391" w:rsidRDefault="6B6EE5C4" w:rsidP="00B25E9E">
      <w:pPr>
        <w:pStyle w:val="ListParagraph"/>
        <w:numPr>
          <w:ilvl w:val="0"/>
          <w:numId w:val="268"/>
        </w:numPr>
        <w:rPr>
          <w:rFonts w:ascii="Calibri" w:hAnsi="Calibri" w:cs="Calibri"/>
          <w:lang w:val="en-AU"/>
        </w:rPr>
      </w:pPr>
      <w:r w:rsidRPr="00150391">
        <w:rPr>
          <w:rFonts w:ascii="Calibri" w:hAnsi="Calibri" w:cs="Calibri"/>
          <w:b/>
          <w:bCs/>
          <w:lang w:val="en-AU"/>
        </w:rPr>
        <w:t>credit applied to rental / supplier expenses –</w:t>
      </w:r>
      <w:r w:rsidRPr="00150391">
        <w:rPr>
          <w:rFonts w:ascii="Calibri" w:hAnsi="Calibri" w:cs="Calibri"/>
          <w:lang w:val="en-AU"/>
        </w:rPr>
        <w:t xml:space="preserve"> when entities transitioned to the new standard AASB 16 </w:t>
      </w:r>
      <w:r w:rsidRPr="00150391">
        <w:rPr>
          <w:rFonts w:ascii="Calibri" w:hAnsi="Calibri" w:cs="Calibri"/>
          <w:i/>
          <w:lang w:val="en-AU"/>
        </w:rPr>
        <w:t>Leases</w:t>
      </w:r>
      <w:r w:rsidRPr="00150391">
        <w:rPr>
          <w:rFonts w:ascii="Calibri" w:hAnsi="Calibri" w:cs="Calibri"/>
          <w:lang w:val="en-AU"/>
        </w:rPr>
        <w:t>, they were required to reduce their rental / supplier expenses to offset the Interest on RoU and Principal Repayment components of leases that had previously been expensed as operating leases. As appropriations have not changed and Depreciation on RoU assets is a new program expense item, the components of the program expense table will need to be adjusted to reduce the impact that leases has on the Departmental appropriation expenses line item.</w:t>
      </w:r>
    </w:p>
    <w:p w14:paraId="428AFC1F" w14:textId="7C908903" w:rsidR="00C1760E" w:rsidRPr="00150391" w:rsidRDefault="6B6EE5C4" w:rsidP="000A7DEC">
      <w:pPr>
        <w:pStyle w:val="Boxed2Text"/>
        <w:rPr>
          <w:rFonts w:cs="Calibri"/>
        </w:rPr>
      </w:pPr>
      <w:r w:rsidRPr="00150391">
        <w:rPr>
          <w:rFonts w:cs="Calibri"/>
        </w:rPr>
        <w:t xml:space="preserve">Since the introduction of </w:t>
      </w:r>
      <w:r w:rsidR="001E7F11" w:rsidRPr="00150391">
        <w:rPr>
          <w:rFonts w:cs="Calibri"/>
        </w:rPr>
        <w:t xml:space="preserve">the current version of </w:t>
      </w:r>
      <w:r w:rsidRPr="00150391">
        <w:rPr>
          <w:rFonts w:cs="Calibri"/>
        </w:rPr>
        <w:t xml:space="preserve">AASB 16 </w:t>
      </w:r>
      <w:r w:rsidRPr="00150391">
        <w:rPr>
          <w:rFonts w:cs="Calibri"/>
          <w:i/>
          <w:iCs/>
        </w:rPr>
        <w:t>Leases</w:t>
      </w:r>
      <w:r w:rsidRPr="00150391">
        <w:rPr>
          <w:rFonts w:cs="Calibri"/>
        </w:rPr>
        <w:t xml:space="preserve">, the appropriation expenses reported by the </w:t>
      </w:r>
      <w:r w:rsidRPr="00150391">
        <w:rPr>
          <w:rFonts w:cs="Calibri"/>
          <w:i/>
          <w:iCs/>
        </w:rPr>
        <w:t xml:space="preserve">Table 2.x.1 Budgeted expenses for outcomes </w:t>
      </w:r>
      <w:r w:rsidRPr="00150391">
        <w:rPr>
          <w:rFonts w:cs="Calibri"/>
        </w:rPr>
        <w:t xml:space="preserve">should generally match total expenses as reported in the comprehensive income statement (when all outcomes are aggregated). </w:t>
      </w:r>
      <w:r w:rsidR="00716285" w:rsidRPr="00150391">
        <w:rPr>
          <w:rFonts w:cs="Calibri"/>
        </w:rPr>
        <w:br/>
      </w:r>
      <w:r w:rsidR="00716285" w:rsidRPr="00150391">
        <w:rPr>
          <w:rFonts w:cs="Calibri"/>
        </w:rPr>
        <w:br/>
      </w:r>
      <w:r w:rsidRPr="00150391">
        <w:rPr>
          <w:rFonts w:cs="Calibri"/>
        </w:rPr>
        <w:t>Under the new standard, the principle repayments are reported through the balance sheet and cash-flow statement with the deficits and surpluses reported in an entity's income statement correlating with the non-funded RoU assets depreciation expenses.</w:t>
      </w:r>
      <w:r w:rsidR="00716285" w:rsidRPr="00150391">
        <w:rPr>
          <w:rFonts w:cs="Calibri"/>
        </w:rPr>
        <w:br/>
      </w:r>
      <w:r w:rsidR="00716285" w:rsidRPr="00150391">
        <w:rPr>
          <w:rFonts w:cs="Calibri"/>
        </w:rPr>
        <w:br/>
      </w:r>
      <w:r w:rsidRPr="00150391">
        <w:rPr>
          <w:rFonts w:cs="Calibri"/>
        </w:rPr>
        <w:t xml:space="preserve">This means the most consistent way to report Depreciation on RoU </w:t>
      </w:r>
      <w:r w:rsidR="001E7F11" w:rsidRPr="00150391">
        <w:rPr>
          <w:rFonts w:cs="Calibri"/>
        </w:rPr>
        <w:t>A</w:t>
      </w:r>
      <w:r w:rsidRPr="00150391">
        <w:rPr>
          <w:rFonts w:cs="Calibri"/>
        </w:rPr>
        <w:t xml:space="preserve">ssets across government will be to include this line-item as part of </w:t>
      </w:r>
      <w:r w:rsidRPr="00150391">
        <w:rPr>
          <w:rFonts w:cs="Calibri"/>
          <w:i/>
          <w:iCs/>
        </w:rPr>
        <w:t>appropriation expenses</w:t>
      </w:r>
      <w:r w:rsidRPr="00150391">
        <w:rPr>
          <w:rFonts w:cs="Calibri"/>
        </w:rPr>
        <w:t xml:space="preserve"> rather than </w:t>
      </w:r>
      <w:r w:rsidRPr="00150391">
        <w:rPr>
          <w:rFonts w:cs="Calibri"/>
          <w:i/>
          <w:iCs/>
        </w:rPr>
        <w:t>expenses not requiring an appropriation</w:t>
      </w:r>
      <w:r w:rsidRPr="00150391">
        <w:rPr>
          <w:rFonts w:cs="Calibri"/>
        </w:rPr>
        <w:t xml:space="preserve"> as reported in </w:t>
      </w:r>
      <w:r w:rsidRPr="00150391">
        <w:rPr>
          <w:rFonts w:cs="Calibri"/>
          <w:i/>
          <w:iCs/>
        </w:rPr>
        <w:t>Table 2.x.1 Budgeted expenses for outcome X</w:t>
      </w:r>
      <w:r w:rsidRPr="00150391">
        <w:rPr>
          <w:rFonts w:cs="Calibri"/>
        </w:rPr>
        <w:t>, as entities are still appropriated for the rental expenses/payments through appropriation Bill 1 ordinary annual services.</w:t>
      </w:r>
    </w:p>
    <w:p w14:paraId="68F7009C" w14:textId="346AE5FF" w:rsidR="00802A0B" w:rsidRPr="00150391" w:rsidRDefault="003249FB" w:rsidP="000A7DEC">
      <w:pPr>
        <w:pStyle w:val="Boxed2Text"/>
        <w:rPr>
          <w:rFonts w:cs="Calibri"/>
        </w:rPr>
      </w:pPr>
      <w:r w:rsidRPr="00150391">
        <w:rPr>
          <w:rFonts w:cs="Calibri"/>
        </w:rPr>
        <w:t>Note: e</w:t>
      </w:r>
      <w:r w:rsidR="53BF0693" w:rsidRPr="00150391">
        <w:rPr>
          <w:rFonts w:cs="Calibri"/>
        </w:rPr>
        <w:t xml:space="preserve">ntities may notice that the entity's </w:t>
      </w:r>
      <w:r w:rsidR="00A261E1" w:rsidRPr="00150391">
        <w:rPr>
          <w:rFonts w:cs="Calibri"/>
        </w:rPr>
        <w:t>c</w:t>
      </w:r>
      <w:r w:rsidR="53BF0693" w:rsidRPr="00150391">
        <w:rPr>
          <w:rFonts w:cs="Calibri"/>
        </w:rPr>
        <w:t>omprehens</w:t>
      </w:r>
      <w:r w:rsidRPr="00150391">
        <w:rPr>
          <w:rFonts w:cs="Calibri"/>
        </w:rPr>
        <w:t>ive income statement results in</w:t>
      </w:r>
      <w:r w:rsidR="53BF0693" w:rsidRPr="00150391">
        <w:rPr>
          <w:rFonts w:cs="Calibri"/>
        </w:rPr>
        <w:t xml:space="preserve"> deficits reported in the first half of the lease's life with the surpluses reported in the later half.</w:t>
      </w:r>
      <w:r w:rsidRPr="00150391">
        <w:rPr>
          <w:rFonts w:cs="Calibri"/>
        </w:rPr>
        <w:t xml:space="preserve"> </w:t>
      </w:r>
    </w:p>
    <w:p w14:paraId="66DF4839" w14:textId="77777777" w:rsidR="00DE5C35" w:rsidRPr="00150391" w:rsidRDefault="53BF0693">
      <w:pPr>
        <w:rPr>
          <w:rFonts w:cs="Calibri"/>
        </w:rPr>
      </w:pPr>
      <w:r w:rsidRPr="00150391">
        <w:rPr>
          <w:rFonts w:cs="Calibri"/>
        </w:rPr>
        <w:t>An illustrative example is provided below to demonstrate how to calculate depreciation appropriation expenses.</w:t>
      </w:r>
    </w:p>
    <w:p w14:paraId="1EE28D99" w14:textId="77777777" w:rsidR="00EC3AA9" w:rsidRPr="00150391" w:rsidRDefault="53BF0693" w:rsidP="00580008">
      <w:pPr>
        <w:pStyle w:val="Boxed2Text"/>
        <w:rPr>
          <w:rFonts w:cs="Calibri"/>
        </w:rPr>
      </w:pPr>
      <w:r w:rsidRPr="00150391">
        <w:rPr>
          <w:rFonts w:cs="Calibri"/>
        </w:rPr>
        <w:t xml:space="preserve">The text highlighted in </w:t>
      </w:r>
      <w:r w:rsidRPr="00150391">
        <w:rPr>
          <w:rFonts w:cs="Calibri"/>
          <w:i/>
          <w:iCs/>
        </w:rPr>
        <w:t>pale Yellow</w:t>
      </w:r>
      <w:r w:rsidRPr="00150391">
        <w:rPr>
          <w:rFonts w:cs="Calibri"/>
        </w:rPr>
        <w:t xml:space="preserve"> and in </w:t>
      </w:r>
      <w:r w:rsidRPr="00150391">
        <w:rPr>
          <w:rFonts w:cs="Calibri"/>
          <w:i/>
          <w:iCs/>
        </w:rPr>
        <w:t>pale Blue</w:t>
      </w:r>
      <w:r w:rsidRPr="00150391">
        <w:rPr>
          <w:rFonts w:cs="Calibri"/>
        </w:rPr>
        <w:t xml:space="preserve"> below are intended to show how the Departmental appropriation expenses line item is derived, they are not intended to be published as distinct separate line-items in the program table.</w:t>
      </w:r>
    </w:p>
    <w:p w14:paraId="745EE6B8" w14:textId="77777777" w:rsidR="00EC3AA9" w:rsidRPr="00150391" w:rsidRDefault="00EC3AA9">
      <w:pPr>
        <w:suppressAutoHyphens w:val="0"/>
        <w:spacing w:before="0" w:after="120" w:line="440" w:lineRule="atLeast"/>
        <w:rPr>
          <w:rFonts w:cs="Calibri"/>
          <w:color w:val="FF0000"/>
        </w:rPr>
      </w:pPr>
      <w:r w:rsidRPr="00150391">
        <w:rPr>
          <w:rFonts w:cs="Calibri"/>
        </w:rPr>
        <w:br w:type="page"/>
      </w:r>
    </w:p>
    <w:tbl>
      <w:tblPr>
        <w:tblW w:w="8916" w:type="dxa"/>
        <w:tblLayout w:type="fixed"/>
        <w:tblLook w:val="04A0" w:firstRow="1" w:lastRow="0" w:firstColumn="1" w:lastColumn="0" w:noHBand="0" w:noVBand="1"/>
      </w:tblPr>
      <w:tblGrid>
        <w:gridCol w:w="3364"/>
        <w:gridCol w:w="1157"/>
        <w:gridCol w:w="993"/>
        <w:gridCol w:w="1134"/>
        <w:gridCol w:w="1134"/>
        <w:gridCol w:w="1134"/>
      </w:tblGrid>
      <w:tr w:rsidR="00261938" w:rsidRPr="00150391" w14:paraId="03F7BD41" w14:textId="77777777" w:rsidTr="002B4935">
        <w:trPr>
          <w:trHeight w:val="357"/>
        </w:trPr>
        <w:tc>
          <w:tcPr>
            <w:tcW w:w="8916" w:type="dxa"/>
            <w:gridSpan w:val="6"/>
            <w:tcBorders>
              <w:top w:val="single" w:sz="12" w:space="0" w:color="auto"/>
              <w:left w:val="single" w:sz="12" w:space="0" w:color="auto"/>
              <w:bottom w:val="nil"/>
              <w:right w:val="single" w:sz="12" w:space="0" w:color="auto"/>
            </w:tcBorders>
            <w:shd w:val="clear" w:color="auto" w:fill="FFFFFF" w:themeFill="background1"/>
            <w:noWrap/>
            <w:vAlign w:val="center"/>
            <w:hideMark/>
          </w:tcPr>
          <w:p w14:paraId="77C60D43" w14:textId="77777777" w:rsidR="00261938" w:rsidRPr="00150391" w:rsidRDefault="53BF0693" w:rsidP="53BF0693">
            <w:pPr>
              <w:pStyle w:val="LeasingProgTableText"/>
              <w:spacing w:after="120" w:line="220" w:lineRule="atLeast"/>
              <w:rPr>
                <w:rFonts w:cs="Calibri"/>
                <w:b/>
                <w:bCs/>
                <w:i/>
                <w:iCs/>
                <w:sz w:val="28"/>
              </w:rPr>
            </w:pPr>
            <w:r w:rsidRPr="00150391">
              <w:rPr>
                <w:rFonts w:cs="Calibri"/>
                <w:b/>
                <w:bCs/>
                <w:i/>
                <w:iCs/>
                <w:sz w:val="28"/>
              </w:rPr>
              <w:t>Program Table 2.x Budgeted expenses by outcome</w:t>
            </w:r>
          </w:p>
        </w:tc>
      </w:tr>
      <w:tr w:rsidR="001C70F1" w:rsidRPr="00150391" w14:paraId="050B1F93" w14:textId="77777777" w:rsidTr="002B4935">
        <w:trPr>
          <w:trHeight w:val="315"/>
        </w:trPr>
        <w:tc>
          <w:tcPr>
            <w:tcW w:w="3364" w:type="dxa"/>
            <w:tcBorders>
              <w:top w:val="nil"/>
              <w:left w:val="single" w:sz="12" w:space="0" w:color="auto"/>
              <w:bottom w:val="nil"/>
              <w:right w:val="nil"/>
            </w:tcBorders>
            <w:shd w:val="clear" w:color="auto" w:fill="FFFFFF" w:themeFill="background1"/>
            <w:noWrap/>
            <w:hideMark/>
          </w:tcPr>
          <w:p w14:paraId="5224081B" w14:textId="77777777" w:rsidR="00261938" w:rsidRPr="00150391" w:rsidRDefault="00261938" w:rsidP="000A7DEC">
            <w:pPr>
              <w:pStyle w:val="LeasingProgTableText"/>
              <w:spacing w:line="220" w:lineRule="atLeast"/>
              <w:rPr>
                <w:rFonts w:cs="Calibri"/>
              </w:rPr>
            </w:pPr>
          </w:p>
        </w:tc>
        <w:tc>
          <w:tcPr>
            <w:tcW w:w="1157" w:type="dxa"/>
            <w:tcBorders>
              <w:top w:val="nil"/>
              <w:left w:val="nil"/>
              <w:bottom w:val="single" w:sz="8" w:space="0" w:color="auto"/>
              <w:right w:val="nil"/>
            </w:tcBorders>
            <w:shd w:val="clear" w:color="auto" w:fill="FFFFFF" w:themeFill="background1"/>
            <w:vAlign w:val="center"/>
            <w:hideMark/>
          </w:tcPr>
          <w:p w14:paraId="4B57D511" w14:textId="77777777" w:rsidR="00261938" w:rsidRPr="00150391" w:rsidRDefault="00261938" w:rsidP="000A7DEC">
            <w:pPr>
              <w:pStyle w:val="LeasingProgTableText"/>
              <w:spacing w:line="220" w:lineRule="atLeast"/>
              <w:rPr>
                <w:rFonts w:cs="Calibri"/>
              </w:rPr>
            </w:pPr>
          </w:p>
        </w:tc>
        <w:tc>
          <w:tcPr>
            <w:tcW w:w="993" w:type="dxa"/>
            <w:tcBorders>
              <w:top w:val="nil"/>
              <w:left w:val="nil"/>
              <w:bottom w:val="single" w:sz="8" w:space="0" w:color="auto"/>
              <w:right w:val="nil"/>
            </w:tcBorders>
            <w:shd w:val="clear" w:color="auto" w:fill="FFFFFF" w:themeFill="background1"/>
            <w:noWrap/>
            <w:vAlign w:val="center"/>
            <w:hideMark/>
          </w:tcPr>
          <w:p w14:paraId="0395BE2D" w14:textId="77777777" w:rsidR="00261938" w:rsidRPr="00150391" w:rsidRDefault="00261938" w:rsidP="000A7DEC">
            <w:pPr>
              <w:pStyle w:val="LeasingProgTableText"/>
              <w:spacing w:line="220" w:lineRule="atLeast"/>
              <w:rPr>
                <w:rFonts w:cs="Calibri"/>
              </w:rPr>
            </w:pPr>
          </w:p>
        </w:tc>
        <w:tc>
          <w:tcPr>
            <w:tcW w:w="1134" w:type="dxa"/>
            <w:tcBorders>
              <w:top w:val="nil"/>
              <w:left w:val="nil"/>
              <w:bottom w:val="single" w:sz="8" w:space="0" w:color="auto"/>
              <w:right w:val="nil"/>
            </w:tcBorders>
            <w:shd w:val="clear" w:color="auto" w:fill="FFFFFF" w:themeFill="background1"/>
            <w:noWrap/>
            <w:vAlign w:val="center"/>
            <w:hideMark/>
          </w:tcPr>
          <w:p w14:paraId="22AD8563" w14:textId="77777777" w:rsidR="00261938" w:rsidRPr="00150391" w:rsidRDefault="00261938" w:rsidP="000A7DEC">
            <w:pPr>
              <w:pStyle w:val="LeasingProgTableText"/>
              <w:spacing w:line="220" w:lineRule="atLeast"/>
              <w:rPr>
                <w:rFonts w:cs="Calibri"/>
              </w:rPr>
            </w:pPr>
          </w:p>
        </w:tc>
        <w:tc>
          <w:tcPr>
            <w:tcW w:w="1134" w:type="dxa"/>
            <w:tcBorders>
              <w:top w:val="nil"/>
              <w:left w:val="nil"/>
              <w:bottom w:val="single" w:sz="8" w:space="0" w:color="auto"/>
              <w:right w:val="nil"/>
            </w:tcBorders>
            <w:shd w:val="clear" w:color="auto" w:fill="FFFFFF" w:themeFill="background1"/>
            <w:noWrap/>
            <w:vAlign w:val="center"/>
            <w:hideMark/>
          </w:tcPr>
          <w:p w14:paraId="75E2F3EA" w14:textId="77777777" w:rsidR="00261938" w:rsidRPr="00150391" w:rsidRDefault="00261938" w:rsidP="000A7DEC">
            <w:pPr>
              <w:pStyle w:val="LeasingProgTableText"/>
              <w:spacing w:line="220" w:lineRule="atLeast"/>
              <w:rPr>
                <w:rFonts w:cs="Calibri"/>
              </w:rPr>
            </w:pPr>
          </w:p>
        </w:tc>
        <w:tc>
          <w:tcPr>
            <w:tcW w:w="1134" w:type="dxa"/>
            <w:tcBorders>
              <w:top w:val="nil"/>
              <w:left w:val="nil"/>
              <w:bottom w:val="single" w:sz="8" w:space="0" w:color="auto"/>
              <w:right w:val="single" w:sz="12" w:space="0" w:color="auto"/>
            </w:tcBorders>
            <w:shd w:val="clear" w:color="auto" w:fill="FFFFFF" w:themeFill="background1"/>
            <w:noWrap/>
            <w:vAlign w:val="center"/>
            <w:hideMark/>
          </w:tcPr>
          <w:p w14:paraId="1EB446C1" w14:textId="77777777" w:rsidR="00261938" w:rsidRPr="00150391" w:rsidRDefault="00261938" w:rsidP="000A7DEC">
            <w:pPr>
              <w:pStyle w:val="LeasingProgTableText"/>
              <w:spacing w:line="220" w:lineRule="atLeast"/>
              <w:rPr>
                <w:rFonts w:cs="Calibri"/>
              </w:rPr>
            </w:pPr>
          </w:p>
        </w:tc>
      </w:tr>
      <w:tr w:rsidR="001C70F1" w:rsidRPr="00150391" w14:paraId="74826B3A" w14:textId="77777777" w:rsidTr="002B4935">
        <w:trPr>
          <w:trHeight w:val="312"/>
        </w:trPr>
        <w:tc>
          <w:tcPr>
            <w:tcW w:w="3364" w:type="dxa"/>
            <w:tcBorders>
              <w:top w:val="nil"/>
              <w:left w:val="single" w:sz="12" w:space="0" w:color="auto"/>
              <w:bottom w:val="nil"/>
              <w:right w:val="single" w:sz="8" w:space="0" w:color="auto"/>
            </w:tcBorders>
            <w:shd w:val="clear" w:color="auto" w:fill="FFFFFF" w:themeFill="background1"/>
            <w:noWrap/>
            <w:hideMark/>
          </w:tcPr>
          <w:p w14:paraId="16C70C7E" w14:textId="77777777" w:rsidR="00261938" w:rsidRPr="00150391" w:rsidRDefault="00261938" w:rsidP="000A7DEC">
            <w:pPr>
              <w:pStyle w:val="LeasingProgTableText"/>
              <w:spacing w:line="220" w:lineRule="atLeast"/>
              <w:rPr>
                <w:rFonts w:cs="Calibri"/>
                <w:szCs w:val="20"/>
              </w:rPr>
            </w:pPr>
          </w:p>
        </w:tc>
        <w:tc>
          <w:tcPr>
            <w:tcW w:w="1157" w:type="dxa"/>
            <w:tcBorders>
              <w:top w:val="nil"/>
              <w:left w:val="nil"/>
              <w:bottom w:val="nil"/>
              <w:right w:val="single" w:sz="8" w:space="0" w:color="auto"/>
            </w:tcBorders>
            <w:shd w:val="clear" w:color="auto" w:fill="FFFFFF" w:themeFill="background1"/>
            <w:vAlign w:val="center"/>
            <w:hideMark/>
          </w:tcPr>
          <w:p w14:paraId="6D36F930" w14:textId="77777777" w:rsidR="00261938" w:rsidRPr="00150391" w:rsidRDefault="0007613A" w:rsidP="00BA2416">
            <w:pPr>
              <w:pStyle w:val="LeasingProgTableText"/>
              <w:spacing w:line="220" w:lineRule="atLeast"/>
              <w:jc w:val="right"/>
              <w:rPr>
                <w:rFonts w:cs="Calibri"/>
                <w:szCs w:val="20"/>
              </w:rPr>
            </w:pPr>
            <w:r w:rsidRPr="00150391">
              <w:rPr>
                <w:rFonts w:cs="Calibri"/>
              </w:rPr>
              <w:t>2021</w:t>
            </w:r>
            <w:r w:rsidR="6B6EE5C4" w:rsidRPr="00150391">
              <w:rPr>
                <w:rFonts w:cs="Calibri"/>
              </w:rPr>
              <w:t>-</w:t>
            </w:r>
            <w:r w:rsidRPr="00150391">
              <w:rPr>
                <w:rFonts w:cs="Calibri"/>
              </w:rPr>
              <w:t>22</w:t>
            </w:r>
          </w:p>
        </w:tc>
        <w:tc>
          <w:tcPr>
            <w:tcW w:w="993" w:type="dxa"/>
            <w:tcBorders>
              <w:top w:val="nil"/>
              <w:left w:val="nil"/>
              <w:bottom w:val="nil"/>
              <w:right w:val="single" w:sz="8" w:space="0" w:color="auto"/>
            </w:tcBorders>
            <w:shd w:val="clear" w:color="auto" w:fill="FFFFFF" w:themeFill="background1"/>
            <w:vAlign w:val="center"/>
            <w:hideMark/>
          </w:tcPr>
          <w:p w14:paraId="7102A836" w14:textId="77777777" w:rsidR="00261938" w:rsidRPr="00150391" w:rsidRDefault="0007613A" w:rsidP="0081792A">
            <w:pPr>
              <w:pStyle w:val="LeasingProgTableText"/>
              <w:spacing w:line="220" w:lineRule="atLeast"/>
              <w:jc w:val="right"/>
              <w:rPr>
                <w:rFonts w:cs="Calibri"/>
                <w:szCs w:val="20"/>
              </w:rPr>
            </w:pPr>
            <w:r w:rsidRPr="00150391">
              <w:rPr>
                <w:rFonts w:cs="Calibri"/>
              </w:rPr>
              <w:t>2022</w:t>
            </w:r>
            <w:r w:rsidR="6B6EE5C4" w:rsidRPr="00150391">
              <w:rPr>
                <w:rFonts w:cs="Calibri"/>
              </w:rPr>
              <w:t>-</w:t>
            </w:r>
            <w:r w:rsidRPr="00150391">
              <w:rPr>
                <w:rFonts w:cs="Calibri"/>
              </w:rPr>
              <w:t>23</w:t>
            </w:r>
          </w:p>
        </w:tc>
        <w:tc>
          <w:tcPr>
            <w:tcW w:w="1134" w:type="dxa"/>
            <w:tcBorders>
              <w:top w:val="nil"/>
              <w:left w:val="nil"/>
              <w:bottom w:val="nil"/>
              <w:right w:val="single" w:sz="8" w:space="0" w:color="auto"/>
            </w:tcBorders>
            <w:shd w:val="clear" w:color="auto" w:fill="FFFFFF" w:themeFill="background1"/>
            <w:vAlign w:val="center"/>
            <w:hideMark/>
          </w:tcPr>
          <w:p w14:paraId="0DFC108A" w14:textId="77777777" w:rsidR="00261938" w:rsidRPr="00150391" w:rsidRDefault="0007613A" w:rsidP="00F456EC">
            <w:pPr>
              <w:pStyle w:val="LeasingProgTableText"/>
              <w:spacing w:line="220" w:lineRule="atLeast"/>
              <w:jc w:val="right"/>
              <w:rPr>
                <w:rFonts w:cs="Calibri"/>
                <w:szCs w:val="20"/>
              </w:rPr>
            </w:pPr>
            <w:r w:rsidRPr="00150391">
              <w:rPr>
                <w:rFonts w:cs="Calibri"/>
              </w:rPr>
              <w:t>2023</w:t>
            </w:r>
            <w:r w:rsidR="6B6EE5C4" w:rsidRPr="00150391">
              <w:rPr>
                <w:rFonts w:cs="Calibri"/>
              </w:rPr>
              <w:t>-</w:t>
            </w:r>
            <w:r w:rsidRPr="00150391">
              <w:rPr>
                <w:rFonts w:cs="Calibri"/>
              </w:rPr>
              <w:t>24</w:t>
            </w:r>
          </w:p>
        </w:tc>
        <w:tc>
          <w:tcPr>
            <w:tcW w:w="1134" w:type="dxa"/>
            <w:tcBorders>
              <w:top w:val="nil"/>
              <w:left w:val="nil"/>
              <w:bottom w:val="nil"/>
              <w:right w:val="single" w:sz="8" w:space="0" w:color="auto"/>
            </w:tcBorders>
            <w:shd w:val="clear" w:color="auto" w:fill="FFFFFF" w:themeFill="background1"/>
            <w:vAlign w:val="center"/>
            <w:hideMark/>
          </w:tcPr>
          <w:p w14:paraId="1A13276C" w14:textId="77777777" w:rsidR="00261938" w:rsidRPr="00150391" w:rsidRDefault="0007613A" w:rsidP="00F456EC">
            <w:pPr>
              <w:pStyle w:val="LeasingProgTableText"/>
              <w:spacing w:line="220" w:lineRule="atLeast"/>
              <w:jc w:val="right"/>
              <w:rPr>
                <w:rFonts w:cs="Calibri"/>
                <w:szCs w:val="20"/>
              </w:rPr>
            </w:pPr>
            <w:r w:rsidRPr="00150391">
              <w:rPr>
                <w:rFonts w:cs="Calibri"/>
              </w:rPr>
              <w:t>2024</w:t>
            </w:r>
            <w:r w:rsidR="6B6EE5C4" w:rsidRPr="00150391">
              <w:rPr>
                <w:rFonts w:cs="Calibri"/>
              </w:rPr>
              <w:t>-</w:t>
            </w:r>
            <w:r w:rsidRPr="00150391">
              <w:rPr>
                <w:rFonts w:cs="Calibri"/>
              </w:rPr>
              <w:t>25</w:t>
            </w:r>
          </w:p>
        </w:tc>
        <w:tc>
          <w:tcPr>
            <w:tcW w:w="1134" w:type="dxa"/>
            <w:tcBorders>
              <w:top w:val="nil"/>
              <w:left w:val="nil"/>
              <w:bottom w:val="nil"/>
              <w:right w:val="single" w:sz="12" w:space="0" w:color="auto"/>
            </w:tcBorders>
            <w:shd w:val="clear" w:color="auto" w:fill="FFFFFF" w:themeFill="background1"/>
            <w:vAlign w:val="center"/>
            <w:hideMark/>
          </w:tcPr>
          <w:p w14:paraId="6BDC10EE" w14:textId="77777777" w:rsidR="00261938" w:rsidRPr="00150391" w:rsidRDefault="0007613A" w:rsidP="008E1BDD">
            <w:pPr>
              <w:pStyle w:val="LeasingProgTableText"/>
              <w:spacing w:line="220" w:lineRule="atLeast"/>
              <w:jc w:val="right"/>
              <w:rPr>
                <w:rFonts w:cs="Calibri"/>
                <w:szCs w:val="20"/>
              </w:rPr>
            </w:pPr>
            <w:r w:rsidRPr="00150391">
              <w:rPr>
                <w:rFonts w:cs="Calibri"/>
              </w:rPr>
              <w:t>2025</w:t>
            </w:r>
            <w:r w:rsidR="6B6EE5C4" w:rsidRPr="00150391">
              <w:rPr>
                <w:rFonts w:cs="Calibri"/>
              </w:rPr>
              <w:t>-</w:t>
            </w:r>
            <w:r w:rsidRPr="00150391">
              <w:rPr>
                <w:rFonts w:cs="Calibri"/>
              </w:rPr>
              <w:t>26</w:t>
            </w:r>
          </w:p>
        </w:tc>
      </w:tr>
      <w:tr w:rsidR="001C70F1" w:rsidRPr="00150391" w14:paraId="18624FFF" w14:textId="77777777" w:rsidTr="002B4935">
        <w:trPr>
          <w:trHeight w:val="312"/>
        </w:trPr>
        <w:tc>
          <w:tcPr>
            <w:tcW w:w="3364" w:type="dxa"/>
            <w:tcBorders>
              <w:top w:val="nil"/>
              <w:left w:val="single" w:sz="12" w:space="0" w:color="auto"/>
              <w:bottom w:val="nil"/>
              <w:right w:val="single" w:sz="8" w:space="0" w:color="auto"/>
            </w:tcBorders>
            <w:shd w:val="clear" w:color="auto" w:fill="FFFFFF" w:themeFill="background1"/>
            <w:noWrap/>
            <w:hideMark/>
          </w:tcPr>
          <w:p w14:paraId="4A587825" w14:textId="77777777" w:rsidR="00261938" w:rsidRPr="00150391" w:rsidRDefault="00261938" w:rsidP="000A7DEC">
            <w:pPr>
              <w:pStyle w:val="LeasingProgTableText"/>
              <w:spacing w:line="220" w:lineRule="atLeast"/>
              <w:rPr>
                <w:rFonts w:cs="Calibri"/>
                <w:szCs w:val="20"/>
              </w:rPr>
            </w:pPr>
          </w:p>
        </w:tc>
        <w:tc>
          <w:tcPr>
            <w:tcW w:w="1157" w:type="dxa"/>
            <w:tcBorders>
              <w:top w:val="nil"/>
              <w:left w:val="nil"/>
              <w:bottom w:val="nil"/>
              <w:right w:val="single" w:sz="8" w:space="0" w:color="auto"/>
            </w:tcBorders>
            <w:shd w:val="clear" w:color="auto" w:fill="FFFFFF" w:themeFill="background1"/>
            <w:vAlign w:val="center"/>
            <w:hideMark/>
          </w:tcPr>
          <w:p w14:paraId="3F0608D2" w14:textId="77777777" w:rsidR="00261938" w:rsidRPr="00150391" w:rsidRDefault="53BF0693" w:rsidP="7185AFE5">
            <w:pPr>
              <w:pStyle w:val="LeasingProgTableText"/>
              <w:spacing w:line="220" w:lineRule="atLeast"/>
              <w:jc w:val="right"/>
              <w:rPr>
                <w:rFonts w:cs="Calibri"/>
                <w:szCs w:val="20"/>
              </w:rPr>
            </w:pPr>
            <w:r w:rsidRPr="00150391">
              <w:rPr>
                <w:rFonts w:cs="Calibri"/>
              </w:rPr>
              <w:t>Estimated</w:t>
            </w:r>
          </w:p>
        </w:tc>
        <w:tc>
          <w:tcPr>
            <w:tcW w:w="993" w:type="dxa"/>
            <w:tcBorders>
              <w:top w:val="nil"/>
              <w:left w:val="nil"/>
              <w:bottom w:val="nil"/>
              <w:right w:val="single" w:sz="8" w:space="0" w:color="auto"/>
            </w:tcBorders>
            <w:shd w:val="clear" w:color="auto" w:fill="FFFFFF" w:themeFill="background1"/>
            <w:vAlign w:val="center"/>
            <w:hideMark/>
          </w:tcPr>
          <w:p w14:paraId="658D30E9" w14:textId="77777777" w:rsidR="00261938" w:rsidRPr="00150391" w:rsidRDefault="53BF0693" w:rsidP="7185AFE5">
            <w:pPr>
              <w:pStyle w:val="LeasingProgTableText"/>
              <w:spacing w:line="220" w:lineRule="atLeast"/>
              <w:jc w:val="right"/>
              <w:rPr>
                <w:rFonts w:cs="Calibri"/>
                <w:szCs w:val="20"/>
              </w:rPr>
            </w:pPr>
            <w:r w:rsidRPr="00150391">
              <w:rPr>
                <w:rFonts w:cs="Calibri"/>
              </w:rPr>
              <w:t>Budget</w:t>
            </w:r>
          </w:p>
        </w:tc>
        <w:tc>
          <w:tcPr>
            <w:tcW w:w="1134" w:type="dxa"/>
            <w:tcBorders>
              <w:top w:val="nil"/>
              <w:left w:val="nil"/>
              <w:bottom w:val="nil"/>
              <w:right w:val="single" w:sz="8" w:space="0" w:color="auto"/>
            </w:tcBorders>
            <w:shd w:val="clear" w:color="auto" w:fill="FFFFFF" w:themeFill="background1"/>
            <w:vAlign w:val="center"/>
            <w:hideMark/>
          </w:tcPr>
          <w:p w14:paraId="749A4590" w14:textId="77777777" w:rsidR="00261938" w:rsidRPr="00150391" w:rsidRDefault="53BF0693" w:rsidP="7185AFE5">
            <w:pPr>
              <w:pStyle w:val="LeasingProgTableText"/>
              <w:spacing w:line="220" w:lineRule="atLeast"/>
              <w:jc w:val="right"/>
              <w:rPr>
                <w:rFonts w:cs="Calibri"/>
                <w:szCs w:val="20"/>
              </w:rPr>
            </w:pPr>
            <w:r w:rsidRPr="00150391">
              <w:rPr>
                <w:rFonts w:cs="Calibri"/>
              </w:rPr>
              <w:t>Forward</w:t>
            </w:r>
          </w:p>
        </w:tc>
        <w:tc>
          <w:tcPr>
            <w:tcW w:w="1134" w:type="dxa"/>
            <w:tcBorders>
              <w:top w:val="nil"/>
              <w:left w:val="nil"/>
              <w:bottom w:val="nil"/>
              <w:right w:val="single" w:sz="8" w:space="0" w:color="auto"/>
            </w:tcBorders>
            <w:shd w:val="clear" w:color="auto" w:fill="FFFFFF" w:themeFill="background1"/>
            <w:vAlign w:val="center"/>
            <w:hideMark/>
          </w:tcPr>
          <w:p w14:paraId="5D6BAD3B" w14:textId="77777777" w:rsidR="00261938" w:rsidRPr="00150391" w:rsidRDefault="53BF0693" w:rsidP="7185AFE5">
            <w:pPr>
              <w:pStyle w:val="LeasingProgTableText"/>
              <w:spacing w:line="220" w:lineRule="atLeast"/>
              <w:jc w:val="right"/>
              <w:rPr>
                <w:rFonts w:cs="Calibri"/>
                <w:szCs w:val="20"/>
              </w:rPr>
            </w:pPr>
            <w:r w:rsidRPr="00150391">
              <w:rPr>
                <w:rFonts w:cs="Calibri"/>
              </w:rPr>
              <w:t>Forward</w:t>
            </w:r>
          </w:p>
        </w:tc>
        <w:tc>
          <w:tcPr>
            <w:tcW w:w="1134" w:type="dxa"/>
            <w:tcBorders>
              <w:top w:val="nil"/>
              <w:left w:val="nil"/>
              <w:bottom w:val="nil"/>
              <w:right w:val="single" w:sz="12" w:space="0" w:color="auto"/>
            </w:tcBorders>
            <w:shd w:val="clear" w:color="auto" w:fill="FFFFFF" w:themeFill="background1"/>
            <w:vAlign w:val="center"/>
            <w:hideMark/>
          </w:tcPr>
          <w:p w14:paraId="06E19D75" w14:textId="77777777" w:rsidR="00261938" w:rsidRPr="00150391" w:rsidRDefault="53BF0693" w:rsidP="7185AFE5">
            <w:pPr>
              <w:pStyle w:val="LeasingProgTableText"/>
              <w:spacing w:line="220" w:lineRule="atLeast"/>
              <w:jc w:val="right"/>
              <w:rPr>
                <w:rFonts w:cs="Calibri"/>
                <w:szCs w:val="20"/>
              </w:rPr>
            </w:pPr>
            <w:r w:rsidRPr="00150391">
              <w:rPr>
                <w:rFonts w:cs="Calibri"/>
              </w:rPr>
              <w:t>Forward</w:t>
            </w:r>
          </w:p>
        </w:tc>
      </w:tr>
      <w:tr w:rsidR="001C70F1" w:rsidRPr="00150391" w14:paraId="77C996B0" w14:textId="77777777" w:rsidTr="002B4935">
        <w:trPr>
          <w:trHeight w:val="312"/>
        </w:trPr>
        <w:tc>
          <w:tcPr>
            <w:tcW w:w="3364" w:type="dxa"/>
            <w:tcBorders>
              <w:top w:val="nil"/>
              <w:left w:val="single" w:sz="12" w:space="0" w:color="auto"/>
              <w:right w:val="single" w:sz="8" w:space="0" w:color="auto"/>
            </w:tcBorders>
            <w:shd w:val="clear" w:color="auto" w:fill="FFFFFF" w:themeFill="background1"/>
            <w:noWrap/>
            <w:hideMark/>
          </w:tcPr>
          <w:p w14:paraId="0EA3AFD9" w14:textId="77777777" w:rsidR="00261938" w:rsidRPr="00150391" w:rsidRDefault="00261938" w:rsidP="000A7DEC">
            <w:pPr>
              <w:pStyle w:val="LeasingProgTableText"/>
              <w:spacing w:line="220" w:lineRule="atLeast"/>
              <w:rPr>
                <w:rFonts w:cs="Calibri"/>
                <w:szCs w:val="20"/>
              </w:rPr>
            </w:pPr>
          </w:p>
        </w:tc>
        <w:tc>
          <w:tcPr>
            <w:tcW w:w="1157" w:type="dxa"/>
            <w:tcBorders>
              <w:top w:val="nil"/>
              <w:left w:val="nil"/>
              <w:right w:val="single" w:sz="8" w:space="0" w:color="auto"/>
            </w:tcBorders>
            <w:shd w:val="clear" w:color="auto" w:fill="FFFFFF" w:themeFill="background1"/>
            <w:vAlign w:val="center"/>
            <w:hideMark/>
          </w:tcPr>
          <w:p w14:paraId="389DD2E0" w14:textId="77777777" w:rsidR="00261938" w:rsidRPr="00150391" w:rsidRDefault="53BF0693" w:rsidP="7185AFE5">
            <w:pPr>
              <w:pStyle w:val="LeasingProgTableText"/>
              <w:spacing w:line="220" w:lineRule="atLeast"/>
              <w:jc w:val="right"/>
              <w:rPr>
                <w:rFonts w:cs="Calibri"/>
                <w:szCs w:val="20"/>
              </w:rPr>
            </w:pPr>
            <w:r w:rsidRPr="00150391">
              <w:rPr>
                <w:rFonts w:cs="Calibri"/>
              </w:rPr>
              <w:t>Actual *</w:t>
            </w:r>
          </w:p>
        </w:tc>
        <w:tc>
          <w:tcPr>
            <w:tcW w:w="993" w:type="dxa"/>
            <w:tcBorders>
              <w:top w:val="nil"/>
              <w:left w:val="nil"/>
              <w:right w:val="single" w:sz="8" w:space="0" w:color="auto"/>
            </w:tcBorders>
            <w:shd w:val="clear" w:color="auto" w:fill="FFFFFF" w:themeFill="background1"/>
            <w:vAlign w:val="center"/>
            <w:hideMark/>
          </w:tcPr>
          <w:p w14:paraId="19AFBA50" w14:textId="77777777" w:rsidR="00261938" w:rsidRPr="00150391" w:rsidRDefault="00261938" w:rsidP="000A7DEC">
            <w:pPr>
              <w:pStyle w:val="LeasingProgTableText"/>
              <w:spacing w:line="220" w:lineRule="atLeast"/>
              <w:rPr>
                <w:rFonts w:cs="Calibri"/>
                <w:szCs w:val="20"/>
              </w:rPr>
            </w:pPr>
          </w:p>
        </w:tc>
        <w:tc>
          <w:tcPr>
            <w:tcW w:w="1134" w:type="dxa"/>
            <w:tcBorders>
              <w:top w:val="nil"/>
              <w:left w:val="nil"/>
              <w:right w:val="single" w:sz="8" w:space="0" w:color="auto"/>
            </w:tcBorders>
            <w:shd w:val="clear" w:color="auto" w:fill="FFFFFF" w:themeFill="background1"/>
            <w:vAlign w:val="center"/>
            <w:hideMark/>
          </w:tcPr>
          <w:p w14:paraId="058B47DD" w14:textId="77777777" w:rsidR="00261938" w:rsidRPr="00150391" w:rsidRDefault="53BF0693" w:rsidP="7185AFE5">
            <w:pPr>
              <w:pStyle w:val="LeasingProgTableText"/>
              <w:spacing w:line="220" w:lineRule="atLeast"/>
              <w:jc w:val="right"/>
              <w:rPr>
                <w:rFonts w:cs="Calibri"/>
                <w:szCs w:val="20"/>
              </w:rPr>
            </w:pPr>
            <w:r w:rsidRPr="00150391">
              <w:rPr>
                <w:rFonts w:cs="Calibri"/>
              </w:rPr>
              <w:t>estimated</w:t>
            </w:r>
          </w:p>
        </w:tc>
        <w:tc>
          <w:tcPr>
            <w:tcW w:w="1134" w:type="dxa"/>
            <w:tcBorders>
              <w:top w:val="nil"/>
              <w:left w:val="nil"/>
              <w:right w:val="single" w:sz="8" w:space="0" w:color="auto"/>
            </w:tcBorders>
            <w:shd w:val="clear" w:color="auto" w:fill="FFFFFF" w:themeFill="background1"/>
            <w:vAlign w:val="center"/>
            <w:hideMark/>
          </w:tcPr>
          <w:p w14:paraId="4B50909F" w14:textId="77777777" w:rsidR="00261938" w:rsidRPr="00150391" w:rsidRDefault="53BF0693" w:rsidP="7185AFE5">
            <w:pPr>
              <w:pStyle w:val="LeasingProgTableText"/>
              <w:spacing w:line="220" w:lineRule="atLeast"/>
              <w:jc w:val="right"/>
              <w:rPr>
                <w:rFonts w:cs="Calibri"/>
                <w:szCs w:val="20"/>
              </w:rPr>
            </w:pPr>
            <w:r w:rsidRPr="00150391">
              <w:rPr>
                <w:rFonts w:cs="Calibri"/>
              </w:rPr>
              <w:t>estimated</w:t>
            </w:r>
          </w:p>
        </w:tc>
        <w:tc>
          <w:tcPr>
            <w:tcW w:w="1134" w:type="dxa"/>
            <w:tcBorders>
              <w:top w:val="nil"/>
              <w:left w:val="nil"/>
              <w:right w:val="single" w:sz="12" w:space="0" w:color="auto"/>
            </w:tcBorders>
            <w:shd w:val="clear" w:color="auto" w:fill="FFFFFF" w:themeFill="background1"/>
            <w:vAlign w:val="center"/>
            <w:hideMark/>
          </w:tcPr>
          <w:p w14:paraId="6CC90B76" w14:textId="77777777" w:rsidR="00261938" w:rsidRPr="00150391" w:rsidRDefault="53BF0693" w:rsidP="7185AFE5">
            <w:pPr>
              <w:pStyle w:val="LeasingProgTableText"/>
              <w:spacing w:line="220" w:lineRule="atLeast"/>
              <w:jc w:val="right"/>
              <w:rPr>
                <w:rFonts w:cs="Calibri"/>
                <w:szCs w:val="20"/>
              </w:rPr>
            </w:pPr>
            <w:r w:rsidRPr="00150391">
              <w:rPr>
                <w:rFonts w:cs="Calibri"/>
              </w:rPr>
              <w:t>estimated</w:t>
            </w:r>
          </w:p>
        </w:tc>
      </w:tr>
      <w:tr w:rsidR="001C70F1" w:rsidRPr="00150391" w14:paraId="0BD9AFD4" w14:textId="77777777" w:rsidTr="002B4935">
        <w:trPr>
          <w:trHeight w:val="312"/>
        </w:trPr>
        <w:tc>
          <w:tcPr>
            <w:tcW w:w="3364" w:type="dxa"/>
            <w:tcBorders>
              <w:top w:val="nil"/>
              <w:left w:val="single" w:sz="12" w:space="0" w:color="auto"/>
              <w:right w:val="single" w:sz="8" w:space="0" w:color="auto"/>
            </w:tcBorders>
            <w:shd w:val="clear" w:color="auto" w:fill="FFFFFF" w:themeFill="background1"/>
            <w:noWrap/>
            <w:hideMark/>
          </w:tcPr>
          <w:p w14:paraId="0BA6E2A4" w14:textId="77777777" w:rsidR="00261938" w:rsidRPr="00150391" w:rsidRDefault="00261938" w:rsidP="000A7DEC">
            <w:pPr>
              <w:pStyle w:val="LeasingProgTableText"/>
              <w:spacing w:line="220" w:lineRule="atLeast"/>
              <w:rPr>
                <w:rFonts w:cs="Calibri"/>
                <w:szCs w:val="20"/>
              </w:rPr>
            </w:pPr>
          </w:p>
        </w:tc>
        <w:tc>
          <w:tcPr>
            <w:tcW w:w="1157" w:type="dxa"/>
            <w:tcBorders>
              <w:top w:val="nil"/>
              <w:left w:val="nil"/>
              <w:right w:val="single" w:sz="8" w:space="0" w:color="auto"/>
            </w:tcBorders>
            <w:shd w:val="clear" w:color="auto" w:fill="FFFFFF" w:themeFill="background1"/>
            <w:vAlign w:val="center"/>
            <w:hideMark/>
          </w:tcPr>
          <w:p w14:paraId="1C515511" w14:textId="77777777" w:rsidR="00261938" w:rsidRPr="00150391" w:rsidRDefault="00261938" w:rsidP="000A7DEC">
            <w:pPr>
              <w:pStyle w:val="LeasingProgTableText"/>
              <w:spacing w:line="220" w:lineRule="atLeast"/>
              <w:jc w:val="right"/>
              <w:rPr>
                <w:rFonts w:cs="Calibri"/>
                <w:szCs w:val="20"/>
              </w:rPr>
            </w:pPr>
          </w:p>
        </w:tc>
        <w:tc>
          <w:tcPr>
            <w:tcW w:w="993" w:type="dxa"/>
            <w:tcBorders>
              <w:top w:val="nil"/>
              <w:left w:val="nil"/>
              <w:right w:val="single" w:sz="8" w:space="0" w:color="auto"/>
            </w:tcBorders>
            <w:shd w:val="clear" w:color="auto" w:fill="FFFFFF" w:themeFill="background1"/>
            <w:vAlign w:val="center"/>
            <w:hideMark/>
          </w:tcPr>
          <w:p w14:paraId="77393C72" w14:textId="77777777" w:rsidR="00261938" w:rsidRPr="00150391" w:rsidRDefault="00261938" w:rsidP="000A7DEC">
            <w:pPr>
              <w:pStyle w:val="LeasingProgTableText"/>
              <w:spacing w:line="220" w:lineRule="atLeast"/>
              <w:jc w:val="right"/>
              <w:rPr>
                <w:rFonts w:cs="Calibri"/>
                <w:szCs w:val="20"/>
              </w:rPr>
            </w:pPr>
          </w:p>
        </w:tc>
        <w:tc>
          <w:tcPr>
            <w:tcW w:w="1134" w:type="dxa"/>
            <w:tcBorders>
              <w:top w:val="nil"/>
              <w:left w:val="nil"/>
              <w:right w:val="single" w:sz="8" w:space="0" w:color="auto"/>
            </w:tcBorders>
            <w:shd w:val="clear" w:color="auto" w:fill="FFFFFF" w:themeFill="background1"/>
            <w:vAlign w:val="center"/>
            <w:hideMark/>
          </w:tcPr>
          <w:p w14:paraId="69D0E85C" w14:textId="77777777" w:rsidR="00261938" w:rsidRPr="00150391" w:rsidRDefault="53BF0693" w:rsidP="7185AFE5">
            <w:pPr>
              <w:pStyle w:val="LeasingProgTableText"/>
              <w:spacing w:line="220" w:lineRule="atLeast"/>
              <w:jc w:val="right"/>
              <w:rPr>
                <w:rFonts w:cs="Calibri"/>
                <w:szCs w:val="20"/>
              </w:rPr>
            </w:pPr>
            <w:r w:rsidRPr="00150391">
              <w:rPr>
                <w:rFonts w:cs="Calibri"/>
              </w:rPr>
              <w:t>expenses</w:t>
            </w:r>
          </w:p>
        </w:tc>
        <w:tc>
          <w:tcPr>
            <w:tcW w:w="1134" w:type="dxa"/>
            <w:tcBorders>
              <w:top w:val="nil"/>
              <w:left w:val="nil"/>
              <w:right w:val="single" w:sz="8" w:space="0" w:color="auto"/>
            </w:tcBorders>
            <w:shd w:val="clear" w:color="auto" w:fill="FFFFFF" w:themeFill="background1"/>
            <w:vAlign w:val="center"/>
            <w:hideMark/>
          </w:tcPr>
          <w:p w14:paraId="0E6EF082" w14:textId="77777777" w:rsidR="00261938" w:rsidRPr="00150391" w:rsidRDefault="53BF0693" w:rsidP="7185AFE5">
            <w:pPr>
              <w:pStyle w:val="LeasingProgTableText"/>
              <w:spacing w:line="220" w:lineRule="atLeast"/>
              <w:jc w:val="right"/>
              <w:rPr>
                <w:rFonts w:cs="Calibri"/>
                <w:szCs w:val="20"/>
              </w:rPr>
            </w:pPr>
            <w:r w:rsidRPr="00150391">
              <w:rPr>
                <w:rFonts w:cs="Calibri"/>
              </w:rPr>
              <w:t>expenses</w:t>
            </w:r>
          </w:p>
        </w:tc>
        <w:tc>
          <w:tcPr>
            <w:tcW w:w="1134" w:type="dxa"/>
            <w:tcBorders>
              <w:top w:val="nil"/>
              <w:left w:val="nil"/>
              <w:right w:val="single" w:sz="12" w:space="0" w:color="auto"/>
            </w:tcBorders>
            <w:shd w:val="clear" w:color="auto" w:fill="FFFFFF" w:themeFill="background1"/>
            <w:vAlign w:val="center"/>
            <w:hideMark/>
          </w:tcPr>
          <w:p w14:paraId="510D71F5" w14:textId="77777777" w:rsidR="00261938" w:rsidRPr="00150391" w:rsidRDefault="53BF0693" w:rsidP="7185AFE5">
            <w:pPr>
              <w:pStyle w:val="LeasingProgTableText"/>
              <w:spacing w:line="220" w:lineRule="atLeast"/>
              <w:jc w:val="right"/>
              <w:rPr>
                <w:rFonts w:cs="Calibri"/>
                <w:szCs w:val="20"/>
              </w:rPr>
            </w:pPr>
            <w:r w:rsidRPr="00150391">
              <w:rPr>
                <w:rFonts w:cs="Calibri"/>
              </w:rPr>
              <w:t>expenses</w:t>
            </w:r>
          </w:p>
        </w:tc>
      </w:tr>
      <w:tr w:rsidR="0080087F" w:rsidRPr="00150391" w14:paraId="5D37A569" w14:textId="77777777" w:rsidTr="002B4935">
        <w:trPr>
          <w:trHeight w:val="312"/>
        </w:trPr>
        <w:tc>
          <w:tcPr>
            <w:tcW w:w="3364" w:type="dxa"/>
            <w:tcBorders>
              <w:top w:val="nil"/>
              <w:left w:val="single" w:sz="12" w:space="0" w:color="auto"/>
              <w:bottom w:val="single" w:sz="8" w:space="0" w:color="auto"/>
              <w:right w:val="single" w:sz="8" w:space="0" w:color="auto"/>
            </w:tcBorders>
            <w:shd w:val="clear" w:color="auto" w:fill="FFFFFF" w:themeFill="background1"/>
            <w:noWrap/>
          </w:tcPr>
          <w:p w14:paraId="393B1A1A" w14:textId="77777777" w:rsidR="0080087F" w:rsidRPr="00150391" w:rsidRDefault="0080087F" w:rsidP="000A7DEC">
            <w:pPr>
              <w:pStyle w:val="LeasingProgTableText"/>
              <w:spacing w:line="220" w:lineRule="atLeast"/>
              <w:rPr>
                <w:rFonts w:cs="Calibri"/>
                <w:szCs w:val="20"/>
              </w:rPr>
            </w:pPr>
          </w:p>
        </w:tc>
        <w:tc>
          <w:tcPr>
            <w:tcW w:w="1157" w:type="dxa"/>
            <w:tcBorders>
              <w:top w:val="nil"/>
              <w:left w:val="nil"/>
              <w:bottom w:val="single" w:sz="8" w:space="0" w:color="auto"/>
              <w:right w:val="single" w:sz="8" w:space="0" w:color="auto"/>
            </w:tcBorders>
            <w:shd w:val="clear" w:color="auto" w:fill="FFFFFF" w:themeFill="background1"/>
            <w:vAlign w:val="center"/>
          </w:tcPr>
          <w:p w14:paraId="2B65393A" w14:textId="77777777" w:rsidR="0080087F" w:rsidRPr="00150391" w:rsidRDefault="53BF0693" w:rsidP="7185AFE5">
            <w:pPr>
              <w:pStyle w:val="LeasingProgTableText"/>
              <w:spacing w:line="220" w:lineRule="atLeast"/>
              <w:jc w:val="right"/>
              <w:rPr>
                <w:rFonts w:cs="Calibri"/>
                <w:szCs w:val="20"/>
              </w:rPr>
            </w:pPr>
            <w:r w:rsidRPr="00150391">
              <w:rPr>
                <w:rFonts w:cs="Calibri"/>
              </w:rPr>
              <w:t>$000`</w:t>
            </w:r>
          </w:p>
        </w:tc>
        <w:tc>
          <w:tcPr>
            <w:tcW w:w="993" w:type="dxa"/>
            <w:tcBorders>
              <w:top w:val="nil"/>
              <w:left w:val="nil"/>
              <w:bottom w:val="single" w:sz="8" w:space="0" w:color="auto"/>
              <w:right w:val="single" w:sz="8" w:space="0" w:color="auto"/>
            </w:tcBorders>
            <w:shd w:val="clear" w:color="auto" w:fill="FFFFFF" w:themeFill="background1"/>
            <w:vAlign w:val="center"/>
          </w:tcPr>
          <w:p w14:paraId="6551417B" w14:textId="77777777" w:rsidR="0080087F" w:rsidRPr="00150391" w:rsidRDefault="53BF0693" w:rsidP="7185AFE5">
            <w:pPr>
              <w:pStyle w:val="LeasingProgTableText"/>
              <w:spacing w:line="220" w:lineRule="atLeast"/>
              <w:jc w:val="right"/>
              <w:rPr>
                <w:rFonts w:cs="Calibri"/>
                <w:szCs w:val="20"/>
              </w:rPr>
            </w:pPr>
            <w:r w:rsidRPr="00150391">
              <w:rPr>
                <w:rFonts w:cs="Calibri"/>
              </w:rPr>
              <w:t>$000</w:t>
            </w:r>
          </w:p>
        </w:tc>
        <w:tc>
          <w:tcPr>
            <w:tcW w:w="1134" w:type="dxa"/>
            <w:tcBorders>
              <w:top w:val="nil"/>
              <w:left w:val="nil"/>
              <w:bottom w:val="single" w:sz="8" w:space="0" w:color="auto"/>
              <w:right w:val="single" w:sz="8" w:space="0" w:color="auto"/>
            </w:tcBorders>
            <w:shd w:val="clear" w:color="auto" w:fill="FFFFFF" w:themeFill="background1"/>
            <w:vAlign w:val="center"/>
          </w:tcPr>
          <w:p w14:paraId="7949FC99" w14:textId="77777777" w:rsidR="0080087F" w:rsidRPr="00150391" w:rsidRDefault="53BF0693" w:rsidP="7185AFE5">
            <w:pPr>
              <w:pStyle w:val="LeasingProgTableText"/>
              <w:spacing w:line="220" w:lineRule="atLeast"/>
              <w:jc w:val="right"/>
              <w:rPr>
                <w:rFonts w:cs="Calibri"/>
                <w:szCs w:val="20"/>
              </w:rPr>
            </w:pPr>
            <w:r w:rsidRPr="00150391">
              <w:rPr>
                <w:rFonts w:cs="Calibri"/>
              </w:rPr>
              <w:t>$000</w:t>
            </w:r>
          </w:p>
        </w:tc>
        <w:tc>
          <w:tcPr>
            <w:tcW w:w="1134" w:type="dxa"/>
            <w:tcBorders>
              <w:top w:val="nil"/>
              <w:left w:val="nil"/>
              <w:bottom w:val="single" w:sz="8" w:space="0" w:color="auto"/>
              <w:right w:val="single" w:sz="8" w:space="0" w:color="auto"/>
            </w:tcBorders>
            <w:shd w:val="clear" w:color="auto" w:fill="FFFFFF" w:themeFill="background1"/>
            <w:vAlign w:val="center"/>
          </w:tcPr>
          <w:p w14:paraId="266C6F85" w14:textId="77777777" w:rsidR="0080087F" w:rsidRPr="00150391" w:rsidRDefault="53BF0693" w:rsidP="7185AFE5">
            <w:pPr>
              <w:pStyle w:val="LeasingProgTableText"/>
              <w:spacing w:line="220" w:lineRule="atLeast"/>
              <w:jc w:val="right"/>
              <w:rPr>
                <w:rFonts w:cs="Calibri"/>
                <w:szCs w:val="20"/>
              </w:rPr>
            </w:pPr>
            <w:r w:rsidRPr="00150391">
              <w:rPr>
                <w:rFonts w:cs="Calibri"/>
              </w:rPr>
              <w:t>$000</w:t>
            </w:r>
          </w:p>
        </w:tc>
        <w:tc>
          <w:tcPr>
            <w:tcW w:w="1134" w:type="dxa"/>
            <w:tcBorders>
              <w:top w:val="nil"/>
              <w:left w:val="nil"/>
              <w:bottom w:val="single" w:sz="8" w:space="0" w:color="auto"/>
              <w:right w:val="single" w:sz="12" w:space="0" w:color="auto"/>
            </w:tcBorders>
            <w:shd w:val="clear" w:color="auto" w:fill="FFFFFF" w:themeFill="background1"/>
            <w:vAlign w:val="center"/>
          </w:tcPr>
          <w:p w14:paraId="28FF1790" w14:textId="77777777" w:rsidR="0080087F" w:rsidRPr="00150391" w:rsidRDefault="53BF0693" w:rsidP="7185AFE5">
            <w:pPr>
              <w:pStyle w:val="LeasingProgTableText"/>
              <w:spacing w:line="220" w:lineRule="atLeast"/>
              <w:jc w:val="right"/>
              <w:rPr>
                <w:rFonts w:cs="Calibri"/>
                <w:szCs w:val="20"/>
              </w:rPr>
            </w:pPr>
            <w:r w:rsidRPr="00150391">
              <w:rPr>
                <w:rFonts w:cs="Calibri"/>
              </w:rPr>
              <w:t>$000</w:t>
            </w:r>
          </w:p>
        </w:tc>
      </w:tr>
      <w:tr w:rsidR="00261938" w:rsidRPr="00150391" w14:paraId="375E30A5" w14:textId="77777777" w:rsidTr="002B4935">
        <w:trPr>
          <w:trHeight w:val="306"/>
        </w:trPr>
        <w:tc>
          <w:tcPr>
            <w:tcW w:w="8916" w:type="dxa"/>
            <w:gridSpan w:val="6"/>
            <w:tcBorders>
              <w:top w:val="nil"/>
              <w:left w:val="single" w:sz="12" w:space="0" w:color="auto"/>
              <w:bottom w:val="single" w:sz="8" w:space="0" w:color="auto"/>
              <w:right w:val="single" w:sz="12" w:space="0" w:color="auto"/>
            </w:tcBorders>
            <w:shd w:val="clear" w:color="auto" w:fill="D9D9D9" w:themeFill="background1" w:themeFillShade="D9"/>
            <w:noWrap/>
            <w:vAlign w:val="center"/>
            <w:hideMark/>
          </w:tcPr>
          <w:p w14:paraId="3AD18C87" w14:textId="77777777" w:rsidR="00261938" w:rsidRPr="00150391" w:rsidRDefault="53BF0693" w:rsidP="7185AFE5">
            <w:pPr>
              <w:pStyle w:val="LeasingProgTableText"/>
              <w:spacing w:line="220" w:lineRule="atLeast"/>
              <w:rPr>
                <w:rFonts w:cs="Calibri"/>
                <w:szCs w:val="20"/>
              </w:rPr>
            </w:pPr>
            <w:r w:rsidRPr="00150391">
              <w:rPr>
                <w:rFonts w:cs="Calibri"/>
              </w:rPr>
              <w:t>Program 1.x (insert program name here)</w:t>
            </w:r>
          </w:p>
          <w:p w14:paraId="1408F9A7" w14:textId="77777777" w:rsidR="00261938" w:rsidRPr="00150391" w:rsidRDefault="00261938" w:rsidP="000A7DEC">
            <w:pPr>
              <w:pStyle w:val="LeasingProgTableText"/>
              <w:spacing w:line="220" w:lineRule="atLeast"/>
              <w:rPr>
                <w:rFonts w:cs="Calibri"/>
                <w:szCs w:val="20"/>
              </w:rPr>
            </w:pPr>
          </w:p>
        </w:tc>
      </w:tr>
      <w:tr w:rsidR="001C70F1" w:rsidRPr="00150391" w14:paraId="51EFF8E7" w14:textId="77777777" w:rsidTr="002B4935">
        <w:trPr>
          <w:trHeight w:val="293"/>
        </w:trPr>
        <w:tc>
          <w:tcPr>
            <w:tcW w:w="3364" w:type="dxa"/>
            <w:tcBorders>
              <w:top w:val="nil"/>
              <w:left w:val="single" w:sz="12" w:space="0" w:color="auto"/>
              <w:bottom w:val="nil"/>
              <w:right w:val="single" w:sz="8" w:space="0" w:color="auto"/>
            </w:tcBorders>
            <w:shd w:val="clear" w:color="auto" w:fill="auto"/>
            <w:noWrap/>
            <w:hideMark/>
          </w:tcPr>
          <w:p w14:paraId="337CED87" w14:textId="77777777" w:rsidR="00261938" w:rsidRPr="00150391" w:rsidRDefault="53BF0693" w:rsidP="53BF0693">
            <w:pPr>
              <w:pStyle w:val="LeasingProgTableText"/>
              <w:spacing w:line="220" w:lineRule="atLeast"/>
              <w:rPr>
                <w:rFonts w:cs="Calibri"/>
                <w:b/>
                <w:bCs/>
              </w:rPr>
            </w:pPr>
            <w:r w:rsidRPr="00150391">
              <w:rPr>
                <w:rFonts w:cs="Calibri"/>
                <w:b/>
                <w:bCs/>
              </w:rPr>
              <w:t>Departmental expenses</w:t>
            </w:r>
          </w:p>
        </w:tc>
        <w:tc>
          <w:tcPr>
            <w:tcW w:w="1157" w:type="dxa"/>
            <w:tcBorders>
              <w:top w:val="nil"/>
              <w:left w:val="nil"/>
              <w:bottom w:val="nil"/>
              <w:right w:val="single" w:sz="8" w:space="0" w:color="auto"/>
            </w:tcBorders>
            <w:shd w:val="clear" w:color="auto" w:fill="auto"/>
          </w:tcPr>
          <w:p w14:paraId="5AB127BD" w14:textId="77777777" w:rsidR="00261938" w:rsidRPr="00150391" w:rsidRDefault="00261938" w:rsidP="000A7DEC">
            <w:pPr>
              <w:pStyle w:val="LeasingProgTableText"/>
              <w:spacing w:line="220" w:lineRule="atLeast"/>
              <w:rPr>
                <w:rFonts w:cs="Calibri"/>
                <w:szCs w:val="20"/>
              </w:rPr>
            </w:pPr>
          </w:p>
        </w:tc>
        <w:tc>
          <w:tcPr>
            <w:tcW w:w="993" w:type="dxa"/>
            <w:tcBorders>
              <w:top w:val="nil"/>
              <w:left w:val="nil"/>
              <w:bottom w:val="nil"/>
              <w:right w:val="single" w:sz="8" w:space="0" w:color="auto"/>
            </w:tcBorders>
            <w:shd w:val="clear" w:color="auto" w:fill="FFFFFF" w:themeFill="background1"/>
            <w:noWrap/>
          </w:tcPr>
          <w:p w14:paraId="594E5360" w14:textId="77777777" w:rsidR="00261938" w:rsidRPr="00150391" w:rsidRDefault="00261938" w:rsidP="000A7DEC">
            <w:pPr>
              <w:pStyle w:val="LeasingProgTableText"/>
              <w:spacing w:line="220" w:lineRule="atLeast"/>
              <w:rPr>
                <w:rFonts w:cs="Calibri"/>
                <w:szCs w:val="20"/>
              </w:rPr>
            </w:pPr>
          </w:p>
        </w:tc>
        <w:tc>
          <w:tcPr>
            <w:tcW w:w="1134" w:type="dxa"/>
            <w:tcBorders>
              <w:top w:val="nil"/>
              <w:left w:val="nil"/>
              <w:bottom w:val="nil"/>
              <w:right w:val="single" w:sz="8" w:space="0" w:color="auto"/>
            </w:tcBorders>
            <w:shd w:val="clear" w:color="auto" w:fill="FFFFFF" w:themeFill="background1"/>
            <w:noWrap/>
          </w:tcPr>
          <w:p w14:paraId="2CE18249" w14:textId="77777777" w:rsidR="00261938" w:rsidRPr="00150391" w:rsidRDefault="00261938" w:rsidP="000A7DEC">
            <w:pPr>
              <w:pStyle w:val="LeasingProgTableText"/>
              <w:spacing w:line="220" w:lineRule="atLeast"/>
              <w:rPr>
                <w:rFonts w:cs="Calibri"/>
                <w:szCs w:val="20"/>
              </w:rPr>
            </w:pPr>
          </w:p>
        </w:tc>
        <w:tc>
          <w:tcPr>
            <w:tcW w:w="1134" w:type="dxa"/>
            <w:tcBorders>
              <w:top w:val="nil"/>
              <w:left w:val="nil"/>
              <w:bottom w:val="nil"/>
              <w:right w:val="single" w:sz="8" w:space="0" w:color="auto"/>
            </w:tcBorders>
            <w:shd w:val="clear" w:color="auto" w:fill="FFFFFF" w:themeFill="background1"/>
            <w:noWrap/>
          </w:tcPr>
          <w:p w14:paraId="62500063" w14:textId="77777777" w:rsidR="00261938" w:rsidRPr="00150391" w:rsidRDefault="00261938" w:rsidP="000A7DEC">
            <w:pPr>
              <w:pStyle w:val="LeasingProgTableText"/>
              <w:spacing w:line="220" w:lineRule="atLeast"/>
              <w:rPr>
                <w:rFonts w:cs="Calibri"/>
                <w:szCs w:val="20"/>
              </w:rPr>
            </w:pPr>
          </w:p>
        </w:tc>
        <w:tc>
          <w:tcPr>
            <w:tcW w:w="1134" w:type="dxa"/>
            <w:tcBorders>
              <w:top w:val="nil"/>
              <w:left w:val="nil"/>
              <w:bottom w:val="nil"/>
              <w:right w:val="single" w:sz="12" w:space="0" w:color="auto"/>
            </w:tcBorders>
            <w:shd w:val="clear" w:color="auto" w:fill="FFFFFF" w:themeFill="background1"/>
            <w:noWrap/>
          </w:tcPr>
          <w:p w14:paraId="322BB5F3" w14:textId="77777777" w:rsidR="00261938" w:rsidRPr="00150391" w:rsidRDefault="00261938" w:rsidP="000A7DEC">
            <w:pPr>
              <w:pStyle w:val="LeasingProgTableText"/>
              <w:spacing w:line="220" w:lineRule="atLeast"/>
              <w:rPr>
                <w:rFonts w:cs="Calibri"/>
                <w:szCs w:val="20"/>
              </w:rPr>
            </w:pPr>
          </w:p>
        </w:tc>
      </w:tr>
      <w:tr w:rsidR="001C70F1" w:rsidRPr="00150391" w14:paraId="200842EC" w14:textId="77777777" w:rsidTr="002B4935">
        <w:trPr>
          <w:trHeight w:val="293"/>
        </w:trPr>
        <w:tc>
          <w:tcPr>
            <w:tcW w:w="3364" w:type="dxa"/>
            <w:tcBorders>
              <w:top w:val="nil"/>
              <w:left w:val="single" w:sz="12" w:space="0" w:color="auto"/>
              <w:bottom w:val="nil"/>
              <w:right w:val="single" w:sz="8" w:space="0" w:color="auto"/>
            </w:tcBorders>
            <w:shd w:val="clear" w:color="auto" w:fill="FFFFFF" w:themeFill="background1"/>
            <w:noWrap/>
            <w:hideMark/>
          </w:tcPr>
          <w:p w14:paraId="7E2C96A6" w14:textId="77777777" w:rsidR="00B06390" w:rsidRPr="00150391" w:rsidRDefault="53BF0693" w:rsidP="7185AFE5">
            <w:pPr>
              <w:pStyle w:val="LeasingProgTableText"/>
              <w:spacing w:line="220" w:lineRule="atLeast"/>
              <w:rPr>
                <w:rFonts w:cs="Calibri"/>
                <w:szCs w:val="20"/>
              </w:rPr>
            </w:pPr>
            <w:r w:rsidRPr="00150391">
              <w:rPr>
                <w:rFonts w:cs="Calibri"/>
              </w:rPr>
              <w:t>Departmental appropriation expenses *</w:t>
            </w:r>
          </w:p>
        </w:tc>
        <w:tc>
          <w:tcPr>
            <w:tcW w:w="1157" w:type="dxa"/>
            <w:tcBorders>
              <w:top w:val="nil"/>
              <w:left w:val="nil"/>
              <w:bottom w:val="nil"/>
              <w:right w:val="single" w:sz="8" w:space="0" w:color="auto"/>
            </w:tcBorders>
            <w:shd w:val="clear" w:color="auto" w:fill="FFFFFF" w:themeFill="background1"/>
            <w:hideMark/>
          </w:tcPr>
          <w:p w14:paraId="0F9C4B41" w14:textId="77777777" w:rsidR="00B06390" w:rsidRPr="00150391" w:rsidRDefault="6B6EE5C4" w:rsidP="7185AFE5">
            <w:pPr>
              <w:pStyle w:val="LeasingProgTableText"/>
              <w:spacing w:line="220" w:lineRule="atLeast"/>
              <w:jc w:val="right"/>
              <w:rPr>
                <w:rFonts w:cs="Calibri"/>
                <w:szCs w:val="20"/>
              </w:rPr>
            </w:pPr>
            <w:r w:rsidRPr="00150391">
              <w:rPr>
                <w:rFonts w:cs="Calibri"/>
              </w:rPr>
              <w:t>5,770</w:t>
            </w:r>
          </w:p>
        </w:tc>
        <w:tc>
          <w:tcPr>
            <w:tcW w:w="993" w:type="dxa"/>
            <w:tcBorders>
              <w:top w:val="nil"/>
              <w:left w:val="nil"/>
              <w:bottom w:val="nil"/>
              <w:right w:val="single" w:sz="8" w:space="0" w:color="auto"/>
            </w:tcBorders>
            <w:shd w:val="clear" w:color="auto" w:fill="FFFFFF" w:themeFill="background1"/>
            <w:noWrap/>
            <w:hideMark/>
          </w:tcPr>
          <w:p w14:paraId="79FFB448" w14:textId="77777777" w:rsidR="00B06390" w:rsidRPr="00150391" w:rsidRDefault="6B6EE5C4" w:rsidP="7185AFE5">
            <w:pPr>
              <w:pStyle w:val="LeasingProgTableText"/>
              <w:spacing w:line="220" w:lineRule="atLeast"/>
              <w:jc w:val="right"/>
              <w:rPr>
                <w:rFonts w:cs="Calibri"/>
                <w:szCs w:val="20"/>
              </w:rPr>
            </w:pPr>
            <w:r w:rsidRPr="00150391">
              <w:rPr>
                <w:rFonts w:cs="Calibri"/>
              </w:rPr>
              <w:t>6,010</w:t>
            </w:r>
          </w:p>
        </w:tc>
        <w:tc>
          <w:tcPr>
            <w:tcW w:w="1134" w:type="dxa"/>
            <w:tcBorders>
              <w:top w:val="nil"/>
              <w:left w:val="nil"/>
              <w:bottom w:val="nil"/>
              <w:right w:val="single" w:sz="8" w:space="0" w:color="auto"/>
            </w:tcBorders>
            <w:shd w:val="clear" w:color="auto" w:fill="FFFFFF" w:themeFill="background1"/>
            <w:noWrap/>
            <w:hideMark/>
          </w:tcPr>
          <w:p w14:paraId="61B42CC9" w14:textId="77777777" w:rsidR="00B06390" w:rsidRPr="00150391" w:rsidRDefault="6B6EE5C4" w:rsidP="7185AFE5">
            <w:pPr>
              <w:pStyle w:val="LeasingProgTableText"/>
              <w:spacing w:line="220" w:lineRule="atLeast"/>
              <w:jc w:val="right"/>
              <w:rPr>
                <w:rFonts w:cs="Calibri"/>
                <w:szCs w:val="20"/>
              </w:rPr>
            </w:pPr>
            <w:r w:rsidRPr="00150391">
              <w:rPr>
                <w:rFonts w:cs="Calibri"/>
              </w:rPr>
              <w:t>6,100</w:t>
            </w:r>
          </w:p>
        </w:tc>
        <w:tc>
          <w:tcPr>
            <w:tcW w:w="1134" w:type="dxa"/>
            <w:tcBorders>
              <w:top w:val="nil"/>
              <w:left w:val="nil"/>
              <w:bottom w:val="nil"/>
              <w:right w:val="single" w:sz="8" w:space="0" w:color="auto"/>
            </w:tcBorders>
            <w:shd w:val="clear" w:color="auto" w:fill="FFFFFF" w:themeFill="background1"/>
            <w:noWrap/>
            <w:hideMark/>
          </w:tcPr>
          <w:p w14:paraId="5826F3F5" w14:textId="77777777" w:rsidR="00B06390" w:rsidRPr="00150391" w:rsidRDefault="6B6EE5C4" w:rsidP="7185AFE5">
            <w:pPr>
              <w:pStyle w:val="LeasingProgTableText"/>
              <w:spacing w:line="220" w:lineRule="atLeast"/>
              <w:jc w:val="right"/>
              <w:rPr>
                <w:rFonts w:cs="Calibri"/>
                <w:szCs w:val="20"/>
              </w:rPr>
            </w:pPr>
            <w:r w:rsidRPr="00150391">
              <w:rPr>
                <w:rFonts w:cs="Calibri"/>
              </w:rPr>
              <w:t>6,285</w:t>
            </w:r>
          </w:p>
        </w:tc>
        <w:tc>
          <w:tcPr>
            <w:tcW w:w="1134" w:type="dxa"/>
            <w:tcBorders>
              <w:top w:val="nil"/>
              <w:left w:val="nil"/>
              <w:bottom w:val="nil"/>
              <w:right w:val="single" w:sz="12" w:space="0" w:color="auto"/>
            </w:tcBorders>
            <w:shd w:val="clear" w:color="auto" w:fill="FFFFFF" w:themeFill="background1"/>
            <w:noWrap/>
            <w:hideMark/>
          </w:tcPr>
          <w:p w14:paraId="6969EF25" w14:textId="77777777" w:rsidR="00B06390" w:rsidRPr="00150391" w:rsidRDefault="6B6EE5C4" w:rsidP="7185AFE5">
            <w:pPr>
              <w:pStyle w:val="LeasingProgTableText"/>
              <w:spacing w:line="220" w:lineRule="atLeast"/>
              <w:jc w:val="right"/>
              <w:rPr>
                <w:rFonts w:cs="Calibri"/>
                <w:szCs w:val="20"/>
              </w:rPr>
            </w:pPr>
            <w:r w:rsidRPr="00150391">
              <w:rPr>
                <w:rFonts w:cs="Calibri"/>
                <w:sz w:val="20"/>
                <w:szCs w:val="20"/>
              </w:rPr>
              <w:t>6,</w:t>
            </w:r>
            <w:r w:rsidRPr="00150391">
              <w:rPr>
                <w:rFonts w:cs="Calibri"/>
              </w:rPr>
              <w:t>453</w:t>
            </w:r>
          </w:p>
        </w:tc>
      </w:tr>
      <w:tr w:rsidR="001C70F1" w:rsidRPr="00150391" w14:paraId="35DA998B" w14:textId="77777777" w:rsidTr="002B4935">
        <w:trPr>
          <w:trHeight w:val="293"/>
        </w:trPr>
        <w:tc>
          <w:tcPr>
            <w:tcW w:w="3364" w:type="dxa"/>
            <w:tcBorders>
              <w:top w:val="nil"/>
              <w:left w:val="single" w:sz="12" w:space="0" w:color="auto"/>
              <w:bottom w:val="nil"/>
              <w:right w:val="single" w:sz="8" w:space="0" w:color="auto"/>
            </w:tcBorders>
            <w:shd w:val="clear" w:color="auto" w:fill="FFE68F" w:themeFill="accent6" w:themeFillTint="66"/>
            <w:noWrap/>
            <w:hideMark/>
          </w:tcPr>
          <w:p w14:paraId="77FC2176" w14:textId="77777777" w:rsidR="00B06390" w:rsidRPr="00150391" w:rsidRDefault="53BF0693" w:rsidP="53BF0693">
            <w:pPr>
              <w:pStyle w:val="LeasingProgTableText"/>
              <w:spacing w:line="220" w:lineRule="atLeast"/>
              <w:ind w:left="165"/>
              <w:jc w:val="both"/>
              <w:rPr>
                <w:rFonts w:cs="Calibri"/>
                <w:color w:val="0070C0"/>
                <w:u w:val="single"/>
              </w:rPr>
            </w:pPr>
            <w:r w:rsidRPr="00150391">
              <w:rPr>
                <w:rFonts w:cs="Calibri"/>
                <w:color w:val="0070C0"/>
                <w:u w:val="single"/>
              </w:rPr>
              <w:t>Consists of:</w:t>
            </w:r>
          </w:p>
        </w:tc>
        <w:tc>
          <w:tcPr>
            <w:tcW w:w="1157" w:type="dxa"/>
            <w:tcBorders>
              <w:top w:val="nil"/>
              <w:left w:val="nil"/>
              <w:bottom w:val="nil"/>
              <w:right w:val="single" w:sz="8" w:space="0" w:color="auto"/>
            </w:tcBorders>
            <w:shd w:val="clear" w:color="auto" w:fill="FFE68F" w:themeFill="accent6" w:themeFillTint="66"/>
          </w:tcPr>
          <w:p w14:paraId="1E9CA1E2" w14:textId="77777777" w:rsidR="00B06390" w:rsidRPr="00150391" w:rsidRDefault="00B06390" w:rsidP="000A7DEC">
            <w:pPr>
              <w:pStyle w:val="LeasingProgTableText"/>
              <w:spacing w:line="220" w:lineRule="atLeast"/>
              <w:jc w:val="right"/>
              <w:rPr>
                <w:rFonts w:cs="Calibri"/>
                <w:szCs w:val="20"/>
              </w:rPr>
            </w:pPr>
          </w:p>
        </w:tc>
        <w:tc>
          <w:tcPr>
            <w:tcW w:w="993" w:type="dxa"/>
            <w:tcBorders>
              <w:top w:val="nil"/>
              <w:left w:val="nil"/>
              <w:bottom w:val="nil"/>
              <w:right w:val="single" w:sz="8" w:space="0" w:color="auto"/>
            </w:tcBorders>
            <w:shd w:val="clear" w:color="auto" w:fill="FFE68F" w:themeFill="accent6" w:themeFillTint="66"/>
            <w:noWrap/>
          </w:tcPr>
          <w:p w14:paraId="79FB11DF"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E68F" w:themeFill="accent6" w:themeFillTint="66"/>
            <w:noWrap/>
          </w:tcPr>
          <w:p w14:paraId="2FE98FC0"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E68F" w:themeFill="accent6" w:themeFillTint="66"/>
            <w:noWrap/>
          </w:tcPr>
          <w:p w14:paraId="2E3C766B"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12" w:space="0" w:color="auto"/>
            </w:tcBorders>
            <w:shd w:val="clear" w:color="auto" w:fill="FFE68F" w:themeFill="accent6" w:themeFillTint="66"/>
            <w:noWrap/>
          </w:tcPr>
          <w:p w14:paraId="6097AD27" w14:textId="77777777" w:rsidR="00B06390" w:rsidRPr="00150391" w:rsidRDefault="00B06390" w:rsidP="000A7DEC">
            <w:pPr>
              <w:pStyle w:val="LeasingProgTableText"/>
              <w:spacing w:line="220" w:lineRule="atLeast"/>
              <w:jc w:val="right"/>
              <w:rPr>
                <w:rFonts w:cs="Calibri"/>
                <w:szCs w:val="20"/>
              </w:rPr>
            </w:pPr>
          </w:p>
        </w:tc>
      </w:tr>
      <w:tr w:rsidR="001C70F1" w:rsidRPr="00150391" w14:paraId="6AA43DA6" w14:textId="77777777" w:rsidTr="002B4935">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1E414450" w14:textId="77777777" w:rsidR="00B06390" w:rsidRPr="00150391" w:rsidRDefault="53BF0693" w:rsidP="53BF0693">
            <w:pPr>
              <w:pStyle w:val="LeasingProgTableText"/>
              <w:spacing w:line="220" w:lineRule="atLeast"/>
              <w:ind w:left="165"/>
              <w:rPr>
                <w:rFonts w:cs="Calibri"/>
                <w:color w:val="0070C0"/>
              </w:rPr>
            </w:pPr>
            <w:r w:rsidRPr="00150391">
              <w:rPr>
                <w:rFonts w:cs="Calibri"/>
                <w:color w:val="0070C0"/>
              </w:rPr>
              <w:t>Other Expenses</w:t>
            </w:r>
          </w:p>
        </w:tc>
        <w:tc>
          <w:tcPr>
            <w:tcW w:w="1157" w:type="dxa"/>
            <w:tcBorders>
              <w:top w:val="nil"/>
              <w:left w:val="nil"/>
              <w:bottom w:val="nil"/>
              <w:right w:val="single" w:sz="8" w:space="0" w:color="auto"/>
            </w:tcBorders>
            <w:shd w:val="clear" w:color="auto" w:fill="FFE68F" w:themeFill="accent6" w:themeFillTint="66"/>
            <w:hideMark/>
          </w:tcPr>
          <w:p w14:paraId="48E66A3C"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5,750</w:t>
            </w:r>
          </w:p>
        </w:tc>
        <w:tc>
          <w:tcPr>
            <w:tcW w:w="993" w:type="dxa"/>
            <w:tcBorders>
              <w:top w:val="nil"/>
              <w:left w:val="nil"/>
              <w:bottom w:val="nil"/>
              <w:right w:val="single" w:sz="8" w:space="0" w:color="auto"/>
            </w:tcBorders>
            <w:shd w:val="clear" w:color="auto" w:fill="FFE68F" w:themeFill="accent6" w:themeFillTint="66"/>
            <w:noWrap/>
            <w:hideMark/>
          </w:tcPr>
          <w:p w14:paraId="4A8649FA"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6,000</w:t>
            </w:r>
          </w:p>
        </w:tc>
        <w:tc>
          <w:tcPr>
            <w:tcW w:w="1134" w:type="dxa"/>
            <w:tcBorders>
              <w:top w:val="nil"/>
              <w:left w:val="nil"/>
              <w:bottom w:val="nil"/>
              <w:right w:val="single" w:sz="8" w:space="0" w:color="auto"/>
            </w:tcBorders>
            <w:shd w:val="clear" w:color="auto" w:fill="FFE68F" w:themeFill="accent6" w:themeFillTint="66"/>
            <w:noWrap/>
            <w:hideMark/>
          </w:tcPr>
          <w:p w14:paraId="1CD0CEEB"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6,100</w:t>
            </w:r>
          </w:p>
        </w:tc>
        <w:tc>
          <w:tcPr>
            <w:tcW w:w="1134" w:type="dxa"/>
            <w:tcBorders>
              <w:top w:val="nil"/>
              <w:left w:val="nil"/>
              <w:bottom w:val="nil"/>
              <w:right w:val="single" w:sz="8" w:space="0" w:color="auto"/>
            </w:tcBorders>
            <w:shd w:val="clear" w:color="auto" w:fill="FFE68F" w:themeFill="accent6" w:themeFillTint="66"/>
            <w:noWrap/>
            <w:hideMark/>
          </w:tcPr>
          <w:p w14:paraId="119ED1B5"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6,300</w:t>
            </w:r>
          </w:p>
        </w:tc>
        <w:tc>
          <w:tcPr>
            <w:tcW w:w="1134" w:type="dxa"/>
            <w:tcBorders>
              <w:top w:val="nil"/>
              <w:left w:val="nil"/>
              <w:bottom w:val="nil"/>
              <w:right w:val="single" w:sz="12" w:space="0" w:color="auto"/>
            </w:tcBorders>
            <w:shd w:val="clear" w:color="auto" w:fill="FFE68F" w:themeFill="accent6" w:themeFillTint="66"/>
            <w:noWrap/>
            <w:hideMark/>
          </w:tcPr>
          <w:p w14:paraId="14DFD969" w14:textId="77777777" w:rsidR="008C3275" w:rsidRPr="00150391" w:rsidRDefault="6B6EE5C4" w:rsidP="6B6EE5C4">
            <w:pPr>
              <w:pStyle w:val="LeasingProgTableText"/>
              <w:spacing w:line="220" w:lineRule="atLeast"/>
              <w:jc w:val="right"/>
              <w:rPr>
                <w:rFonts w:cs="Calibri"/>
                <w:color w:val="0070C0"/>
              </w:rPr>
            </w:pPr>
            <w:r w:rsidRPr="00150391">
              <w:rPr>
                <w:rFonts w:cs="Calibri"/>
                <w:color w:val="0070C0"/>
                <w:sz w:val="20"/>
                <w:szCs w:val="20"/>
              </w:rPr>
              <w:t>6,</w:t>
            </w:r>
            <w:r w:rsidRPr="00150391">
              <w:rPr>
                <w:rFonts w:cs="Calibri"/>
                <w:color w:val="0070C0"/>
              </w:rPr>
              <w:t>477</w:t>
            </w:r>
          </w:p>
        </w:tc>
      </w:tr>
      <w:tr w:rsidR="001C70F1" w:rsidRPr="00150391" w14:paraId="4C650D9A" w14:textId="77777777" w:rsidTr="002B4935">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39DE0576" w14:textId="77777777" w:rsidR="00B06390" w:rsidRPr="00150391" w:rsidRDefault="6B6EE5C4" w:rsidP="6B6EE5C4">
            <w:pPr>
              <w:pStyle w:val="LeasingProgTableText"/>
              <w:spacing w:line="220" w:lineRule="atLeast"/>
              <w:ind w:left="165"/>
              <w:rPr>
                <w:rFonts w:cs="Calibri"/>
                <w:color w:val="0070C0"/>
              </w:rPr>
            </w:pPr>
            <w:r w:rsidRPr="00150391">
              <w:rPr>
                <w:rFonts w:cs="Calibri"/>
                <w:color w:val="0070C0"/>
              </w:rPr>
              <w:t>Interest on RoU a/c (2422020)</w:t>
            </w:r>
          </w:p>
        </w:tc>
        <w:tc>
          <w:tcPr>
            <w:tcW w:w="1157" w:type="dxa"/>
            <w:tcBorders>
              <w:top w:val="nil"/>
              <w:left w:val="nil"/>
              <w:bottom w:val="nil"/>
              <w:right w:val="single" w:sz="8" w:space="0" w:color="auto"/>
            </w:tcBorders>
            <w:shd w:val="clear" w:color="auto" w:fill="FFE68F" w:themeFill="accent6" w:themeFillTint="66"/>
            <w:hideMark/>
          </w:tcPr>
          <w:p w14:paraId="158458E3"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16</w:t>
            </w:r>
          </w:p>
        </w:tc>
        <w:tc>
          <w:tcPr>
            <w:tcW w:w="993" w:type="dxa"/>
            <w:tcBorders>
              <w:top w:val="nil"/>
              <w:left w:val="nil"/>
              <w:bottom w:val="nil"/>
              <w:right w:val="single" w:sz="8" w:space="0" w:color="auto"/>
            </w:tcBorders>
            <w:shd w:val="clear" w:color="auto" w:fill="FFE68F" w:themeFill="accent6" w:themeFillTint="66"/>
            <w:noWrap/>
            <w:hideMark/>
          </w:tcPr>
          <w:p w14:paraId="1152A7DA"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14</w:t>
            </w:r>
          </w:p>
        </w:tc>
        <w:tc>
          <w:tcPr>
            <w:tcW w:w="1134" w:type="dxa"/>
            <w:tcBorders>
              <w:top w:val="nil"/>
              <w:left w:val="nil"/>
              <w:bottom w:val="nil"/>
              <w:right w:val="single" w:sz="8" w:space="0" w:color="auto"/>
            </w:tcBorders>
            <w:shd w:val="clear" w:color="auto" w:fill="FFE68F" w:themeFill="accent6" w:themeFillTint="66"/>
            <w:noWrap/>
            <w:hideMark/>
          </w:tcPr>
          <w:p w14:paraId="2AFE1031"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12</w:t>
            </w:r>
          </w:p>
        </w:tc>
        <w:tc>
          <w:tcPr>
            <w:tcW w:w="1134" w:type="dxa"/>
            <w:tcBorders>
              <w:top w:val="nil"/>
              <w:left w:val="nil"/>
              <w:bottom w:val="nil"/>
              <w:right w:val="single" w:sz="8" w:space="0" w:color="auto"/>
            </w:tcBorders>
            <w:shd w:val="clear" w:color="auto" w:fill="FFE68F" w:themeFill="accent6" w:themeFillTint="66"/>
            <w:noWrap/>
            <w:hideMark/>
          </w:tcPr>
          <w:p w14:paraId="6FBFF1E7"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10</w:t>
            </w:r>
          </w:p>
        </w:tc>
        <w:tc>
          <w:tcPr>
            <w:tcW w:w="1134" w:type="dxa"/>
            <w:tcBorders>
              <w:top w:val="nil"/>
              <w:left w:val="nil"/>
              <w:bottom w:val="nil"/>
              <w:right w:val="single" w:sz="12" w:space="0" w:color="auto"/>
            </w:tcBorders>
            <w:shd w:val="clear" w:color="auto" w:fill="FFE68F" w:themeFill="accent6" w:themeFillTint="66"/>
            <w:noWrap/>
            <w:hideMark/>
          </w:tcPr>
          <w:p w14:paraId="31B01D69"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8</w:t>
            </w:r>
          </w:p>
        </w:tc>
      </w:tr>
      <w:tr w:rsidR="001C70F1" w:rsidRPr="00150391" w14:paraId="2696C5EB" w14:textId="77777777" w:rsidTr="002B4935">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5BC79939" w14:textId="77777777" w:rsidR="00B06390" w:rsidRPr="00150391" w:rsidRDefault="6B6EE5C4" w:rsidP="6B6EE5C4">
            <w:pPr>
              <w:pStyle w:val="LeasingProgTableText"/>
              <w:spacing w:line="220" w:lineRule="atLeast"/>
              <w:ind w:left="165"/>
              <w:rPr>
                <w:rFonts w:cs="Calibri"/>
                <w:color w:val="0070C0"/>
              </w:rPr>
            </w:pPr>
            <w:r w:rsidRPr="00150391">
              <w:rPr>
                <w:rFonts w:cs="Calibri"/>
                <w:color w:val="0070C0"/>
              </w:rPr>
              <w:t>Depreciation on RoU assets</w:t>
            </w:r>
          </w:p>
        </w:tc>
        <w:tc>
          <w:tcPr>
            <w:tcW w:w="1157" w:type="dxa"/>
            <w:tcBorders>
              <w:top w:val="nil"/>
              <w:left w:val="nil"/>
              <w:bottom w:val="nil"/>
              <w:right w:val="single" w:sz="8" w:space="0" w:color="auto"/>
            </w:tcBorders>
            <w:shd w:val="clear" w:color="auto" w:fill="FFE68F" w:themeFill="accent6" w:themeFillTint="66"/>
            <w:hideMark/>
          </w:tcPr>
          <w:p w14:paraId="134DF61A"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380</w:t>
            </w:r>
          </w:p>
        </w:tc>
        <w:tc>
          <w:tcPr>
            <w:tcW w:w="993" w:type="dxa"/>
            <w:tcBorders>
              <w:top w:val="nil"/>
              <w:left w:val="nil"/>
              <w:bottom w:val="nil"/>
              <w:right w:val="single" w:sz="8" w:space="0" w:color="auto"/>
            </w:tcBorders>
            <w:shd w:val="clear" w:color="auto" w:fill="FFE68F" w:themeFill="accent6" w:themeFillTint="66"/>
            <w:noWrap/>
            <w:hideMark/>
          </w:tcPr>
          <w:p w14:paraId="30E7077B"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380</w:t>
            </w:r>
          </w:p>
        </w:tc>
        <w:tc>
          <w:tcPr>
            <w:tcW w:w="1134" w:type="dxa"/>
            <w:tcBorders>
              <w:top w:val="nil"/>
              <w:left w:val="nil"/>
              <w:bottom w:val="nil"/>
              <w:right w:val="single" w:sz="8" w:space="0" w:color="auto"/>
            </w:tcBorders>
            <w:shd w:val="clear" w:color="auto" w:fill="FFE68F" w:themeFill="accent6" w:themeFillTint="66"/>
            <w:noWrap/>
            <w:hideMark/>
          </w:tcPr>
          <w:p w14:paraId="2A16D0D4"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380</w:t>
            </w:r>
          </w:p>
        </w:tc>
        <w:tc>
          <w:tcPr>
            <w:tcW w:w="1134" w:type="dxa"/>
            <w:tcBorders>
              <w:top w:val="nil"/>
              <w:left w:val="nil"/>
              <w:bottom w:val="nil"/>
              <w:right w:val="single" w:sz="8" w:space="0" w:color="auto"/>
            </w:tcBorders>
            <w:shd w:val="clear" w:color="auto" w:fill="FFE68F" w:themeFill="accent6" w:themeFillTint="66"/>
            <w:noWrap/>
            <w:hideMark/>
          </w:tcPr>
          <w:p w14:paraId="48561202"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380</w:t>
            </w:r>
          </w:p>
        </w:tc>
        <w:tc>
          <w:tcPr>
            <w:tcW w:w="1134" w:type="dxa"/>
            <w:tcBorders>
              <w:top w:val="nil"/>
              <w:left w:val="nil"/>
              <w:bottom w:val="nil"/>
              <w:right w:val="single" w:sz="12" w:space="0" w:color="auto"/>
            </w:tcBorders>
            <w:shd w:val="clear" w:color="auto" w:fill="FFE68F" w:themeFill="accent6" w:themeFillTint="66"/>
            <w:noWrap/>
            <w:hideMark/>
          </w:tcPr>
          <w:p w14:paraId="28FDAB06"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sz w:val="20"/>
                <w:szCs w:val="20"/>
              </w:rPr>
              <w:t>380</w:t>
            </w:r>
          </w:p>
        </w:tc>
      </w:tr>
      <w:tr w:rsidR="001C70F1" w:rsidRPr="00150391" w14:paraId="6361D1B3" w14:textId="77777777" w:rsidTr="002B4935">
        <w:trPr>
          <w:trHeight w:val="293"/>
        </w:trPr>
        <w:tc>
          <w:tcPr>
            <w:tcW w:w="3364" w:type="dxa"/>
            <w:tcBorders>
              <w:top w:val="nil"/>
              <w:left w:val="single" w:sz="12" w:space="0" w:color="auto"/>
              <w:bottom w:val="nil"/>
              <w:right w:val="single" w:sz="8" w:space="0" w:color="auto"/>
            </w:tcBorders>
            <w:shd w:val="clear" w:color="auto" w:fill="CCECFF"/>
          </w:tcPr>
          <w:p w14:paraId="01339FD1" w14:textId="77777777" w:rsidR="00B06390" w:rsidRPr="00150391" w:rsidRDefault="53BF0693" w:rsidP="53BF0693">
            <w:pPr>
              <w:pStyle w:val="LeasingProgTableText"/>
              <w:spacing w:line="220" w:lineRule="atLeast"/>
              <w:ind w:left="165"/>
              <w:rPr>
                <w:rFonts w:cs="Calibri"/>
                <w:color w:val="0070C0"/>
              </w:rPr>
            </w:pPr>
            <w:r w:rsidRPr="00150391">
              <w:rPr>
                <w:rFonts w:cs="Calibri"/>
                <w:color w:val="0070C0"/>
              </w:rPr>
              <w:t>Credit applied to rental supplier expenses (rental payments)</w:t>
            </w:r>
          </w:p>
        </w:tc>
        <w:tc>
          <w:tcPr>
            <w:tcW w:w="1157" w:type="dxa"/>
            <w:tcBorders>
              <w:top w:val="nil"/>
              <w:left w:val="nil"/>
              <w:bottom w:val="nil"/>
              <w:right w:val="single" w:sz="8" w:space="0" w:color="auto"/>
            </w:tcBorders>
            <w:shd w:val="clear" w:color="auto" w:fill="CCECFF"/>
          </w:tcPr>
          <w:p w14:paraId="3486C76E" w14:textId="77777777" w:rsidR="00B06390" w:rsidRPr="00150391" w:rsidRDefault="6B6EE5C4" w:rsidP="6B6EE5C4">
            <w:pPr>
              <w:pStyle w:val="LeasingProgTableText"/>
              <w:spacing w:line="220" w:lineRule="atLeast"/>
              <w:jc w:val="right"/>
              <w:rPr>
                <w:rFonts w:cs="Calibri"/>
                <w:color w:val="FF0000"/>
              </w:rPr>
            </w:pPr>
            <w:r w:rsidRPr="00150391">
              <w:rPr>
                <w:rFonts w:cs="Calibri"/>
                <w:color w:val="FF0000"/>
              </w:rPr>
              <w:t>-376</w:t>
            </w:r>
          </w:p>
        </w:tc>
        <w:tc>
          <w:tcPr>
            <w:tcW w:w="993" w:type="dxa"/>
            <w:tcBorders>
              <w:top w:val="nil"/>
              <w:left w:val="nil"/>
              <w:bottom w:val="nil"/>
              <w:right w:val="single" w:sz="8" w:space="0" w:color="auto"/>
            </w:tcBorders>
            <w:shd w:val="clear" w:color="auto" w:fill="CCECFF"/>
            <w:noWrap/>
          </w:tcPr>
          <w:p w14:paraId="319D8AC6" w14:textId="77777777" w:rsidR="00B06390" w:rsidRPr="00150391" w:rsidRDefault="6B6EE5C4" w:rsidP="6B6EE5C4">
            <w:pPr>
              <w:pStyle w:val="LeasingProgTableText"/>
              <w:spacing w:line="220" w:lineRule="atLeast"/>
              <w:jc w:val="right"/>
              <w:rPr>
                <w:rFonts w:cs="Calibri"/>
                <w:color w:val="FF0000"/>
              </w:rPr>
            </w:pPr>
            <w:r w:rsidRPr="00150391">
              <w:rPr>
                <w:rFonts w:cs="Calibri"/>
                <w:color w:val="FF0000"/>
              </w:rPr>
              <w:t>-384</w:t>
            </w:r>
          </w:p>
        </w:tc>
        <w:tc>
          <w:tcPr>
            <w:tcW w:w="1134" w:type="dxa"/>
            <w:tcBorders>
              <w:top w:val="nil"/>
              <w:left w:val="nil"/>
              <w:bottom w:val="nil"/>
              <w:right w:val="single" w:sz="8" w:space="0" w:color="auto"/>
            </w:tcBorders>
            <w:shd w:val="clear" w:color="auto" w:fill="CCECFF"/>
            <w:noWrap/>
          </w:tcPr>
          <w:p w14:paraId="03E19BAC" w14:textId="77777777" w:rsidR="00B06390" w:rsidRPr="00150391" w:rsidRDefault="6B6EE5C4" w:rsidP="6B6EE5C4">
            <w:pPr>
              <w:pStyle w:val="LeasingProgTableText"/>
              <w:spacing w:line="220" w:lineRule="atLeast"/>
              <w:jc w:val="right"/>
              <w:rPr>
                <w:rFonts w:cs="Calibri"/>
                <w:color w:val="FF0000"/>
              </w:rPr>
            </w:pPr>
            <w:r w:rsidRPr="00150391">
              <w:rPr>
                <w:rFonts w:cs="Calibri"/>
                <w:color w:val="FF0000"/>
              </w:rPr>
              <w:t>-392</w:t>
            </w:r>
          </w:p>
        </w:tc>
        <w:tc>
          <w:tcPr>
            <w:tcW w:w="1134" w:type="dxa"/>
            <w:tcBorders>
              <w:top w:val="nil"/>
              <w:left w:val="nil"/>
              <w:bottom w:val="nil"/>
              <w:right w:val="single" w:sz="8" w:space="0" w:color="auto"/>
            </w:tcBorders>
            <w:shd w:val="clear" w:color="auto" w:fill="CCECFF"/>
            <w:noWrap/>
          </w:tcPr>
          <w:p w14:paraId="011DC721" w14:textId="77777777" w:rsidR="00B06390" w:rsidRPr="00150391" w:rsidRDefault="6B6EE5C4" w:rsidP="6B6EE5C4">
            <w:pPr>
              <w:pStyle w:val="LeasingProgTableText"/>
              <w:spacing w:line="220" w:lineRule="atLeast"/>
              <w:jc w:val="right"/>
              <w:rPr>
                <w:rFonts w:cs="Calibri"/>
                <w:color w:val="FF0000"/>
              </w:rPr>
            </w:pPr>
            <w:r w:rsidRPr="00150391">
              <w:rPr>
                <w:rFonts w:cs="Calibri"/>
                <w:color w:val="FF0000"/>
              </w:rPr>
              <w:t>-405</w:t>
            </w:r>
          </w:p>
        </w:tc>
        <w:tc>
          <w:tcPr>
            <w:tcW w:w="1134" w:type="dxa"/>
            <w:tcBorders>
              <w:top w:val="nil"/>
              <w:left w:val="nil"/>
              <w:bottom w:val="nil"/>
              <w:right w:val="single" w:sz="12" w:space="0" w:color="auto"/>
            </w:tcBorders>
            <w:shd w:val="clear" w:color="auto" w:fill="CCECFF"/>
            <w:noWrap/>
          </w:tcPr>
          <w:p w14:paraId="6E6CEA34" w14:textId="77777777" w:rsidR="00B06390" w:rsidRPr="00150391" w:rsidRDefault="6B6EE5C4" w:rsidP="6B6EE5C4">
            <w:pPr>
              <w:pStyle w:val="LeasingProgTableText"/>
              <w:spacing w:line="220" w:lineRule="atLeast"/>
              <w:jc w:val="right"/>
              <w:rPr>
                <w:rFonts w:cs="Calibri"/>
                <w:color w:val="FF0000"/>
              </w:rPr>
            </w:pPr>
            <w:r w:rsidRPr="00150391">
              <w:rPr>
                <w:rFonts w:cs="Calibri"/>
                <w:color w:val="FF0000"/>
              </w:rPr>
              <w:t>-412</w:t>
            </w:r>
          </w:p>
        </w:tc>
      </w:tr>
      <w:tr w:rsidR="001C70F1" w:rsidRPr="00150391" w14:paraId="2875AADB" w14:textId="77777777" w:rsidTr="002B4935">
        <w:trPr>
          <w:trHeight w:val="293"/>
        </w:trPr>
        <w:tc>
          <w:tcPr>
            <w:tcW w:w="3364" w:type="dxa"/>
            <w:tcBorders>
              <w:top w:val="nil"/>
              <w:left w:val="single" w:sz="12" w:space="0" w:color="auto"/>
              <w:bottom w:val="nil"/>
              <w:right w:val="single" w:sz="8" w:space="0" w:color="auto"/>
            </w:tcBorders>
            <w:shd w:val="clear" w:color="auto" w:fill="FFFFFF" w:themeFill="background1"/>
            <w:hideMark/>
          </w:tcPr>
          <w:p w14:paraId="3AB6B6F0" w14:textId="77777777" w:rsidR="00B06390" w:rsidRPr="00150391" w:rsidRDefault="00B06390" w:rsidP="000A7DEC">
            <w:pPr>
              <w:pStyle w:val="LeasingProgTableText"/>
              <w:spacing w:line="220" w:lineRule="atLeast"/>
              <w:rPr>
                <w:rFonts w:cs="Calibri"/>
                <w:szCs w:val="20"/>
              </w:rPr>
            </w:pPr>
          </w:p>
        </w:tc>
        <w:tc>
          <w:tcPr>
            <w:tcW w:w="1157" w:type="dxa"/>
            <w:tcBorders>
              <w:top w:val="nil"/>
              <w:left w:val="nil"/>
              <w:bottom w:val="nil"/>
              <w:right w:val="single" w:sz="8" w:space="0" w:color="auto"/>
            </w:tcBorders>
            <w:shd w:val="clear" w:color="auto" w:fill="FFFFFF" w:themeFill="background1"/>
          </w:tcPr>
          <w:p w14:paraId="0E94F925" w14:textId="77777777" w:rsidR="00B06390" w:rsidRPr="00150391" w:rsidRDefault="00B06390" w:rsidP="000A7DEC">
            <w:pPr>
              <w:pStyle w:val="LeasingProgTableText"/>
              <w:spacing w:line="220" w:lineRule="atLeast"/>
              <w:jc w:val="right"/>
              <w:rPr>
                <w:rFonts w:cs="Calibri"/>
                <w:szCs w:val="20"/>
              </w:rPr>
            </w:pPr>
          </w:p>
        </w:tc>
        <w:tc>
          <w:tcPr>
            <w:tcW w:w="993" w:type="dxa"/>
            <w:tcBorders>
              <w:top w:val="nil"/>
              <w:left w:val="nil"/>
              <w:bottom w:val="nil"/>
              <w:right w:val="single" w:sz="8" w:space="0" w:color="auto"/>
            </w:tcBorders>
            <w:shd w:val="clear" w:color="auto" w:fill="FFFFFF" w:themeFill="background1"/>
            <w:noWrap/>
          </w:tcPr>
          <w:p w14:paraId="0426BFC3"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FFFF" w:themeFill="background1"/>
            <w:noWrap/>
          </w:tcPr>
          <w:p w14:paraId="5D973B9C"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FFFF" w:themeFill="background1"/>
            <w:noWrap/>
          </w:tcPr>
          <w:p w14:paraId="0DD6AA1D"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12" w:space="0" w:color="auto"/>
            </w:tcBorders>
            <w:shd w:val="clear" w:color="auto" w:fill="FFFFFF" w:themeFill="background1"/>
            <w:noWrap/>
          </w:tcPr>
          <w:p w14:paraId="7F48D739" w14:textId="77777777" w:rsidR="00B06390" w:rsidRPr="00150391" w:rsidRDefault="00B06390" w:rsidP="000A7DEC">
            <w:pPr>
              <w:pStyle w:val="LeasingProgTableText"/>
              <w:spacing w:line="220" w:lineRule="atLeast"/>
              <w:jc w:val="right"/>
              <w:rPr>
                <w:rFonts w:cs="Calibri"/>
                <w:szCs w:val="20"/>
              </w:rPr>
            </w:pPr>
          </w:p>
        </w:tc>
      </w:tr>
      <w:tr w:rsidR="001C70F1" w:rsidRPr="00150391" w14:paraId="70F5D961" w14:textId="77777777" w:rsidTr="002B4935">
        <w:trPr>
          <w:trHeight w:val="293"/>
        </w:trPr>
        <w:tc>
          <w:tcPr>
            <w:tcW w:w="3364" w:type="dxa"/>
            <w:tcBorders>
              <w:top w:val="nil"/>
              <w:left w:val="single" w:sz="12" w:space="0" w:color="auto"/>
              <w:bottom w:val="nil"/>
              <w:right w:val="single" w:sz="8" w:space="0" w:color="auto"/>
            </w:tcBorders>
            <w:shd w:val="clear" w:color="auto" w:fill="FFFFFF" w:themeFill="background1"/>
            <w:noWrap/>
            <w:hideMark/>
          </w:tcPr>
          <w:p w14:paraId="452864DB" w14:textId="77777777" w:rsidR="00B06390" w:rsidRPr="00150391" w:rsidRDefault="53BF0693" w:rsidP="7185AFE5">
            <w:pPr>
              <w:pStyle w:val="LeasingProgTableText"/>
              <w:spacing w:line="220" w:lineRule="atLeast"/>
              <w:rPr>
                <w:rFonts w:cs="Calibri"/>
                <w:szCs w:val="20"/>
              </w:rPr>
            </w:pPr>
            <w:r w:rsidRPr="00150391">
              <w:rPr>
                <w:rFonts w:cs="Calibri"/>
              </w:rPr>
              <w:t>s74 External Revenue</w:t>
            </w:r>
          </w:p>
        </w:tc>
        <w:tc>
          <w:tcPr>
            <w:tcW w:w="1157" w:type="dxa"/>
            <w:tcBorders>
              <w:top w:val="nil"/>
              <w:left w:val="nil"/>
              <w:bottom w:val="nil"/>
              <w:right w:val="single" w:sz="8" w:space="0" w:color="auto"/>
            </w:tcBorders>
            <w:shd w:val="clear" w:color="auto" w:fill="FFFFFF" w:themeFill="background1"/>
            <w:hideMark/>
          </w:tcPr>
          <w:p w14:paraId="39B20278" w14:textId="77777777" w:rsidR="00B06390" w:rsidRPr="00150391" w:rsidRDefault="6B6EE5C4" w:rsidP="7185AFE5">
            <w:pPr>
              <w:pStyle w:val="LeasingProgTableText"/>
              <w:spacing w:line="220" w:lineRule="atLeast"/>
              <w:jc w:val="right"/>
              <w:rPr>
                <w:rFonts w:cs="Calibri"/>
                <w:szCs w:val="20"/>
              </w:rPr>
            </w:pPr>
            <w:r w:rsidRPr="00150391">
              <w:rPr>
                <w:rFonts w:cs="Calibri"/>
              </w:rPr>
              <w:t>30</w:t>
            </w:r>
          </w:p>
        </w:tc>
        <w:tc>
          <w:tcPr>
            <w:tcW w:w="993" w:type="dxa"/>
            <w:tcBorders>
              <w:top w:val="nil"/>
              <w:left w:val="nil"/>
              <w:bottom w:val="nil"/>
              <w:right w:val="single" w:sz="8" w:space="0" w:color="auto"/>
            </w:tcBorders>
            <w:shd w:val="clear" w:color="auto" w:fill="FFFFFF" w:themeFill="background1"/>
            <w:noWrap/>
            <w:hideMark/>
          </w:tcPr>
          <w:p w14:paraId="7D15986C" w14:textId="77777777" w:rsidR="00B06390" w:rsidRPr="00150391" w:rsidRDefault="6B6EE5C4" w:rsidP="7185AFE5">
            <w:pPr>
              <w:pStyle w:val="LeasingProgTableText"/>
              <w:spacing w:line="220" w:lineRule="atLeast"/>
              <w:jc w:val="right"/>
              <w:rPr>
                <w:rFonts w:cs="Calibri"/>
                <w:szCs w:val="20"/>
              </w:rPr>
            </w:pPr>
            <w:r w:rsidRPr="00150391">
              <w:rPr>
                <w:rFonts w:cs="Calibri"/>
              </w:rPr>
              <w:t>30</w:t>
            </w:r>
          </w:p>
        </w:tc>
        <w:tc>
          <w:tcPr>
            <w:tcW w:w="1134" w:type="dxa"/>
            <w:tcBorders>
              <w:top w:val="nil"/>
              <w:left w:val="nil"/>
              <w:bottom w:val="nil"/>
              <w:right w:val="single" w:sz="8" w:space="0" w:color="auto"/>
            </w:tcBorders>
            <w:shd w:val="clear" w:color="auto" w:fill="FFFFFF" w:themeFill="background1"/>
            <w:noWrap/>
            <w:hideMark/>
          </w:tcPr>
          <w:p w14:paraId="4085577A" w14:textId="77777777" w:rsidR="00B06390" w:rsidRPr="00150391" w:rsidRDefault="6B6EE5C4" w:rsidP="7185AFE5">
            <w:pPr>
              <w:pStyle w:val="LeasingProgTableText"/>
              <w:spacing w:line="220" w:lineRule="atLeast"/>
              <w:jc w:val="right"/>
              <w:rPr>
                <w:rFonts w:cs="Calibri"/>
                <w:szCs w:val="20"/>
              </w:rPr>
            </w:pPr>
            <w:r w:rsidRPr="00150391">
              <w:rPr>
                <w:rFonts w:cs="Calibri"/>
              </w:rPr>
              <w:t>30</w:t>
            </w:r>
          </w:p>
        </w:tc>
        <w:tc>
          <w:tcPr>
            <w:tcW w:w="1134" w:type="dxa"/>
            <w:tcBorders>
              <w:top w:val="nil"/>
              <w:left w:val="nil"/>
              <w:bottom w:val="nil"/>
              <w:right w:val="single" w:sz="8" w:space="0" w:color="auto"/>
            </w:tcBorders>
            <w:shd w:val="clear" w:color="auto" w:fill="FFFFFF" w:themeFill="background1"/>
            <w:noWrap/>
            <w:hideMark/>
          </w:tcPr>
          <w:p w14:paraId="5679C10E" w14:textId="77777777" w:rsidR="00B06390" w:rsidRPr="00150391" w:rsidRDefault="6B6EE5C4" w:rsidP="7185AFE5">
            <w:pPr>
              <w:pStyle w:val="LeasingProgTableText"/>
              <w:spacing w:line="220" w:lineRule="atLeast"/>
              <w:jc w:val="right"/>
              <w:rPr>
                <w:rFonts w:cs="Calibri"/>
                <w:szCs w:val="20"/>
              </w:rPr>
            </w:pPr>
            <w:r w:rsidRPr="00150391">
              <w:rPr>
                <w:rFonts w:cs="Calibri"/>
              </w:rPr>
              <w:t>30</w:t>
            </w:r>
          </w:p>
        </w:tc>
        <w:tc>
          <w:tcPr>
            <w:tcW w:w="1134" w:type="dxa"/>
            <w:tcBorders>
              <w:top w:val="nil"/>
              <w:left w:val="nil"/>
              <w:bottom w:val="nil"/>
              <w:right w:val="single" w:sz="12" w:space="0" w:color="auto"/>
            </w:tcBorders>
            <w:shd w:val="clear" w:color="auto" w:fill="FFFFFF" w:themeFill="background1"/>
            <w:noWrap/>
            <w:hideMark/>
          </w:tcPr>
          <w:p w14:paraId="17F018D8" w14:textId="77777777" w:rsidR="00B06390" w:rsidRPr="00150391" w:rsidRDefault="6B6EE5C4" w:rsidP="7185AFE5">
            <w:pPr>
              <w:pStyle w:val="LeasingProgTableText"/>
              <w:spacing w:line="220" w:lineRule="atLeast"/>
              <w:jc w:val="right"/>
              <w:rPr>
                <w:rFonts w:cs="Calibri"/>
                <w:szCs w:val="20"/>
              </w:rPr>
            </w:pPr>
            <w:r w:rsidRPr="00150391">
              <w:rPr>
                <w:rFonts w:cs="Calibri"/>
              </w:rPr>
              <w:t>30</w:t>
            </w:r>
          </w:p>
        </w:tc>
      </w:tr>
      <w:tr w:rsidR="001C70F1" w:rsidRPr="00150391" w14:paraId="1C7DEA96" w14:textId="77777777" w:rsidTr="002B4935">
        <w:trPr>
          <w:trHeight w:val="293"/>
        </w:trPr>
        <w:tc>
          <w:tcPr>
            <w:tcW w:w="3364" w:type="dxa"/>
            <w:tcBorders>
              <w:top w:val="nil"/>
              <w:left w:val="single" w:sz="12" w:space="0" w:color="auto"/>
              <w:bottom w:val="nil"/>
              <w:right w:val="single" w:sz="8" w:space="0" w:color="auto"/>
            </w:tcBorders>
            <w:shd w:val="clear" w:color="auto" w:fill="FFFFFF" w:themeFill="background1"/>
            <w:hideMark/>
          </w:tcPr>
          <w:p w14:paraId="22A13FF2" w14:textId="77777777" w:rsidR="00B06390" w:rsidRPr="00150391" w:rsidRDefault="00B06390" w:rsidP="000A7DEC">
            <w:pPr>
              <w:pStyle w:val="LeasingProgTableText"/>
              <w:spacing w:line="220" w:lineRule="atLeast"/>
              <w:rPr>
                <w:rFonts w:cs="Calibri"/>
                <w:szCs w:val="20"/>
              </w:rPr>
            </w:pPr>
          </w:p>
        </w:tc>
        <w:tc>
          <w:tcPr>
            <w:tcW w:w="1157" w:type="dxa"/>
            <w:tcBorders>
              <w:top w:val="nil"/>
              <w:left w:val="nil"/>
              <w:bottom w:val="nil"/>
              <w:right w:val="single" w:sz="8" w:space="0" w:color="auto"/>
            </w:tcBorders>
            <w:shd w:val="clear" w:color="auto" w:fill="FFFFFF" w:themeFill="background1"/>
          </w:tcPr>
          <w:p w14:paraId="1F1EFB5C" w14:textId="77777777" w:rsidR="00B06390" w:rsidRPr="00150391" w:rsidRDefault="00B06390" w:rsidP="000A7DEC">
            <w:pPr>
              <w:pStyle w:val="LeasingProgTableText"/>
              <w:spacing w:line="220" w:lineRule="atLeast"/>
              <w:jc w:val="right"/>
              <w:rPr>
                <w:rFonts w:cs="Calibri"/>
                <w:szCs w:val="20"/>
              </w:rPr>
            </w:pPr>
          </w:p>
        </w:tc>
        <w:tc>
          <w:tcPr>
            <w:tcW w:w="993" w:type="dxa"/>
            <w:tcBorders>
              <w:top w:val="nil"/>
              <w:left w:val="nil"/>
              <w:bottom w:val="nil"/>
              <w:right w:val="single" w:sz="8" w:space="0" w:color="auto"/>
            </w:tcBorders>
            <w:shd w:val="clear" w:color="auto" w:fill="FFFFFF" w:themeFill="background1"/>
            <w:noWrap/>
          </w:tcPr>
          <w:p w14:paraId="029DC71A"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FFFF" w:themeFill="background1"/>
            <w:noWrap/>
          </w:tcPr>
          <w:p w14:paraId="79EBD947"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FFFF" w:themeFill="background1"/>
            <w:noWrap/>
          </w:tcPr>
          <w:p w14:paraId="67FB78C5"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12" w:space="0" w:color="auto"/>
            </w:tcBorders>
            <w:shd w:val="clear" w:color="auto" w:fill="FFFFFF" w:themeFill="background1"/>
            <w:noWrap/>
          </w:tcPr>
          <w:p w14:paraId="355517C7" w14:textId="77777777" w:rsidR="00B06390" w:rsidRPr="00150391" w:rsidRDefault="00B06390" w:rsidP="000A7DEC">
            <w:pPr>
              <w:pStyle w:val="LeasingProgTableText"/>
              <w:spacing w:line="220" w:lineRule="atLeast"/>
              <w:jc w:val="right"/>
              <w:rPr>
                <w:rFonts w:cs="Calibri"/>
                <w:szCs w:val="20"/>
              </w:rPr>
            </w:pPr>
          </w:p>
        </w:tc>
      </w:tr>
      <w:tr w:rsidR="001C70F1" w:rsidRPr="00150391" w14:paraId="6125E57E" w14:textId="77777777" w:rsidTr="002B4935">
        <w:trPr>
          <w:trHeight w:val="459"/>
        </w:trPr>
        <w:tc>
          <w:tcPr>
            <w:tcW w:w="3364" w:type="dxa"/>
            <w:tcBorders>
              <w:top w:val="nil"/>
              <w:left w:val="single" w:sz="12" w:space="0" w:color="auto"/>
              <w:bottom w:val="nil"/>
              <w:right w:val="single" w:sz="8" w:space="0" w:color="auto"/>
            </w:tcBorders>
            <w:shd w:val="clear" w:color="auto" w:fill="FFFFFF" w:themeFill="background1"/>
            <w:hideMark/>
          </w:tcPr>
          <w:p w14:paraId="259D464C" w14:textId="77777777" w:rsidR="00B06390" w:rsidRPr="00150391" w:rsidRDefault="53BF0693" w:rsidP="7185AFE5">
            <w:pPr>
              <w:pStyle w:val="LeasingProgTableText"/>
              <w:spacing w:line="220" w:lineRule="atLeast"/>
              <w:rPr>
                <w:rFonts w:cs="Calibri"/>
                <w:szCs w:val="20"/>
              </w:rPr>
            </w:pPr>
            <w:r w:rsidRPr="00150391">
              <w:rPr>
                <w:rFonts w:cs="Calibri"/>
              </w:rPr>
              <w:t>Expenses not requiring appropriation in the Budget Year</w:t>
            </w:r>
          </w:p>
        </w:tc>
        <w:tc>
          <w:tcPr>
            <w:tcW w:w="1157" w:type="dxa"/>
            <w:tcBorders>
              <w:top w:val="nil"/>
              <w:left w:val="nil"/>
              <w:bottom w:val="nil"/>
              <w:right w:val="single" w:sz="8" w:space="0" w:color="auto"/>
            </w:tcBorders>
            <w:shd w:val="clear" w:color="auto" w:fill="FFFFFF" w:themeFill="background1"/>
            <w:hideMark/>
          </w:tcPr>
          <w:p w14:paraId="1D9EA83B" w14:textId="77777777" w:rsidR="00B06390" w:rsidRPr="00150391" w:rsidRDefault="6B6EE5C4" w:rsidP="7185AFE5">
            <w:pPr>
              <w:pStyle w:val="LeasingProgTableText"/>
              <w:spacing w:line="220" w:lineRule="atLeast"/>
              <w:jc w:val="right"/>
              <w:rPr>
                <w:rFonts w:cs="Calibri"/>
                <w:szCs w:val="20"/>
              </w:rPr>
            </w:pPr>
            <w:r w:rsidRPr="00150391">
              <w:rPr>
                <w:rFonts w:cs="Calibri"/>
              </w:rPr>
              <w:t>100</w:t>
            </w:r>
          </w:p>
        </w:tc>
        <w:tc>
          <w:tcPr>
            <w:tcW w:w="993" w:type="dxa"/>
            <w:tcBorders>
              <w:top w:val="nil"/>
              <w:left w:val="nil"/>
              <w:bottom w:val="nil"/>
              <w:right w:val="single" w:sz="8" w:space="0" w:color="auto"/>
            </w:tcBorders>
            <w:shd w:val="clear" w:color="auto" w:fill="FFFFFF" w:themeFill="background1"/>
            <w:noWrap/>
            <w:hideMark/>
          </w:tcPr>
          <w:p w14:paraId="6AA89202" w14:textId="77777777" w:rsidR="00B06390" w:rsidRPr="00150391" w:rsidRDefault="6B6EE5C4" w:rsidP="7185AFE5">
            <w:pPr>
              <w:pStyle w:val="LeasingProgTableText"/>
              <w:spacing w:line="220" w:lineRule="atLeast"/>
              <w:jc w:val="right"/>
              <w:rPr>
                <w:rFonts w:cs="Calibri"/>
                <w:szCs w:val="20"/>
              </w:rPr>
            </w:pPr>
            <w:r w:rsidRPr="00150391">
              <w:rPr>
                <w:rFonts w:cs="Calibri"/>
              </w:rPr>
              <w:t>100</w:t>
            </w:r>
          </w:p>
        </w:tc>
        <w:tc>
          <w:tcPr>
            <w:tcW w:w="1134" w:type="dxa"/>
            <w:tcBorders>
              <w:top w:val="nil"/>
              <w:left w:val="nil"/>
              <w:bottom w:val="nil"/>
              <w:right w:val="single" w:sz="8" w:space="0" w:color="auto"/>
            </w:tcBorders>
            <w:shd w:val="clear" w:color="auto" w:fill="FFFFFF" w:themeFill="background1"/>
            <w:noWrap/>
            <w:hideMark/>
          </w:tcPr>
          <w:p w14:paraId="5FF647DE" w14:textId="77777777" w:rsidR="00B06390" w:rsidRPr="00150391" w:rsidRDefault="6B6EE5C4" w:rsidP="7185AFE5">
            <w:pPr>
              <w:pStyle w:val="LeasingProgTableText"/>
              <w:spacing w:line="220" w:lineRule="atLeast"/>
              <w:jc w:val="right"/>
              <w:rPr>
                <w:rFonts w:cs="Calibri"/>
                <w:szCs w:val="20"/>
              </w:rPr>
            </w:pPr>
            <w:r w:rsidRPr="00150391">
              <w:rPr>
                <w:rFonts w:cs="Calibri"/>
              </w:rPr>
              <w:t>100</w:t>
            </w:r>
          </w:p>
        </w:tc>
        <w:tc>
          <w:tcPr>
            <w:tcW w:w="1134" w:type="dxa"/>
            <w:tcBorders>
              <w:top w:val="nil"/>
              <w:left w:val="nil"/>
              <w:bottom w:val="nil"/>
              <w:right w:val="single" w:sz="8" w:space="0" w:color="auto"/>
            </w:tcBorders>
            <w:shd w:val="clear" w:color="auto" w:fill="FFFFFF" w:themeFill="background1"/>
            <w:noWrap/>
            <w:hideMark/>
          </w:tcPr>
          <w:p w14:paraId="062FF422" w14:textId="77777777" w:rsidR="00B06390" w:rsidRPr="00150391" w:rsidRDefault="6B6EE5C4" w:rsidP="7185AFE5">
            <w:pPr>
              <w:pStyle w:val="LeasingProgTableText"/>
              <w:spacing w:line="220" w:lineRule="atLeast"/>
              <w:jc w:val="right"/>
              <w:rPr>
                <w:rFonts w:cs="Calibri"/>
                <w:szCs w:val="20"/>
              </w:rPr>
            </w:pPr>
            <w:r w:rsidRPr="00150391">
              <w:rPr>
                <w:rFonts w:cs="Calibri"/>
              </w:rPr>
              <w:t>100</w:t>
            </w:r>
          </w:p>
        </w:tc>
        <w:tc>
          <w:tcPr>
            <w:tcW w:w="1134" w:type="dxa"/>
            <w:tcBorders>
              <w:top w:val="nil"/>
              <w:left w:val="nil"/>
              <w:bottom w:val="nil"/>
              <w:right w:val="single" w:sz="12" w:space="0" w:color="auto"/>
            </w:tcBorders>
            <w:shd w:val="clear" w:color="auto" w:fill="FFFFFF" w:themeFill="background1"/>
            <w:noWrap/>
            <w:hideMark/>
          </w:tcPr>
          <w:p w14:paraId="78B55FB7" w14:textId="77777777" w:rsidR="00B06390" w:rsidRPr="00150391" w:rsidRDefault="6B6EE5C4" w:rsidP="7185AFE5">
            <w:pPr>
              <w:pStyle w:val="LeasingProgTableText"/>
              <w:spacing w:line="220" w:lineRule="atLeast"/>
              <w:jc w:val="right"/>
              <w:rPr>
                <w:rFonts w:cs="Calibri"/>
                <w:szCs w:val="20"/>
              </w:rPr>
            </w:pPr>
            <w:r w:rsidRPr="00150391">
              <w:rPr>
                <w:rFonts w:cs="Calibri"/>
              </w:rPr>
              <w:t>100</w:t>
            </w:r>
          </w:p>
        </w:tc>
      </w:tr>
      <w:tr w:rsidR="001C70F1" w:rsidRPr="00150391" w14:paraId="0044BA61" w14:textId="77777777" w:rsidTr="002B4935">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05E1EFEA" w14:textId="77777777" w:rsidR="00B06390" w:rsidRPr="00150391" w:rsidRDefault="53BF0693" w:rsidP="53BF0693">
            <w:pPr>
              <w:pStyle w:val="LeasingProgTableText"/>
              <w:spacing w:line="220" w:lineRule="atLeast"/>
              <w:ind w:left="165"/>
              <w:rPr>
                <w:rFonts w:cs="Calibri"/>
                <w:color w:val="0070C0"/>
                <w:u w:val="single"/>
              </w:rPr>
            </w:pPr>
            <w:r w:rsidRPr="00150391">
              <w:rPr>
                <w:rFonts w:cs="Calibri"/>
                <w:color w:val="0070C0"/>
                <w:u w:val="single"/>
              </w:rPr>
              <w:t>Consists of:</w:t>
            </w:r>
          </w:p>
        </w:tc>
        <w:tc>
          <w:tcPr>
            <w:tcW w:w="1157" w:type="dxa"/>
            <w:tcBorders>
              <w:top w:val="nil"/>
              <w:left w:val="nil"/>
              <w:bottom w:val="nil"/>
              <w:right w:val="single" w:sz="8" w:space="0" w:color="auto"/>
            </w:tcBorders>
            <w:shd w:val="clear" w:color="auto" w:fill="FFE68F" w:themeFill="accent6" w:themeFillTint="66"/>
          </w:tcPr>
          <w:p w14:paraId="47BD8F04" w14:textId="77777777" w:rsidR="00B06390" w:rsidRPr="00150391" w:rsidRDefault="00B06390" w:rsidP="000A7DEC">
            <w:pPr>
              <w:pStyle w:val="LeasingProgTableText"/>
              <w:spacing w:line="220" w:lineRule="atLeast"/>
              <w:jc w:val="right"/>
              <w:rPr>
                <w:rFonts w:cs="Calibri"/>
                <w:szCs w:val="20"/>
              </w:rPr>
            </w:pPr>
          </w:p>
        </w:tc>
        <w:tc>
          <w:tcPr>
            <w:tcW w:w="993" w:type="dxa"/>
            <w:tcBorders>
              <w:top w:val="nil"/>
              <w:left w:val="nil"/>
              <w:bottom w:val="nil"/>
              <w:right w:val="single" w:sz="8" w:space="0" w:color="auto"/>
            </w:tcBorders>
            <w:shd w:val="clear" w:color="auto" w:fill="FFE68F" w:themeFill="accent6" w:themeFillTint="66"/>
            <w:noWrap/>
          </w:tcPr>
          <w:p w14:paraId="4E247055"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E68F" w:themeFill="accent6" w:themeFillTint="66"/>
            <w:noWrap/>
          </w:tcPr>
          <w:p w14:paraId="66F64B96"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8" w:space="0" w:color="auto"/>
            </w:tcBorders>
            <w:shd w:val="clear" w:color="auto" w:fill="FFE68F" w:themeFill="accent6" w:themeFillTint="66"/>
            <w:noWrap/>
          </w:tcPr>
          <w:p w14:paraId="11BEAA1D" w14:textId="77777777" w:rsidR="00B06390" w:rsidRPr="00150391" w:rsidRDefault="00B06390" w:rsidP="000A7DEC">
            <w:pPr>
              <w:pStyle w:val="LeasingProgTableText"/>
              <w:spacing w:line="220" w:lineRule="atLeast"/>
              <w:jc w:val="right"/>
              <w:rPr>
                <w:rFonts w:cs="Calibri"/>
                <w:szCs w:val="20"/>
              </w:rPr>
            </w:pPr>
          </w:p>
        </w:tc>
        <w:tc>
          <w:tcPr>
            <w:tcW w:w="1134" w:type="dxa"/>
            <w:tcBorders>
              <w:top w:val="nil"/>
              <w:left w:val="nil"/>
              <w:bottom w:val="nil"/>
              <w:right w:val="single" w:sz="12" w:space="0" w:color="auto"/>
            </w:tcBorders>
            <w:shd w:val="clear" w:color="auto" w:fill="FFE68F" w:themeFill="accent6" w:themeFillTint="66"/>
            <w:noWrap/>
          </w:tcPr>
          <w:p w14:paraId="5A90CE3C" w14:textId="77777777" w:rsidR="00B06390" w:rsidRPr="00150391" w:rsidRDefault="00B06390" w:rsidP="000A7DEC">
            <w:pPr>
              <w:pStyle w:val="LeasingProgTableText"/>
              <w:spacing w:line="220" w:lineRule="atLeast"/>
              <w:jc w:val="right"/>
              <w:rPr>
                <w:rFonts w:cs="Calibri"/>
                <w:szCs w:val="20"/>
              </w:rPr>
            </w:pPr>
          </w:p>
        </w:tc>
      </w:tr>
      <w:tr w:rsidR="001C70F1" w:rsidRPr="00150391" w14:paraId="3CF87E71" w14:textId="77777777" w:rsidTr="002B4935">
        <w:trPr>
          <w:trHeight w:val="306"/>
        </w:trPr>
        <w:tc>
          <w:tcPr>
            <w:tcW w:w="3364" w:type="dxa"/>
            <w:tcBorders>
              <w:top w:val="nil"/>
              <w:left w:val="single" w:sz="12" w:space="0" w:color="auto"/>
              <w:bottom w:val="nil"/>
              <w:right w:val="single" w:sz="8" w:space="0" w:color="auto"/>
            </w:tcBorders>
            <w:shd w:val="clear" w:color="auto" w:fill="FFE68F" w:themeFill="accent6" w:themeFillTint="66"/>
            <w:hideMark/>
          </w:tcPr>
          <w:p w14:paraId="67AEC1E6" w14:textId="77777777" w:rsidR="00B06390" w:rsidRPr="00150391" w:rsidRDefault="53BF0693" w:rsidP="53BF0693">
            <w:pPr>
              <w:pStyle w:val="LeasingProgTableText"/>
              <w:spacing w:line="220" w:lineRule="atLeast"/>
              <w:ind w:left="165"/>
              <w:rPr>
                <w:rFonts w:cs="Calibri"/>
                <w:color w:val="0070C0"/>
              </w:rPr>
            </w:pPr>
            <w:r w:rsidRPr="00150391">
              <w:rPr>
                <w:rFonts w:cs="Calibri"/>
                <w:color w:val="0070C0"/>
              </w:rPr>
              <w:t>Other Depreciation</w:t>
            </w:r>
          </w:p>
        </w:tc>
        <w:tc>
          <w:tcPr>
            <w:tcW w:w="1157" w:type="dxa"/>
            <w:tcBorders>
              <w:top w:val="nil"/>
              <w:left w:val="nil"/>
              <w:bottom w:val="single" w:sz="8" w:space="0" w:color="auto"/>
              <w:right w:val="single" w:sz="8" w:space="0" w:color="auto"/>
            </w:tcBorders>
            <w:shd w:val="clear" w:color="auto" w:fill="FFE68F" w:themeFill="accent6" w:themeFillTint="66"/>
            <w:hideMark/>
          </w:tcPr>
          <w:p w14:paraId="36518A45"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100</w:t>
            </w:r>
          </w:p>
        </w:tc>
        <w:tc>
          <w:tcPr>
            <w:tcW w:w="993" w:type="dxa"/>
            <w:tcBorders>
              <w:top w:val="nil"/>
              <w:left w:val="nil"/>
              <w:bottom w:val="single" w:sz="8" w:space="0" w:color="auto"/>
              <w:right w:val="single" w:sz="8" w:space="0" w:color="auto"/>
            </w:tcBorders>
            <w:shd w:val="clear" w:color="auto" w:fill="FFE68F" w:themeFill="accent6" w:themeFillTint="66"/>
            <w:noWrap/>
            <w:hideMark/>
          </w:tcPr>
          <w:p w14:paraId="713248A3"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311991AC"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3CF64216"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100</w:t>
            </w:r>
          </w:p>
        </w:tc>
        <w:tc>
          <w:tcPr>
            <w:tcW w:w="1134" w:type="dxa"/>
            <w:tcBorders>
              <w:top w:val="nil"/>
              <w:left w:val="nil"/>
              <w:bottom w:val="single" w:sz="8" w:space="0" w:color="auto"/>
              <w:right w:val="single" w:sz="12" w:space="0" w:color="auto"/>
            </w:tcBorders>
            <w:shd w:val="clear" w:color="auto" w:fill="FFE68F" w:themeFill="accent6" w:themeFillTint="66"/>
            <w:noWrap/>
            <w:hideMark/>
          </w:tcPr>
          <w:p w14:paraId="4E520E39" w14:textId="77777777" w:rsidR="00B06390" w:rsidRPr="00150391" w:rsidRDefault="6B6EE5C4" w:rsidP="6B6EE5C4">
            <w:pPr>
              <w:pStyle w:val="LeasingProgTableText"/>
              <w:spacing w:line="220" w:lineRule="atLeast"/>
              <w:jc w:val="right"/>
              <w:rPr>
                <w:rFonts w:cs="Calibri"/>
                <w:color w:val="0070C0"/>
              </w:rPr>
            </w:pPr>
            <w:r w:rsidRPr="00150391">
              <w:rPr>
                <w:rFonts w:cs="Calibri"/>
                <w:color w:val="0070C0"/>
              </w:rPr>
              <w:t>100</w:t>
            </w:r>
          </w:p>
        </w:tc>
      </w:tr>
      <w:tr w:rsidR="001C70F1" w:rsidRPr="00150391" w14:paraId="79584EA1" w14:textId="77777777" w:rsidTr="002B4935">
        <w:trPr>
          <w:trHeight w:val="306"/>
        </w:trPr>
        <w:tc>
          <w:tcPr>
            <w:tcW w:w="3364" w:type="dxa"/>
            <w:tcBorders>
              <w:top w:val="nil"/>
              <w:left w:val="single" w:sz="12" w:space="0" w:color="auto"/>
              <w:bottom w:val="nil"/>
              <w:right w:val="single" w:sz="8" w:space="0" w:color="auto"/>
            </w:tcBorders>
            <w:shd w:val="clear" w:color="auto" w:fill="FFFFFF" w:themeFill="background1"/>
            <w:noWrap/>
            <w:hideMark/>
          </w:tcPr>
          <w:p w14:paraId="241797CF" w14:textId="77777777" w:rsidR="00B06390" w:rsidRPr="00150391" w:rsidRDefault="53BF0693" w:rsidP="7185AFE5">
            <w:pPr>
              <w:pStyle w:val="LeasingProgTableText"/>
              <w:spacing w:line="220" w:lineRule="atLeast"/>
              <w:rPr>
                <w:rFonts w:cs="Calibri"/>
                <w:szCs w:val="20"/>
              </w:rPr>
            </w:pPr>
            <w:r w:rsidRPr="00150391">
              <w:rPr>
                <w:rFonts w:cs="Calibri"/>
              </w:rPr>
              <w:t>Departmental program expenditure</w:t>
            </w:r>
          </w:p>
        </w:tc>
        <w:tc>
          <w:tcPr>
            <w:tcW w:w="1157" w:type="dxa"/>
            <w:tcBorders>
              <w:top w:val="nil"/>
              <w:left w:val="nil"/>
              <w:bottom w:val="double" w:sz="6" w:space="0" w:color="auto"/>
              <w:right w:val="single" w:sz="8" w:space="0" w:color="auto"/>
            </w:tcBorders>
            <w:shd w:val="clear" w:color="auto" w:fill="FFFFFF" w:themeFill="background1"/>
            <w:hideMark/>
          </w:tcPr>
          <w:p w14:paraId="3827A31C" w14:textId="77777777" w:rsidR="00B06390" w:rsidRPr="00150391" w:rsidRDefault="6B6EE5C4" w:rsidP="7185AFE5">
            <w:pPr>
              <w:pStyle w:val="LeasingProgTableText"/>
              <w:spacing w:line="220" w:lineRule="atLeast"/>
              <w:jc w:val="right"/>
              <w:rPr>
                <w:rFonts w:cs="Calibri"/>
                <w:szCs w:val="20"/>
              </w:rPr>
            </w:pPr>
            <w:r w:rsidRPr="00150391">
              <w:rPr>
                <w:rFonts w:cs="Calibri"/>
              </w:rPr>
              <w:t>5,900</w:t>
            </w:r>
          </w:p>
        </w:tc>
        <w:tc>
          <w:tcPr>
            <w:tcW w:w="993" w:type="dxa"/>
            <w:tcBorders>
              <w:top w:val="nil"/>
              <w:left w:val="nil"/>
              <w:bottom w:val="double" w:sz="6" w:space="0" w:color="auto"/>
              <w:right w:val="single" w:sz="8" w:space="0" w:color="auto"/>
            </w:tcBorders>
            <w:shd w:val="clear" w:color="auto" w:fill="FFFFFF" w:themeFill="background1"/>
            <w:hideMark/>
          </w:tcPr>
          <w:p w14:paraId="63A94AE0" w14:textId="77777777" w:rsidR="00B06390" w:rsidRPr="00150391" w:rsidRDefault="6B6EE5C4" w:rsidP="7185AFE5">
            <w:pPr>
              <w:pStyle w:val="LeasingProgTableText"/>
              <w:spacing w:line="220" w:lineRule="atLeast"/>
              <w:jc w:val="right"/>
              <w:rPr>
                <w:rFonts w:cs="Calibri"/>
                <w:szCs w:val="20"/>
              </w:rPr>
            </w:pPr>
            <w:r w:rsidRPr="00150391">
              <w:rPr>
                <w:rFonts w:cs="Calibri"/>
              </w:rPr>
              <w:t>6,140</w:t>
            </w:r>
          </w:p>
        </w:tc>
        <w:tc>
          <w:tcPr>
            <w:tcW w:w="1134" w:type="dxa"/>
            <w:tcBorders>
              <w:top w:val="nil"/>
              <w:left w:val="nil"/>
              <w:bottom w:val="double" w:sz="6" w:space="0" w:color="auto"/>
              <w:right w:val="single" w:sz="8" w:space="0" w:color="auto"/>
            </w:tcBorders>
            <w:shd w:val="clear" w:color="auto" w:fill="FFFFFF" w:themeFill="background1"/>
            <w:hideMark/>
          </w:tcPr>
          <w:p w14:paraId="70AA6E2E" w14:textId="77777777" w:rsidR="00B06390" w:rsidRPr="00150391" w:rsidRDefault="6B6EE5C4" w:rsidP="7185AFE5">
            <w:pPr>
              <w:pStyle w:val="LeasingProgTableText"/>
              <w:spacing w:line="220" w:lineRule="atLeast"/>
              <w:jc w:val="right"/>
              <w:rPr>
                <w:rFonts w:cs="Calibri"/>
                <w:szCs w:val="20"/>
              </w:rPr>
            </w:pPr>
            <w:r w:rsidRPr="00150391">
              <w:rPr>
                <w:rFonts w:cs="Calibri"/>
              </w:rPr>
              <w:t>6,230</w:t>
            </w:r>
          </w:p>
        </w:tc>
        <w:tc>
          <w:tcPr>
            <w:tcW w:w="1134" w:type="dxa"/>
            <w:tcBorders>
              <w:top w:val="nil"/>
              <w:left w:val="nil"/>
              <w:bottom w:val="double" w:sz="6" w:space="0" w:color="auto"/>
              <w:right w:val="single" w:sz="8" w:space="0" w:color="auto"/>
            </w:tcBorders>
            <w:shd w:val="clear" w:color="auto" w:fill="FFFFFF" w:themeFill="background1"/>
            <w:hideMark/>
          </w:tcPr>
          <w:p w14:paraId="5551CFBF" w14:textId="77777777" w:rsidR="00B06390" w:rsidRPr="00150391" w:rsidRDefault="6B6EE5C4" w:rsidP="7185AFE5">
            <w:pPr>
              <w:pStyle w:val="LeasingProgTableText"/>
              <w:spacing w:line="220" w:lineRule="atLeast"/>
              <w:jc w:val="right"/>
              <w:rPr>
                <w:rFonts w:cs="Calibri"/>
                <w:szCs w:val="20"/>
              </w:rPr>
            </w:pPr>
            <w:r w:rsidRPr="00150391">
              <w:rPr>
                <w:rFonts w:cs="Calibri"/>
              </w:rPr>
              <w:t>6,415</w:t>
            </w:r>
          </w:p>
        </w:tc>
        <w:tc>
          <w:tcPr>
            <w:tcW w:w="1134" w:type="dxa"/>
            <w:tcBorders>
              <w:top w:val="nil"/>
              <w:left w:val="nil"/>
              <w:bottom w:val="double" w:sz="6" w:space="0" w:color="auto"/>
              <w:right w:val="single" w:sz="12" w:space="0" w:color="auto"/>
            </w:tcBorders>
            <w:shd w:val="clear" w:color="auto" w:fill="FFFFFF" w:themeFill="background1"/>
            <w:hideMark/>
          </w:tcPr>
          <w:p w14:paraId="3E9BC819" w14:textId="77777777" w:rsidR="00B06390" w:rsidRPr="00150391" w:rsidRDefault="6B6EE5C4" w:rsidP="7185AFE5">
            <w:pPr>
              <w:pStyle w:val="LeasingProgTableText"/>
              <w:spacing w:line="220" w:lineRule="atLeast"/>
              <w:jc w:val="right"/>
              <w:rPr>
                <w:rFonts w:cs="Calibri"/>
                <w:szCs w:val="20"/>
              </w:rPr>
            </w:pPr>
            <w:r w:rsidRPr="00150391">
              <w:rPr>
                <w:rFonts w:cs="Calibri"/>
                <w:sz w:val="20"/>
                <w:szCs w:val="20"/>
              </w:rPr>
              <w:t>6,5</w:t>
            </w:r>
            <w:r w:rsidRPr="00150391">
              <w:rPr>
                <w:rFonts w:cs="Calibri"/>
              </w:rPr>
              <w:t>83</w:t>
            </w:r>
          </w:p>
        </w:tc>
      </w:tr>
      <w:tr w:rsidR="001C70F1" w:rsidRPr="00150391" w14:paraId="3CD1349A" w14:textId="77777777" w:rsidTr="002B4935">
        <w:trPr>
          <w:trHeight w:val="306"/>
        </w:trPr>
        <w:tc>
          <w:tcPr>
            <w:tcW w:w="3364" w:type="dxa"/>
            <w:tcBorders>
              <w:top w:val="nil"/>
              <w:left w:val="single" w:sz="12" w:space="0" w:color="auto"/>
              <w:bottom w:val="nil"/>
              <w:right w:val="nil"/>
            </w:tcBorders>
            <w:shd w:val="clear" w:color="auto" w:fill="FFFFFF" w:themeFill="background1"/>
            <w:noWrap/>
            <w:hideMark/>
          </w:tcPr>
          <w:p w14:paraId="4BCD77BD" w14:textId="77777777" w:rsidR="00261938" w:rsidRPr="00150391" w:rsidRDefault="00261938" w:rsidP="000A7DEC">
            <w:pPr>
              <w:pStyle w:val="LeasingProgTableText"/>
              <w:spacing w:line="220" w:lineRule="atLeast"/>
              <w:rPr>
                <w:rFonts w:cs="Calibri"/>
                <w:szCs w:val="20"/>
              </w:rPr>
            </w:pPr>
          </w:p>
        </w:tc>
        <w:tc>
          <w:tcPr>
            <w:tcW w:w="1157" w:type="dxa"/>
            <w:tcBorders>
              <w:top w:val="nil"/>
              <w:left w:val="nil"/>
              <w:bottom w:val="nil"/>
              <w:right w:val="nil"/>
            </w:tcBorders>
            <w:shd w:val="clear" w:color="auto" w:fill="FFFFFF" w:themeFill="background1"/>
            <w:vAlign w:val="center"/>
          </w:tcPr>
          <w:p w14:paraId="2477743D" w14:textId="77777777" w:rsidR="00261938" w:rsidRPr="00150391" w:rsidRDefault="00261938" w:rsidP="000A7DEC">
            <w:pPr>
              <w:pStyle w:val="LeasingProgTableText"/>
              <w:spacing w:line="220" w:lineRule="atLeast"/>
              <w:jc w:val="right"/>
              <w:rPr>
                <w:rFonts w:cs="Calibri"/>
                <w:szCs w:val="20"/>
              </w:rPr>
            </w:pPr>
          </w:p>
        </w:tc>
        <w:tc>
          <w:tcPr>
            <w:tcW w:w="993" w:type="dxa"/>
            <w:tcBorders>
              <w:top w:val="nil"/>
              <w:left w:val="nil"/>
              <w:bottom w:val="nil"/>
              <w:right w:val="nil"/>
            </w:tcBorders>
            <w:shd w:val="clear" w:color="auto" w:fill="FFFFFF" w:themeFill="background1"/>
            <w:noWrap/>
          </w:tcPr>
          <w:p w14:paraId="15B31530" w14:textId="77777777" w:rsidR="00261938" w:rsidRPr="00150391" w:rsidRDefault="00261938" w:rsidP="000A7DEC">
            <w:pPr>
              <w:pStyle w:val="LeasingProgTableText"/>
              <w:spacing w:line="220" w:lineRule="atLeast"/>
              <w:jc w:val="right"/>
              <w:rPr>
                <w:rFonts w:cs="Calibri"/>
                <w:szCs w:val="20"/>
              </w:rPr>
            </w:pPr>
          </w:p>
        </w:tc>
        <w:tc>
          <w:tcPr>
            <w:tcW w:w="1134" w:type="dxa"/>
            <w:tcBorders>
              <w:top w:val="nil"/>
              <w:left w:val="nil"/>
              <w:bottom w:val="nil"/>
              <w:right w:val="nil"/>
            </w:tcBorders>
            <w:shd w:val="clear" w:color="auto" w:fill="FFFFFF" w:themeFill="background1"/>
            <w:noWrap/>
          </w:tcPr>
          <w:p w14:paraId="1240A1CA" w14:textId="77777777" w:rsidR="00261938" w:rsidRPr="00150391" w:rsidRDefault="00261938" w:rsidP="000A7DEC">
            <w:pPr>
              <w:pStyle w:val="LeasingProgTableText"/>
              <w:spacing w:line="220" w:lineRule="atLeast"/>
              <w:jc w:val="right"/>
              <w:rPr>
                <w:rFonts w:cs="Calibri"/>
                <w:szCs w:val="20"/>
              </w:rPr>
            </w:pPr>
          </w:p>
        </w:tc>
        <w:tc>
          <w:tcPr>
            <w:tcW w:w="1134" w:type="dxa"/>
            <w:tcBorders>
              <w:top w:val="nil"/>
              <w:left w:val="nil"/>
              <w:bottom w:val="nil"/>
              <w:right w:val="nil"/>
            </w:tcBorders>
            <w:shd w:val="clear" w:color="auto" w:fill="FFFFFF" w:themeFill="background1"/>
            <w:noWrap/>
          </w:tcPr>
          <w:p w14:paraId="548B8392" w14:textId="77777777" w:rsidR="00261938" w:rsidRPr="00150391" w:rsidRDefault="00261938" w:rsidP="000A7DEC">
            <w:pPr>
              <w:pStyle w:val="LeasingProgTableText"/>
              <w:spacing w:line="220" w:lineRule="atLeast"/>
              <w:jc w:val="right"/>
              <w:rPr>
                <w:rFonts w:cs="Calibri"/>
                <w:szCs w:val="20"/>
              </w:rPr>
            </w:pPr>
          </w:p>
        </w:tc>
        <w:tc>
          <w:tcPr>
            <w:tcW w:w="1134" w:type="dxa"/>
            <w:tcBorders>
              <w:top w:val="nil"/>
              <w:left w:val="nil"/>
              <w:bottom w:val="nil"/>
              <w:right w:val="single" w:sz="12" w:space="0" w:color="auto"/>
            </w:tcBorders>
            <w:shd w:val="clear" w:color="auto" w:fill="FFFFFF" w:themeFill="background1"/>
            <w:noWrap/>
          </w:tcPr>
          <w:p w14:paraId="074352EE" w14:textId="77777777" w:rsidR="00261938" w:rsidRPr="00150391" w:rsidRDefault="00261938" w:rsidP="000A7DEC">
            <w:pPr>
              <w:pStyle w:val="LeasingProgTableText"/>
              <w:spacing w:line="220" w:lineRule="atLeast"/>
              <w:jc w:val="right"/>
              <w:rPr>
                <w:rFonts w:cs="Calibri"/>
                <w:szCs w:val="20"/>
              </w:rPr>
            </w:pPr>
          </w:p>
        </w:tc>
      </w:tr>
      <w:tr w:rsidR="00261938" w:rsidRPr="00150391" w14:paraId="4914FFD5" w14:textId="77777777" w:rsidTr="002B4935">
        <w:trPr>
          <w:trHeight w:val="293"/>
        </w:trPr>
        <w:tc>
          <w:tcPr>
            <w:tcW w:w="8916" w:type="dxa"/>
            <w:gridSpan w:val="6"/>
            <w:tcBorders>
              <w:top w:val="nil"/>
              <w:left w:val="single" w:sz="12" w:space="0" w:color="auto"/>
              <w:right w:val="single" w:sz="12" w:space="0" w:color="auto"/>
            </w:tcBorders>
            <w:shd w:val="clear" w:color="auto" w:fill="FFFFFF" w:themeFill="background1"/>
            <w:noWrap/>
            <w:vAlign w:val="center"/>
            <w:hideMark/>
          </w:tcPr>
          <w:p w14:paraId="40DBBE01" w14:textId="77777777" w:rsidR="00261938" w:rsidRPr="00150391" w:rsidRDefault="53BF0693" w:rsidP="53BF0693">
            <w:pPr>
              <w:pStyle w:val="LeasingProgTableText"/>
              <w:spacing w:line="220" w:lineRule="atLeast"/>
              <w:rPr>
                <w:rFonts w:cs="Calibri"/>
                <w:b/>
                <w:bCs/>
                <w:i/>
                <w:iCs/>
              </w:rPr>
            </w:pPr>
            <w:r w:rsidRPr="00150391">
              <w:rPr>
                <w:rFonts w:cs="Calibri"/>
                <w:b/>
                <w:bCs/>
                <w:i/>
                <w:iCs/>
              </w:rPr>
              <w:t>*</w:t>
            </w:r>
            <w:r w:rsidRPr="00150391">
              <w:rPr>
                <w:rFonts w:cs="Calibri"/>
                <w:i/>
                <w:iCs/>
              </w:rPr>
              <w:t xml:space="preserve"> Reporting as per the new accounting standard AASB 16 Leases came into effect for Commonwealth entities from 1 July 2019.</w:t>
            </w:r>
          </w:p>
        </w:tc>
      </w:tr>
      <w:tr w:rsidR="001C70F1" w:rsidRPr="00150391" w14:paraId="575F5135" w14:textId="77777777" w:rsidTr="002B4935">
        <w:trPr>
          <w:trHeight w:val="80"/>
        </w:trPr>
        <w:tc>
          <w:tcPr>
            <w:tcW w:w="3364" w:type="dxa"/>
            <w:tcBorders>
              <w:top w:val="nil"/>
              <w:left w:val="single" w:sz="12" w:space="0" w:color="auto"/>
              <w:bottom w:val="single" w:sz="12" w:space="0" w:color="auto"/>
              <w:right w:val="nil"/>
            </w:tcBorders>
            <w:shd w:val="clear" w:color="auto" w:fill="FFFFFF" w:themeFill="background1"/>
            <w:noWrap/>
            <w:vAlign w:val="center"/>
            <w:hideMark/>
          </w:tcPr>
          <w:p w14:paraId="45A7758E" w14:textId="77777777" w:rsidR="00261938" w:rsidRPr="00150391" w:rsidRDefault="00261938" w:rsidP="000A7DEC">
            <w:pPr>
              <w:pStyle w:val="LeasingProgTableText"/>
              <w:spacing w:line="220" w:lineRule="atLeast"/>
              <w:rPr>
                <w:rFonts w:cs="Calibri"/>
                <w:szCs w:val="20"/>
              </w:rPr>
            </w:pPr>
          </w:p>
        </w:tc>
        <w:tc>
          <w:tcPr>
            <w:tcW w:w="1157" w:type="dxa"/>
            <w:tcBorders>
              <w:top w:val="nil"/>
              <w:left w:val="nil"/>
              <w:bottom w:val="single" w:sz="12" w:space="0" w:color="auto"/>
              <w:right w:val="nil"/>
            </w:tcBorders>
            <w:shd w:val="clear" w:color="auto" w:fill="FFFFFF" w:themeFill="background1"/>
            <w:vAlign w:val="center"/>
          </w:tcPr>
          <w:p w14:paraId="4455A6FF" w14:textId="77777777" w:rsidR="00261938" w:rsidRPr="00150391" w:rsidRDefault="00261938" w:rsidP="000A7DEC">
            <w:pPr>
              <w:pStyle w:val="LeasingProgTableText"/>
              <w:spacing w:line="220" w:lineRule="atLeast"/>
              <w:rPr>
                <w:rFonts w:cs="Calibri"/>
                <w:szCs w:val="20"/>
              </w:rPr>
            </w:pPr>
          </w:p>
        </w:tc>
        <w:tc>
          <w:tcPr>
            <w:tcW w:w="993" w:type="dxa"/>
            <w:tcBorders>
              <w:top w:val="nil"/>
              <w:left w:val="nil"/>
              <w:bottom w:val="single" w:sz="12" w:space="0" w:color="auto"/>
              <w:right w:val="nil"/>
            </w:tcBorders>
            <w:shd w:val="clear" w:color="auto" w:fill="FFFFFF" w:themeFill="background1"/>
            <w:noWrap/>
            <w:vAlign w:val="center"/>
          </w:tcPr>
          <w:p w14:paraId="24F45962" w14:textId="77777777" w:rsidR="00261938" w:rsidRPr="00150391" w:rsidRDefault="00261938" w:rsidP="000A7DEC">
            <w:pPr>
              <w:pStyle w:val="LeasingProgTableText"/>
              <w:spacing w:line="220" w:lineRule="atLeast"/>
              <w:rPr>
                <w:rFonts w:cs="Calibri"/>
                <w:szCs w:val="20"/>
              </w:rPr>
            </w:pPr>
          </w:p>
        </w:tc>
        <w:tc>
          <w:tcPr>
            <w:tcW w:w="1134" w:type="dxa"/>
            <w:tcBorders>
              <w:top w:val="nil"/>
              <w:left w:val="nil"/>
              <w:bottom w:val="single" w:sz="12" w:space="0" w:color="auto"/>
              <w:right w:val="nil"/>
            </w:tcBorders>
            <w:shd w:val="clear" w:color="auto" w:fill="FFFFFF" w:themeFill="background1"/>
            <w:noWrap/>
            <w:vAlign w:val="center"/>
          </w:tcPr>
          <w:p w14:paraId="4D15C8C9" w14:textId="77777777" w:rsidR="00261938" w:rsidRPr="00150391" w:rsidRDefault="00261938" w:rsidP="000A7DEC">
            <w:pPr>
              <w:pStyle w:val="LeasingProgTableText"/>
              <w:spacing w:line="220" w:lineRule="atLeast"/>
              <w:rPr>
                <w:rFonts w:cs="Calibri"/>
                <w:szCs w:val="20"/>
              </w:rPr>
            </w:pPr>
          </w:p>
        </w:tc>
        <w:tc>
          <w:tcPr>
            <w:tcW w:w="1134" w:type="dxa"/>
            <w:tcBorders>
              <w:top w:val="nil"/>
              <w:left w:val="nil"/>
              <w:bottom w:val="single" w:sz="12" w:space="0" w:color="auto"/>
              <w:right w:val="nil"/>
            </w:tcBorders>
            <w:shd w:val="clear" w:color="auto" w:fill="FFFFFF" w:themeFill="background1"/>
            <w:noWrap/>
            <w:vAlign w:val="center"/>
          </w:tcPr>
          <w:p w14:paraId="57C4AC19" w14:textId="77777777" w:rsidR="00261938" w:rsidRPr="00150391" w:rsidRDefault="00261938" w:rsidP="000A7DEC">
            <w:pPr>
              <w:pStyle w:val="LeasingProgTableText"/>
              <w:spacing w:line="220" w:lineRule="atLeast"/>
              <w:rPr>
                <w:rFonts w:cs="Calibri"/>
                <w:szCs w:val="20"/>
              </w:rPr>
            </w:pPr>
          </w:p>
        </w:tc>
        <w:tc>
          <w:tcPr>
            <w:tcW w:w="1134" w:type="dxa"/>
            <w:tcBorders>
              <w:top w:val="nil"/>
              <w:left w:val="nil"/>
              <w:bottom w:val="single" w:sz="12" w:space="0" w:color="auto"/>
              <w:right w:val="single" w:sz="12" w:space="0" w:color="auto"/>
            </w:tcBorders>
            <w:shd w:val="clear" w:color="auto" w:fill="FFFFFF" w:themeFill="background1"/>
            <w:noWrap/>
            <w:vAlign w:val="center"/>
          </w:tcPr>
          <w:p w14:paraId="2F0B1632" w14:textId="77777777" w:rsidR="00261938" w:rsidRPr="00150391" w:rsidRDefault="00261938" w:rsidP="000A7DEC">
            <w:pPr>
              <w:pStyle w:val="LeasingProgTableText"/>
              <w:spacing w:line="220" w:lineRule="atLeast"/>
              <w:rPr>
                <w:rFonts w:cs="Calibri"/>
                <w:szCs w:val="20"/>
              </w:rPr>
            </w:pPr>
          </w:p>
        </w:tc>
      </w:tr>
    </w:tbl>
    <w:p w14:paraId="7EBB3E4F" w14:textId="77777777" w:rsidR="005F4D5C" w:rsidRPr="00150391" w:rsidRDefault="53BF0693" w:rsidP="53BF0693">
      <w:pPr>
        <w:pStyle w:val="Heading4"/>
        <w:rPr>
          <w:rStyle w:val="BodyTextChar"/>
          <w:rFonts w:ascii="Calibri" w:hAnsi="Calibri" w:cs="Calibri"/>
          <w:color w:val="auto"/>
          <w:sz w:val="22"/>
          <w:szCs w:val="22"/>
        </w:rPr>
      </w:pPr>
      <w:bookmarkStart w:id="632" w:name="_Toc26351482"/>
      <w:bookmarkStart w:id="633" w:name="_Toc26353922"/>
      <w:bookmarkStart w:id="634" w:name="_Toc26351483"/>
      <w:bookmarkStart w:id="635" w:name="_Toc26353923"/>
      <w:bookmarkStart w:id="636" w:name="_Toc26351484"/>
      <w:bookmarkStart w:id="637" w:name="_Toc26353924"/>
      <w:bookmarkEnd w:id="632"/>
      <w:bookmarkEnd w:id="633"/>
      <w:bookmarkEnd w:id="634"/>
      <w:bookmarkEnd w:id="635"/>
      <w:bookmarkEnd w:id="636"/>
      <w:bookmarkEnd w:id="637"/>
      <w:r w:rsidRPr="00150391">
        <w:rPr>
          <w:rStyle w:val="BodyTextChar"/>
          <w:rFonts w:ascii="Calibri" w:eastAsia="MS Gothic" w:hAnsi="Calibri" w:cs="Calibri"/>
        </w:rPr>
        <w:t>Source of information</w:t>
      </w:r>
    </w:p>
    <w:p w14:paraId="705257A7" w14:textId="77777777" w:rsidR="004D761E" w:rsidRPr="00150391" w:rsidRDefault="53BF0693" w:rsidP="53BF0693">
      <w:pPr>
        <w:rPr>
          <w:rStyle w:val="BodyTextChar"/>
          <w:rFonts w:cs="Calibri"/>
        </w:rPr>
      </w:pPr>
      <w:r w:rsidRPr="00150391">
        <w:rPr>
          <w:rStyle w:val="BodyTextChar"/>
          <w:rFonts w:cs="Calibri"/>
        </w:rPr>
        <w:t>CBMS may not be able to provided disaggregated data at a level to provide budgeted expenses by program (required for the tables in Section 2 of the document). If this is the case, entities will need to source this data from their FMIS.</w:t>
      </w:r>
    </w:p>
    <w:p w14:paraId="21F9A4B8" w14:textId="77777777" w:rsidR="004D4C93" w:rsidRPr="00150391" w:rsidRDefault="53BF0693">
      <w:pPr>
        <w:rPr>
          <w:rFonts w:cs="Calibri"/>
        </w:rPr>
      </w:pPr>
      <w:r w:rsidRPr="00150391">
        <w:rPr>
          <w:rFonts w:cs="Calibri"/>
        </w:rPr>
        <w:t>The system generated reports are located at:</w:t>
      </w:r>
    </w:p>
    <w:p w14:paraId="0130F4D9" w14:textId="77777777" w:rsidR="00ED0B88" w:rsidRPr="00150391" w:rsidRDefault="004D4C93" w:rsidP="00F97CDF">
      <w:pPr>
        <w:pStyle w:val="Reports1"/>
        <w:rPr>
          <w:rStyle w:val="BodyTextChar"/>
          <w:rFonts w:cs="Calibri"/>
        </w:rPr>
      </w:pPr>
      <w:r w:rsidRPr="00150391">
        <w:rPr>
          <w:rFonts w:cs="Calibri"/>
        </w:rPr>
        <w:t xml:space="preserve">Reports </w:t>
      </w:r>
      <w:r w:rsidRPr="00150391">
        <w:rPr>
          <w:rFonts w:cs="Calibri"/>
        </w:rPr>
        <w:sym w:font="Wingdings" w:char="F0E0"/>
      </w:r>
      <w:r w:rsidRPr="00150391">
        <w:rPr>
          <w:rFonts w:cs="Calibri"/>
        </w:rPr>
        <w:t xml:space="preserve"> CBMS Reporting </w:t>
      </w:r>
      <w:r w:rsidRPr="00150391">
        <w:rPr>
          <w:rFonts w:cs="Calibri"/>
        </w:rPr>
        <w:sym w:font="Wingdings" w:char="F0E0"/>
      </w:r>
      <w:r w:rsidRPr="00150391">
        <w:rPr>
          <w:rFonts w:cs="Calibri"/>
        </w:rPr>
        <w:t xml:space="preserve">  Statutory Reports  </w:t>
      </w:r>
      <w:r w:rsidRPr="00150391">
        <w:rPr>
          <w:rFonts w:cs="Calibri"/>
        </w:rPr>
        <w:sym w:font="Wingdings" w:char="F0E0"/>
      </w:r>
      <w:r w:rsidRPr="00150391">
        <w:rPr>
          <w:rFonts w:cs="Calibri"/>
        </w:rPr>
        <w:t xml:space="preserve">  PBS  </w:t>
      </w:r>
      <w:r w:rsidRPr="00150391">
        <w:rPr>
          <w:rFonts w:cs="Calibri"/>
        </w:rPr>
        <w:sym w:font="Wingdings" w:char="F0E0"/>
      </w:r>
      <w:r w:rsidRPr="00150391">
        <w:rPr>
          <w:rFonts w:cs="Calibri"/>
        </w:rPr>
        <w:t xml:space="preserve"> PBS.T2.1</w:t>
      </w:r>
      <w:r w:rsidR="00862D17" w:rsidRPr="00150391">
        <w:rPr>
          <w:rFonts w:cs="Calibri"/>
        </w:rPr>
        <w:t xml:space="preserve"> Budget</w:t>
      </w:r>
      <w:r w:rsidR="00E1734F" w:rsidRPr="00150391">
        <w:rPr>
          <w:rFonts w:cs="Calibri"/>
        </w:rPr>
        <w:t>ed</w:t>
      </w:r>
      <w:r w:rsidR="00862D17" w:rsidRPr="00150391">
        <w:rPr>
          <w:rFonts w:cs="Calibri"/>
        </w:rPr>
        <w:t xml:space="preserve"> Expenses for Outcomes</w:t>
      </w:r>
      <w:r w:rsidR="00136F8A" w:rsidRPr="00150391">
        <w:rPr>
          <w:rFonts w:cs="Calibri"/>
        </w:rPr>
        <w:t>.</w:t>
      </w:r>
      <w:r w:rsidRPr="00150391">
        <w:rPr>
          <w:rFonts w:cs="Calibri"/>
        </w:rPr>
        <w:t xml:space="preserve"> </w:t>
      </w:r>
    </w:p>
    <w:p w14:paraId="4E2DDFAE" w14:textId="77777777" w:rsidR="00FA0945" w:rsidRPr="00150391" w:rsidRDefault="53BF0693" w:rsidP="53BF0693">
      <w:pPr>
        <w:rPr>
          <w:rStyle w:val="BodyTextChar"/>
          <w:rFonts w:cs="Calibri"/>
          <w:i/>
          <w:iCs/>
          <w:color w:val="0070C0"/>
        </w:rPr>
      </w:pPr>
      <w:r w:rsidRPr="00150391">
        <w:rPr>
          <w:rStyle w:val="BodyTextChar"/>
          <w:rFonts w:cs="Calibri"/>
        </w:rPr>
        <w:t xml:space="preserve">The </w:t>
      </w:r>
      <w:r w:rsidRPr="00150391">
        <w:rPr>
          <w:rStyle w:val="BodyTextChar"/>
          <w:rFonts w:cs="Calibri"/>
          <w:b/>
          <w:bCs/>
        </w:rPr>
        <w:t>Expenses not requiring appropriation in Budget year</w:t>
      </w:r>
      <w:r w:rsidRPr="00150391">
        <w:rPr>
          <w:rStyle w:val="BodyTextChar"/>
          <w:rFonts w:cs="Calibri"/>
        </w:rPr>
        <w:t xml:space="preserve"> line is to be used by entities where there is a government policy not to fund those expenses within the year; where the funding has been provided in a prior year but the expense will be incurred in the current year; or where the expenses reflect the usage of services provided free of charge.</w:t>
      </w:r>
    </w:p>
    <w:p w14:paraId="50EAEE8D" w14:textId="029F699D" w:rsidR="00FA0945" w:rsidRPr="00150391" w:rsidRDefault="003A7E44" w:rsidP="53BF0693">
      <w:pPr>
        <w:pStyle w:val="Bullet1"/>
        <w:rPr>
          <w:rStyle w:val="BodyTextChar"/>
          <w:rFonts w:ascii="Calibri" w:hAnsi="Calibri" w:cs="Calibri"/>
        </w:rPr>
      </w:pPr>
      <w:r w:rsidRPr="00150391">
        <w:rPr>
          <w:rStyle w:val="BodyTextChar"/>
          <w:rFonts w:ascii="Calibri" w:hAnsi="Calibri" w:cs="Calibri"/>
        </w:rPr>
        <w:t>F</w:t>
      </w:r>
      <w:r w:rsidR="53BF0693" w:rsidRPr="00150391">
        <w:rPr>
          <w:rStyle w:val="BodyTextChar"/>
          <w:rFonts w:ascii="Calibri" w:hAnsi="Calibri" w:cs="Calibri"/>
        </w:rPr>
        <w:t xml:space="preserve">or example, depreciation expenses which the </w:t>
      </w:r>
      <w:r w:rsidR="006418EA" w:rsidRPr="00150391">
        <w:rPr>
          <w:rStyle w:val="BodyTextChar"/>
          <w:rFonts w:ascii="Calibri" w:hAnsi="Calibri" w:cs="Calibri"/>
        </w:rPr>
        <w:t>government</w:t>
      </w:r>
      <w:r w:rsidR="53BF0693" w:rsidRPr="00150391">
        <w:rPr>
          <w:rStyle w:val="BodyTextChar"/>
          <w:rFonts w:ascii="Calibri" w:hAnsi="Calibri" w:cs="Calibri"/>
        </w:rPr>
        <w:t xml:space="preserve"> has provided a separate capital budget/Collection Development Acquisition Budget should be shown in this line, along with expenses associated with audit services provided by the A</w:t>
      </w:r>
      <w:r w:rsidR="00CA44DE" w:rsidRPr="00150391">
        <w:rPr>
          <w:rStyle w:val="BodyTextChar"/>
          <w:rFonts w:ascii="Calibri" w:hAnsi="Calibri" w:cs="Calibri"/>
        </w:rPr>
        <w:t xml:space="preserve">ustralian </w:t>
      </w:r>
      <w:r w:rsidR="53BF0693" w:rsidRPr="00150391">
        <w:rPr>
          <w:rStyle w:val="BodyTextChar"/>
          <w:rFonts w:ascii="Calibri" w:hAnsi="Calibri" w:cs="Calibri"/>
        </w:rPr>
        <w:t>N</w:t>
      </w:r>
      <w:r w:rsidR="00CA44DE" w:rsidRPr="00150391">
        <w:rPr>
          <w:rStyle w:val="BodyTextChar"/>
          <w:rFonts w:ascii="Calibri" w:hAnsi="Calibri" w:cs="Calibri"/>
        </w:rPr>
        <w:t xml:space="preserve">ational </w:t>
      </w:r>
      <w:r w:rsidR="53BF0693" w:rsidRPr="00150391">
        <w:rPr>
          <w:rStyle w:val="BodyTextChar"/>
          <w:rFonts w:ascii="Calibri" w:hAnsi="Calibri" w:cs="Calibri"/>
        </w:rPr>
        <w:t>A</w:t>
      </w:r>
      <w:r w:rsidR="00CA44DE" w:rsidRPr="00150391">
        <w:rPr>
          <w:rStyle w:val="BodyTextChar"/>
          <w:rFonts w:ascii="Calibri" w:hAnsi="Calibri" w:cs="Calibri"/>
        </w:rPr>
        <w:t xml:space="preserve">udit </w:t>
      </w:r>
      <w:r w:rsidR="53BF0693" w:rsidRPr="00150391">
        <w:rPr>
          <w:rStyle w:val="BodyTextChar"/>
          <w:rFonts w:ascii="Calibri" w:hAnsi="Calibri" w:cs="Calibri"/>
        </w:rPr>
        <w:t>O</w:t>
      </w:r>
      <w:r w:rsidR="00CA44DE" w:rsidRPr="00150391">
        <w:rPr>
          <w:rStyle w:val="BodyTextChar"/>
          <w:rFonts w:ascii="Calibri" w:hAnsi="Calibri" w:cs="Calibri"/>
        </w:rPr>
        <w:t>ffice</w:t>
      </w:r>
      <w:r w:rsidR="53BF0693" w:rsidRPr="00150391">
        <w:rPr>
          <w:rStyle w:val="BodyTextChar"/>
          <w:rFonts w:ascii="Calibri" w:hAnsi="Calibri" w:cs="Calibri"/>
        </w:rPr>
        <w:t>, and non-cash expenses for which the entity has received operating loss approval</w:t>
      </w:r>
      <w:r w:rsidRPr="00150391">
        <w:rPr>
          <w:rStyle w:val="BodyTextChar"/>
          <w:rFonts w:ascii="Calibri" w:hAnsi="Calibri" w:cs="Calibri"/>
        </w:rPr>
        <w:t>.</w:t>
      </w:r>
    </w:p>
    <w:p w14:paraId="5FCE8272" w14:textId="28BE7AC9" w:rsidR="00FA0945" w:rsidRPr="00150391" w:rsidRDefault="003A7E44" w:rsidP="53BF0693">
      <w:pPr>
        <w:pStyle w:val="Bullet1"/>
        <w:rPr>
          <w:rStyle w:val="BodyTextChar"/>
          <w:rFonts w:ascii="Calibri" w:hAnsi="Calibri" w:cs="Calibri"/>
        </w:rPr>
      </w:pPr>
      <w:r w:rsidRPr="00150391">
        <w:rPr>
          <w:rStyle w:val="BodyTextChar"/>
          <w:rFonts w:ascii="Calibri" w:hAnsi="Calibri" w:cs="Calibri"/>
        </w:rPr>
        <w:t>I</w:t>
      </w:r>
      <w:r w:rsidR="53BF0693" w:rsidRPr="00150391">
        <w:rPr>
          <w:rStyle w:val="BodyTextChar"/>
          <w:rFonts w:ascii="Calibri" w:hAnsi="Calibri" w:cs="Calibri"/>
        </w:rPr>
        <w:t>tems which do not or will not involve a cash flow impact (such as bad debt expenses) are also considered “expenses not requiring appropriation”.</w:t>
      </w:r>
    </w:p>
    <w:p w14:paraId="7BD0240A" w14:textId="02D2F0BC" w:rsidR="009A6836" w:rsidRPr="00150391" w:rsidRDefault="009A6836" w:rsidP="009A6836">
      <w:pPr>
        <w:rPr>
          <w:rStyle w:val="BodyTextChar"/>
          <w:rFonts w:cs="Calibri"/>
        </w:rPr>
      </w:pPr>
      <w:r w:rsidRPr="00150391">
        <w:rPr>
          <w:rStyle w:val="BodyTextChar"/>
          <w:rFonts w:cs="Calibri"/>
          <w:b/>
        </w:rPr>
        <w:t>ASL figures</w:t>
      </w:r>
      <w:r w:rsidRPr="00150391">
        <w:rPr>
          <w:rStyle w:val="BodyTextChar"/>
          <w:rFonts w:cs="Calibri"/>
        </w:rPr>
        <w:t xml:space="preserve"> across all outcomes should be discussed with Finance (see section</w:t>
      </w:r>
      <w:r w:rsidR="00244BC8" w:rsidRPr="00150391">
        <w:rPr>
          <w:rStyle w:val="BodyTextChar"/>
          <w:rFonts w:cs="Calibri"/>
        </w:rPr>
        <w:t xml:space="preserve"> </w:t>
      </w:r>
      <w:r w:rsidRPr="002B4935">
        <w:rPr>
          <w:rStyle w:val="CrossReferenceChar"/>
          <w:rFonts w:cs="Calibri"/>
          <w:color w:val="0070C0"/>
        </w:rPr>
        <w:fldChar w:fldCharType="begin"/>
      </w:r>
      <w:r w:rsidRPr="002B4935">
        <w:rPr>
          <w:rStyle w:val="CrossReferenceChar"/>
          <w:rFonts w:cs="Calibri"/>
          <w:color w:val="0070C0"/>
        </w:rPr>
        <w:instrText xml:space="preserve"> REF _Ref94870174 \w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Pr>
          <w:rStyle w:val="CrossReferenceChar"/>
          <w:rFonts w:cs="Calibri"/>
          <w:color w:val="0070C0"/>
        </w:rPr>
        <w:t>14</w:t>
      </w:r>
      <w:r w:rsidRPr="002B4935">
        <w:rPr>
          <w:rStyle w:val="CrossReferenceChar"/>
          <w:rFonts w:cs="Calibri"/>
          <w:color w:val="0070C0"/>
        </w:rPr>
        <w:fldChar w:fldCharType="end"/>
      </w:r>
      <w:r w:rsidR="00244BC8" w:rsidRPr="002B4935">
        <w:rPr>
          <w:rStyle w:val="CrossReferenceChar"/>
          <w:rFonts w:cs="Calibri"/>
          <w:color w:val="0070C0"/>
        </w:rPr>
        <w:t> </w:t>
      </w:r>
      <w:r w:rsidRPr="002B4935">
        <w:rPr>
          <w:rStyle w:val="CrossReferenceChar"/>
          <w:rFonts w:cs="Calibri"/>
          <w:color w:val="0070C0"/>
        </w:rPr>
        <w:fldChar w:fldCharType="begin"/>
      </w:r>
      <w:r w:rsidRPr="002B4935">
        <w:rPr>
          <w:rStyle w:val="CrossReferenceChar"/>
          <w:rFonts w:cs="Calibri"/>
          <w:color w:val="0070C0"/>
        </w:rPr>
        <w:instrText xml:space="preserve"> REF _Ref94870174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sidRPr="0073409A">
        <w:rPr>
          <w:rStyle w:val="CrossReferenceChar"/>
          <w:color w:val="0070C0"/>
        </w:rPr>
        <w:t>Contacts</w:t>
      </w:r>
      <w:r w:rsidRPr="002B4935">
        <w:rPr>
          <w:rStyle w:val="CrossReferenceChar"/>
          <w:rFonts w:cs="Calibri"/>
          <w:color w:val="0070C0"/>
        </w:rPr>
        <w:fldChar w:fldCharType="end"/>
      </w:r>
      <w:r w:rsidRPr="00150391">
        <w:rPr>
          <w:rStyle w:val="BodyTextChar"/>
          <w:rFonts w:cs="Calibri"/>
        </w:rPr>
        <w:t xml:space="preserve">) and match the figures to be published in BP No. 4 and at the bottom of </w:t>
      </w:r>
      <w:r w:rsidRPr="00150391">
        <w:rPr>
          <w:rStyle w:val="BodyTextChar"/>
          <w:rFonts w:cs="Calibri"/>
          <w:i/>
        </w:rPr>
        <w:t>Table</w:t>
      </w:r>
      <w:r w:rsidR="00A261E1" w:rsidRPr="00150391">
        <w:rPr>
          <w:rStyle w:val="BodyTextChar"/>
          <w:rFonts w:cs="Calibri"/>
          <w:i/>
        </w:rPr>
        <w:t> </w:t>
      </w:r>
      <w:r w:rsidRPr="00150391">
        <w:rPr>
          <w:rStyle w:val="BodyTextChar"/>
          <w:rFonts w:cs="Calibri"/>
          <w:i/>
        </w:rPr>
        <w:t>1.1: Entity resource statement</w:t>
      </w:r>
      <w:r w:rsidRPr="00150391">
        <w:rPr>
          <w:rStyle w:val="BodyTextChar"/>
          <w:rFonts w:cs="Calibri"/>
        </w:rPr>
        <w:t>. Please refer to the latest Finance guidance on ASL for more information on ASL reporting.</w:t>
      </w:r>
    </w:p>
    <w:p w14:paraId="13241913" w14:textId="77777777" w:rsidR="00FA0945" w:rsidRPr="00150391" w:rsidRDefault="53BF0693" w:rsidP="53BF0693">
      <w:pPr>
        <w:rPr>
          <w:rStyle w:val="BodyTextChar"/>
          <w:rFonts w:cs="Calibri"/>
        </w:rPr>
      </w:pPr>
      <w:r w:rsidRPr="00150391">
        <w:rPr>
          <w:rStyle w:val="BodyTextChar"/>
          <w:rFonts w:cs="Calibri"/>
        </w:rPr>
        <w:t xml:space="preserve">Information on </w:t>
      </w:r>
      <w:r w:rsidRPr="00150391">
        <w:rPr>
          <w:rStyle w:val="BodyTextChar"/>
          <w:rFonts w:cs="Calibri"/>
          <w:b/>
          <w:bCs/>
        </w:rPr>
        <w:t>Movements of Funds</w:t>
      </w:r>
      <w:r w:rsidRPr="00150391">
        <w:rPr>
          <w:rStyle w:val="BodyTextChar"/>
          <w:rFonts w:cs="Calibri"/>
        </w:rPr>
        <w:t xml:space="preserve"> should be sourced from approved movement of funds requests (as detailed in correspondence from the Finance Minister) and/or adjustments in CBMS against the reason code “Movement of Funds”.</w:t>
      </w:r>
    </w:p>
    <w:p w14:paraId="6AE29FF4" w14:textId="77777777" w:rsidR="00FA0945" w:rsidRPr="00150391" w:rsidRDefault="00BC0DB5" w:rsidP="00580008">
      <w:pPr>
        <w:rPr>
          <w:rStyle w:val="BodyTextChar"/>
          <w:rFonts w:cs="Calibri"/>
        </w:rPr>
      </w:pPr>
      <w:r w:rsidRPr="00150391">
        <w:rPr>
          <w:rStyle w:val="BodyTextChar"/>
          <w:rFonts w:cs="Calibri"/>
        </w:rPr>
        <w:t>F</w:t>
      </w:r>
      <w:r w:rsidR="53BF0693" w:rsidRPr="00150391">
        <w:rPr>
          <w:rStyle w:val="BodyTextChar"/>
          <w:rFonts w:cs="Calibri"/>
        </w:rPr>
        <w:t>or information on the Movement of Funds process, please contact your AAU.</w:t>
      </w:r>
    </w:p>
    <w:p w14:paraId="131F3A5F" w14:textId="77777777" w:rsidR="00FA0945" w:rsidRPr="00150391" w:rsidRDefault="53BF0693" w:rsidP="00CF6BE7">
      <w:pPr>
        <w:pStyle w:val="Heading2Numbered"/>
        <w:rPr>
          <w:rFonts w:ascii="Calibri" w:hAnsi="Calibri" w:cs="Calibri"/>
          <w:spacing w:val="-6"/>
        </w:rPr>
      </w:pPr>
      <w:bookmarkStart w:id="638" w:name="_Toc411852685"/>
      <w:bookmarkStart w:id="639" w:name="_Toc534382565"/>
      <w:bookmarkStart w:id="640" w:name="_Ref33523258"/>
      <w:bookmarkStart w:id="641" w:name="_Ref33523261"/>
      <w:bookmarkStart w:id="642" w:name="_Ref33523265"/>
      <w:bookmarkStart w:id="643" w:name="_Toc63347718"/>
      <w:bookmarkStart w:id="644" w:name="_Toc114576307"/>
      <w:r w:rsidRPr="00150391">
        <w:rPr>
          <w:rFonts w:ascii="Calibri" w:hAnsi="Calibri" w:cs="Calibri"/>
        </w:rPr>
        <w:t>Program components</w:t>
      </w:r>
      <w:bookmarkEnd w:id="638"/>
      <w:bookmarkEnd w:id="639"/>
      <w:bookmarkEnd w:id="640"/>
      <w:bookmarkEnd w:id="641"/>
      <w:bookmarkEnd w:id="642"/>
      <w:bookmarkEnd w:id="643"/>
      <w:bookmarkEnd w:id="644"/>
    </w:p>
    <w:p w14:paraId="300F0330" w14:textId="77694C0E" w:rsidR="00FA0945" w:rsidRPr="00150391" w:rsidRDefault="53BF0693" w:rsidP="00580008">
      <w:pPr>
        <w:pStyle w:val="Boxed2Text"/>
        <w:rPr>
          <w:rFonts w:cs="Calibri"/>
        </w:rPr>
      </w:pPr>
      <w:r w:rsidRPr="00150391">
        <w:rPr>
          <w:rFonts w:cs="Calibri"/>
        </w:rPr>
        <w:t xml:space="preserve">The template for the </w:t>
      </w:r>
      <w:r w:rsidRPr="00150391">
        <w:rPr>
          <w:rFonts w:cs="Calibri"/>
          <w:i/>
          <w:iCs/>
        </w:rPr>
        <w:t>Program components</w:t>
      </w:r>
      <w:r w:rsidRPr="00150391">
        <w:rPr>
          <w:rFonts w:cs="Calibri"/>
        </w:rPr>
        <w:t xml:space="preserve"> table can be found in the “</w:t>
      </w:r>
      <w:r w:rsidR="00E072AD" w:rsidRPr="00150391">
        <w:rPr>
          <w:rFonts w:cs="Calibri"/>
          <w:i/>
          <w:iCs/>
        </w:rPr>
        <w:t>Table </w:t>
      </w:r>
      <w:r w:rsidRPr="00150391">
        <w:rPr>
          <w:rFonts w:cs="Calibri"/>
          <w:i/>
          <w:iCs/>
        </w:rPr>
        <w:t>2.X</w:t>
      </w:r>
      <w:r w:rsidR="003A7E44" w:rsidRPr="00150391">
        <w:rPr>
          <w:rFonts w:cs="Calibri"/>
          <w:i/>
          <w:iCs/>
        </w:rPr>
        <w:t xml:space="preserve"> </w:t>
      </w:r>
      <w:r w:rsidR="002C2697" w:rsidRPr="00150391">
        <w:rPr>
          <w:rFonts w:cs="Calibri"/>
        </w:rPr>
        <w:t xml:space="preserve">Department of Finance (Finance) and Australian Electoral Commission (AEC) are required to prepare a 2021-22 PAES. </w:t>
      </w:r>
      <w:r w:rsidR="00E072AD" w:rsidRPr="00150391">
        <w:rPr>
          <w:rFonts w:cs="Calibri"/>
          <w:i/>
          <w:iCs/>
        </w:rPr>
        <w:t>2 </w:t>
      </w:r>
      <w:r w:rsidRPr="00150391">
        <w:rPr>
          <w:rFonts w:cs="Calibri"/>
          <w:i/>
          <w:iCs/>
        </w:rPr>
        <w:t>Program Components</w:t>
      </w:r>
      <w:r w:rsidRPr="00150391">
        <w:rPr>
          <w:rFonts w:cs="Calibri"/>
        </w:rPr>
        <w:t>” tab</w:t>
      </w:r>
      <w:r w:rsidRPr="00150391">
        <w:rPr>
          <w:rStyle w:val="BodyTextChar"/>
          <w:rFonts w:cs="Calibri"/>
        </w:rPr>
        <w:t xml:space="preserve"> of the Excel Tables workbook (</w:t>
      </w:r>
      <w:r w:rsidRPr="00150391">
        <w:rPr>
          <w:rStyle w:val="BodyTextChar"/>
          <w:rFonts w:cs="Calibri"/>
          <w:u w:val="single"/>
        </w:rPr>
        <w:t>Attachment B</w:t>
      </w:r>
      <w:r w:rsidRPr="00150391">
        <w:rPr>
          <w:rStyle w:val="BodyTextChar"/>
          <w:rFonts w:cs="Calibri"/>
        </w:rPr>
        <w:t xml:space="preserve">). </w:t>
      </w:r>
    </w:p>
    <w:p w14:paraId="4AFA1683" w14:textId="77777777" w:rsidR="00FA0945" w:rsidRPr="00150391" w:rsidRDefault="53BF0693" w:rsidP="53BF0693">
      <w:pPr>
        <w:rPr>
          <w:rStyle w:val="BodyTextChar"/>
          <w:rFonts w:cs="Calibri"/>
          <w:color w:val="FF0000"/>
        </w:rPr>
      </w:pPr>
      <w:r w:rsidRPr="00150391">
        <w:rPr>
          <w:rStyle w:val="BodyTextChar"/>
          <w:rFonts w:cs="Calibri"/>
        </w:rPr>
        <w:t>Entities are not required to provide reporting below the program level.</w:t>
      </w:r>
    </w:p>
    <w:p w14:paraId="773E83C4" w14:textId="77777777" w:rsidR="00FA0945" w:rsidRPr="00150391" w:rsidRDefault="53BF0693" w:rsidP="53BF0693">
      <w:pPr>
        <w:rPr>
          <w:rStyle w:val="BodyTextChar"/>
          <w:rFonts w:cs="Calibri"/>
        </w:rPr>
      </w:pPr>
      <w:r w:rsidRPr="00150391">
        <w:rPr>
          <w:rStyle w:val="BodyTextChar"/>
          <w:rFonts w:cs="Calibri"/>
        </w:rPr>
        <w:t>Program component reporting is a subset of program-level reporting, and program components can be funded through administered and departmental appropriations. If entities choose to provide program components, these should be clearly identified as components and not described as a program. An example of a program component that an entity chooses to report on could be an item of special public interest or political sensitivity.</w:t>
      </w:r>
    </w:p>
    <w:p w14:paraId="468F2F27" w14:textId="1A088367" w:rsidR="006F2C96" w:rsidRPr="00150391" w:rsidRDefault="53BF0693" w:rsidP="000A7DEC">
      <w:pPr>
        <w:rPr>
          <w:rStyle w:val="BodyTextChar"/>
          <w:rFonts w:cs="Calibri"/>
        </w:rPr>
      </w:pPr>
      <w:r w:rsidRPr="00150391">
        <w:rPr>
          <w:rStyle w:val="BodyTextChar"/>
          <w:rFonts w:cs="Calibri"/>
        </w:rPr>
        <w:t xml:space="preserve">Should entities choose to report on program components, a program component expense table should be provided for </w:t>
      </w:r>
      <w:r w:rsidR="00E072AD" w:rsidRPr="00150391">
        <w:rPr>
          <w:rStyle w:val="BodyTextChar"/>
          <w:rFonts w:cs="Calibri"/>
        </w:rPr>
        <w:t xml:space="preserve">all </w:t>
      </w:r>
      <w:r w:rsidRPr="00150391">
        <w:rPr>
          <w:rStyle w:val="BodyTextChar"/>
          <w:rFonts w:cs="Calibri"/>
        </w:rPr>
        <w:t>program</w:t>
      </w:r>
      <w:r w:rsidR="00E072AD" w:rsidRPr="00150391">
        <w:rPr>
          <w:rStyle w:val="BodyTextChar"/>
          <w:rFonts w:cs="Calibri"/>
        </w:rPr>
        <w:t>s</w:t>
      </w:r>
      <w:r w:rsidRPr="00150391">
        <w:rPr>
          <w:rStyle w:val="BodyTextChar"/>
          <w:rFonts w:cs="Calibri"/>
        </w:rPr>
        <w:t xml:space="preserve"> with more than one component. The full program expenses must still be shown in </w:t>
      </w:r>
      <w:r w:rsidRPr="00150391">
        <w:rPr>
          <w:rStyle w:val="BodyTextChar"/>
          <w:rFonts w:cs="Calibri"/>
          <w:i/>
          <w:iCs/>
        </w:rPr>
        <w:t xml:space="preserve">the Budgeted expenses by </w:t>
      </w:r>
      <w:r w:rsidR="00E072AD" w:rsidRPr="00150391">
        <w:rPr>
          <w:rStyle w:val="BodyTextChar"/>
          <w:rFonts w:cs="Calibri"/>
          <w:i/>
          <w:iCs/>
        </w:rPr>
        <w:t>Outcome X </w:t>
      </w:r>
      <w:r w:rsidRPr="00150391">
        <w:rPr>
          <w:rStyle w:val="BodyTextChar"/>
          <w:rFonts w:cs="Calibri"/>
          <w:i/>
          <w:iCs/>
        </w:rPr>
        <w:t>Table (Table 2.X.1)</w:t>
      </w:r>
      <w:r w:rsidRPr="00150391">
        <w:rPr>
          <w:rStyle w:val="BodyTextChar"/>
          <w:rFonts w:cs="Calibri"/>
        </w:rPr>
        <w:t xml:space="preserve">. The itemised sub-set of expenses is then provided for each relevant program component. Sub-program expenses must reconcile with the relevant program total. </w:t>
      </w:r>
    </w:p>
    <w:p w14:paraId="7E10C6BA" w14:textId="11E960D8" w:rsidR="00FA0945" w:rsidRPr="00150391" w:rsidRDefault="53BF0693" w:rsidP="53BF0693">
      <w:pPr>
        <w:pStyle w:val="Heading2Numbered"/>
        <w:rPr>
          <w:rFonts w:ascii="Calibri" w:hAnsi="Calibri" w:cs="Calibri"/>
        </w:rPr>
      </w:pPr>
      <w:bookmarkStart w:id="645" w:name="_Toc534458885"/>
      <w:bookmarkStart w:id="646" w:name="_Toc534459674"/>
      <w:bookmarkStart w:id="647" w:name="_Toc534519169"/>
      <w:bookmarkStart w:id="648" w:name="_Toc534520079"/>
      <w:bookmarkStart w:id="649" w:name="_Toc534520349"/>
      <w:bookmarkStart w:id="650" w:name="_Toc534527561"/>
      <w:bookmarkStart w:id="651" w:name="_Toc534528291"/>
      <w:bookmarkStart w:id="652" w:name="_Toc534803512"/>
      <w:bookmarkStart w:id="653" w:name="_Toc534814203"/>
      <w:bookmarkStart w:id="654" w:name="_Toc536108576"/>
      <w:bookmarkStart w:id="655" w:name="_Toc534382566"/>
      <w:bookmarkStart w:id="656" w:name="_Ref33522765"/>
      <w:bookmarkStart w:id="657" w:name="_Ref33522777"/>
      <w:bookmarkStart w:id="658" w:name="_Ref33522783"/>
      <w:bookmarkStart w:id="659" w:name="_Ref62052417"/>
      <w:bookmarkStart w:id="660" w:name="_Ref62052788"/>
      <w:bookmarkStart w:id="661" w:name="_Toc63347719"/>
      <w:bookmarkStart w:id="662" w:name="_Ref111474340"/>
      <w:bookmarkStart w:id="663" w:name="_Ref111474347"/>
      <w:bookmarkStart w:id="664" w:name="_Ref111474356"/>
      <w:bookmarkStart w:id="665" w:name="_Ref112926220"/>
      <w:bookmarkStart w:id="666" w:name="_Ref112926229"/>
      <w:bookmarkStart w:id="667" w:name="_Ref112926234"/>
      <w:bookmarkStart w:id="668" w:name="_Ref112926342"/>
      <w:bookmarkStart w:id="669" w:name="_Ref112926346"/>
      <w:bookmarkStart w:id="670" w:name="_Ref112926350"/>
      <w:bookmarkStart w:id="671" w:name="_Toc114576308"/>
      <w:bookmarkEnd w:id="645"/>
      <w:bookmarkEnd w:id="646"/>
      <w:bookmarkEnd w:id="647"/>
      <w:bookmarkEnd w:id="648"/>
      <w:bookmarkEnd w:id="649"/>
      <w:bookmarkEnd w:id="650"/>
      <w:bookmarkEnd w:id="651"/>
      <w:bookmarkEnd w:id="652"/>
      <w:bookmarkEnd w:id="653"/>
      <w:bookmarkEnd w:id="654"/>
      <w:r w:rsidRPr="00150391">
        <w:rPr>
          <w:rFonts w:ascii="Calibri" w:hAnsi="Calibri" w:cs="Calibri"/>
        </w:rPr>
        <w:t>Overview of table 2.X.3 – performance information</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4A4CC6C" w14:textId="77777777" w:rsidR="00FA0945" w:rsidRPr="00150391" w:rsidRDefault="53BF0693" w:rsidP="53BF0693">
      <w:pPr>
        <w:pStyle w:val="NormalTextRed"/>
        <w:rPr>
          <w:rStyle w:val="BodyTextChar"/>
          <w:rFonts w:cs="Calibri"/>
          <w:color w:val="auto"/>
          <w:sz w:val="34"/>
          <w:szCs w:val="34"/>
        </w:rPr>
      </w:pPr>
      <w:r w:rsidRPr="00150391">
        <w:rPr>
          <w:rStyle w:val="BodyTextChar"/>
          <w:rFonts w:cs="Calibri"/>
          <w:color w:val="auto"/>
        </w:rPr>
        <w:t xml:space="preserve">The template for </w:t>
      </w:r>
      <w:r w:rsidRPr="00150391">
        <w:rPr>
          <w:rStyle w:val="BodyTextChar"/>
          <w:rFonts w:cs="Calibri"/>
          <w:i/>
          <w:iCs/>
          <w:color w:val="auto"/>
        </w:rPr>
        <w:t>Table 2.X.3</w:t>
      </w:r>
      <w:r w:rsidRPr="00150391">
        <w:rPr>
          <w:rStyle w:val="BodyTextChar"/>
          <w:rFonts w:cs="Calibri"/>
          <w:color w:val="auto"/>
        </w:rPr>
        <w:t xml:space="preserve"> can be found in the Word template (</w:t>
      </w:r>
      <w:r w:rsidRPr="00150391">
        <w:rPr>
          <w:rStyle w:val="BodyTextChar"/>
          <w:rFonts w:cs="Calibri"/>
          <w:color w:val="auto"/>
          <w:u w:val="single"/>
        </w:rPr>
        <w:t>Attachment C</w:t>
      </w:r>
      <w:r w:rsidRPr="00150391">
        <w:rPr>
          <w:rStyle w:val="BodyTextChar"/>
          <w:rFonts w:cs="Calibri"/>
          <w:color w:val="auto"/>
        </w:rPr>
        <w:t xml:space="preserve">). </w:t>
      </w:r>
    </w:p>
    <w:bookmarkEnd w:id="579"/>
    <w:bookmarkEnd w:id="580"/>
    <w:p w14:paraId="3D9FE6E8" w14:textId="53A5D64A" w:rsidR="00947A4C" w:rsidRPr="00150391" w:rsidRDefault="00947A4C">
      <w:pPr>
        <w:pStyle w:val="BodyText"/>
        <w:rPr>
          <w:rFonts w:cs="Calibri"/>
        </w:rPr>
      </w:pPr>
      <w:r w:rsidRPr="00150391">
        <w:rPr>
          <w:rFonts w:cs="Calibri"/>
        </w:rPr>
        <w:t>On 8 December 2021 the Finance Secretary issued a new Finance Secretary Direction</w:t>
      </w:r>
      <w:r w:rsidR="00B50E22" w:rsidRPr="00150391">
        <w:rPr>
          <w:rFonts w:cs="Calibri"/>
        </w:rPr>
        <w:t xml:space="preserve"> -</w:t>
      </w:r>
      <w:r w:rsidRPr="00150391">
        <w:rPr>
          <w:rFonts w:cs="Calibri"/>
        </w:rPr>
        <w:t xml:space="preserve"> Requirements for Performance Information included in Portfolio Budget Statements (the Direction). This has practical effect from the 2022-23 Budget.</w:t>
      </w:r>
    </w:p>
    <w:p w14:paraId="3A6A39D5" w14:textId="59BFFCE6" w:rsidR="00947A4C" w:rsidRPr="00150391" w:rsidRDefault="00947A4C">
      <w:pPr>
        <w:pStyle w:val="BodyText"/>
        <w:rPr>
          <w:rFonts w:cs="Calibri"/>
        </w:rPr>
      </w:pPr>
      <w:r w:rsidRPr="00150391">
        <w:rPr>
          <w:rFonts w:cs="Calibri"/>
        </w:rPr>
        <w:t>As a result Table 2.X.3 has been amended to take account of the new Direction. The opportunity was also taken to provide greater clarity of the reporting periods covered in Table</w:t>
      </w:r>
      <w:r w:rsidR="007C6D56" w:rsidRPr="00150391">
        <w:rPr>
          <w:rFonts w:cs="Calibri"/>
        </w:rPr>
        <w:t xml:space="preserve"> 2.X.3</w:t>
      </w:r>
      <w:r w:rsidRPr="00150391">
        <w:rPr>
          <w:rFonts w:cs="Calibri"/>
        </w:rPr>
        <w:t xml:space="preserve"> and to provide an updated introductory statement to Table </w:t>
      </w:r>
      <w:r w:rsidR="007C6D56" w:rsidRPr="00150391">
        <w:rPr>
          <w:rFonts w:cs="Calibri"/>
        </w:rPr>
        <w:t xml:space="preserve">2.X.3 </w:t>
      </w:r>
      <w:r w:rsidRPr="00150391">
        <w:rPr>
          <w:rFonts w:cs="Calibri"/>
        </w:rPr>
        <w:t>which</w:t>
      </w:r>
      <w:r w:rsidR="003B453D" w:rsidRPr="00150391">
        <w:rPr>
          <w:rFonts w:cs="Calibri"/>
        </w:rPr>
        <w:t xml:space="preserve"> explains the relationship between the PB</w:t>
      </w:r>
      <w:r w:rsidR="008A54D7" w:rsidRPr="00150391">
        <w:rPr>
          <w:rFonts w:cs="Calibri"/>
        </w:rPr>
        <w:t xml:space="preserve"> </w:t>
      </w:r>
      <w:r w:rsidR="003B453D" w:rsidRPr="00150391">
        <w:rPr>
          <w:rFonts w:cs="Calibri"/>
        </w:rPr>
        <w:t>S</w:t>
      </w:r>
      <w:r w:rsidR="008A54D7" w:rsidRPr="00150391">
        <w:rPr>
          <w:rFonts w:cs="Calibri"/>
        </w:rPr>
        <w:t>tatement</w:t>
      </w:r>
      <w:r w:rsidR="003B453D" w:rsidRPr="00150391">
        <w:rPr>
          <w:rFonts w:cs="Calibri"/>
        </w:rPr>
        <w:t xml:space="preserve"> and the entity’s corporate plan.  Finance encourages entities to use the Table 2.X.3 template to ensure that the requirements of the Direction are met and that Parliament is provided with performance information in a consistent and comparable manner.</w:t>
      </w:r>
    </w:p>
    <w:p w14:paraId="703AC634" w14:textId="2AE12E13" w:rsidR="003B453D" w:rsidRPr="00150391" w:rsidRDefault="003B453D" w:rsidP="00BE75E8">
      <w:pPr>
        <w:pStyle w:val="Heading3Numbered"/>
        <w:rPr>
          <w:rFonts w:ascii="Calibri" w:hAnsi="Calibri" w:cs="Calibri"/>
        </w:rPr>
      </w:pPr>
      <w:bookmarkStart w:id="672" w:name="_Toc114576309"/>
      <w:r w:rsidRPr="00150391">
        <w:rPr>
          <w:rFonts w:ascii="Calibri" w:hAnsi="Calibri" w:cs="Calibri"/>
        </w:rPr>
        <w:t>Introductory Statement</w:t>
      </w:r>
      <w:bookmarkEnd w:id="672"/>
    </w:p>
    <w:p w14:paraId="411CC19C" w14:textId="77777777" w:rsidR="00611899" w:rsidRPr="00150391" w:rsidRDefault="00611899" w:rsidP="00611899">
      <w:pPr>
        <w:pStyle w:val="TableHeading"/>
        <w:rPr>
          <w:rFonts w:ascii="Calibri" w:hAnsi="Calibri" w:cs="Calibri"/>
          <w:color w:val="auto"/>
        </w:rPr>
      </w:pPr>
      <w:r w:rsidRPr="00150391">
        <w:rPr>
          <w:rFonts w:ascii="Calibri" w:hAnsi="Calibri" w:cs="Calibri"/>
          <w:color w:val="auto"/>
        </w:rPr>
        <w:t>Table 2.</w:t>
      </w:r>
      <w:r w:rsidRPr="00150391">
        <w:rPr>
          <w:rFonts w:ascii="Calibri" w:hAnsi="Calibri" w:cs="Calibri"/>
          <w:color w:val="auto"/>
          <w:lang w:val="en-AU"/>
        </w:rPr>
        <w:t>X</w:t>
      </w:r>
      <w:r w:rsidRPr="00150391">
        <w:rPr>
          <w:rFonts w:ascii="Calibri" w:hAnsi="Calibri" w:cs="Calibri"/>
          <w:color w:val="auto"/>
        </w:rPr>
        <w:t>.</w:t>
      </w:r>
      <w:r w:rsidRPr="00150391">
        <w:rPr>
          <w:rFonts w:ascii="Calibri" w:hAnsi="Calibri" w:cs="Calibri"/>
          <w:color w:val="auto"/>
          <w:lang w:val="en-AU"/>
        </w:rPr>
        <w:t>3</w:t>
      </w:r>
      <w:r w:rsidRPr="00150391">
        <w:rPr>
          <w:rFonts w:ascii="Calibri" w:hAnsi="Calibri" w:cs="Calibri"/>
          <w:color w:val="auto"/>
        </w:rPr>
        <w:t xml:space="preserve">: Performance </w:t>
      </w:r>
      <w:r w:rsidRPr="00150391">
        <w:rPr>
          <w:rFonts w:ascii="Calibri" w:hAnsi="Calibri" w:cs="Calibri"/>
          <w:color w:val="auto"/>
          <w:lang w:val="en-AU"/>
        </w:rPr>
        <w:t>measures</w:t>
      </w:r>
      <w:r w:rsidRPr="00150391">
        <w:rPr>
          <w:rFonts w:ascii="Calibri" w:hAnsi="Calibri" w:cs="Calibri"/>
          <w:color w:val="auto"/>
        </w:rPr>
        <w:t xml:space="preserve"> for Outcome </w:t>
      </w:r>
      <w:r w:rsidRPr="00150391">
        <w:rPr>
          <w:rFonts w:ascii="Calibri" w:hAnsi="Calibri" w:cs="Calibri"/>
          <w:color w:val="auto"/>
          <w:lang w:val="en-AU"/>
        </w:rPr>
        <w:t>X</w:t>
      </w:r>
    </w:p>
    <w:p w14:paraId="073C4575" w14:textId="77777777" w:rsidR="00611899" w:rsidRPr="00150391" w:rsidRDefault="00611899" w:rsidP="00611899">
      <w:pPr>
        <w:rPr>
          <w:rFonts w:cs="Calibri"/>
        </w:rPr>
      </w:pPr>
      <w:r w:rsidRPr="00150391">
        <w:rPr>
          <w:rFonts w:cs="Calibri"/>
        </w:rPr>
        <w:t>Table 2.X.3 details the performance measures for each program associated with Outcome X.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p w14:paraId="2E414D6E" w14:textId="77777777" w:rsidR="003B453D" w:rsidRPr="00150391" w:rsidRDefault="003B453D" w:rsidP="00611899">
      <w:pPr>
        <w:rPr>
          <w:rFonts w:cs="Calibri"/>
          <w:b/>
          <w:u w:val="single"/>
        </w:rPr>
      </w:pPr>
      <w:r w:rsidRPr="00150391">
        <w:rPr>
          <w:rFonts w:cs="Calibri"/>
          <w:b/>
          <w:u w:val="single"/>
        </w:rPr>
        <w:t>Table 2.X.3</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FF6AF2" w:rsidRPr="00150391" w14:paraId="2A92E6B1" w14:textId="77777777" w:rsidTr="009F70D0">
        <w:trPr>
          <w:trHeight w:val="569"/>
          <w:tblHeader/>
        </w:trPr>
        <w:tc>
          <w:tcPr>
            <w:tcW w:w="7796" w:type="dxa"/>
            <w:gridSpan w:val="3"/>
            <w:shd w:val="clear" w:color="auto" w:fill="F2F2F2"/>
          </w:tcPr>
          <w:p w14:paraId="709BF856" w14:textId="77777777" w:rsidR="00FF6AF2" w:rsidRPr="00150391" w:rsidRDefault="00FF6AF2" w:rsidP="009F70D0">
            <w:pPr>
              <w:pStyle w:val="TableColumnHeadingLeft"/>
              <w:rPr>
                <w:rFonts w:ascii="Calibri" w:hAnsi="Calibri" w:cs="Calibri"/>
              </w:rPr>
            </w:pPr>
            <w:r w:rsidRPr="00150391">
              <w:rPr>
                <w:rStyle w:val="TableHeadingChar"/>
                <w:rFonts w:ascii="Calibri" w:hAnsi="Calibri" w:cs="Calibri"/>
                <w:b/>
              </w:rPr>
              <w:t>Outcome X</w:t>
            </w:r>
            <w:r w:rsidRPr="00150391">
              <w:rPr>
                <w:rFonts w:ascii="Calibri" w:hAnsi="Calibri" w:cs="Calibri"/>
              </w:rPr>
              <w:t xml:space="preserve"> </w:t>
            </w:r>
            <w:r w:rsidRPr="00150391">
              <w:rPr>
                <w:rFonts w:ascii="Calibri" w:hAnsi="Calibri" w:cs="Calibri"/>
                <w:b w:val="0"/>
              </w:rPr>
              <w:t xml:space="preserve">– </w:t>
            </w:r>
            <w:r w:rsidRPr="00150391">
              <w:rPr>
                <w:rFonts w:ascii="Calibri" w:hAnsi="Calibri" w:cs="Calibri"/>
                <w:b w:val="0"/>
                <w:i/>
                <w:color w:val="FF0000"/>
              </w:rPr>
              <w:t>Repeat relevant outcome statement for Outcome X</w:t>
            </w:r>
          </w:p>
        </w:tc>
      </w:tr>
      <w:tr w:rsidR="00FF6AF2" w:rsidRPr="00150391" w14:paraId="374E0BF6" w14:textId="77777777" w:rsidTr="009F70D0">
        <w:trPr>
          <w:trHeight w:val="522"/>
          <w:tblHeader/>
        </w:trPr>
        <w:tc>
          <w:tcPr>
            <w:tcW w:w="7796" w:type="dxa"/>
            <w:gridSpan w:val="3"/>
            <w:shd w:val="clear" w:color="auto" w:fill="F2F2F2"/>
          </w:tcPr>
          <w:p w14:paraId="60A8DA0F" w14:textId="77777777" w:rsidR="00FF6AF2" w:rsidRPr="00150391" w:rsidRDefault="00FF6AF2" w:rsidP="009F70D0">
            <w:pPr>
              <w:pStyle w:val="TableTextLeft"/>
              <w:rPr>
                <w:rFonts w:ascii="Calibri" w:eastAsia="Arial" w:hAnsi="Calibri" w:cs="Calibri"/>
                <w:b/>
              </w:rPr>
            </w:pPr>
            <w:r w:rsidRPr="00150391">
              <w:rPr>
                <w:rFonts w:ascii="Calibri" w:hAnsi="Calibri" w:cs="Calibri"/>
                <w:b/>
              </w:rPr>
              <w:t xml:space="preserve">Program X.X- </w:t>
            </w:r>
            <w:r w:rsidRPr="00150391">
              <w:rPr>
                <w:rFonts w:ascii="Calibri" w:eastAsia="Arial" w:hAnsi="Calibri" w:cs="Calibri"/>
                <w:b/>
              </w:rPr>
              <w:t>Program name</w:t>
            </w:r>
          </w:p>
          <w:p w14:paraId="48C24F69" w14:textId="77777777" w:rsidR="00FF6AF2" w:rsidRPr="00150391" w:rsidRDefault="00FF6AF2" w:rsidP="009F70D0">
            <w:pPr>
              <w:pStyle w:val="TableTextLeft"/>
              <w:rPr>
                <w:rFonts w:ascii="Calibri" w:hAnsi="Calibri" w:cs="Calibri"/>
              </w:rPr>
            </w:pPr>
          </w:p>
          <w:p w14:paraId="616D4071" w14:textId="77777777" w:rsidR="00FF6AF2" w:rsidRPr="00150391" w:rsidRDefault="00FF6AF2" w:rsidP="009F70D0">
            <w:pPr>
              <w:pStyle w:val="TableTextLeft"/>
              <w:rPr>
                <w:rFonts w:ascii="Calibri" w:hAnsi="Calibri" w:cs="Calibri"/>
              </w:rPr>
            </w:pPr>
            <w:r w:rsidRPr="00150391">
              <w:rPr>
                <w:rFonts w:ascii="Calibri" w:hAnsi="Calibri" w:cs="Calibri"/>
                <w:i/>
                <w:color w:val="FF0000"/>
              </w:rPr>
              <w:t>Brief description of Program X.X (objective &amp; how it contributes to delivering Outcome X)</w:t>
            </w:r>
          </w:p>
        </w:tc>
      </w:tr>
      <w:tr w:rsidR="00FF6AF2" w:rsidRPr="00150391" w14:paraId="6CCA605D" w14:textId="77777777" w:rsidTr="009F70D0">
        <w:trPr>
          <w:trHeight w:val="694"/>
        </w:trPr>
        <w:tc>
          <w:tcPr>
            <w:tcW w:w="1560" w:type="dxa"/>
            <w:tcBorders>
              <w:bottom w:val="double" w:sz="4" w:space="0" w:color="auto"/>
            </w:tcBorders>
          </w:tcPr>
          <w:p w14:paraId="482DBF33" w14:textId="77777777" w:rsidR="00FF6AF2" w:rsidRPr="00150391" w:rsidRDefault="00FF6AF2" w:rsidP="009F70D0">
            <w:pPr>
              <w:tabs>
                <w:tab w:val="left" w:pos="709"/>
              </w:tabs>
              <w:spacing w:before="60"/>
              <w:rPr>
                <w:rFonts w:cs="Calibri"/>
                <w:b/>
                <w:sz w:val="16"/>
                <w:szCs w:val="16"/>
              </w:rPr>
            </w:pPr>
            <w:r w:rsidRPr="00150391">
              <w:rPr>
                <w:rFonts w:cs="Calibri"/>
                <w:b/>
                <w:sz w:val="16"/>
                <w:szCs w:val="16"/>
              </w:rPr>
              <w:t>Key Activities (a)</w:t>
            </w:r>
          </w:p>
        </w:tc>
        <w:tc>
          <w:tcPr>
            <w:tcW w:w="6236" w:type="dxa"/>
            <w:gridSpan w:val="2"/>
            <w:tcBorders>
              <w:bottom w:val="double" w:sz="4" w:space="0" w:color="auto"/>
            </w:tcBorders>
          </w:tcPr>
          <w:p w14:paraId="1E0CD169" w14:textId="77777777" w:rsidR="00FF6AF2" w:rsidRPr="00150391" w:rsidRDefault="00FF6AF2" w:rsidP="009F70D0">
            <w:pPr>
              <w:tabs>
                <w:tab w:val="left" w:pos="709"/>
              </w:tabs>
              <w:spacing w:before="60"/>
              <w:rPr>
                <w:rFonts w:cs="Calibri"/>
                <w:i/>
                <w:sz w:val="16"/>
                <w:szCs w:val="16"/>
              </w:rPr>
            </w:pPr>
            <w:r w:rsidRPr="00150391">
              <w:rPr>
                <w:rFonts w:cs="Calibri"/>
                <w:bCs/>
                <w:sz w:val="16"/>
                <w:szCs w:val="16"/>
              </w:rPr>
              <w:t>Key activities reported in the current corporate plan that relate to this program.</w:t>
            </w:r>
          </w:p>
        </w:tc>
      </w:tr>
      <w:tr w:rsidR="00FF6AF2" w:rsidRPr="00150391" w14:paraId="27C3899A" w14:textId="77777777" w:rsidTr="009F70D0">
        <w:trPr>
          <w:trHeight w:val="258"/>
        </w:trPr>
        <w:tc>
          <w:tcPr>
            <w:tcW w:w="1560" w:type="dxa"/>
            <w:tcBorders>
              <w:top w:val="double" w:sz="4" w:space="0" w:color="auto"/>
              <w:bottom w:val="single" w:sz="4" w:space="0" w:color="auto"/>
              <w:right w:val="single" w:sz="4" w:space="0" w:color="auto"/>
            </w:tcBorders>
          </w:tcPr>
          <w:p w14:paraId="2ADFCAF8" w14:textId="77777777" w:rsidR="00FF6AF2" w:rsidRPr="00150391" w:rsidRDefault="00FF6AF2" w:rsidP="009F70D0">
            <w:pPr>
              <w:pStyle w:val="TableTextBase"/>
              <w:rPr>
                <w:rFonts w:ascii="Calibri" w:hAnsi="Calibri" w:cs="Calibri"/>
                <w:b/>
                <w:sz w:val="16"/>
                <w:szCs w:val="16"/>
              </w:rPr>
            </w:pPr>
            <w:r w:rsidRPr="00150391">
              <w:rPr>
                <w:rFonts w:ascii="Calibri" w:hAnsi="Calibri" w:cs="Calibri"/>
                <w:b/>
                <w:sz w:val="16"/>
                <w:szCs w:val="16"/>
              </w:rPr>
              <w:t>Year</w:t>
            </w:r>
          </w:p>
          <w:p w14:paraId="667A573F" w14:textId="77777777" w:rsidR="00FF6AF2" w:rsidRPr="00150391" w:rsidRDefault="00FF6AF2" w:rsidP="009F70D0">
            <w:pPr>
              <w:pStyle w:val="TableTextBase"/>
              <w:rPr>
                <w:rFonts w:ascii="Calibri" w:hAnsi="Calibri" w:cs="Calibri"/>
                <w:b/>
                <w:sz w:val="16"/>
                <w:szCs w:val="16"/>
              </w:rPr>
            </w:pPr>
          </w:p>
        </w:tc>
        <w:tc>
          <w:tcPr>
            <w:tcW w:w="3118" w:type="dxa"/>
            <w:tcBorders>
              <w:top w:val="double" w:sz="4" w:space="0" w:color="auto"/>
              <w:left w:val="single" w:sz="4" w:space="0" w:color="auto"/>
              <w:bottom w:val="single" w:sz="4" w:space="0" w:color="auto"/>
              <w:right w:val="single" w:sz="4" w:space="0" w:color="auto"/>
            </w:tcBorders>
          </w:tcPr>
          <w:p w14:paraId="7E71ECD7" w14:textId="77777777" w:rsidR="00FF6AF2" w:rsidRPr="00150391" w:rsidRDefault="00FF6AF2" w:rsidP="009F70D0">
            <w:pPr>
              <w:pStyle w:val="TableTextBase"/>
              <w:rPr>
                <w:rFonts w:ascii="Calibri" w:hAnsi="Calibri" w:cs="Calibri"/>
                <w:b/>
                <w:sz w:val="16"/>
                <w:szCs w:val="16"/>
              </w:rPr>
            </w:pPr>
            <w:r w:rsidRPr="00150391">
              <w:rPr>
                <w:rFonts w:ascii="Calibri" w:hAnsi="Calibri" w:cs="Calibri"/>
                <w:b/>
                <w:sz w:val="16"/>
                <w:szCs w:val="16"/>
              </w:rPr>
              <w:t>Performance measures</w:t>
            </w:r>
          </w:p>
        </w:tc>
        <w:tc>
          <w:tcPr>
            <w:tcW w:w="3118" w:type="dxa"/>
            <w:tcBorders>
              <w:top w:val="double" w:sz="4" w:space="0" w:color="auto"/>
              <w:left w:val="single" w:sz="4" w:space="0" w:color="auto"/>
              <w:bottom w:val="single" w:sz="4" w:space="0" w:color="auto"/>
            </w:tcBorders>
          </w:tcPr>
          <w:p w14:paraId="7397F5F4" w14:textId="77777777" w:rsidR="00FF6AF2" w:rsidRPr="00150391" w:rsidRDefault="00FF6AF2" w:rsidP="009F70D0">
            <w:pPr>
              <w:pStyle w:val="TableTextBase"/>
              <w:rPr>
                <w:rFonts w:ascii="Calibri" w:hAnsi="Calibri" w:cs="Calibri"/>
                <w:b/>
                <w:sz w:val="16"/>
                <w:szCs w:val="16"/>
              </w:rPr>
            </w:pPr>
            <w:r w:rsidRPr="00150391">
              <w:rPr>
                <w:rFonts w:ascii="Calibri" w:hAnsi="Calibri" w:cs="Calibri"/>
                <w:b/>
                <w:sz w:val="16"/>
                <w:szCs w:val="16"/>
              </w:rPr>
              <w:t>Expected Performance Results</w:t>
            </w:r>
          </w:p>
        </w:tc>
      </w:tr>
      <w:tr w:rsidR="00FF6AF2" w:rsidRPr="00150391" w14:paraId="35553EBD" w14:textId="77777777" w:rsidTr="009F70D0">
        <w:trPr>
          <w:trHeight w:val="642"/>
        </w:trPr>
        <w:tc>
          <w:tcPr>
            <w:tcW w:w="1560" w:type="dxa"/>
            <w:tcBorders>
              <w:top w:val="single" w:sz="4" w:space="0" w:color="auto"/>
              <w:bottom w:val="dotted" w:sz="4" w:space="0" w:color="auto"/>
              <w:right w:val="single" w:sz="4" w:space="0" w:color="auto"/>
            </w:tcBorders>
          </w:tcPr>
          <w:p w14:paraId="1382AB72" w14:textId="7BA5FB1C" w:rsidR="00FF6AF2" w:rsidRPr="00150391" w:rsidRDefault="00A0447D" w:rsidP="009F70D0">
            <w:pPr>
              <w:pStyle w:val="TableTextBase"/>
              <w:rPr>
                <w:rFonts w:ascii="Calibri" w:hAnsi="Calibri" w:cs="Calibri"/>
                <w:sz w:val="16"/>
                <w:szCs w:val="16"/>
              </w:rPr>
            </w:pPr>
            <w:r w:rsidRPr="00150391">
              <w:rPr>
                <w:rFonts w:ascii="Calibri" w:hAnsi="Calibri" w:cs="Calibri"/>
                <w:sz w:val="16"/>
                <w:szCs w:val="16"/>
              </w:rPr>
              <w:t xml:space="preserve">Prior </w:t>
            </w:r>
            <w:r w:rsidR="00FF6AF2" w:rsidRPr="00150391">
              <w:rPr>
                <w:rFonts w:ascii="Calibri" w:hAnsi="Calibri" w:cs="Calibri"/>
                <w:sz w:val="16"/>
                <w:szCs w:val="16"/>
              </w:rPr>
              <w:t xml:space="preserve">year </w:t>
            </w:r>
          </w:p>
          <w:p w14:paraId="16F7E75E" w14:textId="77777777" w:rsidR="00FF6AF2" w:rsidRPr="00150391" w:rsidRDefault="00FF6AF2" w:rsidP="009F70D0">
            <w:pPr>
              <w:pStyle w:val="TableTextBase"/>
              <w:rPr>
                <w:rFonts w:ascii="Calibri" w:hAnsi="Calibri" w:cs="Calibri"/>
                <w:sz w:val="16"/>
                <w:szCs w:val="16"/>
              </w:rPr>
            </w:pPr>
          </w:p>
          <w:p w14:paraId="3F73C868" w14:textId="77777777" w:rsidR="00FF6AF2" w:rsidRPr="00150391" w:rsidRDefault="00FF6AF2" w:rsidP="009F70D0">
            <w:pPr>
              <w:pStyle w:val="TableTextBase"/>
              <w:rPr>
                <w:rFonts w:ascii="Calibri" w:hAnsi="Calibri" w:cs="Calibri"/>
                <w:sz w:val="16"/>
                <w:szCs w:val="16"/>
              </w:rPr>
            </w:pPr>
            <w:r w:rsidRPr="00150391">
              <w:rPr>
                <w:rFonts w:ascii="Calibri" w:hAnsi="Calibri" w:cs="Calibri"/>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14:paraId="57DC0DA7" w14:textId="77777777" w:rsidR="00FF6AF2" w:rsidRPr="00150391" w:rsidRDefault="00FF6AF2" w:rsidP="009F70D0">
            <w:pPr>
              <w:pStyle w:val="TableTextBase"/>
              <w:rPr>
                <w:rFonts w:ascii="Calibri" w:hAnsi="Calibri" w:cs="Calibri"/>
                <w:i/>
                <w:color w:val="0070C0"/>
                <w:sz w:val="16"/>
                <w:szCs w:val="16"/>
              </w:rPr>
            </w:pPr>
            <w:r w:rsidRPr="00150391">
              <w:rPr>
                <w:rFonts w:ascii="Calibri" w:hAnsi="Calibri" w:cs="Calibri"/>
                <w:i/>
                <w:color w:val="0070C0"/>
                <w:sz w:val="16"/>
                <w:szCs w:val="16"/>
              </w:rPr>
              <w:t>Performance measures for 2021-22 described in 2021-22 Portfolio Budget Statements</w:t>
            </w:r>
          </w:p>
          <w:p w14:paraId="3004B1A3" w14:textId="77777777" w:rsidR="00FF6AF2" w:rsidRPr="00150391" w:rsidRDefault="00FF6AF2" w:rsidP="009F70D0">
            <w:pPr>
              <w:pStyle w:val="TableTextBase"/>
              <w:rPr>
                <w:rFonts w:ascii="Calibri" w:hAnsi="Calibri" w:cs="Calibri"/>
                <w:i/>
                <w:color w:val="0070C0"/>
                <w:sz w:val="16"/>
                <w:szCs w:val="16"/>
              </w:rPr>
            </w:pPr>
          </w:p>
        </w:tc>
        <w:tc>
          <w:tcPr>
            <w:tcW w:w="3118" w:type="dxa"/>
            <w:tcBorders>
              <w:top w:val="single" w:sz="4" w:space="0" w:color="auto"/>
              <w:left w:val="single" w:sz="4" w:space="0" w:color="auto"/>
              <w:bottom w:val="dotted" w:sz="4" w:space="0" w:color="auto"/>
            </w:tcBorders>
          </w:tcPr>
          <w:p w14:paraId="3F1F7841" w14:textId="299F492D" w:rsidR="00FF6AF2" w:rsidRPr="00150391" w:rsidRDefault="00992E23" w:rsidP="009F70D0">
            <w:pPr>
              <w:pStyle w:val="TableTextBase"/>
              <w:rPr>
                <w:rFonts w:ascii="Calibri" w:hAnsi="Calibri" w:cs="Calibri"/>
                <w:i/>
                <w:color w:val="0070C0"/>
                <w:sz w:val="16"/>
                <w:szCs w:val="16"/>
              </w:rPr>
            </w:pPr>
            <w:r w:rsidRPr="00150391">
              <w:rPr>
                <w:rFonts w:ascii="Calibri" w:hAnsi="Calibri" w:cs="Calibri"/>
                <w:i/>
                <w:color w:val="0070C0"/>
                <w:sz w:val="16"/>
                <w:szCs w:val="16"/>
              </w:rPr>
              <w:t xml:space="preserve">Actual </w:t>
            </w:r>
            <w:r w:rsidR="00FF6AF2" w:rsidRPr="00150391">
              <w:rPr>
                <w:rFonts w:ascii="Calibri" w:hAnsi="Calibri" w:cs="Calibri"/>
                <w:i/>
                <w:color w:val="0070C0"/>
                <w:sz w:val="16"/>
                <w:szCs w:val="16"/>
              </w:rPr>
              <w:t>performance results against measures for 2021-22 as described in 2021-22 Portfolio Budget Statements.</w:t>
            </w:r>
          </w:p>
        </w:tc>
      </w:tr>
      <w:tr w:rsidR="00FF6AF2" w:rsidRPr="00150391" w14:paraId="3267644F" w14:textId="77777777" w:rsidTr="009F70D0">
        <w:trPr>
          <w:trHeight w:val="100"/>
        </w:trPr>
        <w:tc>
          <w:tcPr>
            <w:tcW w:w="1560" w:type="dxa"/>
            <w:tcBorders>
              <w:top w:val="single" w:sz="4" w:space="0" w:color="auto"/>
              <w:bottom w:val="dotted" w:sz="4" w:space="0" w:color="auto"/>
              <w:right w:val="single" w:sz="4" w:space="0" w:color="auto"/>
            </w:tcBorders>
          </w:tcPr>
          <w:p w14:paraId="2254AC6F" w14:textId="77777777" w:rsidR="00FF6AF2" w:rsidRPr="00150391" w:rsidRDefault="00FF6AF2" w:rsidP="009F70D0">
            <w:pPr>
              <w:pStyle w:val="TableTextBase"/>
              <w:rPr>
                <w:rFonts w:ascii="Calibri" w:hAnsi="Calibri" w:cs="Calibri"/>
                <w:b/>
                <w:sz w:val="16"/>
                <w:szCs w:val="16"/>
              </w:rPr>
            </w:pPr>
            <w:r w:rsidRPr="00150391">
              <w:rPr>
                <w:rFonts w:ascii="Calibri" w:hAnsi="Calibri" w:cs="Calibri"/>
                <w:b/>
                <w:sz w:val="16"/>
                <w:szCs w:val="16"/>
              </w:rPr>
              <w:t>Year</w:t>
            </w:r>
          </w:p>
          <w:p w14:paraId="2567D4A6" w14:textId="77777777" w:rsidR="00FF6AF2" w:rsidRPr="00150391" w:rsidRDefault="00FF6AF2" w:rsidP="009F70D0">
            <w:pPr>
              <w:pStyle w:val="TableTextBase"/>
              <w:rPr>
                <w:rFonts w:ascii="Calibri" w:hAnsi="Calibri" w:cs="Calibri"/>
                <w:b/>
                <w:sz w:val="16"/>
                <w:szCs w:val="16"/>
              </w:rPr>
            </w:pPr>
          </w:p>
        </w:tc>
        <w:tc>
          <w:tcPr>
            <w:tcW w:w="3118" w:type="dxa"/>
            <w:tcBorders>
              <w:top w:val="single" w:sz="4" w:space="0" w:color="auto"/>
              <w:left w:val="single" w:sz="4" w:space="0" w:color="auto"/>
              <w:bottom w:val="dotted" w:sz="4" w:space="0" w:color="auto"/>
              <w:right w:val="single" w:sz="4" w:space="0" w:color="auto"/>
            </w:tcBorders>
          </w:tcPr>
          <w:p w14:paraId="1B55B23C" w14:textId="77777777" w:rsidR="00FF6AF2" w:rsidRPr="00150391" w:rsidRDefault="00FF6AF2" w:rsidP="009F70D0">
            <w:pPr>
              <w:pStyle w:val="TableTextBase"/>
              <w:rPr>
                <w:rFonts w:ascii="Calibri" w:hAnsi="Calibri" w:cs="Calibri"/>
                <w:b/>
                <w:sz w:val="16"/>
                <w:szCs w:val="16"/>
              </w:rPr>
            </w:pPr>
            <w:r w:rsidRPr="00150391">
              <w:rPr>
                <w:rFonts w:ascii="Calibri" w:hAnsi="Calibri" w:cs="Calibri"/>
                <w:b/>
                <w:sz w:val="16"/>
                <w:szCs w:val="16"/>
              </w:rPr>
              <w:t>Performance measures</w:t>
            </w:r>
          </w:p>
        </w:tc>
        <w:tc>
          <w:tcPr>
            <w:tcW w:w="3118" w:type="dxa"/>
            <w:tcBorders>
              <w:top w:val="single" w:sz="4" w:space="0" w:color="auto"/>
              <w:left w:val="single" w:sz="4" w:space="0" w:color="auto"/>
              <w:bottom w:val="dotted" w:sz="4" w:space="0" w:color="auto"/>
            </w:tcBorders>
          </w:tcPr>
          <w:p w14:paraId="41A357AD" w14:textId="5EC6FB51" w:rsidR="00FF6AF2" w:rsidRPr="00150391" w:rsidRDefault="00992E23" w:rsidP="009F70D0">
            <w:pPr>
              <w:pStyle w:val="TableTextBase"/>
              <w:rPr>
                <w:rFonts w:ascii="Calibri" w:hAnsi="Calibri" w:cs="Calibri"/>
                <w:b/>
                <w:sz w:val="16"/>
                <w:szCs w:val="16"/>
              </w:rPr>
            </w:pPr>
            <w:r w:rsidRPr="00150391">
              <w:rPr>
                <w:rFonts w:ascii="Calibri" w:hAnsi="Calibri" w:cs="Calibri"/>
                <w:b/>
                <w:sz w:val="16"/>
                <w:szCs w:val="16"/>
              </w:rPr>
              <w:t xml:space="preserve">Planned </w:t>
            </w:r>
            <w:r w:rsidR="00FF6AF2" w:rsidRPr="00150391">
              <w:rPr>
                <w:rFonts w:ascii="Calibri" w:hAnsi="Calibri" w:cs="Calibri"/>
                <w:b/>
                <w:sz w:val="16"/>
                <w:szCs w:val="16"/>
              </w:rPr>
              <w:t>Performance Results</w:t>
            </w:r>
          </w:p>
        </w:tc>
      </w:tr>
      <w:tr w:rsidR="00FF6AF2" w:rsidRPr="00150391" w14:paraId="6E69CAAA" w14:textId="77777777" w:rsidTr="009F70D0">
        <w:trPr>
          <w:trHeight w:val="100"/>
        </w:trPr>
        <w:tc>
          <w:tcPr>
            <w:tcW w:w="1560" w:type="dxa"/>
            <w:tcBorders>
              <w:top w:val="single" w:sz="4" w:space="0" w:color="auto"/>
              <w:bottom w:val="dotted" w:sz="4" w:space="0" w:color="auto"/>
              <w:right w:val="single" w:sz="4" w:space="0" w:color="auto"/>
            </w:tcBorders>
          </w:tcPr>
          <w:p w14:paraId="43800A15" w14:textId="77777777" w:rsidR="00FF6AF2" w:rsidRPr="00150391" w:rsidRDefault="00FF6AF2" w:rsidP="009F70D0">
            <w:pPr>
              <w:pStyle w:val="TableTextBase"/>
              <w:rPr>
                <w:rFonts w:ascii="Calibri" w:hAnsi="Calibri" w:cs="Calibri"/>
              </w:rPr>
            </w:pPr>
            <w:r w:rsidRPr="00150391">
              <w:rPr>
                <w:rFonts w:ascii="Calibri" w:hAnsi="Calibri" w:cs="Calibri"/>
              </w:rPr>
              <w:t>Budget Year     2022-23</w:t>
            </w:r>
          </w:p>
        </w:tc>
        <w:tc>
          <w:tcPr>
            <w:tcW w:w="3118" w:type="dxa"/>
            <w:tcBorders>
              <w:top w:val="single" w:sz="4" w:space="0" w:color="auto"/>
              <w:left w:val="single" w:sz="4" w:space="0" w:color="auto"/>
              <w:bottom w:val="dotted" w:sz="4" w:space="0" w:color="auto"/>
              <w:right w:val="single" w:sz="4" w:space="0" w:color="auto"/>
            </w:tcBorders>
          </w:tcPr>
          <w:p w14:paraId="220FAA3D" w14:textId="77777777" w:rsidR="00FF6AF2" w:rsidRPr="00150391" w:rsidRDefault="00FF6AF2" w:rsidP="009F70D0">
            <w:pPr>
              <w:pStyle w:val="TableTextBase"/>
              <w:rPr>
                <w:rFonts w:ascii="Calibri" w:hAnsi="Calibri" w:cs="Calibri"/>
                <w:i/>
                <w:color w:val="0070C0"/>
              </w:rPr>
            </w:pPr>
            <w:r w:rsidRPr="00150391">
              <w:rPr>
                <w:rFonts w:ascii="Calibri" w:hAnsi="Calibri" w:cs="Calibri"/>
                <w:i/>
                <w:color w:val="0070C0"/>
              </w:rPr>
              <w:t xml:space="preserve">Measures for assessing performance in </w:t>
            </w:r>
          </w:p>
          <w:p w14:paraId="4E029B22" w14:textId="77777777" w:rsidR="00FF6AF2" w:rsidRPr="00150391" w:rsidRDefault="00FF6AF2" w:rsidP="009F70D0">
            <w:pPr>
              <w:pStyle w:val="TableTextBase"/>
              <w:rPr>
                <w:rFonts w:ascii="Calibri" w:hAnsi="Calibri" w:cs="Calibri"/>
                <w:i/>
                <w:color w:val="0070C0"/>
              </w:rPr>
            </w:pPr>
            <w:r w:rsidRPr="00150391">
              <w:rPr>
                <w:rFonts w:ascii="Calibri" w:hAnsi="Calibri" w:cs="Calibri"/>
                <w:i/>
                <w:color w:val="0070C0"/>
              </w:rPr>
              <w:t>2022-23</w:t>
            </w:r>
          </w:p>
        </w:tc>
        <w:tc>
          <w:tcPr>
            <w:tcW w:w="3118" w:type="dxa"/>
            <w:tcBorders>
              <w:top w:val="single" w:sz="4" w:space="0" w:color="auto"/>
              <w:left w:val="single" w:sz="4" w:space="0" w:color="auto"/>
              <w:bottom w:val="dotted" w:sz="4" w:space="0" w:color="auto"/>
            </w:tcBorders>
          </w:tcPr>
          <w:p w14:paraId="5506514D" w14:textId="77777777" w:rsidR="00FF6AF2" w:rsidRPr="00150391" w:rsidRDefault="00FF6AF2" w:rsidP="009F70D0">
            <w:pPr>
              <w:pStyle w:val="TableTextBase"/>
              <w:rPr>
                <w:rFonts w:ascii="Calibri" w:hAnsi="Calibri" w:cs="Calibri"/>
                <w:i/>
                <w:color w:val="0070C0"/>
              </w:rPr>
            </w:pPr>
            <w:r w:rsidRPr="00150391">
              <w:rPr>
                <w:rFonts w:ascii="Calibri" w:hAnsi="Calibri" w:cs="Calibri"/>
                <w:i/>
                <w:color w:val="0070C0"/>
              </w:rPr>
              <w:t>Insert description of planned performance results in 2022-23.</w:t>
            </w:r>
          </w:p>
        </w:tc>
      </w:tr>
      <w:tr w:rsidR="00FF6AF2" w:rsidRPr="00150391" w14:paraId="408DEFD6" w14:textId="77777777" w:rsidTr="009F70D0">
        <w:trPr>
          <w:trHeight w:val="491"/>
        </w:trPr>
        <w:tc>
          <w:tcPr>
            <w:tcW w:w="1560" w:type="dxa"/>
            <w:tcBorders>
              <w:top w:val="dotted" w:sz="4" w:space="0" w:color="auto"/>
              <w:bottom w:val="dotted" w:sz="4" w:space="0" w:color="auto"/>
              <w:right w:val="single" w:sz="4" w:space="0" w:color="auto"/>
            </w:tcBorders>
          </w:tcPr>
          <w:p w14:paraId="6B90D7D6" w14:textId="77777777" w:rsidR="00FF6AF2" w:rsidRPr="00150391" w:rsidRDefault="00FF6AF2" w:rsidP="009F70D0">
            <w:pPr>
              <w:pStyle w:val="TableTextBase"/>
              <w:rPr>
                <w:rFonts w:ascii="Calibri" w:hAnsi="Calibri" w:cs="Calibri"/>
              </w:rPr>
            </w:pPr>
            <w:r w:rsidRPr="00150391">
              <w:rPr>
                <w:rFonts w:ascii="Calibri" w:hAnsi="Calibri" w:cs="Calibri"/>
              </w:rPr>
              <w:t xml:space="preserve">Forward Estimates </w:t>
            </w:r>
          </w:p>
          <w:p w14:paraId="2EB52527" w14:textId="77777777" w:rsidR="00FF6AF2" w:rsidRPr="00150391" w:rsidRDefault="00FF6AF2" w:rsidP="009F70D0">
            <w:pPr>
              <w:pStyle w:val="TableTextBase"/>
              <w:rPr>
                <w:rFonts w:ascii="Calibri" w:hAnsi="Calibri" w:cs="Calibri"/>
                <w:b/>
              </w:rPr>
            </w:pPr>
            <w:r w:rsidRPr="00150391">
              <w:rPr>
                <w:rFonts w:ascii="Calibri" w:hAnsi="Calibri" w:cs="Calibri"/>
              </w:rPr>
              <w:t>20223-26</w:t>
            </w:r>
          </w:p>
        </w:tc>
        <w:tc>
          <w:tcPr>
            <w:tcW w:w="3118" w:type="dxa"/>
            <w:tcBorders>
              <w:top w:val="dotted" w:sz="4" w:space="0" w:color="auto"/>
              <w:left w:val="single" w:sz="4" w:space="0" w:color="auto"/>
              <w:bottom w:val="dotted" w:sz="4" w:space="0" w:color="auto"/>
              <w:right w:val="single" w:sz="4" w:space="0" w:color="auto"/>
            </w:tcBorders>
          </w:tcPr>
          <w:p w14:paraId="765F1F1C" w14:textId="77777777" w:rsidR="00FF6AF2" w:rsidRPr="00150391" w:rsidRDefault="00FF6AF2" w:rsidP="009F70D0">
            <w:pPr>
              <w:pStyle w:val="TableTextBase"/>
              <w:rPr>
                <w:rFonts w:ascii="Calibri" w:hAnsi="Calibri" w:cs="Calibri"/>
                <w:i/>
                <w:color w:val="0070C0"/>
              </w:rPr>
            </w:pPr>
            <w:r w:rsidRPr="00150391">
              <w:rPr>
                <w:rFonts w:ascii="Calibri" w:hAnsi="Calibri" w:cs="Calibri"/>
                <w:i/>
                <w:color w:val="0070C0"/>
              </w:rPr>
              <w:t>Measures for assessing performance over the forward estimates</w:t>
            </w:r>
          </w:p>
          <w:p w14:paraId="3A395C20" w14:textId="77777777" w:rsidR="00FF6AF2" w:rsidRPr="00150391" w:rsidRDefault="00FF6AF2" w:rsidP="009F70D0">
            <w:pPr>
              <w:pStyle w:val="TableTextBase"/>
              <w:rPr>
                <w:rFonts w:ascii="Calibri" w:hAnsi="Calibri" w:cs="Calibri"/>
                <w:b/>
                <w:color w:val="0070C0"/>
              </w:rPr>
            </w:pPr>
            <w:r w:rsidRPr="00150391">
              <w:rPr>
                <w:rFonts w:ascii="Calibri" w:hAnsi="Calibri" w:cs="Calibri"/>
                <w:i/>
                <w:color w:val="FF0000"/>
              </w:rPr>
              <w:t>[</w:t>
            </w:r>
            <w:r w:rsidRPr="00150391">
              <w:rPr>
                <w:rFonts w:ascii="Calibri" w:hAnsi="Calibri" w:cs="Calibri"/>
                <w:b/>
                <w:i/>
                <w:color w:val="FF0000"/>
              </w:rPr>
              <w:t>Note</w:t>
            </w:r>
            <w:r w:rsidRPr="00150391">
              <w:rPr>
                <w:rFonts w:ascii="Calibri" w:hAnsi="Calibri" w:cs="Calibri"/>
                <w:i/>
                <w:color w:val="FF0000"/>
              </w:rPr>
              <w:t xml:space="preserve"> – if the same measures as 2022-23, use “As per 2022-23”]</w:t>
            </w:r>
          </w:p>
        </w:tc>
        <w:tc>
          <w:tcPr>
            <w:tcW w:w="3118" w:type="dxa"/>
            <w:tcBorders>
              <w:top w:val="dotted" w:sz="4" w:space="0" w:color="auto"/>
              <w:left w:val="single" w:sz="4" w:space="0" w:color="auto"/>
              <w:bottom w:val="dotted" w:sz="4" w:space="0" w:color="auto"/>
            </w:tcBorders>
          </w:tcPr>
          <w:p w14:paraId="45900148" w14:textId="77777777" w:rsidR="00FF6AF2" w:rsidRPr="00150391" w:rsidRDefault="00FF6AF2" w:rsidP="009F70D0">
            <w:pPr>
              <w:pStyle w:val="TableTextBase"/>
              <w:rPr>
                <w:rFonts w:ascii="Calibri" w:hAnsi="Calibri" w:cs="Calibri"/>
                <w:b/>
                <w:color w:val="0070C0"/>
              </w:rPr>
            </w:pPr>
            <w:r w:rsidRPr="00150391">
              <w:rPr>
                <w:rFonts w:ascii="Calibri" w:hAnsi="Calibri" w:cs="Calibri"/>
                <w:i/>
                <w:color w:val="0070C0"/>
              </w:rPr>
              <w:t>Insert description of planned performance results over the forward estimates.</w:t>
            </w:r>
          </w:p>
        </w:tc>
      </w:tr>
      <w:tr w:rsidR="00FF6AF2" w:rsidRPr="00150391" w14:paraId="7053DF20" w14:textId="77777777" w:rsidTr="009F70D0">
        <w:trPr>
          <w:trHeight w:val="291"/>
        </w:trPr>
        <w:tc>
          <w:tcPr>
            <w:tcW w:w="7796" w:type="dxa"/>
            <w:gridSpan w:val="3"/>
          </w:tcPr>
          <w:p w14:paraId="2036C5ED" w14:textId="77777777" w:rsidR="00FF6AF2" w:rsidRPr="00150391" w:rsidRDefault="00FF6AF2" w:rsidP="009F70D0">
            <w:pPr>
              <w:pStyle w:val="TableTextBase"/>
              <w:rPr>
                <w:rFonts w:ascii="Calibri" w:eastAsia="Cambria" w:hAnsi="Calibri" w:cs="Calibri"/>
                <w:bCs/>
                <w:iCs/>
                <w:color w:val="0070C0"/>
                <w:spacing w:val="-6"/>
                <w:sz w:val="16"/>
                <w:szCs w:val="16"/>
                <w:lang w:val="x-none"/>
              </w:rPr>
            </w:pPr>
            <w:r w:rsidRPr="00150391">
              <w:rPr>
                <w:rFonts w:ascii="Calibri" w:hAnsi="Calibri" w:cs="Calibri"/>
                <w:sz w:val="16"/>
                <w:szCs w:val="16"/>
              </w:rPr>
              <w:t>Material changes to Program X.X resulting from 2022-23 Budget Measures:</w:t>
            </w:r>
            <w:r w:rsidRPr="00150391">
              <w:rPr>
                <w:rStyle w:val="BodyTextChar"/>
                <w:rFonts w:ascii="Calibri" w:hAnsi="Calibri" w:cs="Calibri"/>
                <w:bCs/>
                <w:iCs/>
                <w:color w:val="77B6BD" w:themeColor="accent1" w:themeShade="BF"/>
                <w:spacing w:val="-6"/>
                <w:sz w:val="16"/>
                <w:szCs w:val="16"/>
              </w:rPr>
              <w:t xml:space="preserve"> </w:t>
            </w:r>
          </w:p>
        </w:tc>
      </w:tr>
    </w:tbl>
    <w:p w14:paraId="58A18248" w14:textId="77777777" w:rsidR="00FF6AF2" w:rsidRPr="00150391" w:rsidRDefault="00FF6AF2" w:rsidP="00FF6AF2">
      <w:pPr>
        <w:pStyle w:val="ChartandTableFootnoteAlpha"/>
        <w:numPr>
          <w:ilvl w:val="0"/>
          <w:numId w:val="280"/>
        </w:numPr>
        <w:rPr>
          <w:rFonts w:ascii="Calibri" w:hAnsi="Calibri" w:cs="Calibri"/>
        </w:rPr>
      </w:pPr>
      <w:r w:rsidRPr="00150391">
        <w:rPr>
          <w:rFonts w:ascii="Calibri" w:hAnsi="Calibri" w:cs="Calibri"/>
        </w:rPr>
        <w:t>Insert footnote if key activities have been updated since the 2021-22 Corporate Plan (for example, a form of words similar to “Refers to updated key activities that will be reflected in the 2021-22 Corporate Plan”).</w:t>
      </w:r>
    </w:p>
    <w:p w14:paraId="470FDB39" w14:textId="77777777" w:rsidR="00FF6AF2" w:rsidRPr="00150391" w:rsidRDefault="00FF6AF2" w:rsidP="00FF6AF2">
      <w:pPr>
        <w:pStyle w:val="ChartandTableFootnoteAlpha"/>
        <w:rPr>
          <w:rFonts w:ascii="Calibri" w:hAnsi="Calibri" w:cs="Calibri"/>
        </w:rPr>
      </w:pPr>
      <w:r w:rsidRPr="00150391">
        <w:rPr>
          <w:rFonts w:ascii="Calibri" w:hAnsi="Calibri" w:cs="Calibri"/>
        </w:rPr>
        <w:t>New or modified performance measures that reflect new or materially changed programs are shown in italics. Where new programs are established in the 2022-23 Budget, all of the performance measures related to that new program need to be shown</w:t>
      </w:r>
    </w:p>
    <w:p w14:paraId="3B36E9F2" w14:textId="77777777" w:rsidR="006F2C96" w:rsidRPr="00150391" w:rsidRDefault="53BF0693" w:rsidP="00580008">
      <w:pPr>
        <w:pStyle w:val="BodyText"/>
        <w:rPr>
          <w:rFonts w:cs="Calibri"/>
        </w:rPr>
      </w:pPr>
      <w:r w:rsidRPr="00150391">
        <w:rPr>
          <w:rFonts w:cs="Calibri"/>
          <w:i/>
          <w:iCs/>
        </w:rPr>
        <w:t>Table 2.X.3</w:t>
      </w:r>
      <w:r w:rsidRPr="00150391">
        <w:rPr>
          <w:rFonts w:cs="Calibri"/>
        </w:rPr>
        <w:t xml:space="preserve"> also includes a list of new Budget measures in </w:t>
      </w:r>
      <w:r w:rsidR="0007613A" w:rsidRPr="00150391">
        <w:rPr>
          <w:rFonts w:cs="Calibri"/>
        </w:rPr>
        <w:t>2022</w:t>
      </w:r>
      <w:r w:rsidRPr="00150391">
        <w:rPr>
          <w:rFonts w:cs="Calibri"/>
        </w:rPr>
        <w:t>-</w:t>
      </w:r>
      <w:r w:rsidR="0007613A" w:rsidRPr="00150391">
        <w:rPr>
          <w:rFonts w:cs="Calibri"/>
        </w:rPr>
        <w:t xml:space="preserve">23 </w:t>
      </w:r>
      <w:r w:rsidRPr="00150391">
        <w:rPr>
          <w:rFonts w:cs="Calibri"/>
        </w:rPr>
        <w:t xml:space="preserve">that either create new programs or materially impact on existing programs (in addition to the list of Budget measures in </w:t>
      </w:r>
      <w:r w:rsidRPr="00150391">
        <w:rPr>
          <w:rFonts w:cs="Calibri"/>
          <w:i/>
          <w:iCs/>
        </w:rPr>
        <w:t>Table 1.2</w:t>
      </w:r>
      <w:r w:rsidRPr="00150391">
        <w:rPr>
          <w:rFonts w:cs="Calibri"/>
        </w:rPr>
        <w:t xml:space="preserve">). Advice on assessing whether a new Budget measure impacts on an existing program and how to account for these impacts in </w:t>
      </w:r>
      <w:r w:rsidRPr="00150391">
        <w:rPr>
          <w:rFonts w:cs="Calibri"/>
          <w:i/>
          <w:iCs/>
        </w:rPr>
        <w:t>Table 2.X.3</w:t>
      </w:r>
      <w:r w:rsidRPr="00150391">
        <w:rPr>
          <w:rFonts w:cs="Calibri"/>
        </w:rPr>
        <w:t xml:space="preserve"> is provided below.</w:t>
      </w:r>
    </w:p>
    <w:p w14:paraId="44B9CFA4" w14:textId="77777777" w:rsidR="00FA0945" w:rsidRPr="00150391" w:rsidRDefault="53BF0693" w:rsidP="00CF6BE7">
      <w:pPr>
        <w:pStyle w:val="Heading3Numbered"/>
        <w:rPr>
          <w:rFonts w:ascii="Calibri" w:hAnsi="Calibri" w:cs="Calibri"/>
        </w:rPr>
      </w:pPr>
      <w:bookmarkStart w:id="673" w:name="_Toc534458887"/>
      <w:bookmarkStart w:id="674" w:name="_Toc534459676"/>
      <w:bookmarkStart w:id="675" w:name="_Toc534519171"/>
      <w:bookmarkStart w:id="676" w:name="_Toc534520081"/>
      <w:bookmarkStart w:id="677" w:name="_Toc534520351"/>
      <w:bookmarkStart w:id="678" w:name="_Toc534527563"/>
      <w:bookmarkStart w:id="679" w:name="_Toc534528293"/>
      <w:bookmarkStart w:id="680" w:name="_Toc534803514"/>
      <w:bookmarkStart w:id="681" w:name="_Toc534814205"/>
      <w:bookmarkStart w:id="682" w:name="_Toc536108578"/>
      <w:bookmarkStart w:id="683" w:name="_Toc536802125"/>
      <w:bookmarkStart w:id="684" w:name="_Toc422724"/>
      <w:bookmarkStart w:id="685" w:name="_Toc534382567"/>
      <w:bookmarkStart w:id="686" w:name="_Toc63347720"/>
      <w:bookmarkStart w:id="687" w:name="_Toc114576310"/>
      <w:bookmarkEnd w:id="673"/>
      <w:bookmarkEnd w:id="674"/>
      <w:bookmarkEnd w:id="675"/>
      <w:bookmarkEnd w:id="676"/>
      <w:bookmarkEnd w:id="677"/>
      <w:bookmarkEnd w:id="678"/>
      <w:bookmarkEnd w:id="679"/>
      <w:bookmarkEnd w:id="680"/>
      <w:bookmarkEnd w:id="681"/>
      <w:bookmarkEnd w:id="682"/>
      <w:bookmarkEnd w:id="683"/>
      <w:bookmarkEnd w:id="684"/>
      <w:r w:rsidRPr="00150391">
        <w:rPr>
          <w:rFonts w:ascii="Calibri" w:hAnsi="Calibri" w:cs="Calibri"/>
        </w:rPr>
        <w:t>Program title and brief description</w:t>
      </w:r>
      <w:bookmarkEnd w:id="685"/>
      <w:bookmarkEnd w:id="686"/>
      <w:bookmarkEnd w:id="687"/>
    </w:p>
    <w:p w14:paraId="275FA18B" w14:textId="77777777" w:rsidR="00FA0945" w:rsidRPr="00150391" w:rsidRDefault="53BF0693" w:rsidP="000A7DEC">
      <w:pPr>
        <w:rPr>
          <w:rFonts w:cs="Calibri"/>
        </w:rPr>
      </w:pPr>
      <w:r w:rsidRPr="00150391">
        <w:rPr>
          <w:rFonts w:cs="Calibri"/>
        </w:rPr>
        <w:t xml:space="preserve">The program titles inserted in </w:t>
      </w:r>
      <w:r w:rsidRPr="00150391">
        <w:rPr>
          <w:rFonts w:cs="Calibri"/>
          <w:i/>
          <w:iCs/>
        </w:rPr>
        <w:t>Table 2.X.3</w:t>
      </w:r>
      <w:r w:rsidRPr="00150391">
        <w:rPr>
          <w:rFonts w:cs="Calibri"/>
        </w:rPr>
        <w:t xml:space="preserve"> should be the same as they appear in CBMS for the relevant program. </w:t>
      </w:r>
    </w:p>
    <w:p w14:paraId="1AC5189B" w14:textId="77777777" w:rsidR="00FA0945" w:rsidRPr="00150391" w:rsidRDefault="53BF0693" w:rsidP="000A7DEC">
      <w:pPr>
        <w:rPr>
          <w:rFonts w:cs="Calibri"/>
        </w:rPr>
      </w:pPr>
      <w:r w:rsidRPr="00150391">
        <w:rPr>
          <w:rFonts w:cs="Calibri"/>
        </w:rPr>
        <w:t>Program titles should be followed by a brief description that includes the:</w:t>
      </w:r>
    </w:p>
    <w:p w14:paraId="164DB440" w14:textId="77777777" w:rsidR="00FA0945" w:rsidRPr="00150391" w:rsidRDefault="53BF0693" w:rsidP="005379D4">
      <w:pPr>
        <w:pStyle w:val="Bullet1"/>
        <w:rPr>
          <w:rFonts w:ascii="Calibri" w:hAnsi="Calibri" w:cs="Calibri"/>
        </w:rPr>
      </w:pPr>
      <w:r w:rsidRPr="00150391">
        <w:rPr>
          <w:rFonts w:ascii="Calibri" w:hAnsi="Calibri" w:cs="Calibri"/>
        </w:rPr>
        <w:t xml:space="preserve">objective of the program (i.e. the difference it aims to make, the intended results etc)  </w:t>
      </w:r>
    </w:p>
    <w:p w14:paraId="3E08A8BB" w14:textId="77777777" w:rsidR="00FA0945" w:rsidRPr="00150391" w:rsidRDefault="53BF0693" w:rsidP="005379D4">
      <w:pPr>
        <w:pStyle w:val="Bullet1"/>
        <w:rPr>
          <w:rFonts w:ascii="Calibri" w:hAnsi="Calibri" w:cs="Calibri"/>
        </w:rPr>
      </w:pPr>
      <w:r w:rsidRPr="00150391">
        <w:rPr>
          <w:rFonts w:ascii="Calibri" w:hAnsi="Calibri" w:cs="Calibri"/>
        </w:rPr>
        <w:t>contribution it makes to achieving Outcome X (or why Outcome X cannot be delivered successfully without the program).</w:t>
      </w:r>
    </w:p>
    <w:p w14:paraId="6D3DF196" w14:textId="77777777" w:rsidR="00FA0945" w:rsidRPr="00150391" w:rsidRDefault="53BF0693" w:rsidP="000A7DEC">
      <w:pPr>
        <w:rPr>
          <w:rFonts w:cs="Calibri"/>
        </w:rPr>
      </w:pPr>
      <w:r w:rsidRPr="00150391">
        <w:rPr>
          <w:rFonts w:cs="Calibri"/>
        </w:rPr>
        <w:t xml:space="preserve">Program descriptions should be concise. For example, Program 1.1: Sydney Harbour Federation trust in their </w:t>
      </w:r>
      <w:r w:rsidR="00BA2416" w:rsidRPr="00150391">
        <w:rPr>
          <w:rFonts w:cs="Calibri"/>
        </w:rPr>
        <w:t>2020</w:t>
      </w:r>
      <w:r w:rsidRPr="00150391">
        <w:rPr>
          <w:rFonts w:cs="Calibri"/>
        </w:rPr>
        <w:t>-</w:t>
      </w:r>
      <w:r w:rsidR="00BA2416" w:rsidRPr="00150391">
        <w:rPr>
          <w:rFonts w:cs="Calibri"/>
        </w:rPr>
        <w:t xml:space="preserve">21 </w:t>
      </w:r>
      <w:r w:rsidRPr="00150391">
        <w:rPr>
          <w:rFonts w:cs="Calibri"/>
        </w:rPr>
        <w:t>PB Statements:</w:t>
      </w:r>
    </w:p>
    <w:p w14:paraId="7C69F7A8" w14:textId="77777777" w:rsidR="00FA0945" w:rsidRPr="00150391" w:rsidRDefault="53BF0693" w:rsidP="000A7DEC">
      <w:pPr>
        <w:rPr>
          <w:rFonts w:cs="Calibri"/>
        </w:rPr>
      </w:pPr>
      <w:r w:rsidRPr="00150391">
        <w:rPr>
          <w:rFonts w:cs="Calibri"/>
        </w:rPr>
        <w:t xml:space="preserve">Program 1.1 –“To manage emblematic lands around Sydney Harbour, preserve their natural and cultural heritage and foster and promote them as place of leisure, enjoyment and interest for all Australians.” </w:t>
      </w:r>
    </w:p>
    <w:p w14:paraId="084EE517" w14:textId="77777777" w:rsidR="00D419C8" w:rsidRPr="00150391" w:rsidRDefault="53BF0693" w:rsidP="000A7DEC">
      <w:pPr>
        <w:rPr>
          <w:rFonts w:cs="Calibri"/>
        </w:rPr>
      </w:pPr>
      <w:r w:rsidRPr="00150391">
        <w:rPr>
          <w:rFonts w:cs="Calibri"/>
        </w:rPr>
        <w:t>In this example, it is clear that the objective of Program 1.1 is to manage emblematic lands around Sydney harbour to achieve the outcome of providing places of leisure, enjoyment and interest for all Australians.</w:t>
      </w:r>
    </w:p>
    <w:p w14:paraId="55B75CF9" w14:textId="0FAB0E82" w:rsidR="00D419C8" w:rsidRPr="00150391" w:rsidRDefault="53BF0693" w:rsidP="000A7DEC">
      <w:pPr>
        <w:rPr>
          <w:rFonts w:cs="Calibri"/>
        </w:rPr>
      </w:pPr>
      <w:r w:rsidRPr="00150391">
        <w:rPr>
          <w:rFonts w:cs="Calibri"/>
        </w:rPr>
        <w:t>Another example, Program 2.2: Workplace support in the Attorney</w:t>
      </w:r>
      <w:r w:rsidR="00ED6CA3" w:rsidRPr="00150391">
        <w:rPr>
          <w:rFonts w:cs="Calibri"/>
        </w:rPr>
        <w:t>-</w:t>
      </w:r>
      <w:r w:rsidRPr="00150391">
        <w:rPr>
          <w:rFonts w:cs="Calibri"/>
        </w:rPr>
        <w:t xml:space="preserve">General’s Department’s </w:t>
      </w:r>
      <w:r w:rsidR="008E1BDD" w:rsidRPr="00150391">
        <w:rPr>
          <w:rFonts w:cs="Calibri"/>
        </w:rPr>
        <w:t>2021</w:t>
      </w:r>
      <w:r w:rsidRPr="00150391">
        <w:rPr>
          <w:rFonts w:cs="Calibri"/>
        </w:rPr>
        <w:t>-</w:t>
      </w:r>
      <w:r w:rsidR="008E1BDD" w:rsidRPr="00150391">
        <w:rPr>
          <w:rFonts w:cs="Calibri"/>
        </w:rPr>
        <w:t xml:space="preserve">22 </w:t>
      </w:r>
      <w:r w:rsidRPr="00150391">
        <w:rPr>
          <w:rFonts w:cs="Calibri"/>
        </w:rPr>
        <w:t>PB Statements:</w:t>
      </w:r>
    </w:p>
    <w:p w14:paraId="7676B071" w14:textId="77777777" w:rsidR="00D419C8" w:rsidRPr="00150391" w:rsidRDefault="53BF0693" w:rsidP="001D30A2">
      <w:pPr>
        <w:pStyle w:val="Bullet1"/>
        <w:rPr>
          <w:rFonts w:ascii="Calibri" w:hAnsi="Calibri" w:cs="Calibri"/>
        </w:rPr>
      </w:pPr>
      <w:r w:rsidRPr="00150391">
        <w:rPr>
          <w:rFonts w:ascii="Calibri" w:hAnsi="Calibri" w:cs="Calibri"/>
        </w:rPr>
        <w:t xml:space="preserve">Program 2.2 –“Deliver policies and programs that foster fair, productive and safe workplaces of all sizes, including through:  </w:t>
      </w:r>
    </w:p>
    <w:p w14:paraId="425BE626" w14:textId="77777777" w:rsidR="00D419C8" w:rsidRPr="00150391" w:rsidRDefault="53BF0693" w:rsidP="001D30A2">
      <w:pPr>
        <w:pStyle w:val="Bullet2"/>
        <w:rPr>
          <w:rFonts w:cs="Calibri"/>
        </w:rPr>
      </w:pPr>
      <w:r w:rsidRPr="00150391">
        <w:rPr>
          <w:rFonts w:cs="Calibri"/>
        </w:rPr>
        <w:t>the Fair Entitlements Guarantee program</w:t>
      </w:r>
    </w:p>
    <w:p w14:paraId="5A990676" w14:textId="77777777" w:rsidR="00D419C8" w:rsidRPr="00150391" w:rsidRDefault="53BF0693" w:rsidP="001D30A2">
      <w:pPr>
        <w:pStyle w:val="Bullet2"/>
        <w:rPr>
          <w:rFonts w:cs="Calibri"/>
        </w:rPr>
      </w:pPr>
      <w:r w:rsidRPr="00150391">
        <w:rPr>
          <w:rFonts w:cs="Calibri"/>
        </w:rPr>
        <w:t>the Office of the Federal Safety Commissioner</w:t>
      </w:r>
    </w:p>
    <w:p w14:paraId="3B99C1B9" w14:textId="3058478D" w:rsidR="00D419C8" w:rsidRPr="00150391" w:rsidRDefault="6B6EE5C4" w:rsidP="001D30A2">
      <w:pPr>
        <w:pStyle w:val="Bullet2"/>
        <w:rPr>
          <w:rFonts w:cs="Calibri"/>
        </w:rPr>
      </w:pPr>
      <w:r w:rsidRPr="00150391">
        <w:rPr>
          <w:rFonts w:cs="Calibri"/>
        </w:rPr>
        <w:t>Australia’s membership of the International Labour Organization</w:t>
      </w:r>
    </w:p>
    <w:p w14:paraId="14A99C6B" w14:textId="77777777" w:rsidR="00D419C8" w:rsidRPr="00150391" w:rsidRDefault="6B6EE5C4" w:rsidP="001D30A2">
      <w:pPr>
        <w:pStyle w:val="Bullet2"/>
        <w:rPr>
          <w:rFonts w:cs="Calibri"/>
        </w:rPr>
      </w:pPr>
      <w:r w:rsidRPr="00150391">
        <w:rPr>
          <w:rFonts w:cs="Calibri"/>
        </w:rPr>
        <w:t>support for the Coal Mining Industry (Long Service Leave) Corporation</w:t>
      </w:r>
    </w:p>
    <w:p w14:paraId="49E26FEA" w14:textId="77777777" w:rsidR="00D419C8" w:rsidRPr="00150391" w:rsidRDefault="53BF0693" w:rsidP="001D30A2">
      <w:pPr>
        <w:pStyle w:val="Bullet2"/>
        <w:rPr>
          <w:rFonts w:cs="Calibri"/>
        </w:rPr>
      </w:pPr>
      <w:r w:rsidRPr="00150391">
        <w:rPr>
          <w:rFonts w:cs="Calibri"/>
        </w:rPr>
        <w:t>holding funds for the Protected Action Ballots Scheme</w:t>
      </w:r>
      <w:r w:rsidRPr="00150391">
        <w:rPr>
          <w:rFonts w:eastAsiaTheme="minorEastAsia" w:cs="Calibri"/>
        </w:rPr>
        <w:t>.</w:t>
      </w:r>
    </w:p>
    <w:p w14:paraId="0EEC42F2" w14:textId="77777777" w:rsidR="00FA0945" w:rsidRPr="00150391" w:rsidRDefault="53BF0693" w:rsidP="001D30A2">
      <w:pPr>
        <w:keepNext/>
        <w:spacing w:before="60" w:line="240" w:lineRule="auto"/>
        <w:rPr>
          <w:rFonts w:cs="Calibri"/>
        </w:rPr>
      </w:pPr>
      <w:r w:rsidRPr="00150391">
        <w:rPr>
          <w:rFonts w:cs="Calibri"/>
        </w:rPr>
        <w:t>In this example, it is clear that the objective of Program 2.2 is deliver policies and programs to achieve the outcome of fostering fair, productive and safe workplaces of all sizes.</w:t>
      </w:r>
    </w:p>
    <w:p w14:paraId="0924588A" w14:textId="77777777" w:rsidR="00FA0945" w:rsidRPr="00150391" w:rsidRDefault="003B453D" w:rsidP="00CF6BE7">
      <w:pPr>
        <w:pStyle w:val="Heading3Numbered"/>
        <w:rPr>
          <w:rFonts w:ascii="Calibri" w:hAnsi="Calibri" w:cs="Calibri"/>
        </w:rPr>
      </w:pPr>
      <w:bookmarkStart w:id="688" w:name="_Ref92377011"/>
      <w:bookmarkStart w:id="689" w:name="_Ref92377019"/>
      <w:bookmarkStart w:id="690" w:name="_Toc114576311"/>
      <w:r w:rsidRPr="00150391">
        <w:rPr>
          <w:rFonts w:ascii="Calibri" w:hAnsi="Calibri" w:cs="Calibri"/>
        </w:rPr>
        <w:t>Key Activities</w:t>
      </w:r>
      <w:bookmarkEnd w:id="688"/>
      <w:bookmarkEnd w:id="689"/>
      <w:bookmarkEnd w:id="690"/>
    </w:p>
    <w:p w14:paraId="52656CF0" w14:textId="5E823A6E" w:rsidR="00714A82" w:rsidRPr="00150391" w:rsidRDefault="53BF0693" w:rsidP="000A7DEC">
      <w:pPr>
        <w:rPr>
          <w:rFonts w:cs="Calibri"/>
        </w:rPr>
      </w:pPr>
      <w:r w:rsidRPr="00150391">
        <w:rPr>
          <w:rFonts w:cs="Calibri"/>
        </w:rPr>
        <w:t xml:space="preserve">Entities should enter </w:t>
      </w:r>
      <w:r w:rsidR="000D04F3" w:rsidRPr="00150391">
        <w:rPr>
          <w:rFonts w:cs="Calibri"/>
        </w:rPr>
        <w:t>the Key Activities reported in the current corporate plan that each program associated with each Outcome X relates to.</w:t>
      </w:r>
      <w:r w:rsidR="00127076" w:rsidRPr="00150391">
        <w:rPr>
          <w:rFonts w:cs="Calibri"/>
        </w:rPr>
        <w:t xml:space="preserve">  This provides a more precise clear read between the PB</w:t>
      </w:r>
      <w:r w:rsidR="00A261E1" w:rsidRPr="00150391">
        <w:rPr>
          <w:rFonts w:cs="Calibri"/>
        </w:rPr>
        <w:t xml:space="preserve"> </w:t>
      </w:r>
      <w:r w:rsidR="00127076" w:rsidRPr="00150391">
        <w:rPr>
          <w:rFonts w:cs="Calibri"/>
        </w:rPr>
        <w:t>S</w:t>
      </w:r>
      <w:r w:rsidR="00A261E1" w:rsidRPr="00150391">
        <w:rPr>
          <w:rFonts w:cs="Calibri"/>
        </w:rPr>
        <w:t>tatement</w:t>
      </w:r>
      <w:r w:rsidR="00127076" w:rsidRPr="00150391">
        <w:rPr>
          <w:rFonts w:cs="Calibri"/>
        </w:rPr>
        <w:t xml:space="preserve"> and the corporate plan.</w:t>
      </w:r>
      <w:r w:rsidR="00714A82" w:rsidRPr="00150391">
        <w:rPr>
          <w:rFonts w:cs="Calibri"/>
        </w:rPr>
        <w:t xml:space="preserve">  There is no need to provide full detail of the key activities in the PB</w:t>
      </w:r>
      <w:r w:rsidR="00A261E1" w:rsidRPr="00150391">
        <w:rPr>
          <w:rFonts w:cs="Calibri"/>
        </w:rPr>
        <w:t xml:space="preserve"> </w:t>
      </w:r>
      <w:r w:rsidR="00714A82" w:rsidRPr="00150391">
        <w:rPr>
          <w:rFonts w:cs="Calibri"/>
        </w:rPr>
        <w:t>S</w:t>
      </w:r>
      <w:r w:rsidR="00A261E1" w:rsidRPr="00150391">
        <w:rPr>
          <w:rFonts w:cs="Calibri"/>
        </w:rPr>
        <w:t>tatement</w:t>
      </w:r>
      <w:r w:rsidR="00714A82" w:rsidRPr="00150391">
        <w:rPr>
          <w:rFonts w:cs="Calibri"/>
        </w:rPr>
        <w:t>, the title of the key activities will suffice.</w:t>
      </w:r>
    </w:p>
    <w:p w14:paraId="181125FB" w14:textId="648A9F1E" w:rsidR="00714A82" w:rsidRPr="00150391" w:rsidRDefault="000D04F3" w:rsidP="000A7DEC">
      <w:pPr>
        <w:rPr>
          <w:rFonts w:cs="Calibri"/>
        </w:rPr>
      </w:pPr>
      <w:r w:rsidRPr="00150391">
        <w:rPr>
          <w:rFonts w:cs="Calibri"/>
        </w:rPr>
        <w:t>The current corporate plan is the corporate plan that is in place when the PB</w:t>
      </w:r>
      <w:r w:rsidR="00A261E1" w:rsidRPr="00150391">
        <w:rPr>
          <w:rFonts w:cs="Calibri"/>
        </w:rPr>
        <w:t xml:space="preserve"> </w:t>
      </w:r>
      <w:r w:rsidRPr="00150391">
        <w:rPr>
          <w:rFonts w:cs="Calibri"/>
        </w:rPr>
        <w:t>S</w:t>
      </w:r>
      <w:r w:rsidR="00A261E1" w:rsidRPr="00150391">
        <w:rPr>
          <w:rFonts w:cs="Calibri"/>
        </w:rPr>
        <w:t>tatement</w:t>
      </w:r>
      <w:r w:rsidRPr="00150391">
        <w:rPr>
          <w:rFonts w:cs="Calibri"/>
        </w:rPr>
        <w:t xml:space="preserve"> is tabled in Parliament.  For the 2022-23 Budget, the current corporate plan is the 2021-22 corporate plan.</w:t>
      </w:r>
      <w:r w:rsidR="00127076" w:rsidRPr="00150391">
        <w:rPr>
          <w:rFonts w:cs="Calibri"/>
        </w:rPr>
        <w:t xml:space="preserve">  </w:t>
      </w:r>
    </w:p>
    <w:p w14:paraId="64EACC26" w14:textId="1FB040A5" w:rsidR="00541FE5" w:rsidRPr="00150391" w:rsidRDefault="00127076" w:rsidP="000A7DEC">
      <w:pPr>
        <w:rPr>
          <w:rFonts w:cs="Calibri"/>
        </w:rPr>
      </w:pPr>
      <w:r w:rsidRPr="00150391">
        <w:rPr>
          <w:rFonts w:cs="Calibri"/>
        </w:rPr>
        <w:t>Where entities report new or materially changed programs resulting from 2022-23 Budget measures, there may be a need to update or create related key activities. If key activities are introduced or altered in the 2022-23 PB</w:t>
      </w:r>
      <w:r w:rsidR="00A261E1" w:rsidRPr="00150391">
        <w:rPr>
          <w:rFonts w:cs="Calibri"/>
        </w:rPr>
        <w:t xml:space="preserve"> </w:t>
      </w:r>
      <w:r w:rsidRPr="00150391">
        <w:rPr>
          <w:rFonts w:cs="Calibri"/>
        </w:rPr>
        <w:t>S</w:t>
      </w:r>
      <w:r w:rsidR="00A261E1" w:rsidRPr="00150391">
        <w:rPr>
          <w:rFonts w:cs="Calibri"/>
        </w:rPr>
        <w:t>tatement</w:t>
      </w:r>
      <w:r w:rsidRPr="00150391">
        <w:rPr>
          <w:rFonts w:cs="Calibri"/>
        </w:rPr>
        <w:t>, a footnote to the table would explain this and the 2022-23 corporate plan would reflect the new or altered key activities.</w:t>
      </w:r>
    </w:p>
    <w:p w14:paraId="46E6092E" w14:textId="27A5301A" w:rsidR="00496ACF" w:rsidRPr="00150391" w:rsidRDefault="00541FE5" w:rsidP="00913329">
      <w:pPr>
        <w:rPr>
          <w:rFonts w:cs="Calibri"/>
        </w:rPr>
      </w:pPr>
      <w:r w:rsidRPr="00150391">
        <w:rPr>
          <w:rFonts w:cs="Calibri"/>
        </w:rPr>
        <w:t>For further information on key activities refer to</w:t>
      </w:r>
      <w:r w:rsidRPr="00150391">
        <w:rPr>
          <w:rFonts w:cs="Calibri"/>
          <w:i/>
          <w:iCs/>
        </w:rPr>
        <w:t xml:space="preserve"> </w:t>
      </w:r>
      <w:hyperlink r:id="rId81">
        <w:r w:rsidR="001C0C4A" w:rsidRPr="002B4935">
          <w:rPr>
            <w:rStyle w:val="Hyperlink"/>
            <w:rFonts w:ascii="Calibri" w:hAnsi="Calibri" w:cs="Calibri"/>
            <w:iCs/>
            <w:color w:val="0070C0"/>
          </w:rPr>
          <w:t>corporate plans for Commonwealth entities (RMG 132)</w:t>
        </w:r>
      </w:hyperlink>
      <w:r w:rsidRPr="00150391">
        <w:rPr>
          <w:rFonts w:cs="Calibri"/>
        </w:rPr>
        <w:t>.</w:t>
      </w:r>
    </w:p>
    <w:tbl>
      <w:tblPr>
        <w:tblW w:w="0" w:type="auto"/>
        <w:tblInd w:w="-3" w:type="dxa"/>
        <w:tblBorders>
          <w:top w:val="single" w:sz="2" w:space="0" w:color="A7B4BE"/>
          <w:left w:val="single" w:sz="2" w:space="0" w:color="A7B4BE"/>
          <w:bottom w:val="single" w:sz="2" w:space="0" w:color="A7B4BE"/>
          <w:right w:val="single" w:sz="2" w:space="0" w:color="A7B4BE"/>
        </w:tblBorders>
        <w:tblCellMar>
          <w:left w:w="0" w:type="dxa"/>
          <w:right w:w="0" w:type="dxa"/>
        </w:tblCellMar>
        <w:tblLook w:val="04A0" w:firstRow="1" w:lastRow="0" w:firstColumn="1" w:lastColumn="0" w:noHBand="0" w:noVBand="1"/>
      </w:tblPr>
      <w:tblGrid>
        <w:gridCol w:w="8691"/>
      </w:tblGrid>
      <w:tr w:rsidR="00FA0945" w:rsidRPr="00150391" w14:paraId="050D8840" w14:textId="77777777" w:rsidTr="002C2697">
        <w:trPr>
          <w:trHeight w:val="350"/>
        </w:trPr>
        <w:tc>
          <w:tcPr>
            <w:tcW w:w="8691" w:type="dxa"/>
            <w:shd w:val="clear" w:color="auto" w:fill="DDF3FA"/>
          </w:tcPr>
          <w:p w14:paraId="5C3F5786" w14:textId="77777777" w:rsidR="00FA0945" w:rsidRPr="00150391" w:rsidRDefault="53BF0693" w:rsidP="000A7DEC">
            <w:pPr>
              <w:pStyle w:val="TableText-Normal"/>
              <w:rPr>
                <w:rFonts w:cs="Calibri"/>
              </w:rPr>
            </w:pPr>
            <w:r w:rsidRPr="00150391">
              <w:rPr>
                <w:rFonts w:cs="Calibri"/>
              </w:rPr>
              <w:t>Identifying material changes</w:t>
            </w:r>
          </w:p>
        </w:tc>
      </w:tr>
      <w:tr w:rsidR="00FA0945" w:rsidRPr="00150391" w14:paraId="04F204A1" w14:textId="77777777" w:rsidTr="002B4935">
        <w:trPr>
          <w:trHeight w:val="2560"/>
        </w:trPr>
        <w:tc>
          <w:tcPr>
            <w:tcW w:w="8691" w:type="dxa"/>
          </w:tcPr>
          <w:p w14:paraId="7330A72F" w14:textId="77777777" w:rsidR="00472232" w:rsidRPr="00150391" w:rsidRDefault="53BF0693">
            <w:pPr>
              <w:pStyle w:val="TableText-Normal"/>
              <w:rPr>
                <w:rFonts w:cs="Calibri"/>
              </w:rPr>
            </w:pPr>
            <w:r w:rsidRPr="00150391">
              <w:rPr>
                <w:rFonts w:cs="Calibri"/>
              </w:rPr>
              <w:t>When assessing if there is a material change to the delivery of a program, entities should consider if the following has happened:</w:t>
            </w:r>
          </w:p>
          <w:p w14:paraId="2C8AAF29" w14:textId="77777777" w:rsidR="00472232" w:rsidRPr="00150391" w:rsidRDefault="53BF0693">
            <w:pPr>
              <w:pStyle w:val="TableText-Normal-DotPoint"/>
              <w:rPr>
                <w:rFonts w:cs="Calibri"/>
              </w:rPr>
            </w:pPr>
            <w:r w:rsidRPr="00150391">
              <w:rPr>
                <w:rFonts w:cs="Calibri"/>
              </w:rPr>
              <w:t>the objective or intended impact of the program has changed</w:t>
            </w:r>
          </w:p>
          <w:p w14:paraId="5F6E7FC0" w14:textId="77777777" w:rsidR="00472232" w:rsidRPr="00150391" w:rsidRDefault="53BF0693">
            <w:pPr>
              <w:pStyle w:val="TableText-Normal-DotPoint"/>
              <w:rPr>
                <w:rFonts w:cs="Calibri"/>
              </w:rPr>
            </w:pPr>
            <w:r w:rsidRPr="00150391">
              <w:rPr>
                <w:rFonts w:cs="Calibri"/>
              </w:rPr>
              <w:t>the key activities through which the program is delivered have substantially changed</w:t>
            </w:r>
          </w:p>
          <w:p w14:paraId="2D27CA02" w14:textId="77777777" w:rsidR="00472232" w:rsidRPr="00150391" w:rsidRDefault="53BF0693">
            <w:pPr>
              <w:pStyle w:val="TableText-Normal-DotPoint"/>
              <w:rPr>
                <w:rFonts w:cs="Calibri"/>
              </w:rPr>
            </w:pPr>
            <w:r w:rsidRPr="00150391">
              <w:rPr>
                <w:rFonts w:cs="Calibri"/>
              </w:rPr>
              <w:t>the target group has changed.</w:t>
            </w:r>
          </w:p>
          <w:p w14:paraId="6A7D7FB9" w14:textId="77777777" w:rsidR="00FB71B6" w:rsidRPr="00150391" w:rsidRDefault="00FB71B6">
            <w:pPr>
              <w:pStyle w:val="TableText-Normal"/>
              <w:rPr>
                <w:rFonts w:cs="Calibri"/>
              </w:rPr>
            </w:pPr>
          </w:p>
          <w:p w14:paraId="6B99C39B" w14:textId="77777777" w:rsidR="00FA0945" w:rsidRPr="00150391" w:rsidRDefault="53BF0693">
            <w:pPr>
              <w:pStyle w:val="TableText-Normal"/>
              <w:rPr>
                <w:rFonts w:cs="Calibri"/>
              </w:rPr>
            </w:pPr>
            <w:r w:rsidRPr="00150391">
              <w:rPr>
                <w:rFonts w:cs="Calibri"/>
              </w:rPr>
              <w:t xml:space="preserve">Changes in funding for a program alone do not constitute a material change for the delivery and related performance information. </w:t>
            </w:r>
          </w:p>
        </w:tc>
      </w:tr>
    </w:tbl>
    <w:tbl>
      <w:tblPr>
        <w:tblpPr w:leftFromText="180" w:rightFromText="180" w:vertAnchor="text" w:horzAnchor="margin" w:tblpY="155"/>
        <w:tblW w:w="0" w:type="auto"/>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644"/>
      </w:tblGrid>
      <w:tr w:rsidR="00785D70" w:rsidRPr="00150391" w14:paraId="3E787E9E" w14:textId="77777777" w:rsidTr="00A8355D">
        <w:tc>
          <w:tcPr>
            <w:tcW w:w="8644" w:type="dxa"/>
            <w:shd w:val="clear" w:color="auto" w:fill="DDF3FA"/>
          </w:tcPr>
          <w:p w14:paraId="38FF8AB1" w14:textId="77777777" w:rsidR="00785D70" w:rsidRPr="00150391" w:rsidRDefault="00785D70" w:rsidP="00785D70">
            <w:pPr>
              <w:pStyle w:val="TableText-Normal"/>
              <w:rPr>
                <w:rFonts w:cs="Calibri"/>
              </w:rPr>
            </w:pPr>
            <w:bookmarkStart w:id="691" w:name="_Toc534382569"/>
            <w:r w:rsidRPr="00150391">
              <w:rPr>
                <w:rFonts w:cs="Calibri"/>
                <w:b/>
                <w:bCs/>
              </w:rPr>
              <w:t>Example</w:t>
            </w:r>
            <w:r w:rsidRPr="00150391">
              <w:rPr>
                <w:rFonts w:cs="Calibri"/>
              </w:rPr>
              <w:t xml:space="preserve"> – what is a material change to a program</w:t>
            </w:r>
          </w:p>
        </w:tc>
      </w:tr>
      <w:tr w:rsidR="00785D70" w:rsidRPr="00150391" w14:paraId="1C0B7FC0" w14:textId="77777777" w:rsidTr="00A8355D">
        <w:tc>
          <w:tcPr>
            <w:tcW w:w="8644" w:type="dxa"/>
          </w:tcPr>
          <w:p w14:paraId="2F9E56D4" w14:textId="77777777" w:rsidR="00785D70" w:rsidRPr="00150391" w:rsidRDefault="00785D70" w:rsidP="00785D70">
            <w:pPr>
              <w:pStyle w:val="TableText-Normal"/>
              <w:rPr>
                <w:rFonts w:cs="Calibri"/>
              </w:rPr>
            </w:pPr>
            <w:r w:rsidRPr="00150391">
              <w:rPr>
                <w:rFonts w:cs="Calibri"/>
              </w:rPr>
              <w:t>Consider the example of a program to dissuade young people from taking up smoking:</w:t>
            </w:r>
          </w:p>
          <w:p w14:paraId="6875DE47" w14:textId="77777777" w:rsidR="00785D70" w:rsidRPr="00150391" w:rsidRDefault="00785D70" w:rsidP="00785D70">
            <w:pPr>
              <w:pStyle w:val="TableText-Normal-DotPoint"/>
              <w:rPr>
                <w:rFonts w:cs="Calibri"/>
              </w:rPr>
            </w:pPr>
            <w:r w:rsidRPr="00150391">
              <w:rPr>
                <w:rFonts w:cs="Calibri"/>
              </w:rPr>
              <w:t xml:space="preserve">if program funding is increased for an anti-smoking advertising campaign targeting school-aged children, but the mode of delivery and the target group remain the same, this is not regarded as a material program change </w:t>
            </w:r>
          </w:p>
          <w:p w14:paraId="0CDD2CC7" w14:textId="0DF8790E" w:rsidR="00785D70" w:rsidRPr="00150391" w:rsidRDefault="00785D70" w:rsidP="00785D70">
            <w:pPr>
              <w:pStyle w:val="TableText-Normal-DotPoint"/>
              <w:rPr>
                <w:rFonts w:cs="Calibri"/>
              </w:rPr>
            </w:pPr>
            <w:r w:rsidRPr="00150391">
              <w:rPr>
                <w:rFonts w:cs="Calibri"/>
              </w:rPr>
              <w:t xml:space="preserve">however, if the program is changed to substitute advertising with an anti-smoking program in school curricular, this would be considered a material program change. While the target group and object of the program remain the same, the delivery mechanism has changed. </w:t>
            </w:r>
          </w:p>
        </w:tc>
      </w:tr>
    </w:tbl>
    <w:p w14:paraId="00580208" w14:textId="461D7627" w:rsidR="00FA0945" w:rsidRPr="00150391" w:rsidRDefault="53BF0693" w:rsidP="00CF6BE7">
      <w:pPr>
        <w:pStyle w:val="Heading3Numbered"/>
        <w:rPr>
          <w:rFonts w:ascii="Calibri" w:hAnsi="Calibri" w:cs="Calibri"/>
        </w:rPr>
      </w:pPr>
      <w:bookmarkStart w:id="692" w:name="_Toc94873677"/>
      <w:bookmarkStart w:id="693" w:name="_Toc94873678"/>
      <w:bookmarkStart w:id="694" w:name="_Toc94873679"/>
      <w:bookmarkStart w:id="695" w:name="_Toc94873680"/>
      <w:bookmarkStart w:id="696" w:name="_Toc94873681"/>
      <w:bookmarkStart w:id="697" w:name="_Toc94873682"/>
      <w:bookmarkStart w:id="698" w:name="_Toc94873683"/>
      <w:bookmarkStart w:id="699" w:name="_Toc94873684"/>
      <w:bookmarkStart w:id="700" w:name="_Ref62052309"/>
      <w:bookmarkStart w:id="701" w:name="_Ref62052762"/>
      <w:bookmarkStart w:id="702" w:name="_Toc63347722"/>
      <w:bookmarkStart w:id="703" w:name="_Toc114576312"/>
      <w:bookmarkEnd w:id="692"/>
      <w:bookmarkEnd w:id="693"/>
      <w:bookmarkEnd w:id="694"/>
      <w:bookmarkEnd w:id="695"/>
      <w:bookmarkEnd w:id="696"/>
      <w:bookmarkEnd w:id="697"/>
      <w:bookmarkEnd w:id="698"/>
      <w:bookmarkEnd w:id="699"/>
      <w:r w:rsidRPr="00150391">
        <w:rPr>
          <w:rFonts w:ascii="Calibri" w:hAnsi="Calibri" w:cs="Calibri"/>
        </w:rPr>
        <w:t>Performance measures</w:t>
      </w:r>
      <w:bookmarkEnd w:id="691"/>
      <w:bookmarkEnd w:id="700"/>
      <w:bookmarkEnd w:id="701"/>
      <w:bookmarkEnd w:id="702"/>
      <w:bookmarkEnd w:id="703"/>
    </w:p>
    <w:p w14:paraId="4B52AC72" w14:textId="77777777" w:rsidR="00CF269C" w:rsidRPr="00150391" w:rsidRDefault="53BF0693" w:rsidP="000A7DEC">
      <w:pPr>
        <w:rPr>
          <w:rFonts w:cs="Calibri"/>
        </w:rPr>
      </w:pPr>
      <w:r w:rsidRPr="00150391">
        <w:rPr>
          <w:rFonts w:cs="Calibri"/>
        </w:rPr>
        <w:t xml:space="preserve">Entities should enter performance measures in </w:t>
      </w:r>
      <w:r w:rsidRPr="00150391">
        <w:rPr>
          <w:rFonts w:cs="Calibri"/>
          <w:i/>
          <w:iCs/>
        </w:rPr>
        <w:t>Table 2.X.3</w:t>
      </w:r>
      <w:r w:rsidRPr="00150391">
        <w:rPr>
          <w:rFonts w:cs="Calibri"/>
        </w:rPr>
        <w:t xml:space="preserve"> for each program associated with each Outcome X.</w:t>
      </w:r>
    </w:p>
    <w:p w14:paraId="3DAE6C74" w14:textId="77777777" w:rsidR="00CF269C" w:rsidRPr="00150391" w:rsidRDefault="53BF0693" w:rsidP="000A7DEC">
      <w:pPr>
        <w:pStyle w:val="Boxed2Text"/>
        <w:rPr>
          <w:rFonts w:cs="Calibri"/>
        </w:rPr>
      </w:pPr>
      <w:r w:rsidRPr="00150391">
        <w:rPr>
          <w:rFonts w:cs="Calibri"/>
        </w:rPr>
        <w:t xml:space="preserve">The Finance Secretary Direction under subsection 36(3) of the PGPA Act requires there to be at </w:t>
      </w:r>
      <w:r w:rsidRPr="00150391">
        <w:rPr>
          <w:rFonts w:cs="Calibri"/>
          <w:b/>
          <w:bCs/>
        </w:rPr>
        <w:t>least one high-level performance criterion</w:t>
      </w:r>
      <w:r w:rsidRPr="00150391">
        <w:rPr>
          <w:rFonts w:cs="Calibri"/>
        </w:rPr>
        <w:t xml:space="preserve"> for each program.</w:t>
      </w:r>
    </w:p>
    <w:p w14:paraId="67837A9A" w14:textId="77777777" w:rsidR="00FA0945" w:rsidRPr="00150391" w:rsidRDefault="00FA0945" w:rsidP="000A7DEC">
      <w:pPr>
        <w:rPr>
          <w:rFonts w:cs="Calibri"/>
        </w:rPr>
      </w:pPr>
      <w:r w:rsidRPr="00150391">
        <w:rPr>
          <w:rFonts w:cs="Calibri"/>
        </w:rPr>
        <w:t xml:space="preserve">Performance </w:t>
      </w:r>
      <w:r w:rsidR="0057288F" w:rsidRPr="00150391">
        <w:rPr>
          <w:rFonts w:cs="Calibri"/>
        </w:rPr>
        <w:t>measures</w:t>
      </w:r>
      <w:r w:rsidR="00AF5766" w:rsidRPr="00150391">
        <w:rPr>
          <w:rFonts w:cs="Calibri"/>
        </w:rPr>
        <w:t>,</w:t>
      </w:r>
      <w:r w:rsidR="00907A92" w:rsidRPr="00150391">
        <w:rPr>
          <w:rFonts w:cs="Calibri"/>
        </w:rPr>
        <w:t xml:space="preserve"> associated targets </w:t>
      </w:r>
      <w:r w:rsidR="00FD6F89" w:rsidRPr="00150391">
        <w:rPr>
          <w:rFonts w:cs="Calibri"/>
        </w:rPr>
        <w:t xml:space="preserve">(where </w:t>
      </w:r>
      <w:r w:rsidR="00CA66F6" w:rsidRPr="00150391">
        <w:rPr>
          <w:rFonts w:cs="Calibri"/>
        </w:rPr>
        <w:t>it is reasonably practicable to set a target</w:t>
      </w:r>
      <w:r w:rsidR="00FD6F89" w:rsidRPr="00150391">
        <w:rPr>
          <w:rFonts w:cs="Calibri"/>
        </w:rPr>
        <w:t xml:space="preserve">) </w:t>
      </w:r>
      <w:r w:rsidR="00AF5766" w:rsidRPr="00150391">
        <w:rPr>
          <w:rFonts w:cs="Calibri"/>
        </w:rPr>
        <w:t xml:space="preserve">and expected date of achievement </w:t>
      </w:r>
      <w:r w:rsidR="00FD6F89" w:rsidRPr="00150391">
        <w:rPr>
          <w:rFonts w:cs="Calibri"/>
        </w:rPr>
        <w:t xml:space="preserve">(where </w:t>
      </w:r>
      <w:r w:rsidR="00CA66F6" w:rsidRPr="00150391">
        <w:rPr>
          <w:rFonts w:cs="Calibri"/>
        </w:rPr>
        <w:t>relevant</w:t>
      </w:r>
      <w:r w:rsidR="00FD6F89" w:rsidRPr="00150391">
        <w:rPr>
          <w:rFonts w:cs="Calibri"/>
        </w:rPr>
        <w:t xml:space="preserve">) </w:t>
      </w:r>
      <w:r w:rsidRPr="00150391">
        <w:rPr>
          <w:rFonts w:cs="Calibri"/>
        </w:rPr>
        <w:t xml:space="preserve">included in </w:t>
      </w:r>
      <w:r w:rsidRPr="00150391">
        <w:rPr>
          <w:rFonts w:cs="Calibri"/>
          <w:i/>
          <w:iCs/>
        </w:rPr>
        <w:t>Table 2.X.3</w:t>
      </w:r>
      <w:r w:rsidRPr="00150391">
        <w:rPr>
          <w:rFonts w:cs="Calibri"/>
        </w:rPr>
        <w:t xml:space="preserve"> indicate how an entity will </w:t>
      </w:r>
      <w:r w:rsidR="00FC3963" w:rsidRPr="00150391">
        <w:rPr>
          <w:rFonts w:cs="Calibri"/>
        </w:rPr>
        <w:t xml:space="preserve">measure and </w:t>
      </w:r>
      <w:r w:rsidRPr="00150391">
        <w:rPr>
          <w:rFonts w:cs="Calibri"/>
        </w:rPr>
        <w:t xml:space="preserve">assess </w:t>
      </w:r>
      <w:r w:rsidR="00FC3963" w:rsidRPr="00150391">
        <w:rPr>
          <w:rFonts w:cs="Calibri"/>
        </w:rPr>
        <w:t>progress towards achieving a program’s objectives.</w:t>
      </w:r>
      <w:r w:rsidRPr="00150391">
        <w:rPr>
          <w:rFonts w:cs="Calibri"/>
        </w:rPr>
        <w:t xml:space="preserve"> </w:t>
      </w:r>
    </w:p>
    <w:p w14:paraId="3A034554" w14:textId="77777777" w:rsidR="00FA0945" w:rsidRPr="00150391" w:rsidRDefault="53BF0693" w:rsidP="000A7DEC">
      <w:pPr>
        <w:rPr>
          <w:rFonts w:cs="Calibri"/>
        </w:rPr>
      </w:pPr>
      <w:r w:rsidRPr="00150391">
        <w:rPr>
          <w:rFonts w:cs="Calibri"/>
        </w:rPr>
        <w:t>Entities should include the following performance information for the following reporting periods:</w:t>
      </w:r>
    </w:p>
    <w:p w14:paraId="2A878A1F" w14:textId="04BABBA6" w:rsidR="00FA0945" w:rsidRPr="00150391" w:rsidRDefault="0007613A" w:rsidP="005379D4">
      <w:pPr>
        <w:pStyle w:val="Bullet1"/>
        <w:rPr>
          <w:rFonts w:ascii="Calibri" w:hAnsi="Calibri" w:cs="Calibri"/>
        </w:rPr>
      </w:pPr>
      <w:r w:rsidRPr="00150391">
        <w:rPr>
          <w:rFonts w:ascii="Calibri" w:hAnsi="Calibri" w:cs="Calibri"/>
          <w:b/>
          <w:bCs/>
        </w:rPr>
        <w:t>2021</w:t>
      </w:r>
      <w:r w:rsidR="53BF0693" w:rsidRPr="00150391">
        <w:rPr>
          <w:rFonts w:ascii="Calibri" w:hAnsi="Calibri" w:cs="Calibri"/>
          <w:b/>
          <w:bCs/>
        </w:rPr>
        <w:t>-</w:t>
      </w:r>
      <w:r w:rsidRPr="00150391">
        <w:rPr>
          <w:rFonts w:ascii="Calibri" w:hAnsi="Calibri" w:cs="Calibri"/>
          <w:b/>
          <w:bCs/>
        </w:rPr>
        <w:t>22</w:t>
      </w:r>
      <w:r w:rsidRPr="00150391">
        <w:rPr>
          <w:rFonts w:ascii="Calibri" w:hAnsi="Calibri" w:cs="Calibri"/>
        </w:rPr>
        <w:t xml:space="preserve"> </w:t>
      </w:r>
      <w:r w:rsidR="53BF0693" w:rsidRPr="00150391">
        <w:rPr>
          <w:rFonts w:ascii="Calibri" w:hAnsi="Calibri" w:cs="Calibri"/>
          <w:i/>
          <w:iCs/>
        </w:rPr>
        <w:t>(Last Budget Year</w:t>
      </w:r>
      <w:r w:rsidR="00F0790E" w:rsidRPr="00150391">
        <w:rPr>
          <w:rFonts w:ascii="Calibri" w:hAnsi="Calibri" w:cs="Calibri"/>
          <w:i/>
          <w:iCs/>
        </w:rPr>
        <w:t>/Prior Year</w:t>
      </w:r>
      <w:r w:rsidR="53BF0693" w:rsidRPr="00150391">
        <w:rPr>
          <w:rFonts w:ascii="Calibri" w:hAnsi="Calibri" w:cs="Calibri"/>
          <w:i/>
          <w:iCs/>
        </w:rPr>
        <w:t>)</w:t>
      </w:r>
      <w:r w:rsidR="53BF0693" w:rsidRPr="00150391">
        <w:rPr>
          <w:rFonts w:ascii="Calibri" w:hAnsi="Calibri" w:cs="Calibri"/>
        </w:rPr>
        <w:t xml:space="preserve"> – </w:t>
      </w:r>
      <w:r w:rsidR="00F0790E" w:rsidRPr="00150391">
        <w:rPr>
          <w:rFonts w:ascii="Calibri" w:hAnsi="Calibri" w:cs="Calibri"/>
        </w:rPr>
        <w:t xml:space="preserve">Actual </w:t>
      </w:r>
      <w:r w:rsidR="53BF0693" w:rsidRPr="00150391">
        <w:rPr>
          <w:rFonts w:ascii="Calibri" w:hAnsi="Calibri" w:cs="Calibri"/>
        </w:rPr>
        <w:t xml:space="preserve">performance </w:t>
      </w:r>
      <w:r w:rsidR="00FD6F89" w:rsidRPr="00150391">
        <w:rPr>
          <w:rFonts w:ascii="Calibri" w:hAnsi="Calibri" w:cs="Calibri"/>
        </w:rPr>
        <w:t xml:space="preserve">results </w:t>
      </w:r>
      <w:r w:rsidR="53BF0693" w:rsidRPr="00150391">
        <w:rPr>
          <w:rFonts w:ascii="Calibri" w:hAnsi="Calibri" w:cs="Calibri"/>
        </w:rPr>
        <w:t xml:space="preserve">against measures, for </w:t>
      </w:r>
      <w:r w:rsidRPr="00150391">
        <w:rPr>
          <w:rFonts w:ascii="Calibri" w:hAnsi="Calibri" w:cs="Calibri"/>
        </w:rPr>
        <w:t>2021</w:t>
      </w:r>
      <w:r w:rsidR="008D03E4" w:rsidRPr="00150391">
        <w:rPr>
          <w:rFonts w:ascii="Calibri" w:hAnsi="Calibri" w:cs="Calibri"/>
        </w:rPr>
        <w:noBreakHyphen/>
      </w:r>
      <w:r w:rsidRPr="00150391">
        <w:rPr>
          <w:rFonts w:ascii="Calibri" w:hAnsi="Calibri" w:cs="Calibri"/>
        </w:rPr>
        <w:t xml:space="preserve">22 </w:t>
      </w:r>
      <w:r w:rsidR="53BF0693" w:rsidRPr="00150391">
        <w:rPr>
          <w:rFonts w:ascii="Calibri" w:hAnsi="Calibri" w:cs="Calibri"/>
        </w:rPr>
        <w:t xml:space="preserve">described in </w:t>
      </w:r>
      <w:r w:rsidRPr="00150391">
        <w:rPr>
          <w:rFonts w:ascii="Calibri" w:hAnsi="Calibri" w:cs="Calibri"/>
        </w:rPr>
        <w:t>2021</w:t>
      </w:r>
      <w:r w:rsidR="53BF0693" w:rsidRPr="00150391">
        <w:rPr>
          <w:rFonts w:ascii="Calibri" w:hAnsi="Calibri" w:cs="Calibri"/>
        </w:rPr>
        <w:t>-</w:t>
      </w:r>
      <w:r w:rsidRPr="00150391">
        <w:rPr>
          <w:rFonts w:ascii="Calibri" w:hAnsi="Calibri" w:cs="Calibri"/>
        </w:rPr>
        <w:t xml:space="preserve">22 </w:t>
      </w:r>
      <w:r w:rsidR="53BF0693" w:rsidRPr="00150391">
        <w:rPr>
          <w:rFonts w:ascii="Calibri" w:hAnsi="Calibri" w:cs="Calibri"/>
        </w:rPr>
        <w:t>PB Statements</w:t>
      </w:r>
      <w:r w:rsidR="00FD6F89" w:rsidRPr="00150391">
        <w:rPr>
          <w:rFonts w:ascii="Calibri" w:hAnsi="Calibri" w:cs="Calibri"/>
        </w:rPr>
        <w:t>. Associated targets and expected dates of achievement are report</w:t>
      </w:r>
      <w:r w:rsidR="00CA66F6" w:rsidRPr="00150391">
        <w:rPr>
          <w:rFonts w:ascii="Calibri" w:hAnsi="Calibri" w:cs="Calibri"/>
        </w:rPr>
        <w:t>ed</w:t>
      </w:r>
      <w:r w:rsidR="00FD6F89" w:rsidRPr="00150391">
        <w:rPr>
          <w:rFonts w:ascii="Calibri" w:hAnsi="Calibri" w:cs="Calibri"/>
        </w:rPr>
        <w:t xml:space="preserve"> where these are relevant</w:t>
      </w:r>
      <w:r w:rsidR="00992E23" w:rsidRPr="00150391">
        <w:rPr>
          <w:rFonts w:ascii="Calibri" w:hAnsi="Calibri" w:cs="Calibri"/>
        </w:rPr>
        <w:t>.</w:t>
      </w:r>
    </w:p>
    <w:p w14:paraId="2CCAA29A" w14:textId="3D7C2E90" w:rsidR="00FA0945" w:rsidRPr="00150391" w:rsidRDefault="0007613A" w:rsidP="005379D4">
      <w:pPr>
        <w:pStyle w:val="Bullet1"/>
        <w:rPr>
          <w:rFonts w:ascii="Calibri" w:hAnsi="Calibri" w:cs="Calibri"/>
        </w:rPr>
      </w:pPr>
      <w:r w:rsidRPr="00150391">
        <w:rPr>
          <w:rFonts w:ascii="Calibri" w:hAnsi="Calibri" w:cs="Calibri"/>
          <w:b/>
          <w:bCs/>
        </w:rPr>
        <w:t>2022</w:t>
      </w:r>
      <w:r w:rsidR="53BF0693" w:rsidRPr="00150391">
        <w:rPr>
          <w:rFonts w:ascii="Calibri" w:hAnsi="Calibri" w:cs="Calibri"/>
          <w:b/>
          <w:bCs/>
        </w:rPr>
        <w:t>-</w:t>
      </w:r>
      <w:r w:rsidRPr="00150391">
        <w:rPr>
          <w:rFonts w:ascii="Calibri" w:hAnsi="Calibri" w:cs="Calibri"/>
          <w:b/>
          <w:bCs/>
        </w:rPr>
        <w:t>23</w:t>
      </w:r>
      <w:r w:rsidRPr="00150391">
        <w:rPr>
          <w:rFonts w:ascii="Calibri" w:hAnsi="Calibri" w:cs="Calibri"/>
        </w:rPr>
        <w:t xml:space="preserve"> </w:t>
      </w:r>
      <w:r w:rsidR="53BF0693" w:rsidRPr="00150391">
        <w:rPr>
          <w:rFonts w:ascii="Calibri" w:hAnsi="Calibri" w:cs="Calibri"/>
          <w:i/>
          <w:iCs/>
        </w:rPr>
        <w:t>(New Budget Year)</w:t>
      </w:r>
      <w:r w:rsidR="53BF0693" w:rsidRPr="00150391">
        <w:rPr>
          <w:rFonts w:ascii="Calibri" w:hAnsi="Calibri" w:cs="Calibri"/>
        </w:rPr>
        <w:t xml:space="preserve"> </w:t>
      </w:r>
      <w:r w:rsidR="00FD6F89" w:rsidRPr="00150391">
        <w:rPr>
          <w:rFonts w:ascii="Calibri" w:hAnsi="Calibri" w:cs="Calibri"/>
        </w:rPr>
        <w:t xml:space="preserve">Planned Performance Results - </w:t>
      </w:r>
      <w:r w:rsidR="53BF0693" w:rsidRPr="00150391">
        <w:rPr>
          <w:rFonts w:ascii="Calibri" w:hAnsi="Calibri" w:cs="Calibri"/>
        </w:rPr>
        <w:t xml:space="preserve">a description of what measures, will be used to assess whether a program delivers its objectives in </w:t>
      </w:r>
      <w:r w:rsidRPr="00150391">
        <w:rPr>
          <w:rFonts w:ascii="Calibri" w:hAnsi="Calibri" w:cs="Calibri"/>
        </w:rPr>
        <w:t>2021</w:t>
      </w:r>
      <w:r w:rsidR="53BF0693" w:rsidRPr="00150391">
        <w:rPr>
          <w:rFonts w:ascii="Calibri" w:hAnsi="Calibri" w:cs="Calibri"/>
        </w:rPr>
        <w:t>-</w:t>
      </w:r>
      <w:r w:rsidRPr="00150391">
        <w:rPr>
          <w:rFonts w:ascii="Calibri" w:hAnsi="Calibri" w:cs="Calibri"/>
        </w:rPr>
        <w:t>22</w:t>
      </w:r>
      <w:r w:rsidR="00FD6F89" w:rsidRPr="00150391">
        <w:rPr>
          <w:rFonts w:ascii="Calibri" w:hAnsi="Calibri" w:cs="Calibri"/>
        </w:rPr>
        <w:t>.  Associated targets and expected dates of achievement are report</w:t>
      </w:r>
      <w:r w:rsidR="00CA66F6" w:rsidRPr="00150391">
        <w:rPr>
          <w:rFonts w:ascii="Calibri" w:hAnsi="Calibri" w:cs="Calibri"/>
        </w:rPr>
        <w:t>ed</w:t>
      </w:r>
      <w:r w:rsidR="00FD6F89" w:rsidRPr="00150391">
        <w:rPr>
          <w:rFonts w:ascii="Calibri" w:hAnsi="Calibri" w:cs="Calibri"/>
        </w:rPr>
        <w:t xml:space="preserve"> where these are relevant</w:t>
      </w:r>
      <w:r w:rsidR="00992E23" w:rsidRPr="00150391">
        <w:rPr>
          <w:rFonts w:ascii="Calibri" w:hAnsi="Calibri" w:cs="Calibri"/>
        </w:rPr>
        <w:t>.</w:t>
      </w:r>
    </w:p>
    <w:p w14:paraId="74CCB187" w14:textId="77777777" w:rsidR="00FA0945" w:rsidRPr="00150391" w:rsidRDefault="0007613A" w:rsidP="005379D4">
      <w:pPr>
        <w:pStyle w:val="Bullet1"/>
        <w:rPr>
          <w:rFonts w:ascii="Calibri" w:hAnsi="Calibri" w:cs="Calibri"/>
        </w:rPr>
      </w:pPr>
      <w:r w:rsidRPr="00150391">
        <w:rPr>
          <w:rFonts w:ascii="Calibri" w:hAnsi="Calibri" w:cs="Calibri"/>
          <w:b/>
          <w:bCs/>
        </w:rPr>
        <w:t>2023</w:t>
      </w:r>
      <w:r w:rsidR="53BF0693" w:rsidRPr="00150391">
        <w:rPr>
          <w:rFonts w:ascii="Calibri" w:hAnsi="Calibri" w:cs="Calibri"/>
          <w:b/>
          <w:bCs/>
        </w:rPr>
        <w:t>-</w:t>
      </w:r>
      <w:r w:rsidRPr="00150391">
        <w:rPr>
          <w:rFonts w:ascii="Calibri" w:hAnsi="Calibri" w:cs="Calibri"/>
          <w:b/>
          <w:bCs/>
        </w:rPr>
        <w:t xml:space="preserve">24 </w:t>
      </w:r>
      <w:r w:rsidR="53BF0693" w:rsidRPr="00150391">
        <w:rPr>
          <w:rFonts w:ascii="Calibri" w:hAnsi="Calibri" w:cs="Calibri"/>
          <w:b/>
          <w:bCs/>
        </w:rPr>
        <w:t>and beyond</w:t>
      </w:r>
      <w:r w:rsidR="53BF0693" w:rsidRPr="00150391">
        <w:rPr>
          <w:rFonts w:ascii="Calibri" w:hAnsi="Calibri" w:cs="Calibri"/>
        </w:rPr>
        <w:t xml:space="preserve"> </w:t>
      </w:r>
      <w:r w:rsidR="53BF0693" w:rsidRPr="00150391">
        <w:rPr>
          <w:rFonts w:ascii="Calibri" w:hAnsi="Calibri" w:cs="Calibri"/>
          <w:i/>
          <w:iCs/>
        </w:rPr>
        <w:t>(Forward Estimates)</w:t>
      </w:r>
      <w:r w:rsidR="00FD6F89" w:rsidRPr="00150391">
        <w:rPr>
          <w:rFonts w:ascii="Calibri" w:hAnsi="Calibri" w:cs="Calibri"/>
        </w:rPr>
        <w:t xml:space="preserve"> Planned Performance Results</w:t>
      </w:r>
      <w:r w:rsidR="53BF0693" w:rsidRPr="00150391">
        <w:rPr>
          <w:rFonts w:ascii="Calibri" w:hAnsi="Calibri" w:cs="Calibri"/>
        </w:rPr>
        <w:t xml:space="preserve"> – a description of what measures will be used to assess whether a program delivers its objectives for each year of the forward estimates (i.e. </w:t>
      </w:r>
      <w:r w:rsidRPr="00150391">
        <w:rPr>
          <w:rFonts w:ascii="Calibri" w:hAnsi="Calibri" w:cs="Calibri"/>
        </w:rPr>
        <w:t>2023</w:t>
      </w:r>
      <w:r w:rsidR="53BF0693" w:rsidRPr="00150391">
        <w:rPr>
          <w:rFonts w:ascii="Calibri" w:hAnsi="Calibri" w:cs="Calibri"/>
        </w:rPr>
        <w:t>-</w:t>
      </w:r>
      <w:r w:rsidRPr="00150391">
        <w:rPr>
          <w:rFonts w:ascii="Calibri" w:hAnsi="Calibri" w:cs="Calibri"/>
        </w:rPr>
        <w:t>24</w:t>
      </w:r>
      <w:r w:rsidR="53BF0693" w:rsidRPr="00150391">
        <w:rPr>
          <w:rFonts w:ascii="Calibri" w:hAnsi="Calibri" w:cs="Calibri"/>
        </w:rPr>
        <w:t xml:space="preserve">, </w:t>
      </w:r>
      <w:r w:rsidRPr="00150391">
        <w:rPr>
          <w:rFonts w:ascii="Calibri" w:hAnsi="Calibri" w:cs="Calibri"/>
        </w:rPr>
        <w:t>2024</w:t>
      </w:r>
      <w:r w:rsidR="53BF0693" w:rsidRPr="00150391">
        <w:rPr>
          <w:rFonts w:ascii="Calibri" w:hAnsi="Calibri" w:cs="Calibri"/>
        </w:rPr>
        <w:t>-</w:t>
      </w:r>
      <w:r w:rsidRPr="00150391">
        <w:rPr>
          <w:rFonts w:ascii="Calibri" w:hAnsi="Calibri" w:cs="Calibri"/>
        </w:rPr>
        <w:t xml:space="preserve">25 </w:t>
      </w:r>
      <w:r w:rsidR="53BF0693" w:rsidRPr="00150391">
        <w:rPr>
          <w:rFonts w:ascii="Calibri" w:hAnsi="Calibri" w:cs="Calibri"/>
        </w:rPr>
        <w:t xml:space="preserve">and </w:t>
      </w:r>
      <w:r w:rsidRPr="00150391">
        <w:rPr>
          <w:rFonts w:ascii="Calibri" w:hAnsi="Calibri" w:cs="Calibri"/>
        </w:rPr>
        <w:t>2025</w:t>
      </w:r>
      <w:r w:rsidR="53BF0693" w:rsidRPr="00150391">
        <w:rPr>
          <w:rFonts w:ascii="Calibri" w:hAnsi="Calibri" w:cs="Calibri"/>
        </w:rPr>
        <w:t>-</w:t>
      </w:r>
      <w:r w:rsidRPr="00150391">
        <w:rPr>
          <w:rFonts w:ascii="Calibri" w:hAnsi="Calibri" w:cs="Calibri"/>
        </w:rPr>
        <w:t>26</w:t>
      </w:r>
      <w:r w:rsidR="53BF0693" w:rsidRPr="00150391">
        <w:rPr>
          <w:rFonts w:ascii="Calibri" w:hAnsi="Calibri" w:cs="Calibri"/>
        </w:rPr>
        <w:t>).</w:t>
      </w:r>
      <w:r w:rsidR="00FD6F89" w:rsidRPr="00150391">
        <w:rPr>
          <w:rFonts w:ascii="Calibri" w:hAnsi="Calibri" w:cs="Calibri"/>
        </w:rPr>
        <w:t xml:space="preserve">  Associated targets and expected dates of achievement are report</w:t>
      </w:r>
      <w:r w:rsidR="00CA66F6" w:rsidRPr="00150391">
        <w:rPr>
          <w:rFonts w:ascii="Calibri" w:hAnsi="Calibri" w:cs="Calibri"/>
        </w:rPr>
        <w:t>ed</w:t>
      </w:r>
      <w:r w:rsidR="00FD6F89" w:rsidRPr="00150391">
        <w:rPr>
          <w:rFonts w:ascii="Calibri" w:hAnsi="Calibri" w:cs="Calibri"/>
        </w:rPr>
        <w:t xml:space="preserve"> where these are relevant.</w:t>
      </w:r>
    </w:p>
    <w:p w14:paraId="6BC38219" w14:textId="77777777" w:rsidR="00FA0945" w:rsidRPr="00150391" w:rsidRDefault="008719B0" w:rsidP="00580008">
      <w:pPr>
        <w:pStyle w:val="Boxed2Text"/>
        <w:rPr>
          <w:rFonts w:cs="Calibri"/>
        </w:rPr>
      </w:pPr>
      <w:r w:rsidRPr="00150391">
        <w:rPr>
          <w:rFonts w:cs="Calibri"/>
          <w:bCs/>
        </w:rPr>
        <w:t>I</w:t>
      </w:r>
      <w:r w:rsidR="53BF0693" w:rsidRPr="00150391">
        <w:rPr>
          <w:rFonts w:cs="Calibri"/>
        </w:rPr>
        <w:t>f the performance measures and associated targets</w:t>
      </w:r>
      <w:r w:rsidR="00FD6F89" w:rsidRPr="00150391">
        <w:rPr>
          <w:rFonts w:cs="Calibri"/>
        </w:rPr>
        <w:t xml:space="preserve"> (where appropriate)</w:t>
      </w:r>
      <w:r w:rsidR="53BF0693" w:rsidRPr="00150391">
        <w:rPr>
          <w:rFonts w:cs="Calibri"/>
        </w:rPr>
        <w:t xml:space="preserve"> for </w:t>
      </w:r>
      <w:r w:rsidR="0007613A" w:rsidRPr="00150391">
        <w:rPr>
          <w:rFonts w:cs="Calibri"/>
        </w:rPr>
        <w:t>2022</w:t>
      </w:r>
      <w:r w:rsidR="53BF0693" w:rsidRPr="00150391">
        <w:rPr>
          <w:rFonts w:cs="Calibri"/>
        </w:rPr>
        <w:t>-</w:t>
      </w:r>
      <w:r w:rsidR="0007613A" w:rsidRPr="00150391">
        <w:rPr>
          <w:rFonts w:cs="Calibri"/>
        </w:rPr>
        <w:t xml:space="preserve">23 </w:t>
      </w:r>
      <w:r w:rsidR="53BF0693" w:rsidRPr="00150391">
        <w:rPr>
          <w:rFonts w:cs="Calibri"/>
        </w:rPr>
        <w:t xml:space="preserve">and beyond are the same, entities may wish to describe them “as per </w:t>
      </w:r>
      <w:r w:rsidR="0007613A" w:rsidRPr="00150391">
        <w:rPr>
          <w:rFonts w:cs="Calibri"/>
        </w:rPr>
        <w:t>2021</w:t>
      </w:r>
      <w:r w:rsidR="53BF0693" w:rsidRPr="00150391">
        <w:rPr>
          <w:rFonts w:cs="Calibri"/>
        </w:rPr>
        <w:t>-</w:t>
      </w:r>
      <w:r w:rsidR="0007613A" w:rsidRPr="00150391">
        <w:rPr>
          <w:rFonts w:cs="Calibri"/>
        </w:rPr>
        <w:t>22</w:t>
      </w:r>
      <w:r w:rsidR="53BF0693" w:rsidRPr="00150391">
        <w:rPr>
          <w:rFonts w:cs="Calibri"/>
        </w:rPr>
        <w:t>” in the forward year columns to avoid duplicating text.</w:t>
      </w:r>
    </w:p>
    <w:p w14:paraId="4662F53D" w14:textId="77777777" w:rsidR="00907A92" w:rsidRPr="00150391" w:rsidRDefault="53BF0693" w:rsidP="00D77823">
      <w:pPr>
        <w:pStyle w:val="Heading4"/>
        <w:rPr>
          <w:rFonts w:ascii="Calibri" w:hAnsi="Calibri" w:cs="Calibri"/>
        </w:rPr>
      </w:pPr>
      <w:r w:rsidRPr="00150391">
        <w:rPr>
          <w:rFonts w:ascii="Calibri" w:hAnsi="Calibri" w:cs="Calibri"/>
        </w:rPr>
        <w:t>Associated targets</w:t>
      </w:r>
    </w:p>
    <w:p w14:paraId="5D66FE40" w14:textId="03003A4F" w:rsidR="00907A92" w:rsidRPr="00150391" w:rsidRDefault="53BF0693" w:rsidP="000A7DEC">
      <w:pPr>
        <w:rPr>
          <w:rFonts w:cs="Calibri"/>
        </w:rPr>
      </w:pPr>
      <w:r w:rsidRPr="00150391">
        <w:rPr>
          <w:rFonts w:cs="Calibri"/>
        </w:rPr>
        <w:t xml:space="preserve">The </w:t>
      </w:r>
      <w:r w:rsidRPr="00150391">
        <w:rPr>
          <w:rFonts w:cs="Calibri"/>
          <w:i/>
        </w:rPr>
        <w:t xml:space="preserve">PGPA Rule </w:t>
      </w:r>
      <w:r w:rsidR="0087087B" w:rsidRPr="00150391">
        <w:rPr>
          <w:rFonts w:cs="Calibri"/>
          <w:i/>
        </w:rPr>
        <w:t>2014</w:t>
      </w:r>
      <w:r w:rsidR="00F1268C" w:rsidRPr="00150391">
        <w:rPr>
          <w:rFonts w:cs="Calibri"/>
          <w:i/>
        </w:rPr>
        <w:t xml:space="preserve"> </w:t>
      </w:r>
      <w:r w:rsidRPr="00150391">
        <w:rPr>
          <w:rFonts w:cs="Calibri"/>
        </w:rPr>
        <w:t>(subsection 16E</w:t>
      </w:r>
      <w:r w:rsidR="00B31ED0" w:rsidRPr="00150391">
        <w:rPr>
          <w:rFonts w:cs="Calibri"/>
        </w:rPr>
        <w:t xml:space="preserve"> </w:t>
      </w:r>
      <w:r w:rsidRPr="00150391">
        <w:rPr>
          <w:rFonts w:cs="Calibri"/>
        </w:rPr>
        <w:t xml:space="preserve">(2) Item 5) requires performance information to include targets where it is reasonably practicable to set a target. If it is not considered reasonably practicable to set a target for a particular performance measure, this should be explained in the PB Statements. This may be done in the body of </w:t>
      </w:r>
      <w:r w:rsidRPr="00150391">
        <w:rPr>
          <w:rFonts w:cs="Calibri"/>
          <w:i/>
          <w:iCs/>
        </w:rPr>
        <w:t>Table 2.X.3</w:t>
      </w:r>
      <w:r w:rsidRPr="00150391">
        <w:rPr>
          <w:rFonts w:cs="Calibri"/>
        </w:rPr>
        <w:t xml:space="preserve"> or as footnote to the table.</w:t>
      </w:r>
    </w:p>
    <w:p w14:paraId="5334B5F7" w14:textId="77777777" w:rsidR="00907A92" w:rsidRPr="00150391" w:rsidRDefault="53BF0693" w:rsidP="00D77823">
      <w:pPr>
        <w:pStyle w:val="Heading4"/>
        <w:rPr>
          <w:rFonts w:ascii="Calibri" w:hAnsi="Calibri" w:cs="Calibri"/>
        </w:rPr>
      </w:pPr>
      <w:r w:rsidRPr="00150391">
        <w:rPr>
          <w:rFonts w:ascii="Calibri" w:hAnsi="Calibri" w:cs="Calibri"/>
        </w:rPr>
        <w:t>Expected date of achievement</w:t>
      </w:r>
    </w:p>
    <w:p w14:paraId="2835A0F8" w14:textId="36F9BBA7" w:rsidR="0040713F" w:rsidRPr="00150391" w:rsidRDefault="53BF0693" w:rsidP="53BF0693">
      <w:pPr>
        <w:rPr>
          <w:rFonts w:cs="Calibri"/>
          <w:b/>
          <w:bCs/>
        </w:rPr>
      </w:pPr>
      <w:r w:rsidRPr="00150391">
        <w:rPr>
          <w:rFonts w:cs="Calibri"/>
        </w:rPr>
        <w:t xml:space="preserve">As many programs are ongoing, it is not practicable to report an expected date of achievement. If this is the case, this should be explained in the PB Statements. This may be done in the body of </w:t>
      </w:r>
      <w:r w:rsidRPr="00150391">
        <w:rPr>
          <w:rFonts w:cs="Calibri"/>
          <w:i/>
          <w:iCs/>
        </w:rPr>
        <w:t>Table 2.X.3</w:t>
      </w:r>
      <w:r w:rsidRPr="00150391">
        <w:rPr>
          <w:rFonts w:cs="Calibri"/>
        </w:rPr>
        <w:t xml:space="preserve"> or as footnote to the table. </w:t>
      </w:r>
    </w:p>
    <w:p w14:paraId="2C6D1493" w14:textId="77777777" w:rsidR="00C07FC8" w:rsidRPr="00150391" w:rsidRDefault="53BF0693" w:rsidP="00D77823">
      <w:pPr>
        <w:pStyle w:val="Heading4"/>
        <w:rPr>
          <w:rFonts w:ascii="Calibri" w:hAnsi="Calibri" w:cs="Calibri"/>
        </w:rPr>
      </w:pPr>
      <w:r w:rsidRPr="00150391">
        <w:rPr>
          <w:rFonts w:ascii="Calibri" w:hAnsi="Calibri" w:cs="Calibri"/>
        </w:rPr>
        <w:t>Characteristics of performance measures</w:t>
      </w:r>
    </w:p>
    <w:p w14:paraId="6FBB1401" w14:textId="48FE3E77" w:rsidR="00C07FC8" w:rsidRPr="00150391" w:rsidRDefault="53BF0693" w:rsidP="000A7DEC">
      <w:pPr>
        <w:rPr>
          <w:rFonts w:cs="Calibri"/>
        </w:rPr>
      </w:pPr>
      <w:r w:rsidRPr="00150391">
        <w:rPr>
          <w:rFonts w:cs="Calibri"/>
        </w:rPr>
        <w:t xml:space="preserve">Subsection 16EA of the </w:t>
      </w:r>
      <w:r w:rsidRPr="00150391">
        <w:rPr>
          <w:rFonts w:cs="Calibri"/>
          <w:i/>
        </w:rPr>
        <w:t xml:space="preserve">PGPA Rule </w:t>
      </w:r>
      <w:r w:rsidR="0087087B" w:rsidRPr="00150391">
        <w:rPr>
          <w:rFonts w:cs="Calibri"/>
          <w:i/>
        </w:rPr>
        <w:t>2014</w:t>
      </w:r>
      <w:r w:rsidR="0087087B" w:rsidRPr="00150391">
        <w:rPr>
          <w:rFonts w:cs="Calibri"/>
        </w:rPr>
        <w:t xml:space="preserve"> </w:t>
      </w:r>
      <w:r w:rsidRPr="00150391">
        <w:rPr>
          <w:rFonts w:cs="Calibri"/>
        </w:rPr>
        <w:t xml:space="preserve">sets out the characteristics of performance measures. </w:t>
      </w:r>
    </w:p>
    <w:p w14:paraId="76FB6AF0" w14:textId="57213714" w:rsidR="00C07FC8" w:rsidRPr="00150391" w:rsidRDefault="53BF0693" w:rsidP="00C07FC8">
      <w:pPr>
        <w:rPr>
          <w:rFonts w:cs="Calibri"/>
        </w:rPr>
      </w:pPr>
      <w:r w:rsidRPr="00150391">
        <w:rPr>
          <w:rFonts w:cs="Calibri"/>
        </w:rPr>
        <w:t xml:space="preserve">Entities should reference guidance in </w:t>
      </w:r>
      <w:hyperlink r:id="rId82">
        <w:r w:rsidR="008A7416" w:rsidRPr="002B4935">
          <w:rPr>
            <w:rStyle w:val="Hyperlink"/>
            <w:rFonts w:ascii="Calibri" w:hAnsi="Calibri" w:cs="Calibri"/>
            <w:iCs/>
            <w:color w:val="0070C0"/>
          </w:rPr>
          <w:t>developing good performance information (RMG 131)</w:t>
        </w:r>
      </w:hyperlink>
      <w:r w:rsidRPr="00150391">
        <w:rPr>
          <w:rFonts w:cs="Calibri"/>
        </w:rPr>
        <w:t xml:space="preserve"> when developing performance measures. </w:t>
      </w:r>
    </w:p>
    <w:p w14:paraId="26426DB4" w14:textId="77777777" w:rsidR="00C07FC8" w:rsidRPr="00150391" w:rsidRDefault="53BF0693" w:rsidP="00D77823">
      <w:pPr>
        <w:pStyle w:val="Heading4"/>
        <w:rPr>
          <w:rFonts w:ascii="Calibri" w:hAnsi="Calibri" w:cs="Calibri"/>
        </w:rPr>
      </w:pPr>
      <w:r w:rsidRPr="00150391">
        <w:rPr>
          <w:rFonts w:ascii="Calibri" w:hAnsi="Calibri" w:cs="Calibri"/>
        </w:rPr>
        <w:t xml:space="preserve">Achieving a “clear read” </w:t>
      </w:r>
    </w:p>
    <w:p w14:paraId="5D775740" w14:textId="0ABD8A5A" w:rsidR="00B97B84" w:rsidRPr="00150391" w:rsidRDefault="53BF0693" w:rsidP="000A7DEC">
      <w:pPr>
        <w:rPr>
          <w:rFonts w:cs="Calibri"/>
        </w:rPr>
      </w:pPr>
      <w:r w:rsidRPr="00150391">
        <w:rPr>
          <w:rFonts w:cs="Calibri"/>
        </w:rPr>
        <w:t xml:space="preserve">The performance measures reported in </w:t>
      </w:r>
      <w:r w:rsidRPr="00150391">
        <w:rPr>
          <w:rFonts w:cs="Calibri"/>
          <w:i/>
          <w:iCs/>
        </w:rPr>
        <w:t>Table 2.X.3</w:t>
      </w:r>
      <w:r w:rsidRPr="00150391">
        <w:rPr>
          <w:rFonts w:cs="Calibri"/>
        </w:rPr>
        <w:t xml:space="preserve"> should be developed in the context of performance information in corporate plans, annual performance statements and any other public reporting under legislation or required by government.</w:t>
      </w:r>
      <w:r w:rsidR="00541FE5" w:rsidRPr="00150391">
        <w:rPr>
          <w:rFonts w:cs="Calibri"/>
        </w:rPr>
        <w:t xml:space="preserve"> The new requirement to report key activities in the current corporate plan that each program relates to will assist in achieving a clear read.</w:t>
      </w:r>
    </w:p>
    <w:p w14:paraId="04947991" w14:textId="7556B280" w:rsidR="00496ACF" w:rsidRPr="00150391" w:rsidRDefault="53BF0693" w:rsidP="00913329">
      <w:pPr>
        <w:rPr>
          <w:rFonts w:eastAsiaTheme="majorEastAsia" w:cs="Calibri"/>
          <w:bCs/>
          <w:color w:val="1C1C1C" w:themeColor="text2"/>
          <w:sz w:val="30"/>
          <w:szCs w:val="22"/>
        </w:rPr>
      </w:pPr>
      <w:r w:rsidRPr="00150391">
        <w:rPr>
          <w:rFonts w:cs="Calibri"/>
        </w:rPr>
        <w:t>A clear read across reporting documents allows performance information in different places</w:t>
      </w:r>
      <w:r w:rsidR="001954FB">
        <w:rPr>
          <w:rFonts w:cs="Calibri"/>
        </w:rPr>
        <w:t xml:space="preserve"> </w:t>
      </w:r>
      <w:r w:rsidRPr="00150391">
        <w:rPr>
          <w:rFonts w:cs="Calibri"/>
        </w:rPr>
        <w:t>—</w:t>
      </w:r>
      <w:r w:rsidR="001954FB">
        <w:rPr>
          <w:rFonts w:cs="Calibri"/>
        </w:rPr>
        <w:t xml:space="preserve"> </w:t>
      </w:r>
      <w:r w:rsidRPr="00150391">
        <w:rPr>
          <w:rFonts w:cs="Calibri"/>
        </w:rPr>
        <w:t>and at different levels of granularity</w:t>
      </w:r>
      <w:r w:rsidR="001954FB">
        <w:rPr>
          <w:rFonts w:cs="Calibri"/>
        </w:rPr>
        <w:t xml:space="preserve"> </w:t>
      </w:r>
      <w:r w:rsidRPr="00150391">
        <w:rPr>
          <w:rFonts w:cs="Calibri"/>
        </w:rPr>
        <w:t>—</w:t>
      </w:r>
      <w:r w:rsidR="001954FB">
        <w:rPr>
          <w:rFonts w:cs="Calibri"/>
        </w:rPr>
        <w:t xml:space="preserve"> </w:t>
      </w:r>
      <w:r w:rsidRPr="00150391">
        <w:rPr>
          <w:rFonts w:cs="Calibri"/>
        </w:rPr>
        <w:t>to be combined to provide a reader with a clear understanding of an entity’s planned and actual performance.</w:t>
      </w:r>
      <w:bookmarkStart w:id="704" w:name="_Toc61875030"/>
      <w:bookmarkStart w:id="705" w:name="_Toc62648882"/>
      <w:bookmarkStart w:id="706" w:name="_Toc61875031"/>
      <w:bookmarkStart w:id="707" w:name="_Toc62648883"/>
      <w:bookmarkStart w:id="708" w:name="_Toc61875032"/>
      <w:bookmarkStart w:id="709" w:name="_Toc62648884"/>
      <w:bookmarkStart w:id="710" w:name="_Toc61875033"/>
      <w:bookmarkStart w:id="711" w:name="_Toc62648885"/>
      <w:bookmarkStart w:id="712" w:name="_Toc33099408"/>
      <w:bookmarkStart w:id="713" w:name="_Toc33196033"/>
      <w:bookmarkStart w:id="714" w:name="_Toc33196335"/>
      <w:bookmarkStart w:id="715" w:name="_Toc33099409"/>
      <w:bookmarkStart w:id="716" w:name="_Toc33196034"/>
      <w:bookmarkStart w:id="717" w:name="_Toc33196336"/>
      <w:bookmarkStart w:id="718" w:name="_Toc534382570"/>
      <w:bookmarkStart w:id="719" w:name="_Ref62052375"/>
      <w:bookmarkStart w:id="720" w:name="_Ref62052777"/>
      <w:bookmarkStart w:id="721" w:name="_Toc6334772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2D8144D0" w14:textId="476B9088" w:rsidR="00FA0945" w:rsidRPr="00150391" w:rsidRDefault="53BF0693" w:rsidP="00CF6BE7">
      <w:pPr>
        <w:pStyle w:val="Heading3Numbered"/>
        <w:rPr>
          <w:rFonts w:ascii="Calibri" w:hAnsi="Calibri" w:cs="Calibri"/>
        </w:rPr>
      </w:pPr>
      <w:bookmarkStart w:id="722" w:name="_Ref94874397"/>
      <w:bookmarkStart w:id="723" w:name="_Ref94874409"/>
      <w:bookmarkStart w:id="724" w:name="_Toc114576313"/>
      <w:r w:rsidRPr="00150391">
        <w:rPr>
          <w:rFonts w:ascii="Calibri" w:hAnsi="Calibri" w:cs="Calibri"/>
        </w:rPr>
        <w:t>Presentation of new or modified performance measures</w:t>
      </w:r>
      <w:bookmarkEnd w:id="722"/>
      <w:bookmarkEnd w:id="723"/>
      <w:bookmarkEnd w:id="724"/>
      <w:r w:rsidRPr="00150391">
        <w:rPr>
          <w:rFonts w:ascii="Calibri" w:hAnsi="Calibri" w:cs="Calibri"/>
        </w:rPr>
        <w:t xml:space="preserve"> </w:t>
      </w:r>
      <w:bookmarkEnd w:id="718"/>
      <w:bookmarkEnd w:id="719"/>
      <w:bookmarkEnd w:id="720"/>
      <w:bookmarkEnd w:id="721"/>
    </w:p>
    <w:p w14:paraId="5339B7FA" w14:textId="77777777" w:rsidR="00CD5D5F" w:rsidRPr="00150391" w:rsidRDefault="53BF0693" w:rsidP="000A7DEC">
      <w:pPr>
        <w:rPr>
          <w:rFonts w:cs="Calibri"/>
        </w:rPr>
      </w:pPr>
      <w:r w:rsidRPr="00150391">
        <w:rPr>
          <w:rFonts w:cs="Calibri"/>
        </w:rPr>
        <w:t>If there is a new program introduced or material changes made to existing programs as a result of budget measures in the 202</w:t>
      </w:r>
      <w:r w:rsidR="0007613A" w:rsidRPr="00150391">
        <w:rPr>
          <w:rFonts w:cs="Calibri"/>
        </w:rPr>
        <w:t>2</w:t>
      </w:r>
      <w:r w:rsidRPr="00150391">
        <w:rPr>
          <w:rFonts w:cs="Calibri"/>
        </w:rPr>
        <w:t>-</w:t>
      </w:r>
      <w:r w:rsidR="0007613A" w:rsidRPr="00150391">
        <w:rPr>
          <w:rFonts w:cs="Calibri"/>
        </w:rPr>
        <w:t xml:space="preserve">23 </w:t>
      </w:r>
      <w:r w:rsidRPr="00150391">
        <w:rPr>
          <w:rFonts w:cs="Calibri"/>
        </w:rPr>
        <w:t xml:space="preserve">Budget, two references need to be included in </w:t>
      </w:r>
      <w:r w:rsidRPr="00150391">
        <w:rPr>
          <w:rFonts w:cs="Calibri"/>
          <w:i/>
          <w:iCs/>
        </w:rPr>
        <w:t>Table 2.X.3</w:t>
      </w:r>
      <w:r w:rsidRPr="00150391">
        <w:rPr>
          <w:rFonts w:cs="Calibri"/>
        </w:rPr>
        <w:t>:</w:t>
      </w:r>
    </w:p>
    <w:p w14:paraId="6853D88B" w14:textId="77777777" w:rsidR="00FA0945" w:rsidRPr="00150391" w:rsidRDefault="53BF0693" w:rsidP="001D30A2">
      <w:pPr>
        <w:pStyle w:val="Bullet1"/>
        <w:rPr>
          <w:rFonts w:ascii="Calibri" w:hAnsi="Calibri" w:cs="Calibri"/>
        </w:rPr>
      </w:pPr>
      <w:r w:rsidRPr="00150391">
        <w:rPr>
          <w:rFonts w:ascii="Calibri" w:hAnsi="Calibri" w:cs="Calibri"/>
        </w:rPr>
        <w:t xml:space="preserve">performance measures that have been modified or added should be presented </w:t>
      </w:r>
      <w:r w:rsidRPr="00150391">
        <w:rPr>
          <w:rFonts w:ascii="Calibri" w:hAnsi="Calibri" w:cs="Calibri"/>
          <w:u w:val="single"/>
        </w:rPr>
        <w:t>underlined</w:t>
      </w:r>
      <w:r w:rsidRPr="00150391">
        <w:rPr>
          <w:rFonts w:ascii="Calibri" w:hAnsi="Calibri" w:cs="Calibri"/>
        </w:rPr>
        <w:t xml:space="preserve"> and in </w:t>
      </w:r>
      <w:r w:rsidRPr="00150391">
        <w:rPr>
          <w:rFonts w:ascii="Calibri" w:hAnsi="Calibri" w:cs="Calibri"/>
          <w:i/>
          <w:iCs/>
        </w:rPr>
        <w:t>italics</w:t>
      </w:r>
      <w:r w:rsidRPr="00150391">
        <w:rPr>
          <w:rFonts w:ascii="Calibri" w:hAnsi="Calibri" w:cs="Calibri"/>
        </w:rPr>
        <w:t xml:space="preserve"> in the Performance Measures section of </w:t>
      </w:r>
      <w:r w:rsidRPr="00150391">
        <w:rPr>
          <w:rFonts w:ascii="Calibri" w:hAnsi="Calibri" w:cs="Calibri"/>
          <w:i/>
          <w:iCs/>
        </w:rPr>
        <w:t>Table 2.X.3</w:t>
      </w:r>
      <w:r w:rsidRPr="00150391">
        <w:rPr>
          <w:rFonts w:ascii="Calibri" w:hAnsi="Calibri" w:cs="Calibri"/>
        </w:rPr>
        <w:t xml:space="preserve"> for the relevant program  </w:t>
      </w:r>
    </w:p>
    <w:p w14:paraId="032AF80C" w14:textId="2033382A" w:rsidR="000D6117" w:rsidRPr="000D6117" w:rsidRDefault="00CD5D5F" w:rsidP="000D6117">
      <w:pPr>
        <w:pStyle w:val="Bullet1"/>
        <w:rPr>
          <w:rFonts w:ascii="Calibri" w:hAnsi="Calibri" w:cs="Calibri"/>
        </w:rPr>
      </w:pPr>
      <w:r w:rsidRPr="00150391">
        <w:rPr>
          <w:rFonts w:ascii="Calibri" w:hAnsi="Calibri" w:cs="Calibri"/>
        </w:rPr>
        <w:t xml:space="preserve">reference should be made to the budget measure that has materially changed the program in the material change section of </w:t>
      </w:r>
      <w:r w:rsidRPr="00150391">
        <w:rPr>
          <w:rFonts w:ascii="Calibri" w:hAnsi="Calibri" w:cs="Calibri"/>
          <w:i/>
          <w:iCs/>
        </w:rPr>
        <w:t>Table 2.X.3</w:t>
      </w:r>
      <w:r w:rsidR="00866FEC" w:rsidRPr="00150391">
        <w:rPr>
          <w:rFonts w:ascii="Calibri" w:hAnsi="Calibri" w:cs="Calibri"/>
        </w:rPr>
        <w:t xml:space="preserve"> (suggested wording is prov</w:t>
      </w:r>
      <w:r w:rsidR="00636554" w:rsidRPr="00150391">
        <w:rPr>
          <w:rFonts w:ascii="Calibri" w:hAnsi="Calibri" w:cs="Calibri"/>
        </w:rPr>
        <w:t xml:space="preserve">ided in the template at section </w:t>
      </w:r>
      <w:r w:rsidR="003B47B3" w:rsidRPr="00150391">
        <w:rPr>
          <w:rStyle w:val="CrossReferenceChar"/>
          <w:rFonts w:ascii="Calibri" w:hAnsi="Calibri" w:cs="Calibri"/>
          <w:u w:val="none"/>
        </w:rPr>
        <w:t>four</w:t>
      </w:r>
      <w:r w:rsidR="00866FEC" w:rsidRPr="00150391">
        <w:rPr>
          <w:rFonts w:ascii="Calibri" w:hAnsi="Calibri" w:cs="Calibri"/>
        </w:rPr>
        <w:t>).</w:t>
      </w:r>
      <w:bookmarkStart w:id="725" w:name="_Toc61875035"/>
      <w:bookmarkStart w:id="726" w:name="_Toc62648887"/>
      <w:bookmarkEnd w:id="725"/>
      <w:bookmarkEnd w:id="726"/>
      <w:r w:rsidR="000D6117" w:rsidRPr="000D6117">
        <w:rPr>
          <w:rFonts w:ascii="Calibri" w:hAnsi="Calibri" w:cs="Calibri"/>
        </w:rPr>
        <w:br w:type="page"/>
      </w:r>
    </w:p>
    <w:p w14:paraId="0FCC106A" w14:textId="77777777" w:rsidR="00FA0945" w:rsidRPr="00150391" w:rsidRDefault="53BF0693" w:rsidP="00CF6BE7">
      <w:pPr>
        <w:pStyle w:val="Heading1Numbered"/>
        <w:rPr>
          <w:rFonts w:ascii="Calibri" w:hAnsi="Calibri" w:cs="Calibri"/>
        </w:rPr>
      </w:pPr>
      <w:bookmarkStart w:id="727" w:name="_Toc47369902"/>
      <w:bookmarkStart w:id="728" w:name="_Toc534519177"/>
      <w:bookmarkStart w:id="729" w:name="_Toc534520087"/>
      <w:bookmarkStart w:id="730" w:name="_Toc534520357"/>
      <w:bookmarkStart w:id="731" w:name="_Toc534527569"/>
      <w:bookmarkStart w:id="732" w:name="_Toc534528299"/>
      <w:bookmarkStart w:id="733" w:name="_Toc534803520"/>
      <w:bookmarkStart w:id="734" w:name="_Toc534814211"/>
      <w:bookmarkStart w:id="735" w:name="_Toc536108584"/>
      <w:bookmarkStart w:id="736" w:name="_Toc534519178"/>
      <w:bookmarkStart w:id="737" w:name="_Toc534520088"/>
      <w:bookmarkStart w:id="738" w:name="_Toc534520358"/>
      <w:bookmarkStart w:id="739" w:name="_Toc534527570"/>
      <w:bookmarkStart w:id="740" w:name="_Toc534528300"/>
      <w:bookmarkStart w:id="741" w:name="_Toc534803521"/>
      <w:bookmarkStart w:id="742" w:name="_Toc534814212"/>
      <w:bookmarkStart w:id="743" w:name="_Toc536108585"/>
      <w:bookmarkStart w:id="744" w:name="_Toc29980701"/>
      <w:bookmarkStart w:id="745" w:name="_Toc30405589"/>
      <w:bookmarkStart w:id="746" w:name="_Toc30581330"/>
      <w:bookmarkStart w:id="747" w:name="_Toc32829992"/>
      <w:bookmarkStart w:id="748" w:name="_Toc32917499"/>
      <w:bookmarkStart w:id="749" w:name="_Toc32918305"/>
      <w:bookmarkStart w:id="750" w:name="_Toc32999688"/>
      <w:bookmarkStart w:id="751" w:name="_Toc33099412"/>
      <w:bookmarkStart w:id="752" w:name="_Toc33196037"/>
      <w:bookmarkStart w:id="753" w:name="_Toc33196339"/>
      <w:bookmarkStart w:id="754" w:name="_Toc29980702"/>
      <w:bookmarkStart w:id="755" w:name="_Toc30405590"/>
      <w:bookmarkStart w:id="756" w:name="_Toc30581331"/>
      <w:bookmarkStart w:id="757" w:name="_Toc32829993"/>
      <w:bookmarkStart w:id="758" w:name="_Toc32917500"/>
      <w:bookmarkStart w:id="759" w:name="_Toc32918306"/>
      <w:bookmarkStart w:id="760" w:name="_Toc32999689"/>
      <w:bookmarkStart w:id="761" w:name="_Toc33099413"/>
      <w:bookmarkStart w:id="762" w:name="_Toc33196038"/>
      <w:bookmarkStart w:id="763" w:name="_Toc33196340"/>
      <w:bookmarkStart w:id="764" w:name="_Toc29980703"/>
      <w:bookmarkStart w:id="765" w:name="_Toc30405591"/>
      <w:bookmarkStart w:id="766" w:name="_Toc30581332"/>
      <w:bookmarkStart w:id="767" w:name="_Toc32829994"/>
      <w:bookmarkStart w:id="768" w:name="_Toc32917501"/>
      <w:bookmarkStart w:id="769" w:name="_Toc32918307"/>
      <w:bookmarkStart w:id="770" w:name="_Toc32999690"/>
      <w:bookmarkStart w:id="771" w:name="_Toc33099414"/>
      <w:bookmarkStart w:id="772" w:name="_Toc33196039"/>
      <w:bookmarkStart w:id="773" w:name="_Toc33196341"/>
      <w:bookmarkStart w:id="774" w:name="_Toc29980704"/>
      <w:bookmarkStart w:id="775" w:name="_Toc30405592"/>
      <w:bookmarkStart w:id="776" w:name="_Toc30581333"/>
      <w:bookmarkStart w:id="777" w:name="_Toc32829995"/>
      <w:bookmarkStart w:id="778" w:name="_Toc32917502"/>
      <w:bookmarkStart w:id="779" w:name="_Toc32918308"/>
      <w:bookmarkStart w:id="780" w:name="_Toc32999691"/>
      <w:bookmarkStart w:id="781" w:name="_Toc33099415"/>
      <w:bookmarkStart w:id="782" w:name="_Toc33196040"/>
      <w:bookmarkStart w:id="783" w:name="_Toc33196342"/>
      <w:bookmarkStart w:id="784" w:name="_Toc29980705"/>
      <w:bookmarkStart w:id="785" w:name="_Toc30405593"/>
      <w:bookmarkStart w:id="786" w:name="_Toc30581334"/>
      <w:bookmarkStart w:id="787" w:name="_Toc32829996"/>
      <w:bookmarkStart w:id="788" w:name="_Toc32917503"/>
      <w:bookmarkStart w:id="789" w:name="_Toc32918309"/>
      <w:bookmarkStart w:id="790" w:name="_Toc32999692"/>
      <w:bookmarkStart w:id="791" w:name="_Toc33099416"/>
      <w:bookmarkStart w:id="792" w:name="_Toc33196041"/>
      <w:bookmarkStart w:id="793" w:name="_Toc33196343"/>
      <w:bookmarkStart w:id="794" w:name="_Toc29980706"/>
      <w:bookmarkStart w:id="795" w:name="_Toc30405594"/>
      <w:bookmarkStart w:id="796" w:name="_Toc30581335"/>
      <w:bookmarkStart w:id="797" w:name="_Toc32829997"/>
      <w:bookmarkStart w:id="798" w:name="_Toc32917504"/>
      <w:bookmarkStart w:id="799" w:name="_Toc32918310"/>
      <w:bookmarkStart w:id="800" w:name="_Toc32999693"/>
      <w:bookmarkStart w:id="801" w:name="_Toc33099417"/>
      <w:bookmarkStart w:id="802" w:name="_Toc33196042"/>
      <w:bookmarkStart w:id="803" w:name="_Toc33196344"/>
      <w:bookmarkStart w:id="804" w:name="_Toc29980707"/>
      <w:bookmarkStart w:id="805" w:name="_Toc30405595"/>
      <w:bookmarkStart w:id="806" w:name="_Toc30581336"/>
      <w:bookmarkStart w:id="807" w:name="_Toc32829998"/>
      <w:bookmarkStart w:id="808" w:name="_Toc32917505"/>
      <w:bookmarkStart w:id="809" w:name="_Toc32918311"/>
      <w:bookmarkStart w:id="810" w:name="_Toc32999694"/>
      <w:bookmarkStart w:id="811" w:name="_Toc33099418"/>
      <w:bookmarkStart w:id="812" w:name="_Toc33196043"/>
      <w:bookmarkStart w:id="813" w:name="_Toc33196345"/>
      <w:bookmarkStart w:id="814" w:name="_Toc29980708"/>
      <w:bookmarkStart w:id="815" w:name="_Toc30405596"/>
      <w:bookmarkStart w:id="816" w:name="_Toc30581337"/>
      <w:bookmarkStart w:id="817" w:name="_Toc32829999"/>
      <w:bookmarkStart w:id="818" w:name="_Toc32917506"/>
      <w:bookmarkStart w:id="819" w:name="_Toc32918312"/>
      <w:bookmarkStart w:id="820" w:name="_Toc32999695"/>
      <w:bookmarkStart w:id="821" w:name="_Toc33099419"/>
      <w:bookmarkStart w:id="822" w:name="_Toc33196044"/>
      <w:bookmarkStart w:id="823" w:name="_Toc33196346"/>
      <w:bookmarkStart w:id="824" w:name="_Toc29980709"/>
      <w:bookmarkStart w:id="825" w:name="_Toc30405597"/>
      <w:bookmarkStart w:id="826" w:name="_Toc30581338"/>
      <w:bookmarkStart w:id="827" w:name="_Toc32830000"/>
      <w:bookmarkStart w:id="828" w:name="_Toc32917507"/>
      <w:bookmarkStart w:id="829" w:name="_Toc32918313"/>
      <w:bookmarkStart w:id="830" w:name="_Toc32999696"/>
      <w:bookmarkStart w:id="831" w:name="_Toc33099420"/>
      <w:bookmarkStart w:id="832" w:name="_Toc33196045"/>
      <w:bookmarkStart w:id="833" w:name="_Toc33196347"/>
      <w:bookmarkStart w:id="834" w:name="_Toc29980710"/>
      <w:bookmarkStart w:id="835" w:name="_Toc30405598"/>
      <w:bookmarkStart w:id="836" w:name="_Toc30581339"/>
      <w:bookmarkStart w:id="837" w:name="_Toc32830001"/>
      <w:bookmarkStart w:id="838" w:name="_Toc32917508"/>
      <w:bookmarkStart w:id="839" w:name="_Toc32918314"/>
      <w:bookmarkStart w:id="840" w:name="_Toc32999697"/>
      <w:bookmarkStart w:id="841" w:name="_Toc33099421"/>
      <w:bookmarkStart w:id="842" w:name="_Toc33196046"/>
      <w:bookmarkStart w:id="843" w:name="_Toc33196348"/>
      <w:bookmarkStart w:id="844" w:name="_Toc29980711"/>
      <w:bookmarkStart w:id="845" w:name="_Toc30405599"/>
      <w:bookmarkStart w:id="846" w:name="_Toc30581340"/>
      <w:bookmarkStart w:id="847" w:name="_Toc32830002"/>
      <w:bookmarkStart w:id="848" w:name="_Toc32917509"/>
      <w:bookmarkStart w:id="849" w:name="_Toc32918315"/>
      <w:bookmarkStart w:id="850" w:name="_Toc32999698"/>
      <w:bookmarkStart w:id="851" w:name="_Toc33099422"/>
      <w:bookmarkStart w:id="852" w:name="_Toc33196047"/>
      <w:bookmarkStart w:id="853" w:name="_Toc33196349"/>
      <w:bookmarkStart w:id="854" w:name="_Toc29980712"/>
      <w:bookmarkStart w:id="855" w:name="_Toc30405600"/>
      <w:bookmarkStart w:id="856" w:name="_Toc30581341"/>
      <w:bookmarkStart w:id="857" w:name="_Toc32830003"/>
      <w:bookmarkStart w:id="858" w:name="_Toc32917510"/>
      <w:bookmarkStart w:id="859" w:name="_Toc32918316"/>
      <w:bookmarkStart w:id="860" w:name="_Toc32999699"/>
      <w:bookmarkStart w:id="861" w:name="_Toc33099423"/>
      <w:bookmarkStart w:id="862" w:name="_Toc33196048"/>
      <w:bookmarkStart w:id="863" w:name="_Toc33196350"/>
      <w:bookmarkStart w:id="864" w:name="_Toc29980713"/>
      <w:bookmarkStart w:id="865" w:name="_Toc30405601"/>
      <w:bookmarkStart w:id="866" w:name="_Toc30581342"/>
      <w:bookmarkStart w:id="867" w:name="_Toc32830004"/>
      <w:bookmarkStart w:id="868" w:name="_Toc32917511"/>
      <w:bookmarkStart w:id="869" w:name="_Toc32918317"/>
      <w:bookmarkStart w:id="870" w:name="_Toc32999700"/>
      <w:bookmarkStart w:id="871" w:name="_Toc33099424"/>
      <w:bookmarkStart w:id="872" w:name="_Toc33196049"/>
      <w:bookmarkStart w:id="873" w:name="_Toc33196351"/>
      <w:bookmarkStart w:id="874" w:name="_Toc29980714"/>
      <w:bookmarkStart w:id="875" w:name="_Toc30405602"/>
      <w:bookmarkStart w:id="876" w:name="_Toc30581343"/>
      <w:bookmarkStart w:id="877" w:name="_Toc32830005"/>
      <w:bookmarkStart w:id="878" w:name="_Toc32917512"/>
      <w:bookmarkStart w:id="879" w:name="_Toc32918318"/>
      <w:bookmarkStart w:id="880" w:name="_Toc32999701"/>
      <w:bookmarkStart w:id="881" w:name="_Toc33099425"/>
      <w:bookmarkStart w:id="882" w:name="_Toc33196050"/>
      <w:bookmarkStart w:id="883" w:name="_Toc33196352"/>
      <w:bookmarkStart w:id="884" w:name="_Toc29980715"/>
      <w:bookmarkStart w:id="885" w:name="_Toc30405603"/>
      <w:bookmarkStart w:id="886" w:name="_Toc30581344"/>
      <w:bookmarkStart w:id="887" w:name="_Toc32830006"/>
      <w:bookmarkStart w:id="888" w:name="_Toc32917513"/>
      <w:bookmarkStart w:id="889" w:name="_Toc32918319"/>
      <w:bookmarkStart w:id="890" w:name="_Toc32999702"/>
      <w:bookmarkStart w:id="891" w:name="_Toc33099426"/>
      <w:bookmarkStart w:id="892" w:name="_Toc33196051"/>
      <w:bookmarkStart w:id="893" w:name="_Toc33196353"/>
      <w:bookmarkStart w:id="894" w:name="_Toc29980716"/>
      <w:bookmarkStart w:id="895" w:name="_Toc30405604"/>
      <w:bookmarkStart w:id="896" w:name="_Toc30581345"/>
      <w:bookmarkStart w:id="897" w:name="_Toc32830007"/>
      <w:bookmarkStart w:id="898" w:name="_Toc32917514"/>
      <w:bookmarkStart w:id="899" w:name="_Toc32918320"/>
      <w:bookmarkStart w:id="900" w:name="_Toc32999703"/>
      <w:bookmarkStart w:id="901" w:name="_Toc33099427"/>
      <w:bookmarkStart w:id="902" w:name="_Toc33196052"/>
      <w:bookmarkStart w:id="903" w:name="_Toc33196354"/>
      <w:bookmarkStart w:id="904" w:name="_Toc29980717"/>
      <w:bookmarkStart w:id="905" w:name="_Toc30405605"/>
      <w:bookmarkStart w:id="906" w:name="_Toc30581346"/>
      <w:bookmarkStart w:id="907" w:name="_Toc32830008"/>
      <w:bookmarkStart w:id="908" w:name="_Toc32917515"/>
      <w:bookmarkStart w:id="909" w:name="_Toc32918321"/>
      <w:bookmarkStart w:id="910" w:name="_Toc32999704"/>
      <w:bookmarkStart w:id="911" w:name="_Toc33099428"/>
      <w:bookmarkStart w:id="912" w:name="_Toc33196053"/>
      <w:bookmarkStart w:id="913" w:name="_Toc33196355"/>
      <w:bookmarkStart w:id="914" w:name="_Toc29980718"/>
      <w:bookmarkStart w:id="915" w:name="_Toc30405606"/>
      <w:bookmarkStart w:id="916" w:name="_Toc30581347"/>
      <w:bookmarkStart w:id="917" w:name="_Toc32830009"/>
      <w:bookmarkStart w:id="918" w:name="_Toc32917516"/>
      <w:bookmarkStart w:id="919" w:name="_Toc32918322"/>
      <w:bookmarkStart w:id="920" w:name="_Toc32999705"/>
      <w:bookmarkStart w:id="921" w:name="_Toc33099429"/>
      <w:bookmarkStart w:id="922" w:name="_Toc33196054"/>
      <w:bookmarkStart w:id="923" w:name="_Toc33196356"/>
      <w:bookmarkStart w:id="924" w:name="_Toc29980719"/>
      <w:bookmarkStart w:id="925" w:name="_Toc30405607"/>
      <w:bookmarkStart w:id="926" w:name="_Toc30581348"/>
      <w:bookmarkStart w:id="927" w:name="_Toc32830010"/>
      <w:bookmarkStart w:id="928" w:name="_Toc32917517"/>
      <w:bookmarkStart w:id="929" w:name="_Toc32918323"/>
      <w:bookmarkStart w:id="930" w:name="_Toc32999706"/>
      <w:bookmarkStart w:id="931" w:name="_Toc33099430"/>
      <w:bookmarkStart w:id="932" w:name="_Toc33196055"/>
      <w:bookmarkStart w:id="933" w:name="_Toc33196357"/>
      <w:bookmarkStart w:id="934" w:name="_Toc29980720"/>
      <w:bookmarkStart w:id="935" w:name="_Toc30405608"/>
      <w:bookmarkStart w:id="936" w:name="_Toc30581349"/>
      <w:bookmarkStart w:id="937" w:name="_Toc32830011"/>
      <w:bookmarkStart w:id="938" w:name="_Toc32917518"/>
      <w:bookmarkStart w:id="939" w:name="_Toc32918324"/>
      <w:bookmarkStart w:id="940" w:name="_Toc32999707"/>
      <w:bookmarkStart w:id="941" w:name="_Toc33099431"/>
      <w:bookmarkStart w:id="942" w:name="_Toc33196056"/>
      <w:bookmarkStart w:id="943" w:name="_Toc33196358"/>
      <w:bookmarkStart w:id="944" w:name="_Toc29980721"/>
      <w:bookmarkStart w:id="945" w:name="_Toc30405609"/>
      <w:bookmarkStart w:id="946" w:name="_Toc30581350"/>
      <w:bookmarkStart w:id="947" w:name="_Toc32830012"/>
      <w:bookmarkStart w:id="948" w:name="_Toc32917519"/>
      <w:bookmarkStart w:id="949" w:name="_Toc32918325"/>
      <w:bookmarkStart w:id="950" w:name="_Toc32999708"/>
      <w:bookmarkStart w:id="951" w:name="_Toc33099432"/>
      <w:bookmarkStart w:id="952" w:name="_Toc33196057"/>
      <w:bookmarkStart w:id="953" w:name="_Toc33196359"/>
      <w:bookmarkStart w:id="954" w:name="_Toc29980722"/>
      <w:bookmarkStart w:id="955" w:name="_Toc30405610"/>
      <w:bookmarkStart w:id="956" w:name="_Toc30581351"/>
      <w:bookmarkStart w:id="957" w:name="_Toc32830013"/>
      <w:bookmarkStart w:id="958" w:name="_Toc32917520"/>
      <w:bookmarkStart w:id="959" w:name="_Toc32918326"/>
      <w:bookmarkStart w:id="960" w:name="_Toc32999709"/>
      <w:bookmarkStart w:id="961" w:name="_Toc33099433"/>
      <w:bookmarkStart w:id="962" w:name="_Toc33196058"/>
      <w:bookmarkStart w:id="963" w:name="_Toc33196360"/>
      <w:bookmarkStart w:id="964" w:name="_Toc29980723"/>
      <w:bookmarkStart w:id="965" w:name="_Toc30405611"/>
      <w:bookmarkStart w:id="966" w:name="_Toc30581352"/>
      <w:bookmarkStart w:id="967" w:name="_Toc32830014"/>
      <w:bookmarkStart w:id="968" w:name="_Toc32917521"/>
      <w:bookmarkStart w:id="969" w:name="_Toc32918327"/>
      <w:bookmarkStart w:id="970" w:name="_Toc32999710"/>
      <w:bookmarkStart w:id="971" w:name="_Toc33099434"/>
      <w:bookmarkStart w:id="972" w:name="_Toc33196059"/>
      <w:bookmarkStart w:id="973" w:name="_Toc33196361"/>
      <w:bookmarkStart w:id="974" w:name="_Toc29980724"/>
      <w:bookmarkStart w:id="975" w:name="_Toc30405612"/>
      <w:bookmarkStart w:id="976" w:name="_Toc30581353"/>
      <w:bookmarkStart w:id="977" w:name="_Toc32830015"/>
      <w:bookmarkStart w:id="978" w:name="_Toc32917522"/>
      <w:bookmarkStart w:id="979" w:name="_Toc32918328"/>
      <w:bookmarkStart w:id="980" w:name="_Toc32999711"/>
      <w:bookmarkStart w:id="981" w:name="_Toc33099435"/>
      <w:bookmarkStart w:id="982" w:name="_Toc33196060"/>
      <w:bookmarkStart w:id="983" w:name="_Toc33196362"/>
      <w:bookmarkStart w:id="984" w:name="_Toc534458894"/>
      <w:bookmarkStart w:id="985" w:name="_Toc534459683"/>
      <w:bookmarkStart w:id="986" w:name="_Toc534519180"/>
      <w:bookmarkStart w:id="987" w:name="_Toc534520090"/>
      <w:bookmarkStart w:id="988" w:name="_Toc534520360"/>
      <w:bookmarkStart w:id="989" w:name="_Toc534527572"/>
      <w:bookmarkStart w:id="990" w:name="_Toc534528302"/>
      <w:bookmarkStart w:id="991" w:name="_Toc534803523"/>
      <w:bookmarkStart w:id="992" w:name="_Toc534814214"/>
      <w:bookmarkStart w:id="993" w:name="_Toc536108587"/>
      <w:bookmarkStart w:id="994" w:name="_Toc536802132"/>
      <w:bookmarkStart w:id="995" w:name="_Toc422731"/>
      <w:bookmarkStart w:id="996" w:name="_Toc411852692"/>
      <w:bookmarkStart w:id="997" w:name="_Toc534382573"/>
      <w:bookmarkStart w:id="998" w:name="_Toc63347725"/>
      <w:bookmarkStart w:id="999" w:name="_Toc114576314"/>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150391">
        <w:rPr>
          <w:rFonts w:ascii="Calibri" w:hAnsi="Calibri" w:cs="Calibri"/>
        </w:rPr>
        <w:t>Budgeted financial statements</w:t>
      </w:r>
      <w:bookmarkEnd w:id="996"/>
      <w:bookmarkEnd w:id="997"/>
      <w:bookmarkEnd w:id="998"/>
      <w:bookmarkEnd w:id="999"/>
    </w:p>
    <w:p w14:paraId="229E5F9E" w14:textId="33C9626C" w:rsidR="00DF675F" w:rsidRPr="00150391" w:rsidRDefault="53BF0693" w:rsidP="000A7DEC">
      <w:pPr>
        <w:rPr>
          <w:rFonts w:cs="Calibri"/>
        </w:rPr>
      </w:pPr>
      <w:r w:rsidRPr="00150391">
        <w:rPr>
          <w:rFonts w:cs="Calibri"/>
        </w:rPr>
        <w:t xml:space="preserve">The budgeted financial statements section of the PB Statements provides financial information </w:t>
      </w:r>
      <w:r w:rsidR="005369BC" w:rsidRPr="00150391">
        <w:rPr>
          <w:rFonts w:cs="Calibri"/>
        </w:rPr>
        <w:t xml:space="preserve">on </w:t>
      </w:r>
      <w:r w:rsidRPr="00150391">
        <w:rPr>
          <w:rFonts w:cs="Calibri"/>
        </w:rPr>
        <w:t>the entity’s operations over the budget and three forward years. The</w:t>
      </w:r>
      <w:r w:rsidR="005369BC" w:rsidRPr="00150391">
        <w:rPr>
          <w:rFonts w:cs="Calibri"/>
        </w:rPr>
        <w:t xml:space="preserve"> budgeted financial statements </w:t>
      </w:r>
      <w:r w:rsidRPr="00150391">
        <w:rPr>
          <w:rFonts w:cs="Calibri"/>
        </w:rPr>
        <w:t>also include estimated actual information for the current financial year.</w:t>
      </w:r>
    </w:p>
    <w:p w14:paraId="30C6F136" w14:textId="77777777" w:rsidR="006541D7" w:rsidRPr="00150391" w:rsidRDefault="53BF0693" w:rsidP="006541D7">
      <w:pPr>
        <w:rPr>
          <w:rFonts w:cs="Calibri"/>
        </w:rPr>
      </w:pPr>
      <w:r w:rsidRPr="00150391">
        <w:rPr>
          <w:rFonts w:cs="Calibri"/>
        </w:rPr>
        <w:t>Section 3 also provides a linkage between an entity’s forecast resources and its forecast expenditure in achieving its outcomes.</w:t>
      </w:r>
    </w:p>
    <w:p w14:paraId="5B208307" w14:textId="77777777" w:rsidR="006541D7" w:rsidRPr="00150391" w:rsidRDefault="53BF0693" w:rsidP="006541D7">
      <w:pPr>
        <w:rPr>
          <w:rFonts w:cs="Calibri"/>
        </w:rPr>
      </w:pPr>
      <w:r w:rsidRPr="00150391">
        <w:rPr>
          <w:rFonts w:cs="Calibri"/>
        </w:rPr>
        <w:t>Readers are also able to compare information in the Budgeted financial statements to the financial statements published in an entity’s annual report to form a view on the financial performance of the entity.</w:t>
      </w:r>
    </w:p>
    <w:p w14:paraId="094F784A" w14:textId="2AD9ACE6" w:rsidR="00FA0945" w:rsidRPr="00150391" w:rsidRDefault="53BF0693" w:rsidP="000A7DEC">
      <w:pPr>
        <w:rPr>
          <w:rFonts w:cs="Calibri"/>
        </w:rPr>
      </w:pPr>
      <w:r w:rsidRPr="00150391">
        <w:rPr>
          <w:rFonts w:cs="Calibri"/>
        </w:rPr>
        <w:t xml:space="preserve">Entities should, to the extent possible, apply the same accounting assumptions and processes when preparing their Budgeted financial statements that they expect to use in preparing their </w:t>
      </w:r>
      <w:r w:rsidR="0007613A" w:rsidRPr="00150391">
        <w:rPr>
          <w:rFonts w:cs="Calibri"/>
        </w:rPr>
        <w:t>2022</w:t>
      </w:r>
      <w:r w:rsidRPr="00150391">
        <w:rPr>
          <w:rFonts w:cs="Calibri"/>
        </w:rPr>
        <w:t>-</w:t>
      </w:r>
      <w:r w:rsidR="0007613A" w:rsidRPr="00150391">
        <w:rPr>
          <w:rFonts w:cs="Calibri"/>
        </w:rPr>
        <w:t xml:space="preserve">23 </w:t>
      </w:r>
      <w:r w:rsidRPr="00150391">
        <w:rPr>
          <w:rFonts w:cs="Calibri"/>
        </w:rPr>
        <w:t>financial statements.</w:t>
      </w:r>
    </w:p>
    <w:p w14:paraId="48C67311" w14:textId="632277EA" w:rsidR="00FA0945" w:rsidRPr="00150391" w:rsidRDefault="53BF0693" w:rsidP="000A7DEC">
      <w:pPr>
        <w:rPr>
          <w:rFonts w:cs="Calibri"/>
        </w:rPr>
      </w:pPr>
      <w:r w:rsidRPr="00150391">
        <w:rPr>
          <w:rFonts w:cs="Calibri"/>
        </w:rPr>
        <w:t xml:space="preserve">Entities </w:t>
      </w:r>
      <w:r w:rsidR="00507A76" w:rsidRPr="00150391">
        <w:rPr>
          <w:rFonts w:cs="Calibri"/>
        </w:rPr>
        <w:t>should</w:t>
      </w:r>
      <w:r w:rsidRPr="00150391">
        <w:rPr>
          <w:rFonts w:cs="Calibri"/>
        </w:rPr>
        <w:t xml:space="preserve"> refer to the </w:t>
      </w:r>
      <w:hyperlink r:id="rId83">
        <w:r w:rsidR="0034755C" w:rsidRPr="002B4935">
          <w:rPr>
            <w:rStyle w:val="Hyperlink"/>
            <w:rFonts w:ascii="Calibri" w:hAnsi="Calibri" w:cs="Calibri"/>
            <w:color w:val="0070C0"/>
          </w:rPr>
          <w:t>Public Governance, Performance and Accountability (Financial Reporting) Rule 2015, the RMG 125 and PRIMA</w:t>
        </w:r>
      </w:hyperlink>
      <w:r w:rsidRPr="00150391">
        <w:rPr>
          <w:rFonts w:cs="Calibri"/>
        </w:rPr>
        <w:t xml:space="preserve"> when preparing their budgeted financial statements.</w:t>
      </w:r>
    </w:p>
    <w:p w14:paraId="00393842" w14:textId="4FD19C8E" w:rsidR="00FA0945" w:rsidRPr="00150391" w:rsidRDefault="53BF0693" w:rsidP="00580008">
      <w:pPr>
        <w:pStyle w:val="Boxed2Text"/>
        <w:rPr>
          <w:rFonts w:cs="Calibri"/>
        </w:rPr>
      </w:pPr>
      <w:r w:rsidRPr="00150391">
        <w:rPr>
          <w:rFonts w:cs="Calibri"/>
        </w:rPr>
        <w:t xml:space="preserve">For administered financial statements, entities should not report an administered appropriation receivable balance. This is consistent with Division 4 of the </w:t>
      </w:r>
      <w:r w:rsidR="00003A8D" w:rsidRPr="00150391">
        <w:rPr>
          <w:rFonts w:cs="Calibri"/>
        </w:rPr>
        <w:t>Financial </w:t>
      </w:r>
      <w:r w:rsidRPr="00150391">
        <w:rPr>
          <w:rFonts w:cs="Calibri"/>
        </w:rPr>
        <w:t>Reporting Rule available in the link above.</w:t>
      </w:r>
    </w:p>
    <w:p w14:paraId="3B79497B" w14:textId="639A3BA4" w:rsidR="000069A6" w:rsidRPr="00150391" w:rsidRDefault="53BF0693" w:rsidP="00A8355D">
      <w:pPr>
        <w:rPr>
          <w:rFonts w:eastAsiaTheme="majorEastAsia" w:cs="Calibri"/>
          <w:bCs/>
          <w:color w:val="1C1C1C" w:themeColor="text2"/>
          <w:sz w:val="34"/>
          <w:szCs w:val="26"/>
        </w:rPr>
      </w:pPr>
      <w:r w:rsidRPr="00150391">
        <w:rPr>
          <w:rFonts w:cs="Calibri"/>
        </w:rPr>
        <w:t xml:space="preserve">Information in the budgeted financial statements should be sourced from CBMS, with the exception of the Impact of Net Cash Appropriation Arrangements note in </w:t>
      </w:r>
      <w:r w:rsidRPr="00150391">
        <w:rPr>
          <w:rFonts w:cs="Calibri"/>
          <w:i/>
          <w:iCs/>
        </w:rPr>
        <w:t>Table 3.1</w:t>
      </w:r>
      <w:r w:rsidRPr="00150391">
        <w:rPr>
          <w:rFonts w:cs="Calibri"/>
        </w:rPr>
        <w:t xml:space="preserve"> and the certain sections of the </w:t>
      </w:r>
      <w:r w:rsidRPr="00150391">
        <w:rPr>
          <w:rFonts w:cs="Calibri"/>
          <w:i/>
          <w:iCs/>
        </w:rPr>
        <w:t>Capital Budget Statement (Table 3.5 and 3.10)</w:t>
      </w:r>
      <w:r w:rsidRPr="00150391">
        <w:rPr>
          <w:rFonts w:cs="Calibri"/>
        </w:rPr>
        <w:t xml:space="preserve"> and </w:t>
      </w:r>
      <w:r w:rsidRPr="00150391">
        <w:rPr>
          <w:rFonts w:cs="Calibri"/>
          <w:i/>
          <w:iCs/>
        </w:rPr>
        <w:t>Asset Movement Table (Table 3.6 and 3.11)</w:t>
      </w:r>
      <w:r w:rsidRPr="00150391">
        <w:rPr>
          <w:rFonts w:cs="Calibri"/>
        </w:rPr>
        <w:t>.</w:t>
      </w:r>
    </w:p>
    <w:p w14:paraId="3704C37C" w14:textId="77777777" w:rsidR="006541D7" w:rsidRPr="00150391" w:rsidRDefault="53BF0693" w:rsidP="00CF6BE7">
      <w:pPr>
        <w:pStyle w:val="Heading2Numbered"/>
        <w:rPr>
          <w:rFonts w:ascii="Calibri" w:hAnsi="Calibri" w:cs="Calibri"/>
        </w:rPr>
      </w:pPr>
      <w:bookmarkStart w:id="1000" w:name="_Toc63347726"/>
      <w:bookmarkStart w:id="1001" w:name="_Toc114576315"/>
      <w:r w:rsidRPr="00150391">
        <w:rPr>
          <w:rFonts w:ascii="Calibri" w:hAnsi="Calibri" w:cs="Calibri"/>
        </w:rPr>
        <w:t>Tables constituting the budgeted financial Statements</w:t>
      </w:r>
      <w:bookmarkEnd w:id="1000"/>
      <w:bookmarkEnd w:id="1001"/>
    </w:p>
    <w:p w14:paraId="4CCC3F11" w14:textId="77777777" w:rsidR="006541D7" w:rsidRPr="00150391" w:rsidRDefault="53BF0693" w:rsidP="000A7DEC">
      <w:pPr>
        <w:rPr>
          <w:rFonts w:cs="Calibri"/>
        </w:rPr>
      </w:pPr>
      <w:r w:rsidRPr="00150391">
        <w:rPr>
          <w:rFonts w:cs="Calibri"/>
        </w:rPr>
        <w:t>The following tables form part of the budgeted financial statements for both Departmental and Administered appropriations.</w:t>
      </w:r>
    </w:p>
    <w:p w14:paraId="529C52E8" w14:textId="77777777" w:rsidR="006541D7" w:rsidRPr="00150391" w:rsidRDefault="53BF0693" w:rsidP="53BF0693">
      <w:pPr>
        <w:rPr>
          <w:rFonts w:cs="Calibri"/>
          <w:u w:val="single"/>
        </w:rPr>
      </w:pPr>
      <w:r w:rsidRPr="00150391">
        <w:rPr>
          <w:rFonts w:cs="Calibri"/>
          <w:u w:val="single"/>
        </w:rPr>
        <w:t>Departmental</w:t>
      </w:r>
    </w:p>
    <w:p w14:paraId="52255F0E" w14:textId="77777777" w:rsidR="006541D7" w:rsidRPr="00150391" w:rsidRDefault="53BF0693" w:rsidP="53BF0693">
      <w:pPr>
        <w:pStyle w:val="Bullet1"/>
        <w:rPr>
          <w:rFonts w:ascii="Calibri" w:hAnsi="Calibri" w:cs="Calibri"/>
          <w:i/>
          <w:iCs/>
        </w:rPr>
      </w:pPr>
      <w:r w:rsidRPr="00150391">
        <w:rPr>
          <w:rFonts w:ascii="Calibri" w:hAnsi="Calibri" w:cs="Calibri"/>
          <w:i/>
          <w:iCs/>
        </w:rPr>
        <w:t>Table 3.1: Comprehensive income statement (showing net cost of services) for the period ended 30 June</w:t>
      </w:r>
    </w:p>
    <w:p w14:paraId="7EBC6E94" w14:textId="77777777" w:rsidR="006541D7" w:rsidRPr="00150391" w:rsidRDefault="53BF0693" w:rsidP="53BF0693">
      <w:pPr>
        <w:pStyle w:val="Bullet1"/>
        <w:rPr>
          <w:rFonts w:ascii="Calibri" w:hAnsi="Calibri" w:cs="Calibri"/>
          <w:i/>
          <w:iCs/>
        </w:rPr>
      </w:pPr>
      <w:r w:rsidRPr="00150391">
        <w:rPr>
          <w:rFonts w:ascii="Calibri" w:hAnsi="Calibri" w:cs="Calibri"/>
          <w:i/>
          <w:iCs/>
        </w:rPr>
        <w:t>Table 3.2: Budgeted departmental balance sheet (as at 30 June)</w:t>
      </w:r>
    </w:p>
    <w:p w14:paraId="1DEB2372" w14:textId="77777777" w:rsidR="006541D7" w:rsidRPr="00150391" w:rsidRDefault="53BF0693" w:rsidP="53BF0693">
      <w:pPr>
        <w:pStyle w:val="Bullet1"/>
        <w:rPr>
          <w:rFonts w:ascii="Calibri" w:hAnsi="Calibri" w:cs="Calibri"/>
          <w:i/>
          <w:iCs/>
        </w:rPr>
      </w:pPr>
      <w:r w:rsidRPr="00150391">
        <w:rPr>
          <w:rFonts w:ascii="Calibri" w:hAnsi="Calibri" w:cs="Calibri"/>
          <w:i/>
          <w:iCs/>
        </w:rPr>
        <w:t xml:space="preserve">Table 3.3: Departmental statement of changes in equity – summary of movement (Budget year </w:t>
      </w:r>
      <w:r w:rsidR="0007613A" w:rsidRPr="00150391">
        <w:rPr>
          <w:rFonts w:ascii="Calibri" w:hAnsi="Calibri" w:cs="Calibri"/>
          <w:i/>
          <w:iCs/>
        </w:rPr>
        <w:t>2022</w:t>
      </w:r>
      <w:r w:rsidRPr="00150391">
        <w:rPr>
          <w:rFonts w:ascii="Calibri" w:hAnsi="Calibri" w:cs="Calibri"/>
          <w:i/>
          <w:iCs/>
        </w:rPr>
        <w:t>-</w:t>
      </w:r>
      <w:r w:rsidR="0007613A" w:rsidRPr="00150391">
        <w:rPr>
          <w:rFonts w:ascii="Calibri" w:hAnsi="Calibri" w:cs="Calibri"/>
          <w:i/>
          <w:iCs/>
        </w:rPr>
        <w:t>23</w:t>
      </w:r>
      <w:r w:rsidRPr="00150391">
        <w:rPr>
          <w:rFonts w:ascii="Calibri" w:hAnsi="Calibri" w:cs="Calibri"/>
          <w:i/>
          <w:iCs/>
        </w:rPr>
        <w:t>)</w:t>
      </w:r>
    </w:p>
    <w:p w14:paraId="60BB93AB" w14:textId="77777777" w:rsidR="006541D7" w:rsidRPr="00150391" w:rsidRDefault="53BF0693" w:rsidP="53BF0693">
      <w:pPr>
        <w:pStyle w:val="Bullet1"/>
        <w:rPr>
          <w:rFonts w:ascii="Calibri" w:hAnsi="Calibri" w:cs="Calibri"/>
          <w:i/>
          <w:iCs/>
        </w:rPr>
      </w:pPr>
      <w:r w:rsidRPr="00150391">
        <w:rPr>
          <w:rFonts w:ascii="Calibri" w:hAnsi="Calibri" w:cs="Calibri"/>
          <w:i/>
          <w:iCs/>
        </w:rPr>
        <w:t>Table 3.4: Budgeted departmental statement of cash flows (for the period ended 30 June)</w:t>
      </w:r>
    </w:p>
    <w:p w14:paraId="171CFD5C" w14:textId="77777777" w:rsidR="006541D7" w:rsidRPr="00150391" w:rsidRDefault="53BF0693" w:rsidP="53BF0693">
      <w:pPr>
        <w:pStyle w:val="Bullet1"/>
        <w:rPr>
          <w:rFonts w:ascii="Calibri" w:hAnsi="Calibri" w:cs="Calibri"/>
          <w:i/>
          <w:iCs/>
        </w:rPr>
      </w:pPr>
      <w:r w:rsidRPr="00150391">
        <w:rPr>
          <w:rFonts w:ascii="Calibri" w:hAnsi="Calibri" w:cs="Calibri"/>
          <w:i/>
          <w:iCs/>
        </w:rPr>
        <w:t>Table 3.5: Departmental capital budget statement (for the period ended 30 June)</w:t>
      </w:r>
    </w:p>
    <w:p w14:paraId="4E307E06" w14:textId="77777777" w:rsidR="006541D7" w:rsidRPr="00150391" w:rsidRDefault="53BF0693" w:rsidP="53BF0693">
      <w:pPr>
        <w:pStyle w:val="Bullet1"/>
        <w:rPr>
          <w:rFonts w:ascii="Calibri" w:hAnsi="Calibri" w:cs="Calibri"/>
          <w:i/>
          <w:iCs/>
        </w:rPr>
      </w:pPr>
      <w:r w:rsidRPr="00150391">
        <w:rPr>
          <w:rFonts w:ascii="Calibri" w:hAnsi="Calibri" w:cs="Calibri"/>
          <w:i/>
          <w:iCs/>
        </w:rPr>
        <w:t xml:space="preserve">Table 3.6: Statement of departmental asset movements (Budget year </w:t>
      </w:r>
      <w:r w:rsidR="0007613A" w:rsidRPr="00150391">
        <w:rPr>
          <w:rFonts w:ascii="Calibri" w:hAnsi="Calibri" w:cs="Calibri"/>
          <w:i/>
          <w:iCs/>
        </w:rPr>
        <w:t>2022</w:t>
      </w:r>
      <w:r w:rsidRPr="00150391">
        <w:rPr>
          <w:rFonts w:ascii="Calibri" w:hAnsi="Calibri" w:cs="Calibri"/>
          <w:i/>
          <w:iCs/>
        </w:rPr>
        <w:t>-</w:t>
      </w:r>
      <w:r w:rsidR="0007613A" w:rsidRPr="00150391">
        <w:rPr>
          <w:rFonts w:ascii="Calibri" w:hAnsi="Calibri" w:cs="Calibri"/>
          <w:i/>
          <w:iCs/>
        </w:rPr>
        <w:t>23</w:t>
      </w:r>
      <w:r w:rsidRPr="00150391">
        <w:rPr>
          <w:rFonts w:ascii="Calibri" w:hAnsi="Calibri" w:cs="Calibri"/>
          <w:i/>
          <w:iCs/>
        </w:rPr>
        <w:t>)</w:t>
      </w:r>
      <w:r w:rsidRPr="00150391">
        <w:rPr>
          <w:rFonts w:ascii="Calibri" w:hAnsi="Calibri" w:cs="Calibri"/>
        </w:rPr>
        <w:t>.</w:t>
      </w:r>
    </w:p>
    <w:p w14:paraId="135A28AB" w14:textId="77777777" w:rsidR="00496ACF" w:rsidRPr="00150391" w:rsidRDefault="00496ACF">
      <w:pPr>
        <w:suppressAutoHyphens w:val="0"/>
        <w:spacing w:before="0" w:after="120" w:line="440" w:lineRule="atLeast"/>
        <w:rPr>
          <w:rFonts w:cs="Calibri"/>
          <w:u w:val="single"/>
        </w:rPr>
      </w:pPr>
      <w:r w:rsidRPr="00150391">
        <w:rPr>
          <w:rFonts w:cs="Calibri"/>
          <w:u w:val="single"/>
        </w:rPr>
        <w:br w:type="page"/>
      </w:r>
    </w:p>
    <w:p w14:paraId="355F9096" w14:textId="0F7B96F0" w:rsidR="006541D7" w:rsidRPr="00150391" w:rsidRDefault="53BF0693" w:rsidP="53BF0693">
      <w:pPr>
        <w:rPr>
          <w:rFonts w:cs="Calibri"/>
          <w:u w:val="single"/>
        </w:rPr>
      </w:pPr>
      <w:r w:rsidRPr="00150391">
        <w:rPr>
          <w:rFonts w:cs="Calibri"/>
          <w:u w:val="single"/>
        </w:rPr>
        <w:t>Administered (where applicable):</w:t>
      </w:r>
    </w:p>
    <w:p w14:paraId="2E3A8D41" w14:textId="77777777" w:rsidR="006541D7" w:rsidRPr="00150391" w:rsidRDefault="53BF0693" w:rsidP="53BF0693">
      <w:pPr>
        <w:pStyle w:val="Bullet1"/>
        <w:rPr>
          <w:rFonts w:ascii="Calibri" w:hAnsi="Calibri" w:cs="Calibri"/>
          <w:i/>
          <w:iCs/>
        </w:rPr>
      </w:pPr>
      <w:r w:rsidRPr="00150391">
        <w:rPr>
          <w:rFonts w:ascii="Calibri" w:hAnsi="Calibri" w:cs="Calibri"/>
          <w:i/>
          <w:iCs/>
        </w:rPr>
        <w:t xml:space="preserve">Table 3.7: Schedule of budgeted income and expenses administered on behalf of </w:t>
      </w:r>
      <w:r w:rsidR="006418EA" w:rsidRPr="00150391">
        <w:rPr>
          <w:rFonts w:ascii="Calibri" w:hAnsi="Calibri" w:cs="Calibri"/>
          <w:i/>
          <w:iCs/>
        </w:rPr>
        <w:t>government</w:t>
      </w:r>
      <w:r w:rsidRPr="00150391">
        <w:rPr>
          <w:rFonts w:ascii="Calibri" w:hAnsi="Calibri" w:cs="Calibri"/>
          <w:i/>
          <w:iCs/>
        </w:rPr>
        <w:t xml:space="preserve"> (for the period ended 30 June)</w:t>
      </w:r>
    </w:p>
    <w:p w14:paraId="1749CA63" w14:textId="77777777" w:rsidR="006541D7" w:rsidRPr="00150391" w:rsidRDefault="53BF0693" w:rsidP="53BF0693">
      <w:pPr>
        <w:pStyle w:val="Bullet1"/>
        <w:rPr>
          <w:rFonts w:ascii="Calibri" w:hAnsi="Calibri" w:cs="Calibri"/>
          <w:i/>
          <w:iCs/>
        </w:rPr>
      </w:pPr>
      <w:r w:rsidRPr="00150391">
        <w:rPr>
          <w:rFonts w:ascii="Calibri" w:hAnsi="Calibri" w:cs="Calibri"/>
          <w:i/>
          <w:iCs/>
        </w:rPr>
        <w:t xml:space="preserve">Table 3.8: Schedule of budgeted assets and liabilities administered on behalf of </w:t>
      </w:r>
      <w:r w:rsidR="006418EA" w:rsidRPr="00150391">
        <w:rPr>
          <w:rFonts w:ascii="Calibri" w:hAnsi="Calibri" w:cs="Calibri"/>
          <w:i/>
          <w:iCs/>
        </w:rPr>
        <w:t>government</w:t>
      </w:r>
      <w:r w:rsidRPr="00150391">
        <w:rPr>
          <w:rFonts w:ascii="Calibri" w:hAnsi="Calibri" w:cs="Calibri"/>
          <w:i/>
          <w:iCs/>
        </w:rPr>
        <w:t xml:space="preserve"> (as at 30 June)</w:t>
      </w:r>
    </w:p>
    <w:p w14:paraId="04E5EE4B" w14:textId="77777777" w:rsidR="006541D7" w:rsidRPr="00150391" w:rsidRDefault="53BF0693" w:rsidP="53BF0693">
      <w:pPr>
        <w:pStyle w:val="Bullet1"/>
        <w:rPr>
          <w:rFonts w:ascii="Calibri" w:hAnsi="Calibri" w:cs="Calibri"/>
          <w:i/>
          <w:iCs/>
        </w:rPr>
      </w:pPr>
      <w:r w:rsidRPr="00150391">
        <w:rPr>
          <w:rFonts w:ascii="Calibri" w:hAnsi="Calibri" w:cs="Calibri"/>
          <w:i/>
          <w:iCs/>
        </w:rPr>
        <w:t>Table 3.9: Schedule of budgeted administered cash flows (for the period ended 30 June)</w:t>
      </w:r>
    </w:p>
    <w:p w14:paraId="03F35AD0" w14:textId="77777777" w:rsidR="006541D7" w:rsidRPr="00150391" w:rsidRDefault="53BF0693" w:rsidP="53BF0693">
      <w:pPr>
        <w:pStyle w:val="Bullet1"/>
        <w:rPr>
          <w:rFonts w:ascii="Calibri" w:hAnsi="Calibri" w:cs="Calibri"/>
          <w:i/>
          <w:iCs/>
        </w:rPr>
      </w:pPr>
      <w:r w:rsidRPr="00150391">
        <w:rPr>
          <w:rFonts w:ascii="Calibri" w:hAnsi="Calibri" w:cs="Calibri"/>
          <w:i/>
          <w:iCs/>
        </w:rPr>
        <w:t>Table 3.10: Schedule of administered capital budget statement (for the period ended 30 June)</w:t>
      </w:r>
    </w:p>
    <w:p w14:paraId="29EF8D71" w14:textId="77777777" w:rsidR="006541D7" w:rsidRPr="00150391" w:rsidRDefault="53BF0693" w:rsidP="005379D4">
      <w:pPr>
        <w:pStyle w:val="Bullet1"/>
        <w:rPr>
          <w:rFonts w:ascii="Calibri" w:hAnsi="Calibri" w:cs="Calibri"/>
        </w:rPr>
      </w:pPr>
      <w:r w:rsidRPr="00150391">
        <w:rPr>
          <w:rFonts w:ascii="Calibri" w:hAnsi="Calibri" w:cs="Calibri"/>
          <w:i/>
          <w:iCs/>
        </w:rPr>
        <w:t xml:space="preserve">Table 3.11: Statement of administered asset movements (Budget year </w:t>
      </w:r>
      <w:r w:rsidR="0007613A" w:rsidRPr="00150391">
        <w:rPr>
          <w:rFonts w:ascii="Calibri" w:hAnsi="Calibri" w:cs="Calibri"/>
          <w:i/>
          <w:iCs/>
        </w:rPr>
        <w:t>2022</w:t>
      </w:r>
      <w:r w:rsidRPr="00150391">
        <w:rPr>
          <w:rFonts w:ascii="Calibri" w:hAnsi="Calibri" w:cs="Calibri"/>
          <w:i/>
          <w:iCs/>
        </w:rPr>
        <w:t>-</w:t>
      </w:r>
      <w:r w:rsidR="0007613A" w:rsidRPr="00150391">
        <w:rPr>
          <w:rFonts w:ascii="Calibri" w:hAnsi="Calibri" w:cs="Calibri"/>
          <w:i/>
          <w:iCs/>
        </w:rPr>
        <w:t>23</w:t>
      </w:r>
      <w:r w:rsidRPr="00150391">
        <w:rPr>
          <w:rFonts w:ascii="Calibri" w:hAnsi="Calibri" w:cs="Calibri"/>
          <w:i/>
          <w:iCs/>
        </w:rPr>
        <w:t>)</w:t>
      </w:r>
      <w:r w:rsidRPr="00150391">
        <w:rPr>
          <w:rFonts w:ascii="Calibri" w:hAnsi="Calibri" w:cs="Calibri"/>
        </w:rPr>
        <w:t>.</w:t>
      </w:r>
    </w:p>
    <w:p w14:paraId="66120483" w14:textId="3C5F3296" w:rsidR="00FA0945" w:rsidRPr="00150391" w:rsidRDefault="53BF0693" w:rsidP="00580008">
      <w:pPr>
        <w:pStyle w:val="Boxed2Text"/>
        <w:rPr>
          <w:rFonts w:cs="Calibri"/>
        </w:rPr>
      </w:pPr>
      <w:r w:rsidRPr="00150391">
        <w:rPr>
          <w:rFonts w:cs="Calibri"/>
        </w:rPr>
        <w:t>Entities are reminded of the importance of maintaining internal documentation in order to substantiate the basis of the estimates included in the PB Statements. Appropriate documentation include</w:t>
      </w:r>
      <w:r w:rsidR="00507A76" w:rsidRPr="00150391">
        <w:rPr>
          <w:rFonts w:cs="Calibri"/>
        </w:rPr>
        <w:t>s</w:t>
      </w:r>
      <w:r w:rsidRPr="00150391">
        <w:rPr>
          <w:rFonts w:cs="Calibri"/>
        </w:rPr>
        <w:t xml:space="preserve"> CBMS reconciliations, CFO sign-offs and Budget allocation authority. Entities also are reminded that PB Statement numbers must reconcile with those in CBMS.</w:t>
      </w:r>
    </w:p>
    <w:p w14:paraId="5C43F4F9" w14:textId="569BB1B3" w:rsidR="00DD3020" w:rsidRPr="00150391" w:rsidRDefault="00C90222" w:rsidP="000A7DEC">
      <w:pPr>
        <w:rPr>
          <w:rFonts w:cs="Calibri"/>
        </w:rPr>
      </w:pPr>
      <w:r w:rsidRPr="00150391">
        <w:rPr>
          <w:rFonts w:cs="Calibri"/>
        </w:rPr>
        <w:t xml:space="preserve">Entities are reminded of </w:t>
      </w:r>
      <w:hyperlink r:id="rId84" w:history="1">
        <w:r w:rsidR="00FA0945" w:rsidRPr="002B4935">
          <w:rPr>
            <w:rStyle w:val="Hyperlink"/>
            <w:rFonts w:ascii="Calibri" w:hAnsi="Calibri" w:cs="Calibri"/>
            <w:color w:val="0070C0"/>
          </w:rPr>
          <w:t>AASB</w:t>
        </w:r>
        <w:r w:rsidR="00C37129" w:rsidRPr="002B4935">
          <w:rPr>
            <w:rStyle w:val="Hyperlink"/>
            <w:rFonts w:ascii="Calibri" w:hAnsi="Calibri" w:cs="Calibri"/>
            <w:color w:val="0070C0"/>
          </w:rPr>
          <w:t xml:space="preserve"> </w:t>
        </w:r>
        <w:r w:rsidR="00FA0945" w:rsidRPr="002B4935">
          <w:rPr>
            <w:rStyle w:val="Hyperlink"/>
            <w:rFonts w:ascii="Calibri" w:hAnsi="Calibri" w:cs="Calibri"/>
            <w:color w:val="0070C0"/>
          </w:rPr>
          <w:t xml:space="preserve">1055 </w:t>
        </w:r>
        <w:r w:rsidRPr="002B4935">
          <w:rPr>
            <w:rStyle w:val="Hyperlink"/>
            <w:rFonts w:ascii="Calibri" w:hAnsi="Calibri" w:cs="Calibri"/>
            <w:i/>
            <w:iCs/>
            <w:color w:val="0070C0"/>
          </w:rPr>
          <w:t xml:space="preserve">Budgetary </w:t>
        </w:r>
        <w:r w:rsidR="00636554" w:rsidRPr="002B4935">
          <w:rPr>
            <w:rStyle w:val="Hyperlink"/>
            <w:rFonts w:ascii="Calibri" w:hAnsi="Calibri" w:cs="Calibri"/>
            <w:i/>
            <w:iCs/>
            <w:color w:val="0070C0"/>
          </w:rPr>
          <w:t>R</w:t>
        </w:r>
        <w:r w:rsidR="00FA0945" w:rsidRPr="002B4935">
          <w:rPr>
            <w:rStyle w:val="Hyperlink"/>
            <w:rFonts w:ascii="Calibri" w:hAnsi="Calibri" w:cs="Calibri"/>
            <w:i/>
            <w:iCs/>
            <w:color w:val="0070C0"/>
          </w:rPr>
          <w:t>eporting</w:t>
        </w:r>
      </w:hyperlink>
      <w:r w:rsidR="00FA0945" w:rsidRPr="00150391">
        <w:rPr>
          <w:rFonts w:cs="Calibri"/>
        </w:rPr>
        <w:t xml:space="preserve"> requirements, refer to</w:t>
      </w:r>
      <w:r w:rsidRPr="00150391">
        <w:rPr>
          <w:rFonts w:cs="Calibri"/>
        </w:rPr>
        <w:t xml:space="preserve"> section </w:t>
      </w:r>
      <w:r w:rsidRPr="002B4935">
        <w:rPr>
          <w:rStyle w:val="CrossReferenceChar"/>
          <w:rFonts w:cs="Calibri"/>
          <w:color w:val="0070C0"/>
        </w:rPr>
        <w:fldChar w:fldCharType="begin"/>
      </w:r>
      <w:r w:rsidRPr="002B4935">
        <w:rPr>
          <w:rStyle w:val="CrossReferenceChar"/>
          <w:rFonts w:cs="Calibri"/>
          <w:color w:val="0070C0"/>
        </w:rPr>
        <w:instrText xml:space="preserve"> REF _Ref65232223 \w \h </w:instrText>
      </w:r>
      <w:r w:rsidR="003B47B3" w:rsidRPr="002B4935">
        <w:rPr>
          <w:rStyle w:val="CrossReferenceChar"/>
          <w:rFonts w:cs="Calibri"/>
          <w:color w:val="0070C0"/>
        </w:rPr>
        <w:instrText xml:space="preserve">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Pr>
          <w:rStyle w:val="CrossReferenceChar"/>
          <w:rFonts w:cs="Calibri"/>
          <w:color w:val="0070C0"/>
        </w:rPr>
        <w:t>5.2.2</w:t>
      </w:r>
      <w:r w:rsidRPr="002B4935">
        <w:rPr>
          <w:rStyle w:val="CrossReferenceChar"/>
          <w:rFonts w:cs="Calibri"/>
          <w:color w:val="0070C0"/>
        </w:rPr>
        <w:fldChar w:fldCharType="end"/>
      </w:r>
      <w:r w:rsidR="00636554" w:rsidRPr="002B4935">
        <w:rPr>
          <w:rStyle w:val="CrossReferenceChar"/>
          <w:rFonts w:cs="Calibri"/>
          <w:color w:val="0070C0"/>
        </w:rPr>
        <w:t xml:space="preserve"> </w:t>
      </w:r>
      <w:r w:rsidRPr="002B4935">
        <w:rPr>
          <w:rStyle w:val="CrossReferenceChar"/>
          <w:rFonts w:cs="Calibri"/>
          <w:color w:val="0070C0"/>
        </w:rPr>
        <w:fldChar w:fldCharType="begin"/>
      </w:r>
      <w:r w:rsidRPr="002B4935">
        <w:rPr>
          <w:rStyle w:val="CrossReferenceChar"/>
          <w:rFonts w:cs="Calibri"/>
          <w:color w:val="0070C0"/>
        </w:rPr>
        <w:instrText xml:space="preserve"> REF _Ref65232223 \h </w:instrText>
      </w:r>
      <w:r w:rsidR="00334F8A" w:rsidRPr="002B4935">
        <w:rPr>
          <w:rStyle w:val="CrossReferenceChar"/>
          <w:rFonts w:cs="Calibri"/>
          <w:color w:val="0070C0"/>
        </w:rPr>
        <w:instrText xml:space="preserve">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sidRPr="0073409A">
        <w:rPr>
          <w:rStyle w:val="CrossReferenceChar"/>
          <w:color w:val="0070C0"/>
        </w:rPr>
        <w:t>Link between budgetary and financial reporting</w:t>
      </w:r>
      <w:r w:rsidRPr="002B4935">
        <w:rPr>
          <w:rStyle w:val="CrossReferenceChar"/>
          <w:rFonts w:cs="Calibri"/>
          <w:color w:val="0070C0"/>
        </w:rPr>
        <w:fldChar w:fldCharType="end"/>
      </w:r>
      <w:r w:rsidR="00F0763F" w:rsidRPr="00150391">
        <w:rPr>
          <w:rFonts w:cs="Calibri"/>
        </w:rPr>
        <w:t>.</w:t>
      </w:r>
    </w:p>
    <w:p w14:paraId="3619D710" w14:textId="77777777" w:rsidR="00FF5B29" w:rsidRPr="00150391" w:rsidRDefault="53BF0693" w:rsidP="000A7DEC">
      <w:pPr>
        <w:pStyle w:val="Heading4"/>
        <w:rPr>
          <w:rFonts w:ascii="Calibri" w:hAnsi="Calibri" w:cs="Calibri"/>
        </w:rPr>
      </w:pPr>
      <w:r w:rsidRPr="00150391">
        <w:rPr>
          <w:rFonts w:ascii="Calibri" w:hAnsi="Calibri" w:cs="Calibri"/>
        </w:rPr>
        <w:t>Source of information</w:t>
      </w:r>
    </w:p>
    <w:p w14:paraId="185C5C27" w14:textId="77777777" w:rsidR="00FF5B29" w:rsidRPr="00150391" w:rsidRDefault="53BF0693" w:rsidP="000A7DEC">
      <w:pPr>
        <w:rPr>
          <w:rFonts w:cs="Calibri"/>
        </w:rPr>
      </w:pPr>
      <w:r w:rsidRPr="00150391">
        <w:rPr>
          <w:rFonts w:cs="Calibri"/>
        </w:rPr>
        <w:t>System generated Section 3 PB Statement tables for the Budgeted Financial Statements can be generated directly from CBMS through:</w:t>
      </w:r>
    </w:p>
    <w:p w14:paraId="2A4807C1" w14:textId="77777777" w:rsidR="00FF5B29" w:rsidRPr="00150391" w:rsidRDefault="00FF5B29" w:rsidP="00495729">
      <w:pPr>
        <w:pStyle w:val="Reports1"/>
        <w:rPr>
          <w:rFonts w:cs="Calibri"/>
        </w:rPr>
      </w:pPr>
      <w:r w:rsidRPr="00150391">
        <w:rPr>
          <w:rFonts w:cs="Calibri"/>
        </w:rPr>
        <w:t xml:space="preserve">Reports </w:t>
      </w:r>
      <w:r w:rsidR="00684C96" w:rsidRPr="00150391">
        <w:rPr>
          <w:rFonts w:cs="Calibri"/>
        </w:rPr>
        <w:sym w:font="Wingdings" w:char="F0E0"/>
      </w:r>
      <w:r w:rsidRPr="00150391">
        <w:rPr>
          <w:rFonts w:cs="Calibri"/>
        </w:rPr>
        <w:t xml:space="preserve"> CBMS Reporting </w:t>
      </w:r>
      <w:r w:rsidR="00684C96" w:rsidRPr="00150391">
        <w:rPr>
          <w:rFonts w:cs="Calibri"/>
        </w:rPr>
        <w:sym w:font="Wingdings" w:char="F0E0"/>
      </w:r>
      <w:r w:rsidRPr="00150391">
        <w:rPr>
          <w:rFonts w:cs="Calibri"/>
        </w:rPr>
        <w:t xml:space="preserve"> Statutory Reports </w:t>
      </w:r>
      <w:r w:rsidR="00684C96" w:rsidRPr="00150391">
        <w:rPr>
          <w:rFonts w:cs="Calibri"/>
        </w:rPr>
        <w:sym w:font="Wingdings" w:char="F0E0"/>
      </w:r>
      <w:r w:rsidRPr="00150391">
        <w:rPr>
          <w:rFonts w:cs="Calibri"/>
        </w:rPr>
        <w:t xml:space="preserve"> PBS </w:t>
      </w:r>
      <w:r w:rsidR="00684C96" w:rsidRPr="00150391">
        <w:rPr>
          <w:rFonts w:cs="Calibri"/>
        </w:rPr>
        <w:sym w:font="Wingdings" w:char="F0E0"/>
      </w:r>
      <w:r w:rsidRPr="00150391">
        <w:rPr>
          <w:rFonts w:cs="Calibri"/>
        </w:rPr>
        <w:t xml:space="preserve"> Table 3.1 etc</w:t>
      </w:r>
      <w:r w:rsidR="00C46907" w:rsidRPr="00150391">
        <w:rPr>
          <w:rFonts w:cs="Calibri"/>
        </w:rPr>
        <w:t>.</w:t>
      </w:r>
    </w:p>
    <w:p w14:paraId="285E4ACF" w14:textId="77777777" w:rsidR="004526F6" w:rsidRPr="00150391" w:rsidRDefault="004526F6" w:rsidP="00495729">
      <w:pPr>
        <w:pStyle w:val="Reports1"/>
        <w:rPr>
          <w:rFonts w:cs="Calibri"/>
        </w:rPr>
      </w:pPr>
      <w:r w:rsidRPr="00150391">
        <w:rPr>
          <w:rFonts w:cs="Calibri"/>
        </w:rPr>
        <w:t xml:space="preserve">User Support </w:t>
      </w:r>
      <w:r w:rsidRPr="00150391">
        <w:rPr>
          <w:rFonts w:cs="Calibri"/>
        </w:rPr>
        <w:sym w:font="Wingdings" w:char="F0E0"/>
      </w:r>
      <w:r w:rsidRPr="00150391">
        <w:rPr>
          <w:rFonts w:cs="Calibri"/>
        </w:rPr>
        <w:t xml:space="preserve"> CBMS User Reference Material </w:t>
      </w:r>
      <w:r w:rsidRPr="00150391">
        <w:rPr>
          <w:rFonts w:cs="Calibri"/>
        </w:rPr>
        <w:sym w:font="Wingdings" w:char="F0E0"/>
      </w:r>
      <w:r w:rsidRPr="00150391">
        <w:rPr>
          <w:rFonts w:cs="Calibri"/>
        </w:rPr>
        <w:t xml:space="preserve"> Reference Material </w:t>
      </w:r>
      <w:r w:rsidRPr="00150391">
        <w:rPr>
          <w:rFonts w:cs="Calibri"/>
        </w:rPr>
        <w:sym w:font="Wingdings" w:char="F0E0"/>
      </w:r>
      <w:r w:rsidRPr="00150391">
        <w:rPr>
          <w:rFonts w:cs="Calibri"/>
        </w:rPr>
        <w:t xml:space="preserve"> CBMS </w:t>
      </w:r>
      <w:r w:rsidRPr="00150391">
        <w:rPr>
          <w:rFonts w:cs="Calibri"/>
        </w:rPr>
        <w:sym w:font="Wingdings" w:char="F0E0"/>
      </w:r>
      <w:r w:rsidRPr="00150391">
        <w:rPr>
          <w:rFonts w:cs="Calibri"/>
        </w:rPr>
        <w:t xml:space="preserve"> Annual Estimates </w:t>
      </w:r>
      <w:r w:rsidRPr="00150391">
        <w:rPr>
          <w:rFonts w:cs="Calibri"/>
        </w:rPr>
        <w:sym w:font="Wingdings" w:char="F0E0"/>
      </w:r>
      <w:r w:rsidRPr="00150391">
        <w:rPr>
          <w:rFonts w:cs="Calibri"/>
        </w:rPr>
        <w:t xml:space="preserve"> PBS &amp; PAES Mappings.</w:t>
      </w:r>
    </w:p>
    <w:p w14:paraId="0124556C" w14:textId="77777777" w:rsidR="00FF5B29" w:rsidRPr="00150391" w:rsidRDefault="53BF0693" w:rsidP="000A7DEC">
      <w:pPr>
        <w:rPr>
          <w:rFonts w:cs="Calibri"/>
        </w:rPr>
      </w:pPr>
      <w:r w:rsidRPr="00150391">
        <w:rPr>
          <w:rFonts w:cs="Calibri"/>
        </w:rPr>
        <w:t>Entities are encouraged to use these reports and become familiar with their use to improve entity processes in checking and completing their PB Statements tables.</w:t>
      </w:r>
    </w:p>
    <w:p w14:paraId="69EDBFBD" w14:textId="77777777" w:rsidR="00FF5B29" w:rsidRPr="00150391" w:rsidRDefault="53BF0693" w:rsidP="000A7DEC">
      <w:pPr>
        <w:rPr>
          <w:rFonts w:cs="Calibri"/>
        </w:rPr>
      </w:pPr>
      <w:r w:rsidRPr="00150391">
        <w:rPr>
          <w:rFonts w:cs="Calibri"/>
        </w:rPr>
        <w:t xml:space="preserve">Entities must use the Excel templates in </w:t>
      </w:r>
      <w:r w:rsidRPr="00150391">
        <w:rPr>
          <w:rFonts w:cs="Calibri"/>
          <w:u w:val="single"/>
        </w:rPr>
        <w:t>Attachment B</w:t>
      </w:r>
      <w:r w:rsidRPr="00150391">
        <w:rPr>
          <w:rFonts w:cs="Calibri"/>
        </w:rPr>
        <w:t xml:space="preserve"> to prepare their PB Statements document for publication.</w:t>
      </w:r>
    </w:p>
    <w:p w14:paraId="60E195A5" w14:textId="77777777" w:rsidR="00FF5B29" w:rsidRPr="00150391" w:rsidRDefault="53BF0693" w:rsidP="000A7DEC">
      <w:pPr>
        <w:rPr>
          <w:rFonts w:cs="Calibri"/>
        </w:rPr>
      </w:pPr>
      <w:r w:rsidRPr="00150391">
        <w:rPr>
          <w:rFonts w:cs="Calibri"/>
        </w:rPr>
        <w:t>The following report contains transaction-level and can be used to cross-check / verify data sourced from other reports:</w:t>
      </w:r>
    </w:p>
    <w:p w14:paraId="4936B408" w14:textId="77777777" w:rsidR="00FF5B29" w:rsidRPr="00150391" w:rsidRDefault="00FF5B29" w:rsidP="00A8355D">
      <w:pPr>
        <w:pStyle w:val="Reports1"/>
        <w:rPr>
          <w:rFonts w:cs="Calibri"/>
        </w:rPr>
      </w:pPr>
      <w:r w:rsidRPr="00150391">
        <w:rPr>
          <w:rFonts w:cs="Calibri"/>
        </w:rPr>
        <w:t xml:space="preserve">Reports </w:t>
      </w:r>
      <w:r w:rsidR="00684C96" w:rsidRPr="00150391">
        <w:rPr>
          <w:rFonts w:cs="Calibri"/>
        </w:rPr>
        <w:sym w:font="Wingdings" w:char="F0E0"/>
      </w:r>
      <w:r w:rsidRPr="00150391">
        <w:rPr>
          <w:rFonts w:cs="Calibri"/>
        </w:rPr>
        <w:t xml:space="preserve"> CBMS Reporting </w:t>
      </w:r>
      <w:r w:rsidR="00684C96" w:rsidRPr="00150391">
        <w:rPr>
          <w:rFonts w:cs="Calibri"/>
        </w:rPr>
        <w:sym w:font="Wingdings" w:char="F0E0"/>
      </w:r>
      <w:r w:rsidRPr="00150391">
        <w:rPr>
          <w:rFonts w:cs="Calibri"/>
        </w:rPr>
        <w:t xml:space="preserve"> Operational Reports </w:t>
      </w:r>
      <w:r w:rsidR="00684C96" w:rsidRPr="00150391">
        <w:rPr>
          <w:rFonts w:cs="Calibri"/>
        </w:rPr>
        <w:sym w:font="Wingdings" w:char="F0E0"/>
      </w:r>
      <w:r w:rsidRPr="00150391">
        <w:rPr>
          <w:rFonts w:cs="Calibri"/>
        </w:rPr>
        <w:t xml:space="preserve"> Estimates </w:t>
      </w:r>
      <w:r w:rsidR="00684C96" w:rsidRPr="00150391">
        <w:rPr>
          <w:rFonts w:cs="Calibri"/>
        </w:rPr>
        <w:sym w:font="Wingdings" w:char="F0E0"/>
      </w:r>
      <w:r w:rsidRPr="00150391">
        <w:rPr>
          <w:rFonts w:cs="Calibri"/>
        </w:rPr>
        <w:t xml:space="preserve"> Annual Estimates </w:t>
      </w:r>
      <w:r w:rsidR="00684C96" w:rsidRPr="00150391">
        <w:rPr>
          <w:rFonts w:cs="Calibri"/>
        </w:rPr>
        <w:sym w:font="Wingdings" w:char="F0E0"/>
      </w:r>
      <w:r w:rsidRPr="00150391">
        <w:rPr>
          <w:rFonts w:cs="Calibri"/>
        </w:rPr>
        <w:t xml:space="preserve"> AE.OR.13 Annual Estimates Detail Listing AEIFRS Report</w:t>
      </w:r>
      <w:r w:rsidR="00A57306" w:rsidRPr="00150391">
        <w:rPr>
          <w:rFonts w:cs="Calibri"/>
        </w:rPr>
        <w:t xml:space="preserve"> (PBF)</w:t>
      </w:r>
      <w:r w:rsidR="00C46907" w:rsidRPr="00150391">
        <w:rPr>
          <w:rFonts w:cs="Calibri"/>
          <w:color w:val="auto"/>
        </w:rPr>
        <w:t>.</w:t>
      </w:r>
    </w:p>
    <w:p w14:paraId="52A56F9F" w14:textId="77777777" w:rsidR="00FA0945" w:rsidRPr="00150391" w:rsidRDefault="53BF0693" w:rsidP="00CF6BE7">
      <w:pPr>
        <w:pStyle w:val="Heading2Numbered"/>
        <w:rPr>
          <w:rFonts w:ascii="Calibri" w:hAnsi="Calibri" w:cs="Calibri"/>
        </w:rPr>
      </w:pPr>
      <w:bookmarkStart w:id="1002" w:name="_Ref87952298"/>
      <w:bookmarkStart w:id="1003" w:name="_Ref87952308"/>
      <w:bookmarkStart w:id="1004" w:name="_Toc114576316"/>
      <w:bookmarkStart w:id="1005" w:name="_Toc411852693"/>
      <w:bookmarkStart w:id="1006" w:name="_Toc534382574"/>
      <w:bookmarkStart w:id="1007" w:name="_Ref61531719"/>
      <w:bookmarkStart w:id="1008" w:name="_Toc63347728"/>
      <w:r w:rsidRPr="00150391">
        <w:rPr>
          <w:rFonts w:ascii="Calibri" w:hAnsi="Calibri" w:cs="Calibri"/>
        </w:rPr>
        <w:t>Departmental comprehensive income statement (showing net cost of services)</w:t>
      </w:r>
      <w:bookmarkEnd w:id="1002"/>
      <w:bookmarkEnd w:id="1003"/>
      <w:bookmarkEnd w:id="1004"/>
      <w:r w:rsidRPr="00150391">
        <w:rPr>
          <w:rFonts w:ascii="Calibri" w:hAnsi="Calibri" w:cs="Calibri"/>
        </w:rPr>
        <w:t xml:space="preserve"> </w:t>
      </w:r>
      <w:bookmarkEnd w:id="1005"/>
      <w:bookmarkEnd w:id="1006"/>
      <w:bookmarkEnd w:id="1007"/>
      <w:bookmarkEnd w:id="1008"/>
    </w:p>
    <w:p w14:paraId="2FB80300" w14:textId="77777777" w:rsidR="00FA0945" w:rsidRPr="00150391" w:rsidRDefault="53BF0693" w:rsidP="000A7DEC">
      <w:pPr>
        <w:rPr>
          <w:rFonts w:cs="Calibri"/>
        </w:rPr>
      </w:pPr>
      <w:r w:rsidRPr="00150391">
        <w:rPr>
          <w:rFonts w:cs="Calibri"/>
        </w:rPr>
        <w:t xml:space="preserve">The template for the Departmental comprehensive income statement (showing net cost of services) table can be found in the </w:t>
      </w:r>
      <w:r w:rsidRPr="00150391">
        <w:rPr>
          <w:rFonts w:cs="Calibri"/>
          <w:i/>
          <w:iCs/>
        </w:rPr>
        <w:t>Table 3.1</w:t>
      </w:r>
      <w:r w:rsidRPr="00150391">
        <w:rPr>
          <w:rFonts w:cs="Calibri"/>
        </w:rPr>
        <w:t xml:space="preserve"> tab of the Excel Tables workbook (available from CBMS User Reference Material in CBMS). </w:t>
      </w:r>
    </w:p>
    <w:p w14:paraId="4157E17B" w14:textId="77777777" w:rsidR="00396F99" w:rsidRPr="00150391" w:rsidRDefault="53BF0693" w:rsidP="000A7DEC">
      <w:pPr>
        <w:rPr>
          <w:rFonts w:cs="Calibri"/>
        </w:rPr>
      </w:pPr>
      <w:r w:rsidRPr="00150391">
        <w:rPr>
          <w:rFonts w:cs="Calibri"/>
        </w:rPr>
        <w:t>This statement depicts the entity’s estimated income and expenses in relation to its departmental operations over the financial year.</w:t>
      </w:r>
    </w:p>
    <w:p w14:paraId="6371F44A" w14:textId="77777777" w:rsidR="00396F99" w:rsidRPr="00150391" w:rsidRDefault="53BF0693" w:rsidP="000A7DEC">
      <w:pPr>
        <w:pStyle w:val="Heading4"/>
        <w:rPr>
          <w:rFonts w:ascii="Calibri" w:hAnsi="Calibri" w:cs="Calibri"/>
        </w:rPr>
      </w:pPr>
      <w:r w:rsidRPr="00150391">
        <w:rPr>
          <w:rFonts w:ascii="Calibri" w:hAnsi="Calibri" w:cs="Calibri"/>
        </w:rPr>
        <w:t>Source of information</w:t>
      </w:r>
    </w:p>
    <w:p w14:paraId="25B59519" w14:textId="77777777" w:rsidR="00396F99" w:rsidRPr="00150391" w:rsidRDefault="53BF0693" w:rsidP="000A7DEC">
      <w:pPr>
        <w:rPr>
          <w:rFonts w:cs="Calibri"/>
        </w:rPr>
      </w:pPr>
      <w:r w:rsidRPr="00150391">
        <w:rPr>
          <w:rFonts w:cs="Calibri"/>
        </w:rPr>
        <w:t>Information for these tables should also be sourced and cross-checked from the following CBMS operational reports:</w:t>
      </w:r>
    </w:p>
    <w:p w14:paraId="4225AE3C" w14:textId="77777777" w:rsidR="00396F99" w:rsidRPr="00150391" w:rsidRDefault="00396F99" w:rsidP="00872343">
      <w:pPr>
        <w:pStyle w:val="Reports1"/>
        <w:rPr>
          <w:rFonts w:cs="Calibri"/>
        </w:rPr>
      </w:pPr>
      <w:r w:rsidRPr="00150391">
        <w:rPr>
          <w:rFonts w:cs="Calibri"/>
        </w:rPr>
        <w:t xml:space="preserve">Reports </w:t>
      </w:r>
      <w:r w:rsidR="004B76F7" w:rsidRPr="00150391">
        <w:rPr>
          <w:rFonts w:cs="Calibri"/>
        </w:rPr>
        <w:sym w:font="Wingdings" w:char="F0E0"/>
      </w:r>
      <w:r w:rsidRPr="00150391">
        <w:rPr>
          <w:rFonts w:cs="Calibri"/>
        </w:rPr>
        <w:t xml:space="preserve"> CBMS Reporting </w:t>
      </w:r>
      <w:r w:rsidR="004B76F7" w:rsidRPr="00150391">
        <w:rPr>
          <w:rFonts w:cs="Calibri"/>
        </w:rPr>
        <w:sym w:font="Wingdings" w:char="F0E0"/>
      </w:r>
      <w:r w:rsidRPr="00150391">
        <w:rPr>
          <w:rFonts w:cs="Calibri"/>
        </w:rPr>
        <w:t xml:space="preserve"> Operational Reports </w:t>
      </w:r>
      <w:r w:rsidR="004B76F7" w:rsidRPr="00150391">
        <w:rPr>
          <w:rFonts w:cs="Calibri"/>
        </w:rPr>
        <w:sym w:font="Wingdings" w:char="F0E0"/>
      </w:r>
      <w:r w:rsidRPr="00150391">
        <w:rPr>
          <w:rFonts w:cs="Calibri"/>
        </w:rPr>
        <w:t xml:space="preserve"> Estimates </w:t>
      </w:r>
      <w:r w:rsidR="004B76F7" w:rsidRPr="00150391">
        <w:rPr>
          <w:rFonts w:cs="Calibri"/>
        </w:rPr>
        <w:sym w:font="Wingdings" w:char="F0E0"/>
      </w:r>
      <w:r w:rsidRPr="00150391">
        <w:rPr>
          <w:rFonts w:cs="Calibri"/>
        </w:rPr>
        <w:t xml:space="preserve"> Annual Estimates </w:t>
      </w:r>
      <w:r w:rsidR="004B76F7" w:rsidRPr="00150391">
        <w:rPr>
          <w:rFonts w:cs="Calibri"/>
        </w:rPr>
        <w:sym w:font="Wingdings" w:char="F0E0"/>
      </w:r>
      <w:r w:rsidRPr="00150391">
        <w:rPr>
          <w:rFonts w:cs="Calibri"/>
        </w:rPr>
        <w:t xml:space="preserve"> AE.OR.01 Annual Estimates Financial Statements</w:t>
      </w:r>
    </w:p>
    <w:p w14:paraId="3A99F895" w14:textId="2463312F" w:rsidR="00396F99" w:rsidRPr="00150391" w:rsidRDefault="00DB5F5A" w:rsidP="00580008">
      <w:pPr>
        <w:pStyle w:val="Boxed2Text"/>
        <w:rPr>
          <w:rFonts w:cs="Calibri"/>
        </w:rPr>
      </w:pPr>
      <w:r w:rsidRPr="00150391">
        <w:rPr>
          <w:rFonts w:cs="Calibri"/>
          <w:bCs/>
        </w:rPr>
        <w:t>T</w:t>
      </w:r>
      <w:r w:rsidR="00396F99" w:rsidRPr="00150391">
        <w:rPr>
          <w:rFonts w:cs="Calibri"/>
        </w:rPr>
        <w:t>hat all Account Hierarchies should be expanded (by right clicking on one of the Account Hierarchy items and selecting</w:t>
      </w:r>
      <w:r w:rsidR="00396F99" w:rsidRPr="00150391">
        <w:rPr>
          <w:rFonts w:cs="Calibri"/>
          <w:i/>
          <w:iCs/>
        </w:rPr>
        <w:t xml:space="preserve"> </w:t>
      </w:r>
      <w:r w:rsidR="00396F99" w:rsidRPr="00150391">
        <w:rPr>
          <w:rFonts w:cs="Calibri"/>
          <w:i/>
          <w:iCs/>
          <w:color w:val="0070C0"/>
        </w:rPr>
        <w:t xml:space="preserve">Hierarchical Navigation </w:t>
      </w:r>
      <w:r w:rsidR="004B76F7" w:rsidRPr="00150391">
        <w:rPr>
          <w:rFonts w:cs="Calibri"/>
          <w:i/>
          <w:color w:val="0070C0"/>
        </w:rPr>
        <w:sym w:font="Wingdings" w:char="F0E0"/>
      </w:r>
      <w:r w:rsidR="00396F99" w:rsidRPr="00150391">
        <w:rPr>
          <w:rFonts w:cs="Calibri"/>
          <w:i/>
          <w:iCs/>
          <w:color w:val="0070C0"/>
        </w:rPr>
        <w:t xml:space="preserve"> All </w:t>
      </w:r>
      <w:r w:rsidR="004B76F7" w:rsidRPr="00150391">
        <w:rPr>
          <w:rFonts w:cs="Calibri"/>
          <w:i/>
          <w:color w:val="0070C0"/>
        </w:rPr>
        <w:sym w:font="Wingdings" w:char="F0E0"/>
      </w:r>
      <w:r w:rsidR="00396F99" w:rsidRPr="00150391">
        <w:rPr>
          <w:rFonts w:cs="Calibri"/>
          <w:i/>
          <w:iCs/>
          <w:color w:val="0070C0"/>
        </w:rPr>
        <w:t xml:space="preserve"> Expand all </w:t>
      </w:r>
      <w:r w:rsidR="00396F99" w:rsidRPr="00150391">
        <w:rPr>
          <w:rFonts w:cs="Calibri"/>
        </w:rPr>
        <w:t>hierarchies) prior to downloading reports</w:t>
      </w:r>
      <w:r w:rsidR="005B7DEE" w:rsidRPr="00150391">
        <w:rPr>
          <w:rFonts w:cs="Calibri"/>
        </w:rPr>
        <w:t>.</w:t>
      </w:r>
    </w:p>
    <w:p w14:paraId="3FE23C3A" w14:textId="77777777" w:rsidR="00396F99" w:rsidRPr="00150391" w:rsidRDefault="00396F99" w:rsidP="00872343">
      <w:pPr>
        <w:pStyle w:val="Reports1"/>
        <w:rPr>
          <w:rFonts w:cs="Calibri"/>
        </w:rPr>
      </w:pPr>
      <w:r w:rsidRPr="00150391">
        <w:rPr>
          <w:rFonts w:cs="Calibri"/>
        </w:rPr>
        <w:t xml:space="preserve">Reports </w:t>
      </w:r>
      <w:r w:rsidR="004B76F7" w:rsidRPr="00150391">
        <w:rPr>
          <w:rFonts w:cs="Calibri"/>
        </w:rPr>
        <w:sym w:font="Wingdings" w:char="F0E0"/>
      </w:r>
      <w:r w:rsidRPr="00150391">
        <w:rPr>
          <w:rFonts w:cs="Calibri"/>
        </w:rPr>
        <w:t xml:space="preserve"> CBMS Reporting </w:t>
      </w:r>
      <w:r w:rsidR="004B76F7" w:rsidRPr="00150391">
        <w:rPr>
          <w:rFonts w:cs="Calibri"/>
        </w:rPr>
        <w:sym w:font="Wingdings" w:char="F0E0"/>
      </w:r>
      <w:r w:rsidRPr="00150391">
        <w:rPr>
          <w:rFonts w:cs="Calibri"/>
        </w:rPr>
        <w:t xml:space="preserve"> Operational Reports </w:t>
      </w:r>
      <w:r w:rsidR="004B76F7" w:rsidRPr="00150391">
        <w:rPr>
          <w:rFonts w:cs="Calibri"/>
        </w:rPr>
        <w:sym w:font="Wingdings" w:char="F0E0"/>
      </w:r>
      <w:r w:rsidRPr="00150391">
        <w:rPr>
          <w:rFonts w:cs="Calibri"/>
        </w:rPr>
        <w:t xml:space="preserve"> Estimates </w:t>
      </w:r>
      <w:r w:rsidR="004B76F7" w:rsidRPr="00150391">
        <w:rPr>
          <w:rFonts w:cs="Calibri"/>
        </w:rPr>
        <w:sym w:font="Wingdings" w:char="F0E0"/>
      </w:r>
      <w:r w:rsidRPr="00150391">
        <w:rPr>
          <w:rFonts w:cs="Calibri"/>
        </w:rPr>
        <w:t xml:space="preserve"> Annual Estimates </w:t>
      </w:r>
      <w:r w:rsidR="004B76F7" w:rsidRPr="00150391">
        <w:rPr>
          <w:rFonts w:cs="Calibri"/>
        </w:rPr>
        <w:sym w:font="Wingdings" w:char="F0E0"/>
      </w:r>
      <w:r w:rsidRPr="00150391">
        <w:rPr>
          <w:rFonts w:cs="Calibri"/>
        </w:rPr>
        <w:t xml:space="preserve"> AE.OR.02 Annual Estimates and Equity Report</w:t>
      </w:r>
    </w:p>
    <w:p w14:paraId="652D5D93" w14:textId="77777777" w:rsidR="00AE6EBC" w:rsidRPr="00150391" w:rsidRDefault="00396F99" w:rsidP="00872343">
      <w:pPr>
        <w:pStyle w:val="Reports1"/>
        <w:rPr>
          <w:rFonts w:cs="Calibri"/>
        </w:rPr>
      </w:pPr>
      <w:r w:rsidRPr="00150391">
        <w:rPr>
          <w:rFonts w:cs="Calibri"/>
        </w:rPr>
        <w:t xml:space="preserve">Reports </w:t>
      </w:r>
      <w:r w:rsidR="004B76F7" w:rsidRPr="00150391">
        <w:rPr>
          <w:rFonts w:cs="Calibri"/>
        </w:rPr>
        <w:sym w:font="Wingdings" w:char="F0E0"/>
      </w:r>
      <w:r w:rsidRPr="00150391">
        <w:rPr>
          <w:rFonts w:cs="Calibri"/>
        </w:rPr>
        <w:t xml:space="preserve"> CBMS Reporting </w:t>
      </w:r>
      <w:r w:rsidR="004B76F7" w:rsidRPr="00150391">
        <w:rPr>
          <w:rFonts w:cs="Calibri"/>
        </w:rPr>
        <w:sym w:font="Wingdings" w:char="F0E0"/>
      </w:r>
      <w:r w:rsidRPr="00150391">
        <w:rPr>
          <w:rFonts w:cs="Calibri"/>
        </w:rPr>
        <w:t xml:space="preserve"> Operational Reports </w:t>
      </w:r>
      <w:r w:rsidR="004B76F7" w:rsidRPr="00150391">
        <w:rPr>
          <w:rFonts w:cs="Calibri"/>
        </w:rPr>
        <w:sym w:font="Wingdings" w:char="F0E0"/>
      </w:r>
      <w:r w:rsidRPr="00150391">
        <w:rPr>
          <w:rFonts w:cs="Calibri"/>
        </w:rPr>
        <w:t xml:space="preserve"> Estimates </w:t>
      </w:r>
      <w:r w:rsidR="004B76F7" w:rsidRPr="00150391">
        <w:rPr>
          <w:rFonts w:cs="Calibri"/>
        </w:rPr>
        <w:sym w:font="Wingdings" w:char="F0E0"/>
      </w:r>
      <w:r w:rsidRPr="00150391">
        <w:rPr>
          <w:rFonts w:cs="Calibri"/>
        </w:rPr>
        <w:t xml:space="preserve"> Annual Estimates </w:t>
      </w:r>
      <w:r w:rsidR="004B76F7" w:rsidRPr="00150391">
        <w:rPr>
          <w:rFonts w:cs="Calibri"/>
        </w:rPr>
        <w:sym w:font="Wingdings" w:char="F0E0"/>
      </w:r>
      <w:r w:rsidRPr="00150391">
        <w:rPr>
          <w:rFonts w:cs="Calibri"/>
        </w:rPr>
        <w:t xml:space="preserve"> AE.OR.06 Capital Budget Statement Report</w:t>
      </w:r>
      <w:r w:rsidR="00C46907" w:rsidRPr="00150391">
        <w:rPr>
          <w:rFonts w:cs="Calibri"/>
          <w:color w:val="auto"/>
        </w:rPr>
        <w:t>.</w:t>
      </w:r>
    </w:p>
    <w:p w14:paraId="186BCECF" w14:textId="4DD2F731" w:rsidR="003B52E6" w:rsidRPr="00150391" w:rsidRDefault="53BF0693" w:rsidP="00CF6BE7">
      <w:pPr>
        <w:rPr>
          <w:rFonts w:cs="Calibri"/>
        </w:rPr>
      </w:pPr>
      <w:r w:rsidRPr="00150391">
        <w:rPr>
          <w:rFonts w:cs="Calibri"/>
        </w:rPr>
        <w:t xml:space="preserve">In preparing the “Note: Impact of Net Cash Appropriation Arrangements”, refer to </w:t>
      </w:r>
      <w:hyperlink r:id="rId85">
        <w:r w:rsidR="008B58F6" w:rsidRPr="002B4935">
          <w:rPr>
            <w:rStyle w:val="Hyperlink"/>
            <w:rFonts w:ascii="Calibri" w:hAnsi="Calibri" w:cs="Calibri"/>
            <w:iCs/>
            <w:color w:val="0070C0"/>
          </w:rPr>
          <w:t>Commonwealth entities financial statements guide</w:t>
        </w:r>
        <w:r w:rsidR="008B58F6" w:rsidRPr="002B4935">
          <w:rPr>
            <w:rStyle w:val="Hyperlink"/>
            <w:rFonts w:ascii="Calibri" w:eastAsia="Cambria" w:hAnsi="Calibri" w:cs="Calibri"/>
            <w:color w:val="0070C0"/>
          </w:rPr>
          <w:t xml:space="preserve"> </w:t>
        </w:r>
        <w:r w:rsidR="008B58F6" w:rsidRPr="002B4935">
          <w:rPr>
            <w:rStyle w:val="Hyperlink"/>
            <w:rFonts w:ascii="Calibri" w:eastAsia="Cambria" w:hAnsi="Calibri" w:cs="Calibri"/>
            <w:iCs/>
            <w:color w:val="0070C0"/>
          </w:rPr>
          <w:t>(RMG 125)</w:t>
        </w:r>
      </w:hyperlink>
      <w:r w:rsidRPr="00150391">
        <w:rPr>
          <w:rFonts w:cs="Calibri"/>
        </w:rPr>
        <w:t xml:space="preserve"> from which figures should be shown in the “Depreciation/amortisation expenses previously funded through revenue appropriations” line.</w:t>
      </w:r>
      <w:bookmarkStart w:id="1009" w:name="_Toc411852694"/>
      <w:bookmarkStart w:id="1010" w:name="_Toc534382575"/>
      <w:bookmarkStart w:id="1011" w:name="_Toc63347729"/>
    </w:p>
    <w:p w14:paraId="7AE99F15" w14:textId="77777777" w:rsidR="00FA0945" w:rsidRPr="00150391" w:rsidRDefault="53BF0693" w:rsidP="53BF0693">
      <w:pPr>
        <w:pStyle w:val="Heading2Numbered"/>
        <w:rPr>
          <w:rFonts w:ascii="Calibri" w:eastAsiaTheme="minorEastAsia" w:hAnsi="Calibri" w:cs="Calibri"/>
        </w:rPr>
      </w:pPr>
      <w:bookmarkStart w:id="1012" w:name="_Toc114576317"/>
      <w:r w:rsidRPr="00150391">
        <w:rPr>
          <w:rFonts w:ascii="Calibri" w:hAnsi="Calibri" w:cs="Calibri"/>
        </w:rPr>
        <w:t>Budgeted departmental balance sheet</w:t>
      </w:r>
      <w:bookmarkEnd w:id="1009"/>
      <w:bookmarkEnd w:id="1010"/>
      <w:bookmarkEnd w:id="1011"/>
      <w:bookmarkEnd w:id="1012"/>
    </w:p>
    <w:p w14:paraId="6F88D832" w14:textId="77777777" w:rsidR="00FA0945" w:rsidRPr="00150391" w:rsidRDefault="53BF0693" w:rsidP="000A7DEC">
      <w:pPr>
        <w:rPr>
          <w:rFonts w:cs="Calibri"/>
        </w:rPr>
      </w:pPr>
      <w:r w:rsidRPr="00150391">
        <w:rPr>
          <w:rFonts w:cs="Calibri"/>
        </w:rPr>
        <w:t xml:space="preserve">The template for the Budgeted departmental balance sheet table can be found in the </w:t>
      </w:r>
      <w:r w:rsidRPr="00150391">
        <w:rPr>
          <w:rFonts w:cs="Calibri"/>
          <w:i/>
          <w:iCs/>
        </w:rPr>
        <w:t>Table 3.2</w:t>
      </w:r>
      <w:r w:rsidRPr="00150391">
        <w:rPr>
          <w:rFonts w:cs="Calibri"/>
        </w:rPr>
        <w:t xml:space="preserve"> tab of the Excel Tables workbook (available from User Reference Material in CBMS). </w:t>
      </w:r>
    </w:p>
    <w:p w14:paraId="6FDAE1D5" w14:textId="77777777" w:rsidR="00AE6EBC" w:rsidRPr="00150391" w:rsidRDefault="00090962" w:rsidP="00580008">
      <w:pPr>
        <w:pStyle w:val="Boxed2Text"/>
        <w:rPr>
          <w:rFonts w:cs="Calibri"/>
        </w:rPr>
      </w:pPr>
      <w:r w:rsidRPr="00150391">
        <w:rPr>
          <w:rFonts w:cs="Calibri"/>
          <w:bCs/>
        </w:rPr>
        <w:t>A</w:t>
      </w:r>
      <w:r w:rsidR="53BF0693" w:rsidRPr="00150391">
        <w:rPr>
          <w:rFonts w:cs="Calibri"/>
        </w:rPr>
        <w:t xml:space="preserve">ll references to reports hereunto can be sourced from </w:t>
      </w:r>
      <w:r w:rsidR="53BF0693" w:rsidRPr="00150391">
        <w:rPr>
          <w:rFonts w:cs="Calibri"/>
          <w:i/>
        </w:rPr>
        <w:t>User Reference Material</w:t>
      </w:r>
      <w:r w:rsidR="53BF0693" w:rsidRPr="00150391">
        <w:rPr>
          <w:rFonts w:cs="Calibri"/>
        </w:rPr>
        <w:t xml:space="preserve"> in CBMS. </w:t>
      </w:r>
    </w:p>
    <w:p w14:paraId="3B16A955" w14:textId="24715745" w:rsidR="00FA0945" w:rsidRPr="00150391" w:rsidRDefault="53BF0693" w:rsidP="000A7DEC">
      <w:pPr>
        <w:rPr>
          <w:rFonts w:cs="Calibri"/>
        </w:rPr>
      </w:pPr>
      <w:r w:rsidRPr="00150391">
        <w:rPr>
          <w:rFonts w:cs="Calibri"/>
        </w:rPr>
        <w:t>This statement depicts the entity’s estimated assets and liabilities in relation to its departmental operations at the end of the financial year.</w:t>
      </w:r>
    </w:p>
    <w:p w14:paraId="6F6AEC94" w14:textId="77777777" w:rsidR="00FA0945" w:rsidRPr="00150391" w:rsidRDefault="53BF0693" w:rsidP="000A7DEC">
      <w:pPr>
        <w:pStyle w:val="Heading4"/>
        <w:rPr>
          <w:rFonts w:ascii="Calibri" w:hAnsi="Calibri" w:cs="Calibri"/>
        </w:rPr>
      </w:pPr>
      <w:r w:rsidRPr="00150391">
        <w:rPr>
          <w:rFonts w:ascii="Calibri" w:hAnsi="Calibri" w:cs="Calibri"/>
        </w:rPr>
        <w:t>Source of information</w:t>
      </w:r>
    </w:p>
    <w:p w14:paraId="7402EDA3" w14:textId="77777777" w:rsidR="00FA0945" w:rsidRPr="00150391" w:rsidRDefault="53BF0693" w:rsidP="000A7DEC">
      <w:pPr>
        <w:rPr>
          <w:rFonts w:cs="Calibri"/>
        </w:rPr>
      </w:pPr>
      <w:r w:rsidRPr="00150391">
        <w:rPr>
          <w:rFonts w:cs="Calibri"/>
        </w:rPr>
        <w:t xml:space="preserve">The following report from CBMS should be used to prepare </w:t>
      </w:r>
      <w:r w:rsidRPr="00150391">
        <w:rPr>
          <w:rFonts w:cs="Calibri"/>
          <w:i/>
          <w:iCs/>
        </w:rPr>
        <w:t>Table 3.2</w:t>
      </w:r>
      <w:r w:rsidRPr="00150391">
        <w:rPr>
          <w:rFonts w:cs="Calibri"/>
        </w:rPr>
        <w:t>:</w:t>
      </w:r>
    </w:p>
    <w:p w14:paraId="2F637A6E" w14:textId="77777777" w:rsidR="00891079" w:rsidRPr="00150391" w:rsidRDefault="00015F15" w:rsidP="00872343">
      <w:pPr>
        <w:pStyle w:val="Reports1"/>
        <w:rPr>
          <w:rFonts w:cs="Calibri"/>
        </w:rPr>
      </w:pPr>
      <w:r w:rsidRPr="00150391">
        <w:rPr>
          <w:rFonts w:cs="Calibri"/>
        </w:rPr>
        <w:t xml:space="preserve">Reports </w:t>
      </w:r>
      <w:r w:rsidR="004B76F7" w:rsidRPr="00150391">
        <w:rPr>
          <w:rFonts w:cs="Calibri"/>
        </w:rPr>
        <w:sym w:font="Wingdings" w:char="F0E0"/>
      </w:r>
      <w:r w:rsidRPr="00150391">
        <w:rPr>
          <w:rFonts w:cs="Calibri"/>
        </w:rPr>
        <w:t xml:space="preserve"> CBMS Reporting </w:t>
      </w:r>
      <w:r w:rsidR="004B76F7" w:rsidRPr="00150391">
        <w:rPr>
          <w:rFonts w:cs="Calibri"/>
        </w:rPr>
        <w:sym w:font="Wingdings" w:char="F0E0"/>
      </w:r>
      <w:r w:rsidRPr="00150391">
        <w:rPr>
          <w:rFonts w:cs="Calibri"/>
        </w:rPr>
        <w:t xml:space="preserve"> Operational Reports </w:t>
      </w:r>
      <w:r w:rsidR="004B76F7" w:rsidRPr="00150391">
        <w:rPr>
          <w:rFonts w:cs="Calibri"/>
        </w:rPr>
        <w:sym w:font="Wingdings" w:char="F0E0"/>
      </w:r>
      <w:r w:rsidRPr="00150391">
        <w:rPr>
          <w:rFonts w:cs="Calibri"/>
        </w:rPr>
        <w:t xml:space="preserve"> Estimates </w:t>
      </w:r>
      <w:r w:rsidR="004B76F7" w:rsidRPr="00150391">
        <w:rPr>
          <w:rFonts w:cs="Calibri"/>
        </w:rPr>
        <w:sym w:font="Wingdings" w:char="F0E0"/>
      </w:r>
      <w:r w:rsidRPr="00150391">
        <w:rPr>
          <w:rFonts w:cs="Calibri"/>
        </w:rPr>
        <w:t xml:space="preserve"> Annual Estimates </w:t>
      </w:r>
      <w:r w:rsidR="004B76F7" w:rsidRPr="00150391">
        <w:rPr>
          <w:rFonts w:cs="Calibri"/>
        </w:rPr>
        <w:sym w:font="Wingdings" w:char="F0E0"/>
      </w:r>
      <w:r w:rsidRPr="00150391">
        <w:rPr>
          <w:rFonts w:cs="Calibri"/>
        </w:rPr>
        <w:t xml:space="preserve"> AE.OR.01 Annual Estimates Financial Statements</w:t>
      </w:r>
      <w:r w:rsidR="00C46907" w:rsidRPr="00150391">
        <w:rPr>
          <w:rFonts w:cs="Calibri"/>
          <w:color w:val="auto"/>
        </w:rPr>
        <w:t>.</w:t>
      </w:r>
    </w:p>
    <w:p w14:paraId="165C9D50" w14:textId="77777777" w:rsidR="00FA0945" w:rsidRPr="00150391" w:rsidRDefault="53BF0693" w:rsidP="000A7DEC">
      <w:pPr>
        <w:rPr>
          <w:rFonts w:cs="Calibri"/>
        </w:rPr>
      </w:pPr>
      <w:r w:rsidRPr="00150391">
        <w:rPr>
          <w:rFonts w:cs="Calibri"/>
        </w:rPr>
        <w:t xml:space="preserve">Select “Departmental” as the control type and go to “Program View”. </w:t>
      </w:r>
    </w:p>
    <w:p w14:paraId="7A0BC73F" w14:textId="77777777" w:rsidR="00FA0945" w:rsidRPr="00150391" w:rsidRDefault="53BF0693" w:rsidP="00CF6BE7">
      <w:pPr>
        <w:pStyle w:val="Heading2Numbered"/>
        <w:rPr>
          <w:rFonts w:ascii="Calibri" w:hAnsi="Calibri" w:cs="Calibri"/>
        </w:rPr>
      </w:pPr>
      <w:bookmarkStart w:id="1013" w:name="_Toc411852695"/>
      <w:bookmarkStart w:id="1014" w:name="_Toc534382576"/>
      <w:bookmarkStart w:id="1015" w:name="_Toc63347730"/>
      <w:bookmarkStart w:id="1016" w:name="_Toc114576318"/>
      <w:r w:rsidRPr="00150391">
        <w:rPr>
          <w:rFonts w:ascii="Calibri" w:hAnsi="Calibri" w:cs="Calibri"/>
        </w:rPr>
        <w:t>Departmental statement of changes in equity</w:t>
      </w:r>
      <w:bookmarkEnd w:id="1013"/>
      <w:bookmarkEnd w:id="1014"/>
      <w:bookmarkEnd w:id="1015"/>
      <w:bookmarkEnd w:id="1016"/>
    </w:p>
    <w:p w14:paraId="30E7BD24" w14:textId="77777777" w:rsidR="00FA0945" w:rsidRPr="00150391" w:rsidRDefault="53BF0693" w:rsidP="000A7DEC">
      <w:pPr>
        <w:rPr>
          <w:rFonts w:cs="Calibri"/>
        </w:rPr>
      </w:pPr>
      <w:r w:rsidRPr="00150391">
        <w:rPr>
          <w:rFonts w:cs="Calibri"/>
        </w:rPr>
        <w:t xml:space="preserve">The template for the Departmental statement of changes in equity table can be found in the “Table 3.3” tab of the Excel Tables workbook. </w:t>
      </w:r>
    </w:p>
    <w:p w14:paraId="454FCE4B" w14:textId="77777777" w:rsidR="00FA0945" w:rsidRPr="00150391" w:rsidRDefault="53BF0693" w:rsidP="000A7DEC">
      <w:pPr>
        <w:rPr>
          <w:rFonts w:cs="Calibri"/>
        </w:rPr>
      </w:pPr>
      <w:r w:rsidRPr="00150391">
        <w:rPr>
          <w:rFonts w:cs="Calibri"/>
        </w:rPr>
        <w:t xml:space="preserve">This statement depicts the forecast movement in the entity’s equity position over the financial year (i.e. the change in the </w:t>
      </w:r>
      <w:r w:rsidR="006418EA" w:rsidRPr="00150391">
        <w:rPr>
          <w:rFonts w:cs="Calibri"/>
        </w:rPr>
        <w:t>government</w:t>
      </w:r>
      <w:r w:rsidRPr="00150391">
        <w:rPr>
          <w:rFonts w:cs="Calibri"/>
        </w:rPr>
        <w:t>’s ownership interests in the entity).</w:t>
      </w:r>
    </w:p>
    <w:p w14:paraId="21A9E046" w14:textId="77777777" w:rsidR="00FA0945" w:rsidRPr="00150391" w:rsidRDefault="53BF0693" w:rsidP="000A7DEC">
      <w:pPr>
        <w:pStyle w:val="Heading4"/>
        <w:rPr>
          <w:rFonts w:ascii="Calibri" w:hAnsi="Calibri" w:cs="Calibri"/>
        </w:rPr>
      </w:pPr>
      <w:r w:rsidRPr="00150391">
        <w:rPr>
          <w:rFonts w:ascii="Calibri" w:hAnsi="Calibri" w:cs="Calibri"/>
        </w:rPr>
        <w:t>Source of information</w:t>
      </w:r>
    </w:p>
    <w:p w14:paraId="0D0DACC8" w14:textId="77777777" w:rsidR="00FA0945" w:rsidRPr="00150391" w:rsidRDefault="53BF0693" w:rsidP="000A7DEC">
      <w:pPr>
        <w:rPr>
          <w:rFonts w:cs="Calibri"/>
        </w:rPr>
      </w:pPr>
      <w:r w:rsidRPr="00150391">
        <w:rPr>
          <w:rFonts w:cs="Calibri"/>
        </w:rPr>
        <w:t xml:space="preserve">The following report from CBMS should be used to prepare </w:t>
      </w:r>
      <w:r w:rsidRPr="00150391">
        <w:rPr>
          <w:rFonts w:cs="Calibri"/>
          <w:i/>
          <w:iCs/>
        </w:rPr>
        <w:t>Table 3.3</w:t>
      </w:r>
      <w:r w:rsidRPr="00150391">
        <w:rPr>
          <w:rFonts w:cs="Calibri"/>
        </w:rPr>
        <w:t>:</w:t>
      </w:r>
    </w:p>
    <w:p w14:paraId="60AA35D8" w14:textId="77777777" w:rsidR="00891079" w:rsidRPr="00150391" w:rsidRDefault="00015F15" w:rsidP="00A8355D">
      <w:pPr>
        <w:pStyle w:val="Reports1"/>
        <w:rPr>
          <w:rFonts w:cs="Calibri"/>
        </w:rPr>
      </w:pPr>
      <w:bookmarkStart w:id="1017" w:name="_Toc411852696"/>
      <w:r w:rsidRPr="00150391">
        <w:rPr>
          <w:rFonts w:cs="Calibri"/>
        </w:rPr>
        <w:t xml:space="preserve">Reports </w:t>
      </w:r>
      <w:r w:rsidR="004B76F7" w:rsidRPr="00150391">
        <w:rPr>
          <w:rFonts w:cs="Calibri"/>
        </w:rPr>
        <w:sym w:font="Wingdings" w:char="F0E0"/>
      </w:r>
      <w:r w:rsidRPr="00150391">
        <w:rPr>
          <w:rFonts w:cs="Calibri"/>
        </w:rPr>
        <w:t xml:space="preserve"> CBMS Reporting </w:t>
      </w:r>
      <w:r w:rsidR="004B76F7" w:rsidRPr="00150391">
        <w:rPr>
          <w:rFonts w:cs="Calibri"/>
        </w:rPr>
        <w:sym w:font="Wingdings" w:char="F0E0"/>
      </w:r>
      <w:r w:rsidRPr="00150391">
        <w:rPr>
          <w:rFonts w:cs="Calibri"/>
        </w:rPr>
        <w:t xml:space="preserve"> Operational Reports </w:t>
      </w:r>
      <w:r w:rsidR="004B76F7" w:rsidRPr="00150391">
        <w:rPr>
          <w:rFonts w:cs="Calibri"/>
        </w:rPr>
        <w:sym w:font="Wingdings" w:char="F0E0"/>
      </w:r>
      <w:r w:rsidRPr="00150391">
        <w:rPr>
          <w:rFonts w:cs="Calibri"/>
        </w:rPr>
        <w:t xml:space="preserve"> Estimates </w:t>
      </w:r>
      <w:r w:rsidR="004B76F7" w:rsidRPr="00150391">
        <w:rPr>
          <w:rFonts w:cs="Calibri"/>
        </w:rPr>
        <w:sym w:font="Wingdings" w:char="F0E0"/>
      </w:r>
      <w:r w:rsidRPr="00150391">
        <w:rPr>
          <w:rFonts w:cs="Calibri"/>
        </w:rPr>
        <w:t xml:space="preserve"> Annual Estimates </w:t>
      </w:r>
      <w:r w:rsidR="004B76F7" w:rsidRPr="00150391">
        <w:rPr>
          <w:rFonts w:cs="Calibri"/>
        </w:rPr>
        <w:sym w:font="Wingdings" w:char="F0E0"/>
      </w:r>
      <w:r w:rsidRPr="00150391">
        <w:rPr>
          <w:rFonts w:cs="Calibri"/>
        </w:rPr>
        <w:t xml:space="preserve"> AE.OR.02 Annual Estimates and Equity Report</w:t>
      </w:r>
      <w:r w:rsidR="00C46907" w:rsidRPr="00150391">
        <w:rPr>
          <w:rFonts w:cs="Calibri"/>
          <w:color w:val="auto"/>
        </w:rPr>
        <w:t>.</w:t>
      </w:r>
    </w:p>
    <w:p w14:paraId="7CE07A5A" w14:textId="77777777" w:rsidR="00015F15" w:rsidRPr="00150391" w:rsidRDefault="53BF0693" w:rsidP="000A7DEC">
      <w:pPr>
        <w:rPr>
          <w:rFonts w:cs="Calibri"/>
        </w:rPr>
      </w:pPr>
      <w:r w:rsidRPr="00150391">
        <w:rPr>
          <w:rFonts w:cs="Calibri"/>
        </w:rPr>
        <w:t>Select “</w:t>
      </w:r>
      <w:r w:rsidR="00BA2416" w:rsidRPr="00150391">
        <w:rPr>
          <w:rFonts w:cs="Calibri"/>
        </w:rPr>
        <w:t>2022</w:t>
      </w:r>
      <w:r w:rsidRPr="00150391">
        <w:rPr>
          <w:rFonts w:cs="Calibri"/>
        </w:rPr>
        <w:t>-</w:t>
      </w:r>
      <w:r w:rsidR="00BA2416" w:rsidRPr="00150391">
        <w:rPr>
          <w:rFonts w:cs="Calibri"/>
        </w:rPr>
        <w:t>23</w:t>
      </w:r>
      <w:r w:rsidRPr="00150391">
        <w:rPr>
          <w:rFonts w:cs="Calibri"/>
        </w:rPr>
        <w:t>” as the financial year and “Departmental” as the control type.</w:t>
      </w:r>
    </w:p>
    <w:p w14:paraId="4AC2DB8F" w14:textId="77777777" w:rsidR="00FA0945" w:rsidRPr="00150391" w:rsidRDefault="53BF0693" w:rsidP="53BF0693">
      <w:pPr>
        <w:pStyle w:val="Heading2Numbered"/>
        <w:rPr>
          <w:rFonts w:ascii="Calibri" w:hAnsi="Calibri" w:cs="Calibri"/>
          <w:color w:val="auto"/>
        </w:rPr>
      </w:pPr>
      <w:bookmarkStart w:id="1018" w:name="_Toc534382577"/>
      <w:bookmarkStart w:id="1019" w:name="_Toc63347731"/>
      <w:bookmarkStart w:id="1020" w:name="_Toc114576319"/>
      <w:r w:rsidRPr="00150391">
        <w:rPr>
          <w:rFonts w:ascii="Calibri" w:hAnsi="Calibri" w:cs="Calibri"/>
        </w:rPr>
        <w:t>Budgeted departmental statement of cash flows</w:t>
      </w:r>
      <w:bookmarkEnd w:id="1017"/>
      <w:bookmarkEnd w:id="1018"/>
      <w:bookmarkEnd w:id="1019"/>
      <w:bookmarkEnd w:id="1020"/>
    </w:p>
    <w:p w14:paraId="306DE95F" w14:textId="77777777" w:rsidR="00FA0945" w:rsidRPr="00150391" w:rsidRDefault="53BF0693" w:rsidP="000A7DEC">
      <w:pPr>
        <w:rPr>
          <w:rFonts w:cs="Calibri"/>
        </w:rPr>
      </w:pPr>
      <w:r w:rsidRPr="00150391">
        <w:rPr>
          <w:rFonts w:cs="Calibri"/>
        </w:rPr>
        <w:t xml:space="preserve">The template for the Budgeted departmental statement of cash flows table can be found in the </w:t>
      </w:r>
      <w:r w:rsidRPr="00150391">
        <w:rPr>
          <w:rFonts w:cs="Calibri"/>
          <w:i/>
          <w:iCs/>
        </w:rPr>
        <w:t>Table 3.4</w:t>
      </w:r>
      <w:r w:rsidRPr="00150391">
        <w:rPr>
          <w:rFonts w:cs="Calibri"/>
        </w:rPr>
        <w:t xml:space="preserve"> tab of the Excel Tables workbook.</w:t>
      </w:r>
    </w:p>
    <w:p w14:paraId="039EB4FC" w14:textId="77777777" w:rsidR="00FA0945" w:rsidRPr="00150391" w:rsidRDefault="53BF0693" w:rsidP="000A7DEC">
      <w:pPr>
        <w:rPr>
          <w:rFonts w:cs="Calibri"/>
        </w:rPr>
      </w:pPr>
      <w:r w:rsidRPr="00150391">
        <w:rPr>
          <w:rFonts w:cs="Calibri"/>
        </w:rPr>
        <w:t>This statement depicts the entity’s estimated cash flows over the financial year.</w:t>
      </w:r>
    </w:p>
    <w:p w14:paraId="7A91E85B" w14:textId="77777777" w:rsidR="00FA0945" w:rsidRPr="00150391" w:rsidRDefault="53BF0693" w:rsidP="000A7DEC">
      <w:pPr>
        <w:pStyle w:val="Heading4"/>
        <w:rPr>
          <w:rFonts w:ascii="Calibri" w:hAnsi="Calibri" w:cs="Calibri"/>
        </w:rPr>
      </w:pPr>
      <w:r w:rsidRPr="00150391">
        <w:rPr>
          <w:rFonts w:ascii="Calibri" w:hAnsi="Calibri" w:cs="Calibri"/>
        </w:rPr>
        <w:t>Source of information</w:t>
      </w:r>
    </w:p>
    <w:p w14:paraId="4A8BEFD5" w14:textId="77777777" w:rsidR="00FA0945" w:rsidRPr="00150391" w:rsidRDefault="53BF0693" w:rsidP="000A7DEC">
      <w:pPr>
        <w:rPr>
          <w:rFonts w:cs="Calibri"/>
        </w:rPr>
      </w:pPr>
      <w:r w:rsidRPr="00150391">
        <w:rPr>
          <w:rFonts w:cs="Calibri"/>
        </w:rPr>
        <w:t xml:space="preserve">The following report from CBMS should be used to prepare </w:t>
      </w:r>
      <w:r w:rsidRPr="00150391">
        <w:rPr>
          <w:rFonts w:cs="Calibri"/>
          <w:i/>
          <w:iCs/>
        </w:rPr>
        <w:t>Table 3.4</w:t>
      </w:r>
      <w:r w:rsidRPr="00150391">
        <w:rPr>
          <w:rFonts w:cs="Calibri"/>
        </w:rPr>
        <w:t>:</w:t>
      </w:r>
    </w:p>
    <w:p w14:paraId="757C931F" w14:textId="77777777" w:rsidR="00DA25E5" w:rsidRPr="00150391" w:rsidRDefault="00F415C5" w:rsidP="00872343">
      <w:pPr>
        <w:pStyle w:val="Reports1"/>
        <w:rPr>
          <w:rFonts w:cs="Calibri"/>
        </w:rPr>
      </w:pPr>
      <w:r w:rsidRPr="00150391">
        <w:rPr>
          <w:rFonts w:cs="Calibri"/>
        </w:rPr>
        <w:t xml:space="preserve">Reports </w:t>
      </w:r>
      <w:r w:rsidR="004B76F7" w:rsidRPr="00150391">
        <w:rPr>
          <w:rFonts w:cs="Calibri"/>
        </w:rPr>
        <w:sym w:font="Wingdings" w:char="F0E0"/>
      </w:r>
      <w:r w:rsidRPr="00150391">
        <w:rPr>
          <w:rFonts w:cs="Calibri"/>
        </w:rPr>
        <w:t xml:space="preserve"> CBMS Reporting </w:t>
      </w:r>
      <w:r w:rsidR="004B76F7" w:rsidRPr="00150391">
        <w:rPr>
          <w:rFonts w:cs="Calibri"/>
        </w:rPr>
        <w:sym w:font="Wingdings" w:char="F0E0"/>
      </w:r>
      <w:r w:rsidRPr="00150391">
        <w:rPr>
          <w:rFonts w:cs="Calibri"/>
        </w:rPr>
        <w:t xml:space="preserve"> Operational Reports </w:t>
      </w:r>
      <w:r w:rsidR="004B76F7" w:rsidRPr="00150391">
        <w:rPr>
          <w:rFonts w:cs="Calibri"/>
        </w:rPr>
        <w:sym w:font="Wingdings" w:char="F0E0"/>
      </w:r>
      <w:r w:rsidRPr="00150391">
        <w:rPr>
          <w:rFonts w:cs="Calibri"/>
        </w:rPr>
        <w:t xml:space="preserve"> Estimates </w:t>
      </w:r>
      <w:r w:rsidR="004B76F7" w:rsidRPr="00150391">
        <w:rPr>
          <w:rFonts w:cs="Calibri"/>
        </w:rPr>
        <w:sym w:font="Wingdings" w:char="F0E0"/>
      </w:r>
      <w:r w:rsidRPr="00150391">
        <w:rPr>
          <w:rFonts w:cs="Calibri"/>
        </w:rPr>
        <w:t xml:space="preserve"> Annual Estimates </w:t>
      </w:r>
      <w:r w:rsidR="004B76F7" w:rsidRPr="00150391">
        <w:rPr>
          <w:rFonts w:cs="Calibri"/>
        </w:rPr>
        <w:sym w:font="Wingdings" w:char="F0E0"/>
      </w:r>
      <w:r w:rsidRPr="00150391">
        <w:rPr>
          <w:rFonts w:cs="Calibri"/>
        </w:rPr>
        <w:t xml:space="preserve"> AE.OR.01 Annual Estimates Financial Statements</w:t>
      </w:r>
      <w:r w:rsidR="00C46907" w:rsidRPr="00150391">
        <w:rPr>
          <w:rFonts w:cs="Calibri"/>
          <w:color w:val="auto"/>
        </w:rPr>
        <w:t>.</w:t>
      </w:r>
    </w:p>
    <w:p w14:paraId="4724F6CF" w14:textId="77777777" w:rsidR="007B5CC5" w:rsidRPr="00150391" w:rsidRDefault="53BF0693" w:rsidP="000A7DEC">
      <w:pPr>
        <w:rPr>
          <w:rFonts w:cs="Calibri"/>
        </w:rPr>
      </w:pPr>
      <w:r w:rsidRPr="00150391">
        <w:rPr>
          <w:rFonts w:cs="Calibri"/>
        </w:rPr>
        <w:t>Select “Departmental” as the control type and look up “Program View”.</w:t>
      </w:r>
    </w:p>
    <w:p w14:paraId="701D486D" w14:textId="77777777" w:rsidR="00FA0945" w:rsidRPr="00150391" w:rsidRDefault="53BF0693" w:rsidP="53BF0693">
      <w:pPr>
        <w:pStyle w:val="Heading2Numbered"/>
        <w:rPr>
          <w:rFonts w:ascii="Calibri" w:hAnsi="Calibri" w:cs="Calibri"/>
          <w:color w:val="auto"/>
        </w:rPr>
      </w:pPr>
      <w:bookmarkStart w:id="1021" w:name="_Toc534458900"/>
      <w:bookmarkStart w:id="1022" w:name="_Toc534459689"/>
      <w:bookmarkStart w:id="1023" w:name="_Toc534519186"/>
      <w:bookmarkStart w:id="1024" w:name="_Toc534520096"/>
      <w:bookmarkStart w:id="1025" w:name="_Toc534520366"/>
      <w:bookmarkStart w:id="1026" w:name="_Toc534527578"/>
      <w:bookmarkStart w:id="1027" w:name="_Toc534528308"/>
      <w:bookmarkStart w:id="1028" w:name="_Toc534803529"/>
      <w:bookmarkStart w:id="1029" w:name="_Toc534814220"/>
      <w:bookmarkStart w:id="1030" w:name="_Toc536108593"/>
      <w:bookmarkStart w:id="1031" w:name="_Toc536802138"/>
      <w:bookmarkStart w:id="1032" w:name="_Toc411852697"/>
      <w:bookmarkStart w:id="1033" w:name="_Toc534382578"/>
      <w:bookmarkStart w:id="1034" w:name="_Toc63347732"/>
      <w:bookmarkStart w:id="1035" w:name="_Toc114576320"/>
      <w:bookmarkEnd w:id="1021"/>
      <w:bookmarkEnd w:id="1022"/>
      <w:bookmarkEnd w:id="1023"/>
      <w:bookmarkEnd w:id="1024"/>
      <w:bookmarkEnd w:id="1025"/>
      <w:bookmarkEnd w:id="1026"/>
      <w:bookmarkEnd w:id="1027"/>
      <w:bookmarkEnd w:id="1028"/>
      <w:bookmarkEnd w:id="1029"/>
      <w:bookmarkEnd w:id="1030"/>
      <w:bookmarkEnd w:id="1031"/>
      <w:r w:rsidRPr="00150391">
        <w:rPr>
          <w:rFonts w:ascii="Calibri" w:hAnsi="Calibri" w:cs="Calibri"/>
        </w:rPr>
        <w:t>Departmental capital budget statement</w:t>
      </w:r>
      <w:bookmarkEnd w:id="1032"/>
      <w:bookmarkEnd w:id="1033"/>
      <w:bookmarkEnd w:id="1034"/>
      <w:bookmarkEnd w:id="1035"/>
    </w:p>
    <w:p w14:paraId="2E7066A6" w14:textId="68AFBD83" w:rsidR="00C46907" w:rsidRPr="00150391" w:rsidRDefault="53BF0693" w:rsidP="00580008">
      <w:pPr>
        <w:rPr>
          <w:rFonts w:cs="Calibri"/>
        </w:rPr>
      </w:pPr>
      <w:r w:rsidRPr="00150391">
        <w:rPr>
          <w:rFonts w:cs="Calibri"/>
        </w:rPr>
        <w:t xml:space="preserve">The template for the Departmental capital budget statement table can be found in the </w:t>
      </w:r>
      <w:r w:rsidRPr="00150391">
        <w:rPr>
          <w:rFonts w:cs="Calibri"/>
          <w:i/>
          <w:iCs/>
        </w:rPr>
        <w:t>Table 3.5</w:t>
      </w:r>
      <w:r w:rsidRPr="00150391">
        <w:rPr>
          <w:rFonts w:cs="Calibri"/>
        </w:rPr>
        <w:t xml:space="preserve"> tab of the Excel Tables workbook.</w:t>
      </w:r>
    </w:p>
    <w:p w14:paraId="291EBB42" w14:textId="390632D1" w:rsidR="00FA0945" w:rsidRPr="00150391" w:rsidRDefault="53BF0693" w:rsidP="000A7DEC">
      <w:pPr>
        <w:rPr>
          <w:rFonts w:cs="Calibri"/>
        </w:rPr>
      </w:pPr>
      <w:r w:rsidRPr="00150391">
        <w:rPr>
          <w:rFonts w:cs="Calibri"/>
        </w:rPr>
        <w:t>This statement outlines the entity’s capital appropriations that will be provided through Appropriation Bills (No.1 and 2) and the purpose for which they were provided (either to purchase assets, or for departmental supplementation), compared to their forecast capital expenditure.</w:t>
      </w:r>
    </w:p>
    <w:p w14:paraId="1B029B5C" w14:textId="77777777" w:rsidR="00FA0945" w:rsidRPr="00150391" w:rsidRDefault="53BF0693" w:rsidP="000A7DEC">
      <w:pPr>
        <w:pStyle w:val="Heading4"/>
        <w:rPr>
          <w:rFonts w:ascii="Calibri" w:hAnsi="Calibri" w:cs="Calibri"/>
        </w:rPr>
      </w:pPr>
      <w:r w:rsidRPr="00150391">
        <w:rPr>
          <w:rFonts w:ascii="Calibri" w:hAnsi="Calibri" w:cs="Calibri"/>
        </w:rPr>
        <w:t>Source of information</w:t>
      </w:r>
    </w:p>
    <w:p w14:paraId="4E0EDDBB" w14:textId="77777777" w:rsidR="00FA0945" w:rsidRPr="00150391" w:rsidRDefault="53BF0693" w:rsidP="000A7DEC">
      <w:pPr>
        <w:rPr>
          <w:rFonts w:cs="Calibri"/>
        </w:rPr>
      </w:pPr>
      <w:r w:rsidRPr="00150391">
        <w:rPr>
          <w:rFonts w:cs="Calibri"/>
        </w:rPr>
        <w:t xml:space="preserve">The following report from CBMS should be used to prepare </w:t>
      </w:r>
      <w:r w:rsidRPr="00150391">
        <w:rPr>
          <w:rFonts w:cs="Calibri"/>
          <w:i/>
          <w:iCs/>
        </w:rPr>
        <w:t>Table 3.5</w:t>
      </w:r>
      <w:r w:rsidRPr="00150391">
        <w:rPr>
          <w:rFonts w:cs="Calibri"/>
        </w:rPr>
        <w:t>:</w:t>
      </w:r>
    </w:p>
    <w:p w14:paraId="2B5D2973" w14:textId="77777777" w:rsidR="00DA25E5" w:rsidRPr="00150391" w:rsidRDefault="00F415C5" w:rsidP="00872343">
      <w:pPr>
        <w:pStyle w:val="Reports1"/>
        <w:rPr>
          <w:rFonts w:cs="Calibri"/>
        </w:rPr>
      </w:pPr>
      <w:r w:rsidRPr="00150391">
        <w:rPr>
          <w:rFonts w:cs="Calibri"/>
        </w:rPr>
        <w:t xml:space="preserve">Reports </w:t>
      </w:r>
      <w:r w:rsidR="00887163" w:rsidRPr="00150391">
        <w:rPr>
          <w:rFonts w:cs="Calibri"/>
        </w:rPr>
        <w:sym w:font="Wingdings" w:char="F0E0"/>
      </w:r>
      <w:r w:rsidRPr="00150391">
        <w:rPr>
          <w:rFonts w:cs="Calibri"/>
        </w:rPr>
        <w:t xml:space="preserve"> CBMS Reporting </w:t>
      </w:r>
      <w:r w:rsidR="00887163" w:rsidRPr="00150391">
        <w:rPr>
          <w:rFonts w:cs="Calibri"/>
        </w:rPr>
        <w:sym w:font="Wingdings" w:char="F0E0"/>
      </w:r>
      <w:r w:rsidRPr="00150391">
        <w:rPr>
          <w:rFonts w:cs="Calibri"/>
        </w:rPr>
        <w:t xml:space="preserve"> Operational Reports </w:t>
      </w:r>
      <w:r w:rsidR="00887163" w:rsidRPr="00150391">
        <w:rPr>
          <w:rFonts w:cs="Calibri"/>
        </w:rPr>
        <w:sym w:font="Wingdings" w:char="F0E0"/>
      </w:r>
      <w:r w:rsidRPr="00150391">
        <w:rPr>
          <w:rFonts w:cs="Calibri"/>
        </w:rPr>
        <w:t xml:space="preserve"> Estimates </w:t>
      </w:r>
      <w:r w:rsidR="00887163" w:rsidRPr="00150391">
        <w:rPr>
          <w:rFonts w:cs="Calibri"/>
        </w:rPr>
        <w:sym w:font="Wingdings" w:char="F0E0"/>
      </w:r>
      <w:r w:rsidRPr="00150391">
        <w:rPr>
          <w:rFonts w:cs="Calibri"/>
        </w:rPr>
        <w:t xml:space="preserve"> Annual Estimates </w:t>
      </w:r>
      <w:r w:rsidR="00887163" w:rsidRPr="00150391">
        <w:rPr>
          <w:rFonts w:cs="Calibri"/>
        </w:rPr>
        <w:sym w:font="Wingdings" w:char="F0E0"/>
      </w:r>
      <w:r w:rsidRPr="00150391">
        <w:rPr>
          <w:rFonts w:cs="Calibri"/>
        </w:rPr>
        <w:t xml:space="preserve"> AE.OR.06 Capital Budget Statement Report</w:t>
      </w:r>
      <w:r w:rsidR="00C46907" w:rsidRPr="00150391">
        <w:rPr>
          <w:rFonts w:cs="Calibri"/>
          <w:color w:val="auto"/>
        </w:rPr>
        <w:t>.</w:t>
      </w:r>
    </w:p>
    <w:p w14:paraId="300BE470" w14:textId="18AB8897" w:rsidR="00FA0945" w:rsidRPr="00150391" w:rsidRDefault="53BF0693" w:rsidP="000A7DEC">
      <w:pPr>
        <w:rPr>
          <w:rFonts w:cs="Calibri"/>
        </w:rPr>
      </w:pPr>
      <w:r w:rsidRPr="00150391">
        <w:rPr>
          <w:rFonts w:cs="Calibri"/>
        </w:rPr>
        <w:t>Select “Departmental” as the control type.</w:t>
      </w:r>
    </w:p>
    <w:p w14:paraId="5347775A" w14:textId="77777777" w:rsidR="00FA0945" w:rsidRPr="00150391" w:rsidRDefault="53BF0693" w:rsidP="000A7DEC">
      <w:pPr>
        <w:rPr>
          <w:rFonts w:cs="Calibri"/>
        </w:rPr>
      </w:pPr>
      <w:r w:rsidRPr="00150391">
        <w:rPr>
          <w:rFonts w:cs="Calibri"/>
        </w:rPr>
        <w:t>Information to be included in the “Reconciliation of cash used to acquire assets to Asset Movement Table” should be sourced from the cash flow statement (</w:t>
      </w:r>
      <w:r w:rsidRPr="00150391">
        <w:rPr>
          <w:rFonts w:cs="Calibri"/>
          <w:i/>
          <w:iCs/>
        </w:rPr>
        <w:t>Table 3.4</w:t>
      </w:r>
      <w:r w:rsidRPr="00150391">
        <w:rPr>
          <w:rFonts w:cs="Calibri"/>
        </w:rPr>
        <w:t xml:space="preserve">) and the entity’s FMIS. </w:t>
      </w:r>
    </w:p>
    <w:p w14:paraId="77BA894A" w14:textId="77777777" w:rsidR="00FA0945" w:rsidRPr="00150391" w:rsidRDefault="53BF0693" w:rsidP="53BF0693">
      <w:pPr>
        <w:pStyle w:val="Heading2Numbered"/>
        <w:rPr>
          <w:rFonts w:ascii="Calibri" w:hAnsi="Calibri" w:cs="Calibri"/>
        </w:rPr>
      </w:pPr>
      <w:bookmarkStart w:id="1036" w:name="_Toc411852698"/>
      <w:bookmarkStart w:id="1037" w:name="_Toc534382579"/>
      <w:bookmarkStart w:id="1038" w:name="_Ref61531741"/>
      <w:bookmarkStart w:id="1039" w:name="_Ref61874726"/>
      <w:bookmarkStart w:id="1040" w:name="_Toc63347733"/>
      <w:bookmarkStart w:id="1041" w:name="_Toc114576321"/>
      <w:r w:rsidRPr="00150391">
        <w:rPr>
          <w:rFonts w:ascii="Calibri" w:hAnsi="Calibri" w:cs="Calibri"/>
        </w:rPr>
        <w:t>Departmental statement of asset movements</w:t>
      </w:r>
      <w:bookmarkEnd w:id="1036"/>
      <w:bookmarkEnd w:id="1037"/>
      <w:bookmarkEnd w:id="1038"/>
      <w:bookmarkEnd w:id="1039"/>
      <w:bookmarkEnd w:id="1040"/>
      <w:bookmarkEnd w:id="1041"/>
    </w:p>
    <w:p w14:paraId="4A31D4AB" w14:textId="07A3C8FF" w:rsidR="00FA0945" w:rsidRPr="00150391" w:rsidRDefault="53BF0693" w:rsidP="000A7DEC">
      <w:pPr>
        <w:rPr>
          <w:rFonts w:cs="Calibri"/>
        </w:rPr>
      </w:pPr>
      <w:r w:rsidRPr="00150391">
        <w:rPr>
          <w:rFonts w:cs="Calibri"/>
        </w:rPr>
        <w:t xml:space="preserve">The template for the Departmental statement of asset movements table can be found in the </w:t>
      </w:r>
      <w:r w:rsidRPr="00150391">
        <w:rPr>
          <w:rFonts w:cs="Calibri"/>
          <w:i/>
          <w:iCs/>
        </w:rPr>
        <w:t>Table 3.6</w:t>
      </w:r>
      <w:r w:rsidRPr="00150391">
        <w:rPr>
          <w:rFonts w:cs="Calibri"/>
        </w:rPr>
        <w:t xml:space="preserve"> tab of the Excel Tables workbook.</w:t>
      </w:r>
    </w:p>
    <w:p w14:paraId="74B87677" w14:textId="77777777" w:rsidR="00FA0945" w:rsidRPr="00150391" w:rsidRDefault="53BF0693" w:rsidP="000A7DEC">
      <w:pPr>
        <w:rPr>
          <w:rFonts w:cs="Calibri"/>
        </w:rPr>
      </w:pPr>
      <w:r w:rsidRPr="00150391">
        <w:rPr>
          <w:rFonts w:cs="Calibri"/>
        </w:rPr>
        <w:t xml:space="preserve">This statement outlines the movements in the entity’s asset holdings, such as the acquisition of new or replacement assets, disposals, revaluations or depreciation. </w:t>
      </w:r>
    </w:p>
    <w:p w14:paraId="63A5A4F8" w14:textId="77777777" w:rsidR="006D1908" w:rsidRPr="00150391" w:rsidRDefault="6B6EE5C4" w:rsidP="000A7DEC">
      <w:pPr>
        <w:rPr>
          <w:rFonts w:cs="Calibri"/>
        </w:rPr>
      </w:pPr>
      <w:r w:rsidRPr="00150391">
        <w:rPr>
          <w:rFonts w:cs="Calibri"/>
        </w:rPr>
        <w:t xml:space="preserve">This </w:t>
      </w:r>
      <w:r w:rsidR="00D77823" w:rsidRPr="00150391">
        <w:rPr>
          <w:rFonts w:cs="Calibri"/>
        </w:rPr>
        <w:t xml:space="preserve">statement now includes new line </w:t>
      </w:r>
      <w:r w:rsidRPr="00150391">
        <w:rPr>
          <w:rFonts w:cs="Calibri"/>
        </w:rPr>
        <w:t xml:space="preserve">items dealing with AASB 16 </w:t>
      </w:r>
      <w:r w:rsidRPr="00150391">
        <w:rPr>
          <w:rFonts w:cs="Calibri"/>
          <w:i/>
          <w:iCs/>
        </w:rPr>
        <w:t>Leases</w:t>
      </w:r>
      <w:r w:rsidRPr="00150391">
        <w:rPr>
          <w:rFonts w:cs="Calibri"/>
        </w:rPr>
        <w:t xml:space="preserve"> (RoU Assets).</w:t>
      </w:r>
    </w:p>
    <w:p w14:paraId="64B6B41B" w14:textId="77777777" w:rsidR="00FA0945" w:rsidRPr="00150391" w:rsidRDefault="53BF0693" w:rsidP="000A7DEC">
      <w:pPr>
        <w:pStyle w:val="Heading4"/>
        <w:rPr>
          <w:rFonts w:ascii="Calibri" w:hAnsi="Calibri" w:cs="Calibri"/>
        </w:rPr>
      </w:pPr>
      <w:r w:rsidRPr="00150391">
        <w:rPr>
          <w:rFonts w:ascii="Calibri" w:hAnsi="Calibri" w:cs="Calibri"/>
        </w:rPr>
        <w:t>Source of information</w:t>
      </w:r>
    </w:p>
    <w:p w14:paraId="50284CDE" w14:textId="77777777" w:rsidR="00FA0945" w:rsidRPr="00150391" w:rsidRDefault="53BF0693" w:rsidP="000A7DEC">
      <w:pPr>
        <w:rPr>
          <w:rFonts w:cs="Calibri"/>
        </w:rPr>
      </w:pPr>
      <w:r w:rsidRPr="00150391">
        <w:rPr>
          <w:rFonts w:cs="Calibri"/>
        </w:rPr>
        <w:t xml:space="preserve">The following report from CBMS should be used to prepare </w:t>
      </w:r>
      <w:r w:rsidRPr="00150391">
        <w:rPr>
          <w:rFonts w:cs="Calibri"/>
          <w:i/>
          <w:iCs/>
        </w:rPr>
        <w:t>Table 3.6</w:t>
      </w:r>
      <w:r w:rsidRPr="00150391">
        <w:rPr>
          <w:rFonts w:cs="Calibri"/>
        </w:rPr>
        <w:t>:</w:t>
      </w:r>
    </w:p>
    <w:p w14:paraId="3519D16B" w14:textId="77777777" w:rsidR="00DA25E5" w:rsidRPr="00150391" w:rsidRDefault="00F415C5" w:rsidP="00A8355D">
      <w:pPr>
        <w:pStyle w:val="Reports1"/>
        <w:rPr>
          <w:rFonts w:cs="Calibri"/>
        </w:rPr>
      </w:pPr>
      <w:r w:rsidRPr="00150391">
        <w:rPr>
          <w:rFonts w:cs="Calibri"/>
        </w:rPr>
        <w:t xml:space="preserve">Reports </w:t>
      </w:r>
      <w:r w:rsidR="00887163" w:rsidRPr="00150391">
        <w:rPr>
          <w:rFonts w:cs="Calibri"/>
        </w:rPr>
        <w:sym w:font="Wingdings" w:char="F0E0"/>
      </w:r>
      <w:r w:rsidRPr="00150391">
        <w:rPr>
          <w:rFonts w:cs="Calibri"/>
        </w:rPr>
        <w:t xml:space="preserve"> CBMS Reporting </w:t>
      </w:r>
      <w:r w:rsidR="00887163" w:rsidRPr="00150391">
        <w:rPr>
          <w:rFonts w:cs="Calibri"/>
        </w:rPr>
        <w:sym w:font="Wingdings" w:char="F0E0"/>
      </w:r>
      <w:r w:rsidRPr="00150391">
        <w:rPr>
          <w:rFonts w:cs="Calibri"/>
        </w:rPr>
        <w:t xml:space="preserve"> Operational Reports </w:t>
      </w:r>
      <w:r w:rsidR="00887163" w:rsidRPr="00150391">
        <w:rPr>
          <w:rFonts w:cs="Calibri"/>
        </w:rPr>
        <w:sym w:font="Wingdings" w:char="F0E0"/>
      </w:r>
      <w:r w:rsidRPr="00150391">
        <w:rPr>
          <w:rFonts w:cs="Calibri"/>
        </w:rPr>
        <w:t xml:space="preserve"> Estimates </w:t>
      </w:r>
      <w:r w:rsidR="00887163" w:rsidRPr="00150391">
        <w:rPr>
          <w:rFonts w:cs="Calibri"/>
        </w:rPr>
        <w:sym w:font="Wingdings" w:char="F0E0"/>
      </w:r>
      <w:r w:rsidRPr="00150391">
        <w:rPr>
          <w:rFonts w:cs="Calibri"/>
        </w:rPr>
        <w:t xml:space="preserve"> Annual Estimates </w:t>
      </w:r>
      <w:r w:rsidR="00887163" w:rsidRPr="00150391">
        <w:rPr>
          <w:rFonts w:cs="Calibri"/>
        </w:rPr>
        <w:sym w:font="Wingdings" w:char="F0E0"/>
      </w:r>
      <w:r w:rsidRPr="00150391">
        <w:rPr>
          <w:rFonts w:cs="Calibri"/>
        </w:rPr>
        <w:t xml:space="preserve"> AE.OR.02 Annual Estimates and Equity Report</w:t>
      </w:r>
      <w:r w:rsidR="00C46907" w:rsidRPr="00150391">
        <w:rPr>
          <w:rFonts w:cs="Calibri"/>
          <w:color w:val="auto"/>
        </w:rPr>
        <w:t>.</w:t>
      </w:r>
    </w:p>
    <w:p w14:paraId="3A83B782" w14:textId="77777777" w:rsidR="00FA0945" w:rsidRPr="00150391" w:rsidRDefault="53BF0693" w:rsidP="000A7DEC">
      <w:pPr>
        <w:rPr>
          <w:rFonts w:cs="Calibri"/>
        </w:rPr>
      </w:pPr>
      <w:r w:rsidRPr="00150391">
        <w:rPr>
          <w:rFonts w:cs="Calibri"/>
        </w:rPr>
        <w:t>Select “</w:t>
      </w:r>
      <w:r w:rsidR="00BA2416" w:rsidRPr="00150391">
        <w:rPr>
          <w:rFonts w:cs="Calibri"/>
        </w:rPr>
        <w:t>2022</w:t>
      </w:r>
      <w:r w:rsidRPr="00150391">
        <w:rPr>
          <w:rFonts w:cs="Calibri"/>
        </w:rPr>
        <w:t>-</w:t>
      </w:r>
      <w:r w:rsidR="00BA2416" w:rsidRPr="00150391">
        <w:rPr>
          <w:rFonts w:cs="Calibri"/>
        </w:rPr>
        <w:t>23</w:t>
      </w:r>
      <w:r w:rsidRPr="00150391">
        <w:rPr>
          <w:rFonts w:cs="Calibri"/>
        </w:rPr>
        <w:t xml:space="preserve">” as the financial year and “Departmental” as the control type. </w:t>
      </w:r>
    </w:p>
    <w:p w14:paraId="6A23D48F" w14:textId="77777777" w:rsidR="007B5CC5" w:rsidRPr="00150391" w:rsidRDefault="53BF0693" w:rsidP="000A7DEC">
      <w:pPr>
        <w:rPr>
          <w:rFonts w:cs="Calibri"/>
        </w:rPr>
      </w:pPr>
      <w:r w:rsidRPr="00150391">
        <w:rPr>
          <w:rFonts w:cs="Calibri"/>
        </w:rPr>
        <w:t>Information to be included in the “Estimated expenditure on new or replacement assets” should be consistent with information included in an entity’s Departmental Capital Management Plan and information contained in their FMIS.</w:t>
      </w:r>
      <w:bookmarkStart w:id="1042" w:name="_Toc411852699"/>
      <w:bookmarkStart w:id="1043" w:name="_Toc534382580"/>
    </w:p>
    <w:p w14:paraId="7B9E6616" w14:textId="24143394" w:rsidR="00FA0945" w:rsidRPr="00150391" w:rsidRDefault="53BF0693" w:rsidP="53BF0693">
      <w:pPr>
        <w:pStyle w:val="Heading2Numbered"/>
        <w:rPr>
          <w:rFonts w:ascii="Calibri" w:hAnsi="Calibri" w:cs="Calibri"/>
        </w:rPr>
      </w:pPr>
      <w:bookmarkStart w:id="1044" w:name="_Toc63347734"/>
      <w:bookmarkStart w:id="1045" w:name="_Ref87952391"/>
      <w:bookmarkStart w:id="1046" w:name="_Ref109038689"/>
      <w:bookmarkStart w:id="1047" w:name="_Toc114576322"/>
      <w:r w:rsidRPr="00150391">
        <w:rPr>
          <w:rFonts w:ascii="Calibri" w:hAnsi="Calibri" w:cs="Calibri"/>
        </w:rPr>
        <w:t>Administered financial statements (Tables 3.7 to 3.11)</w:t>
      </w:r>
      <w:bookmarkEnd w:id="1042"/>
      <w:bookmarkEnd w:id="1043"/>
      <w:bookmarkEnd w:id="1044"/>
      <w:bookmarkEnd w:id="1045"/>
      <w:bookmarkEnd w:id="1046"/>
      <w:bookmarkEnd w:id="1047"/>
    </w:p>
    <w:p w14:paraId="06BF48AA" w14:textId="77777777" w:rsidR="00FA0945" w:rsidRPr="00150391" w:rsidRDefault="53BF0693" w:rsidP="000A7DEC">
      <w:pPr>
        <w:rPr>
          <w:rFonts w:cs="Calibri"/>
        </w:rPr>
      </w:pPr>
      <w:r w:rsidRPr="00150391">
        <w:rPr>
          <w:rFonts w:cs="Calibri"/>
        </w:rPr>
        <w:t>The templates for the Administered financial statements (</w:t>
      </w:r>
      <w:r w:rsidRPr="00150391">
        <w:rPr>
          <w:rFonts w:cs="Calibri"/>
          <w:i/>
          <w:iCs/>
        </w:rPr>
        <w:t>Tables 3.7 to 3.11</w:t>
      </w:r>
      <w:r w:rsidRPr="00150391">
        <w:rPr>
          <w:rFonts w:cs="Calibri"/>
        </w:rPr>
        <w:t>) tables can be found in the Excel Tables workbook.</w:t>
      </w:r>
    </w:p>
    <w:p w14:paraId="7353602C" w14:textId="77777777" w:rsidR="00FA0945" w:rsidRPr="00150391" w:rsidRDefault="53BF0693" w:rsidP="000A7DEC">
      <w:pPr>
        <w:rPr>
          <w:rFonts w:cs="Calibri"/>
        </w:rPr>
      </w:pPr>
      <w:r w:rsidRPr="00150391">
        <w:rPr>
          <w:rFonts w:cs="Calibri"/>
        </w:rPr>
        <w:t xml:space="preserve">These statements describe the resources managed by the entity on behalf of the </w:t>
      </w:r>
      <w:r w:rsidR="006418EA" w:rsidRPr="00150391">
        <w:rPr>
          <w:rFonts w:cs="Calibri"/>
        </w:rPr>
        <w:t>government</w:t>
      </w:r>
      <w:r w:rsidRPr="00150391">
        <w:rPr>
          <w:rFonts w:cs="Calibri"/>
        </w:rPr>
        <w:t xml:space="preserve"> and the public. </w:t>
      </w:r>
    </w:p>
    <w:p w14:paraId="609D5D96" w14:textId="77777777" w:rsidR="00FA0945" w:rsidRPr="00150391" w:rsidRDefault="53BF0693" w:rsidP="53BF0693">
      <w:pPr>
        <w:pStyle w:val="Heading4"/>
        <w:rPr>
          <w:rFonts w:ascii="Calibri" w:hAnsi="Calibri" w:cs="Calibri"/>
        </w:rPr>
      </w:pPr>
      <w:r w:rsidRPr="00150391">
        <w:rPr>
          <w:rFonts w:ascii="Calibri" w:hAnsi="Calibri" w:cs="Calibri"/>
        </w:rPr>
        <w:t>Source of information</w:t>
      </w:r>
    </w:p>
    <w:p w14:paraId="101C2906" w14:textId="60479421" w:rsidR="00FA0945" w:rsidRPr="00150391" w:rsidRDefault="00FA0945" w:rsidP="000A7DEC">
      <w:pPr>
        <w:rPr>
          <w:rFonts w:cs="Calibri"/>
        </w:rPr>
      </w:pPr>
      <w:r w:rsidRPr="00150391">
        <w:rPr>
          <w:rFonts w:cs="Calibri"/>
        </w:rPr>
        <w:t xml:space="preserve">Information for these tables </w:t>
      </w:r>
      <w:r w:rsidR="002F1556" w:rsidRPr="00150391">
        <w:rPr>
          <w:rFonts w:cs="Calibri"/>
        </w:rPr>
        <w:t xml:space="preserve">should </w:t>
      </w:r>
      <w:r w:rsidRPr="00150391">
        <w:rPr>
          <w:rFonts w:cs="Calibri"/>
        </w:rPr>
        <w:t xml:space="preserve">be sourced by running the same CBMS reports as </w:t>
      </w:r>
      <w:r w:rsidRPr="00150391">
        <w:rPr>
          <w:rFonts w:cs="Calibri"/>
          <w:i/>
          <w:iCs/>
        </w:rPr>
        <w:t>Table</w:t>
      </w:r>
      <w:r w:rsidR="004C1ED7" w:rsidRPr="00150391">
        <w:rPr>
          <w:rFonts w:cs="Calibri"/>
          <w:i/>
          <w:iCs/>
        </w:rPr>
        <w:t>s </w:t>
      </w:r>
      <w:r w:rsidRPr="00150391">
        <w:rPr>
          <w:rFonts w:cs="Calibri"/>
          <w:i/>
          <w:iCs/>
        </w:rPr>
        <w:t>3.1 to 3.6</w:t>
      </w:r>
      <w:r w:rsidRPr="00150391">
        <w:rPr>
          <w:rFonts w:cs="Calibri"/>
        </w:rPr>
        <w:t xml:space="preserve"> (see </w:t>
      </w:r>
      <w:r w:rsidR="003600A3" w:rsidRPr="00150391">
        <w:rPr>
          <w:rFonts w:cs="Calibri"/>
        </w:rPr>
        <w:t>s</w:t>
      </w:r>
      <w:r w:rsidRPr="00150391">
        <w:rPr>
          <w:rFonts w:cs="Calibri"/>
        </w:rPr>
        <w:t xml:space="preserve">ections </w:t>
      </w:r>
      <w:r w:rsidR="000A3255" w:rsidRPr="002B4935">
        <w:rPr>
          <w:rStyle w:val="CrossReferenceChar"/>
          <w:rFonts w:cs="Calibri"/>
          <w:color w:val="0070C0"/>
        </w:rPr>
        <w:fldChar w:fldCharType="begin"/>
      </w:r>
      <w:r w:rsidR="000A3255" w:rsidRPr="002B4935">
        <w:rPr>
          <w:rStyle w:val="CrossReferenceChar"/>
          <w:rFonts w:cs="Calibri"/>
          <w:color w:val="0070C0"/>
        </w:rPr>
        <w:instrText xml:space="preserve"> REF _Ref61531719 \w \h </w:instrText>
      </w:r>
      <w:r w:rsidR="003B47B3" w:rsidRPr="002B4935">
        <w:rPr>
          <w:rStyle w:val="CrossReferenceChar"/>
          <w:rFonts w:cs="Calibri"/>
          <w:color w:val="0070C0"/>
        </w:rPr>
        <w:instrText xml:space="preserve"> \* MERGEFORMAT </w:instrText>
      </w:r>
      <w:r w:rsidR="000A3255" w:rsidRPr="002B4935">
        <w:rPr>
          <w:rStyle w:val="CrossReferenceChar"/>
          <w:rFonts w:cs="Calibri"/>
          <w:color w:val="0070C0"/>
        </w:rPr>
      </w:r>
      <w:r w:rsidR="000A3255" w:rsidRPr="002B4935">
        <w:rPr>
          <w:rStyle w:val="CrossReferenceChar"/>
          <w:rFonts w:cs="Calibri"/>
          <w:color w:val="0070C0"/>
        </w:rPr>
        <w:fldChar w:fldCharType="separate"/>
      </w:r>
      <w:r w:rsidR="0073409A">
        <w:rPr>
          <w:rStyle w:val="CrossReferenceChar"/>
          <w:rFonts w:cs="Calibri"/>
          <w:color w:val="0070C0"/>
        </w:rPr>
        <w:t>11.2</w:t>
      </w:r>
      <w:r w:rsidR="000A3255" w:rsidRPr="002B4935">
        <w:rPr>
          <w:rStyle w:val="CrossReferenceChar"/>
          <w:rFonts w:cs="Calibri"/>
          <w:color w:val="0070C0"/>
        </w:rPr>
        <w:fldChar w:fldCharType="end"/>
      </w:r>
      <w:r w:rsidRPr="002B4935">
        <w:rPr>
          <w:rStyle w:val="CrossReferenceChar"/>
          <w:rFonts w:cs="Calibri"/>
          <w:color w:val="0070C0"/>
        </w:rPr>
        <w:t xml:space="preserve"> </w:t>
      </w:r>
      <w:r w:rsidR="00244BC8" w:rsidRPr="002B4935">
        <w:rPr>
          <w:rStyle w:val="CrossReferenceChar"/>
          <w:rFonts w:cs="Calibri"/>
          <w:color w:val="0070C0"/>
        </w:rPr>
        <w:fldChar w:fldCharType="begin"/>
      </w:r>
      <w:r w:rsidR="00244BC8" w:rsidRPr="002B4935">
        <w:rPr>
          <w:rStyle w:val="CrossReferenceChar"/>
          <w:rFonts w:cs="Calibri"/>
          <w:color w:val="0070C0"/>
        </w:rPr>
        <w:instrText xml:space="preserve"> REF _Ref87952298 \h  \* MERGEFORMAT </w:instrText>
      </w:r>
      <w:r w:rsidR="00244BC8" w:rsidRPr="002B4935">
        <w:rPr>
          <w:rStyle w:val="CrossReferenceChar"/>
          <w:rFonts w:cs="Calibri"/>
          <w:color w:val="0070C0"/>
        </w:rPr>
      </w:r>
      <w:r w:rsidR="00244BC8" w:rsidRPr="002B4935">
        <w:rPr>
          <w:rStyle w:val="CrossReferenceChar"/>
          <w:rFonts w:cs="Calibri"/>
          <w:color w:val="0070C0"/>
        </w:rPr>
        <w:fldChar w:fldCharType="separate"/>
      </w:r>
      <w:r w:rsidR="0073409A" w:rsidRPr="0073409A">
        <w:rPr>
          <w:rStyle w:val="CrossReferenceChar"/>
          <w:color w:val="0070C0"/>
        </w:rPr>
        <w:t>Departmental comprehensive income statement (showing net cost of services)</w:t>
      </w:r>
      <w:r w:rsidR="00244BC8" w:rsidRPr="002B4935">
        <w:rPr>
          <w:rStyle w:val="CrossReferenceChar"/>
          <w:rFonts w:cs="Calibri"/>
          <w:color w:val="0070C0"/>
        </w:rPr>
        <w:fldChar w:fldCharType="end"/>
      </w:r>
      <w:r w:rsidR="00244BC8" w:rsidRPr="002B4935">
        <w:rPr>
          <w:rFonts w:cs="Calibri"/>
          <w:color w:val="0070C0"/>
        </w:rPr>
        <w:t xml:space="preserve"> </w:t>
      </w:r>
      <w:r w:rsidRPr="00150391">
        <w:rPr>
          <w:rFonts w:cs="Calibri"/>
        </w:rPr>
        <w:t>to</w:t>
      </w:r>
      <w:r w:rsidR="003B47B3" w:rsidRPr="00150391">
        <w:rPr>
          <w:rFonts w:cs="Calibri"/>
        </w:rPr>
        <w:t xml:space="preserve"> </w:t>
      </w:r>
      <w:r w:rsidR="003B47B3" w:rsidRPr="002B4935">
        <w:rPr>
          <w:rStyle w:val="CrossReferenceChar"/>
          <w:rFonts w:cs="Calibri"/>
          <w:color w:val="0070C0"/>
        </w:rPr>
        <w:fldChar w:fldCharType="begin"/>
      </w:r>
      <w:r w:rsidR="003B47B3" w:rsidRPr="002B4935">
        <w:rPr>
          <w:rStyle w:val="CrossReferenceChar"/>
          <w:rFonts w:cs="Calibri"/>
          <w:color w:val="0070C0"/>
        </w:rPr>
        <w:instrText xml:space="preserve"> REF _Ref87952391 \w \h </w:instrText>
      </w:r>
      <w:r w:rsidR="00244BC8" w:rsidRPr="002B4935">
        <w:rPr>
          <w:rStyle w:val="CrossReferenceChar"/>
          <w:rFonts w:cs="Calibri"/>
          <w:color w:val="0070C0"/>
        </w:rPr>
        <w:instrText xml:space="preserve"> \* MERGEFORMAT </w:instrText>
      </w:r>
      <w:r w:rsidR="003B47B3" w:rsidRPr="002B4935">
        <w:rPr>
          <w:rStyle w:val="CrossReferenceChar"/>
          <w:rFonts w:cs="Calibri"/>
          <w:color w:val="0070C0"/>
        </w:rPr>
      </w:r>
      <w:r w:rsidR="003B47B3" w:rsidRPr="002B4935">
        <w:rPr>
          <w:rStyle w:val="CrossReferenceChar"/>
          <w:rFonts w:cs="Calibri"/>
          <w:color w:val="0070C0"/>
        </w:rPr>
        <w:fldChar w:fldCharType="separate"/>
      </w:r>
      <w:r w:rsidR="0073409A">
        <w:rPr>
          <w:rStyle w:val="CrossReferenceChar"/>
          <w:rFonts w:cs="Calibri"/>
          <w:color w:val="0070C0"/>
        </w:rPr>
        <w:t>11.8</w:t>
      </w:r>
      <w:r w:rsidR="003B47B3" w:rsidRPr="002B4935">
        <w:rPr>
          <w:rStyle w:val="CrossReferenceChar"/>
          <w:rFonts w:cs="Calibri"/>
          <w:color w:val="0070C0"/>
        </w:rPr>
        <w:fldChar w:fldCharType="end"/>
      </w:r>
      <w:r w:rsidR="00244BC8" w:rsidRPr="002B4935">
        <w:rPr>
          <w:rStyle w:val="CrossReferenceChar"/>
          <w:rFonts w:cs="Calibri"/>
          <w:color w:val="0070C0"/>
        </w:rPr>
        <w:t xml:space="preserve"> </w:t>
      </w:r>
      <w:r w:rsidR="00244BC8" w:rsidRPr="002B4935">
        <w:rPr>
          <w:rStyle w:val="CrossReferenceChar"/>
          <w:rFonts w:cs="Calibri"/>
          <w:color w:val="0070C0"/>
        </w:rPr>
        <w:fldChar w:fldCharType="begin"/>
      </w:r>
      <w:r w:rsidR="00244BC8" w:rsidRPr="002B4935">
        <w:rPr>
          <w:rStyle w:val="CrossReferenceChar"/>
          <w:rFonts w:cs="Calibri"/>
          <w:color w:val="0070C0"/>
        </w:rPr>
        <w:instrText xml:space="preserve"> REF _Ref109038689 \h  \* MERGEFORMAT </w:instrText>
      </w:r>
      <w:r w:rsidR="00244BC8" w:rsidRPr="002B4935">
        <w:rPr>
          <w:rStyle w:val="CrossReferenceChar"/>
          <w:rFonts w:cs="Calibri"/>
          <w:color w:val="0070C0"/>
        </w:rPr>
      </w:r>
      <w:r w:rsidR="00244BC8" w:rsidRPr="002B4935">
        <w:rPr>
          <w:rStyle w:val="CrossReferenceChar"/>
          <w:rFonts w:cs="Calibri"/>
          <w:color w:val="0070C0"/>
        </w:rPr>
        <w:fldChar w:fldCharType="separate"/>
      </w:r>
      <w:r w:rsidR="0073409A" w:rsidRPr="0073409A">
        <w:rPr>
          <w:rStyle w:val="CrossReferenceChar"/>
          <w:color w:val="0070C0"/>
        </w:rPr>
        <w:t>Administered financial statements (Tables 3.7 to 3.11)</w:t>
      </w:r>
      <w:r w:rsidR="00244BC8" w:rsidRPr="002B4935">
        <w:rPr>
          <w:rStyle w:val="CrossReferenceChar"/>
          <w:rFonts w:cs="Calibri"/>
          <w:color w:val="0070C0"/>
        </w:rPr>
        <w:fldChar w:fldCharType="end"/>
      </w:r>
      <w:r w:rsidR="00FD4BA3" w:rsidRPr="00150391">
        <w:rPr>
          <w:rFonts w:cs="Calibri"/>
        </w:rPr>
        <w:t>) but</w:t>
      </w:r>
      <w:r w:rsidRPr="00150391">
        <w:rPr>
          <w:rFonts w:cs="Calibri"/>
        </w:rPr>
        <w:t xml:space="preserve"> changing the control type to “Administered”.</w:t>
      </w:r>
    </w:p>
    <w:p w14:paraId="56357E94" w14:textId="4AF24387" w:rsidR="007B19EC" w:rsidRPr="00150391" w:rsidRDefault="53BF0693" w:rsidP="00913329">
      <w:pPr>
        <w:rPr>
          <w:rFonts w:cs="Calibri"/>
        </w:rPr>
      </w:pPr>
      <w:r w:rsidRPr="00150391">
        <w:rPr>
          <w:rFonts w:cs="Calibri"/>
        </w:rPr>
        <w:t xml:space="preserve">The “net cash appropriation arrangements” note does not apply to </w:t>
      </w:r>
      <w:r w:rsidRPr="00150391">
        <w:rPr>
          <w:rFonts w:cs="Calibri"/>
          <w:i/>
          <w:iCs/>
        </w:rPr>
        <w:t>Table 3.7</w:t>
      </w:r>
      <w:r w:rsidRPr="00150391">
        <w:rPr>
          <w:rFonts w:cs="Calibri"/>
        </w:rPr>
        <w:t xml:space="preserve">: Schedule of budgeted income and expenses administered on behalf of </w:t>
      </w:r>
      <w:r w:rsidR="006418EA" w:rsidRPr="00150391">
        <w:rPr>
          <w:rFonts w:cs="Calibri"/>
        </w:rPr>
        <w:t>government</w:t>
      </w:r>
      <w:r w:rsidRPr="00150391">
        <w:rPr>
          <w:rFonts w:cs="Calibri"/>
        </w:rPr>
        <w:t>, even though it may appear on the CBMS report.</w:t>
      </w:r>
      <w:r w:rsidR="007B19EC" w:rsidRPr="00150391">
        <w:rPr>
          <w:rFonts w:cs="Calibri"/>
        </w:rPr>
        <w:br w:type="page"/>
      </w:r>
    </w:p>
    <w:p w14:paraId="7BE2DC8D" w14:textId="6C2EB07C" w:rsidR="00FA0945" w:rsidRPr="00150391" w:rsidRDefault="53BF0693" w:rsidP="00CF6BE7">
      <w:pPr>
        <w:pStyle w:val="Heading1Numbered"/>
        <w:rPr>
          <w:rFonts w:ascii="Calibri" w:hAnsi="Calibri" w:cs="Calibri"/>
        </w:rPr>
      </w:pPr>
      <w:bookmarkStart w:id="1048" w:name="_Toc114576323"/>
      <w:r w:rsidRPr="00150391">
        <w:rPr>
          <w:rFonts w:ascii="Calibri" w:hAnsi="Calibri" w:cs="Calibri"/>
        </w:rPr>
        <w:t>Related issues</w:t>
      </w:r>
      <w:bookmarkStart w:id="1049" w:name="_Toc411852704"/>
      <w:bookmarkStart w:id="1050" w:name="_Toc534382581"/>
      <w:bookmarkStart w:id="1051" w:name="_Toc63347735"/>
      <w:bookmarkEnd w:id="1049"/>
      <w:bookmarkEnd w:id="1050"/>
      <w:bookmarkEnd w:id="1051"/>
      <w:bookmarkEnd w:id="1048"/>
    </w:p>
    <w:p w14:paraId="493415E4" w14:textId="2B2DAADD" w:rsidR="00FA0945" w:rsidRPr="00150391" w:rsidRDefault="53BF0693" w:rsidP="00CF6BE7">
      <w:pPr>
        <w:pStyle w:val="Heading2Numbered"/>
        <w:rPr>
          <w:rFonts w:ascii="Calibri" w:hAnsi="Calibri" w:cs="Calibri"/>
        </w:rPr>
      </w:pPr>
      <w:bookmarkStart w:id="1052" w:name="_Machinery_of_Government"/>
      <w:bookmarkStart w:id="1053" w:name="_Toc411852705"/>
      <w:bookmarkStart w:id="1054" w:name="_Toc534382582"/>
      <w:bookmarkStart w:id="1055" w:name="_Ref29395814"/>
      <w:bookmarkStart w:id="1056" w:name="_Ref29395943"/>
      <w:bookmarkStart w:id="1057" w:name="_Ref29395998"/>
      <w:bookmarkStart w:id="1058" w:name="_Ref29396029"/>
      <w:bookmarkStart w:id="1059" w:name="_Ref29396037"/>
      <w:bookmarkStart w:id="1060" w:name="_Toc63347736"/>
      <w:bookmarkStart w:id="1061" w:name="_Toc114576324"/>
      <w:bookmarkEnd w:id="1052"/>
      <w:r w:rsidRPr="00150391">
        <w:rPr>
          <w:rFonts w:ascii="Calibri" w:hAnsi="Calibri" w:cs="Calibri"/>
        </w:rPr>
        <w:t xml:space="preserve">Machinery of </w:t>
      </w:r>
      <w:r w:rsidR="0048258F" w:rsidRPr="00150391">
        <w:rPr>
          <w:rFonts w:ascii="Calibri" w:hAnsi="Calibri" w:cs="Calibri"/>
        </w:rPr>
        <w:t>g</w:t>
      </w:r>
      <w:r w:rsidRPr="00150391">
        <w:rPr>
          <w:rFonts w:ascii="Calibri" w:hAnsi="Calibri" w:cs="Calibri"/>
        </w:rPr>
        <w:t>overnment changes</w:t>
      </w:r>
      <w:bookmarkEnd w:id="1053"/>
      <w:bookmarkEnd w:id="1054"/>
      <w:bookmarkEnd w:id="1055"/>
      <w:bookmarkEnd w:id="1056"/>
      <w:bookmarkEnd w:id="1057"/>
      <w:bookmarkEnd w:id="1058"/>
      <w:bookmarkEnd w:id="1059"/>
      <w:bookmarkEnd w:id="1060"/>
      <w:bookmarkEnd w:id="1061"/>
    </w:p>
    <w:p w14:paraId="6E38B1A7" w14:textId="77777777" w:rsidR="00FA0945" w:rsidRPr="00150391" w:rsidRDefault="6B6EE5C4" w:rsidP="000A7DEC">
      <w:pPr>
        <w:rPr>
          <w:rFonts w:cs="Calibri"/>
        </w:rPr>
      </w:pPr>
      <w:r w:rsidRPr="00150391">
        <w:rPr>
          <w:rFonts w:cs="Calibri"/>
        </w:rPr>
        <w:t>Transfers of appropriations under section 75 of the PGPA Act as a result of MoG changes must be reported in PB Statements and/or PAES.</w:t>
      </w:r>
    </w:p>
    <w:p w14:paraId="10044E1B" w14:textId="77777777" w:rsidR="00FA0945" w:rsidRPr="00150391" w:rsidRDefault="6B6EE5C4" w:rsidP="000A7DEC">
      <w:pPr>
        <w:rPr>
          <w:rFonts w:cs="Calibri"/>
        </w:rPr>
      </w:pPr>
      <w:r w:rsidRPr="00150391">
        <w:rPr>
          <w:rFonts w:cs="Calibri"/>
        </w:rPr>
        <w:t>Where section 75 transfers have not been agreed in time to be reported in the PB Statements, entities should note in their PB Statements that further details of the MoG changes will be reported in the next budget statement (i.e. PAES).</w:t>
      </w:r>
    </w:p>
    <w:p w14:paraId="10350DCB" w14:textId="77777777" w:rsidR="00FA0945" w:rsidRPr="00150391" w:rsidRDefault="6B6EE5C4" w:rsidP="000A7DEC">
      <w:pPr>
        <w:rPr>
          <w:rFonts w:cs="Calibri"/>
        </w:rPr>
      </w:pPr>
      <w:r w:rsidRPr="00150391">
        <w:rPr>
          <w:rFonts w:cs="Calibri"/>
        </w:rPr>
        <w:t xml:space="preserve">Affected entities should use explanatory footnotes to provide more detail and context wherever MoG changes apply. </w:t>
      </w:r>
    </w:p>
    <w:p w14:paraId="5E5EF01F" w14:textId="59C803EE" w:rsidR="00FA0945" w:rsidRPr="00150391" w:rsidRDefault="6B6EE5C4" w:rsidP="000A7DEC">
      <w:pPr>
        <w:rPr>
          <w:rFonts w:cs="Calibri"/>
        </w:rPr>
      </w:pPr>
      <w:r w:rsidRPr="00150391">
        <w:rPr>
          <w:rFonts w:cs="Calibri"/>
        </w:rPr>
        <w:t xml:space="preserve">Further </w:t>
      </w:r>
      <w:hyperlink r:id="rId86" w:history="1">
        <w:r w:rsidRPr="002B4935">
          <w:rPr>
            <w:rStyle w:val="Hyperlink"/>
            <w:rFonts w:ascii="Calibri" w:hAnsi="Calibri" w:cs="Calibri"/>
            <w:color w:val="0070C0"/>
          </w:rPr>
          <w:t>information on implementing MoG changes</w:t>
        </w:r>
      </w:hyperlink>
      <w:r w:rsidRPr="00150391">
        <w:rPr>
          <w:rFonts w:cs="Calibri"/>
        </w:rPr>
        <w:t xml:space="preserve"> can be found on the Australian Public Service Commission’s website</w:t>
      </w:r>
      <w:r w:rsidR="00DB5F5A" w:rsidRPr="00150391">
        <w:rPr>
          <w:rFonts w:cs="Calibri"/>
        </w:rPr>
        <w:t>.</w:t>
      </w:r>
    </w:p>
    <w:p w14:paraId="7B2ECB1F" w14:textId="77777777" w:rsidR="00FA0945" w:rsidRPr="00150391" w:rsidRDefault="53BF0693" w:rsidP="00CF6BE7">
      <w:pPr>
        <w:pStyle w:val="Heading3Numbered"/>
        <w:rPr>
          <w:rFonts w:ascii="Calibri" w:hAnsi="Calibri" w:cs="Calibri"/>
        </w:rPr>
      </w:pPr>
      <w:bookmarkStart w:id="1062" w:name="_Toc63347737"/>
      <w:bookmarkStart w:id="1063" w:name="_Toc114576325"/>
      <w:r w:rsidRPr="00150391">
        <w:rPr>
          <w:rFonts w:ascii="Calibri" w:hAnsi="Calibri" w:cs="Calibri"/>
        </w:rPr>
        <w:t>Entity resource statement (Table 1.1)</w:t>
      </w:r>
      <w:bookmarkEnd w:id="1062"/>
      <w:bookmarkEnd w:id="1063"/>
    </w:p>
    <w:p w14:paraId="4D3359C0" w14:textId="3DD848CD" w:rsidR="00FA0945" w:rsidRPr="00150391" w:rsidRDefault="53BF0693" w:rsidP="000A7DEC">
      <w:pPr>
        <w:rPr>
          <w:rFonts w:cs="Calibri"/>
        </w:rPr>
      </w:pPr>
      <w:r w:rsidRPr="00150391">
        <w:rPr>
          <w:rFonts w:cs="Calibri"/>
        </w:rPr>
        <w:t>The Entity Resource Statement explain</w:t>
      </w:r>
      <w:r w:rsidR="003F1D73" w:rsidRPr="00150391">
        <w:rPr>
          <w:rFonts w:cs="Calibri"/>
        </w:rPr>
        <w:t>s</w:t>
      </w:r>
      <w:r w:rsidRPr="00150391">
        <w:rPr>
          <w:rFonts w:cs="Calibri"/>
        </w:rPr>
        <w:t xml:space="preserve"> by way of footnote for each affected entity the resourcing impact of functions that are gained and/or transferred, and from/to which entity it was transferred. </w:t>
      </w:r>
    </w:p>
    <w:p w14:paraId="4606ED65" w14:textId="77777777" w:rsidR="00FA0945" w:rsidRPr="00150391" w:rsidRDefault="53BF0693" w:rsidP="000A7DEC">
      <w:pPr>
        <w:rPr>
          <w:rFonts w:cs="Calibri"/>
        </w:rPr>
      </w:pPr>
      <w:r w:rsidRPr="00150391">
        <w:rPr>
          <w:rFonts w:cs="Calibri"/>
        </w:rPr>
        <w:t>The Third Party payments section should also reflect functions transferred between portfolios. Entities should include a footnote describing the changes and the amounts transferred.</w:t>
      </w:r>
    </w:p>
    <w:p w14:paraId="12CE22F2" w14:textId="77777777" w:rsidR="00FA0945" w:rsidRPr="00150391" w:rsidRDefault="53BF0693" w:rsidP="000A7DEC">
      <w:pPr>
        <w:pStyle w:val="Heading4"/>
        <w:rPr>
          <w:rFonts w:ascii="Calibri" w:hAnsi="Calibri" w:cs="Calibri"/>
        </w:rPr>
      </w:pPr>
      <w:r w:rsidRPr="00150391">
        <w:rPr>
          <w:rFonts w:ascii="Calibri" w:hAnsi="Calibri" w:cs="Calibri"/>
        </w:rPr>
        <w:t>Gaining entities</w:t>
      </w:r>
    </w:p>
    <w:p w14:paraId="091F5CEF" w14:textId="2D6DC840" w:rsidR="00FA0945" w:rsidRPr="00150391" w:rsidRDefault="6B6EE5C4" w:rsidP="000A7DEC">
      <w:pPr>
        <w:rPr>
          <w:rFonts w:cs="Calibri"/>
        </w:rPr>
      </w:pPr>
      <w:r w:rsidRPr="00150391">
        <w:rPr>
          <w:rFonts w:cs="Calibri"/>
        </w:rPr>
        <w:t>These are entities that gain functions under MoG</w:t>
      </w:r>
      <w:r w:rsidR="003F1D73" w:rsidRPr="00150391">
        <w:rPr>
          <w:rFonts w:cs="Calibri"/>
        </w:rPr>
        <w:t xml:space="preserve"> change</w:t>
      </w:r>
      <w:r w:rsidRPr="00150391">
        <w:rPr>
          <w:rFonts w:cs="Calibri"/>
        </w:rPr>
        <w:t>s.</w:t>
      </w:r>
    </w:p>
    <w:p w14:paraId="133CE716" w14:textId="77777777" w:rsidR="00FA0945" w:rsidRPr="00150391" w:rsidRDefault="53BF0693" w:rsidP="005379D4">
      <w:pPr>
        <w:pStyle w:val="Bullet1"/>
        <w:rPr>
          <w:rFonts w:ascii="Calibri" w:hAnsi="Calibri" w:cs="Calibri"/>
        </w:rPr>
      </w:pPr>
      <w:r w:rsidRPr="00150391">
        <w:rPr>
          <w:rFonts w:ascii="Calibri" w:hAnsi="Calibri" w:cs="Calibri"/>
        </w:rPr>
        <w:t xml:space="preserve">The </w:t>
      </w:r>
      <w:r w:rsidR="008E1BDD" w:rsidRPr="00150391">
        <w:rPr>
          <w:rFonts w:ascii="Calibri" w:hAnsi="Calibri" w:cs="Calibri"/>
          <w:b/>
          <w:bCs/>
        </w:rPr>
        <w:t>2021</w:t>
      </w:r>
      <w:r w:rsidRPr="00150391">
        <w:rPr>
          <w:rFonts w:ascii="Calibri" w:hAnsi="Calibri" w:cs="Calibri"/>
          <w:b/>
          <w:bCs/>
        </w:rPr>
        <w:t>-</w:t>
      </w:r>
      <w:r w:rsidR="008E1BDD" w:rsidRPr="00150391">
        <w:rPr>
          <w:rFonts w:ascii="Calibri" w:hAnsi="Calibri" w:cs="Calibri"/>
          <w:b/>
          <w:bCs/>
        </w:rPr>
        <w:t xml:space="preserve">22 </w:t>
      </w:r>
      <w:r w:rsidRPr="00150391">
        <w:rPr>
          <w:rFonts w:ascii="Calibri" w:hAnsi="Calibri" w:cs="Calibri"/>
          <w:b/>
          <w:bCs/>
        </w:rPr>
        <w:t>Estimated Actual</w:t>
      </w:r>
      <w:r w:rsidRPr="00150391">
        <w:rPr>
          <w:rFonts w:ascii="Calibri" w:hAnsi="Calibri" w:cs="Calibri"/>
        </w:rPr>
        <w:t xml:space="preserve"> column should reflect all the resources available to the entity, </w:t>
      </w:r>
      <w:r w:rsidRPr="00150391">
        <w:rPr>
          <w:rFonts w:ascii="Calibri" w:hAnsi="Calibri" w:cs="Calibri"/>
          <w:b/>
        </w:rPr>
        <w:t>including</w:t>
      </w:r>
      <w:r w:rsidRPr="00150391">
        <w:rPr>
          <w:rFonts w:ascii="Calibri" w:hAnsi="Calibri" w:cs="Calibri"/>
        </w:rPr>
        <w:t xml:space="preserve"> resourcing for those functions it has gained</w:t>
      </w:r>
    </w:p>
    <w:p w14:paraId="2279FB8E" w14:textId="77777777" w:rsidR="00FA0945" w:rsidRPr="00150391" w:rsidRDefault="003445B7">
      <w:pPr>
        <w:pStyle w:val="Bullet2"/>
        <w:rPr>
          <w:rFonts w:cs="Calibri"/>
        </w:rPr>
      </w:pPr>
      <w:r w:rsidRPr="00150391">
        <w:rPr>
          <w:rFonts w:cs="Calibri"/>
        </w:rPr>
        <w:t>w</w:t>
      </w:r>
      <w:r w:rsidR="6B6EE5C4" w:rsidRPr="00150391">
        <w:rPr>
          <w:rFonts w:cs="Calibri"/>
        </w:rPr>
        <w:t>here the MoG changes occur part-way through a financial year, the gaining entity should only show those resources available from the agreed date of effect of the MoG changes onwards</w:t>
      </w:r>
      <w:r w:rsidRPr="00150391">
        <w:rPr>
          <w:rFonts w:cs="Calibri"/>
        </w:rPr>
        <w:t>.</w:t>
      </w:r>
    </w:p>
    <w:p w14:paraId="3CB431C8" w14:textId="77777777" w:rsidR="00FA0945" w:rsidRPr="00150391" w:rsidRDefault="6B6EE5C4" w:rsidP="005379D4">
      <w:pPr>
        <w:pStyle w:val="Bullet1"/>
        <w:rPr>
          <w:rFonts w:ascii="Calibri" w:hAnsi="Calibri" w:cs="Calibri"/>
        </w:rPr>
      </w:pPr>
      <w:r w:rsidRPr="00150391">
        <w:rPr>
          <w:rFonts w:ascii="Calibri" w:hAnsi="Calibri" w:cs="Calibri"/>
        </w:rPr>
        <w:t xml:space="preserve">Entities should include a footnote to </w:t>
      </w:r>
      <w:r w:rsidRPr="00150391">
        <w:rPr>
          <w:rFonts w:ascii="Calibri" w:hAnsi="Calibri" w:cs="Calibri"/>
          <w:i/>
          <w:iCs/>
        </w:rPr>
        <w:t>Table 1.1</w:t>
      </w:r>
      <w:r w:rsidRPr="00150391">
        <w:rPr>
          <w:rFonts w:ascii="Calibri" w:hAnsi="Calibri" w:cs="Calibri"/>
        </w:rPr>
        <w:t xml:space="preserve"> detailing the effects of the MoG changes.</w:t>
      </w:r>
    </w:p>
    <w:p w14:paraId="67E68C29" w14:textId="77777777" w:rsidR="00FA0945" w:rsidRPr="00150391" w:rsidRDefault="53BF0693" w:rsidP="000A7DEC">
      <w:pPr>
        <w:pStyle w:val="Heading4"/>
        <w:rPr>
          <w:rFonts w:ascii="Calibri" w:hAnsi="Calibri" w:cs="Calibri"/>
        </w:rPr>
      </w:pPr>
      <w:r w:rsidRPr="00150391">
        <w:rPr>
          <w:rFonts w:ascii="Calibri" w:hAnsi="Calibri" w:cs="Calibri"/>
        </w:rPr>
        <w:t>Transferring entities</w:t>
      </w:r>
    </w:p>
    <w:p w14:paraId="129BFE2D" w14:textId="67A808AD" w:rsidR="00FA0945" w:rsidRPr="00150391" w:rsidRDefault="6B6EE5C4" w:rsidP="000A7DEC">
      <w:pPr>
        <w:rPr>
          <w:rFonts w:cs="Calibri"/>
        </w:rPr>
      </w:pPr>
      <w:r w:rsidRPr="00150391">
        <w:rPr>
          <w:rFonts w:cs="Calibri"/>
        </w:rPr>
        <w:t xml:space="preserve">These are entities that </w:t>
      </w:r>
      <w:r w:rsidR="005529B0" w:rsidRPr="00150391">
        <w:rPr>
          <w:rFonts w:cs="Calibri"/>
        </w:rPr>
        <w:t xml:space="preserve">transfer </w:t>
      </w:r>
      <w:r w:rsidRPr="00150391">
        <w:rPr>
          <w:rFonts w:cs="Calibri"/>
        </w:rPr>
        <w:t>functions under the new MoGs.</w:t>
      </w:r>
    </w:p>
    <w:p w14:paraId="0572D2CD" w14:textId="77777777" w:rsidR="00FA0945" w:rsidRPr="00150391" w:rsidRDefault="53BF0693" w:rsidP="005379D4">
      <w:pPr>
        <w:pStyle w:val="Bullet1"/>
        <w:rPr>
          <w:rFonts w:ascii="Calibri" w:hAnsi="Calibri" w:cs="Calibri"/>
        </w:rPr>
      </w:pPr>
      <w:r w:rsidRPr="00150391">
        <w:rPr>
          <w:rFonts w:ascii="Calibri" w:hAnsi="Calibri" w:cs="Calibri"/>
        </w:rPr>
        <w:t xml:space="preserve">The </w:t>
      </w:r>
      <w:r w:rsidR="008E1BDD" w:rsidRPr="00150391">
        <w:rPr>
          <w:rFonts w:ascii="Calibri" w:hAnsi="Calibri" w:cs="Calibri"/>
          <w:b/>
          <w:bCs/>
        </w:rPr>
        <w:t>2021</w:t>
      </w:r>
      <w:r w:rsidRPr="00150391">
        <w:rPr>
          <w:rFonts w:ascii="Calibri" w:hAnsi="Calibri" w:cs="Calibri"/>
          <w:b/>
          <w:bCs/>
        </w:rPr>
        <w:t>-</w:t>
      </w:r>
      <w:r w:rsidR="008E1BDD" w:rsidRPr="00150391">
        <w:rPr>
          <w:rFonts w:ascii="Calibri" w:hAnsi="Calibri" w:cs="Calibri"/>
          <w:b/>
          <w:bCs/>
        </w:rPr>
        <w:t xml:space="preserve">22 </w:t>
      </w:r>
      <w:r w:rsidRPr="00150391">
        <w:rPr>
          <w:rFonts w:ascii="Calibri" w:hAnsi="Calibri" w:cs="Calibri"/>
          <w:b/>
          <w:bCs/>
        </w:rPr>
        <w:t>Estimated Actual</w:t>
      </w:r>
      <w:r w:rsidRPr="00150391">
        <w:rPr>
          <w:rFonts w:ascii="Calibri" w:hAnsi="Calibri" w:cs="Calibri"/>
        </w:rPr>
        <w:t xml:space="preserve"> column should reflect all the resources available to the entity, </w:t>
      </w:r>
      <w:r w:rsidRPr="00150391">
        <w:rPr>
          <w:rFonts w:ascii="Calibri" w:hAnsi="Calibri" w:cs="Calibri"/>
          <w:b/>
        </w:rPr>
        <w:t>excluding</w:t>
      </w:r>
      <w:r w:rsidRPr="00150391">
        <w:rPr>
          <w:rFonts w:ascii="Calibri" w:hAnsi="Calibri" w:cs="Calibri"/>
        </w:rPr>
        <w:t xml:space="preserve"> those functions it has lost</w:t>
      </w:r>
    </w:p>
    <w:p w14:paraId="210DBCC5" w14:textId="2842A4E1" w:rsidR="00FA0945" w:rsidRPr="00150391" w:rsidRDefault="003445B7">
      <w:pPr>
        <w:pStyle w:val="Bullet2"/>
        <w:rPr>
          <w:rFonts w:cs="Calibri"/>
        </w:rPr>
      </w:pPr>
      <w:bookmarkStart w:id="1064" w:name="_Toc411852706"/>
      <w:r w:rsidRPr="00150391">
        <w:rPr>
          <w:rFonts w:cs="Calibri"/>
        </w:rPr>
        <w:t>w</w:t>
      </w:r>
      <w:r w:rsidR="6B6EE5C4" w:rsidRPr="00150391">
        <w:rPr>
          <w:rFonts w:cs="Calibri"/>
        </w:rPr>
        <w:t xml:space="preserve">here the MoG changes occur part-way through a financial year, the </w:t>
      </w:r>
      <w:r w:rsidR="005529B0" w:rsidRPr="00150391">
        <w:rPr>
          <w:rFonts w:cs="Calibri"/>
        </w:rPr>
        <w:t xml:space="preserve">transferring </w:t>
      </w:r>
      <w:r w:rsidR="6B6EE5C4" w:rsidRPr="00150391">
        <w:rPr>
          <w:rFonts w:cs="Calibri"/>
        </w:rPr>
        <w:t>entity should only show those resources available up to the agreed date of effect of the MoG changes</w:t>
      </w:r>
    </w:p>
    <w:p w14:paraId="270F912F" w14:textId="77777777" w:rsidR="00FA0945" w:rsidRPr="00150391" w:rsidRDefault="6B6EE5C4" w:rsidP="005379D4">
      <w:pPr>
        <w:pStyle w:val="Bullet1"/>
        <w:rPr>
          <w:rFonts w:ascii="Calibri" w:hAnsi="Calibri" w:cs="Calibri"/>
        </w:rPr>
      </w:pPr>
      <w:r w:rsidRPr="00150391">
        <w:rPr>
          <w:rFonts w:ascii="Calibri" w:hAnsi="Calibri" w:cs="Calibri"/>
        </w:rPr>
        <w:t xml:space="preserve">Entities should include a footnote to </w:t>
      </w:r>
      <w:r w:rsidRPr="00150391">
        <w:rPr>
          <w:rFonts w:ascii="Calibri" w:hAnsi="Calibri" w:cs="Calibri"/>
          <w:i/>
          <w:iCs/>
        </w:rPr>
        <w:t>Table 1.1</w:t>
      </w:r>
      <w:r w:rsidRPr="00150391">
        <w:rPr>
          <w:rFonts w:ascii="Calibri" w:hAnsi="Calibri" w:cs="Calibri"/>
        </w:rPr>
        <w:t xml:space="preserve"> detailing the effects of the MoG changes.</w:t>
      </w:r>
    </w:p>
    <w:p w14:paraId="1B4173B8" w14:textId="77777777" w:rsidR="00FA0945" w:rsidRPr="00150391" w:rsidRDefault="53BF0693" w:rsidP="00CF6BE7">
      <w:pPr>
        <w:pStyle w:val="Heading3Numbered"/>
        <w:rPr>
          <w:rFonts w:ascii="Calibri" w:hAnsi="Calibri" w:cs="Calibri"/>
        </w:rPr>
      </w:pPr>
      <w:bookmarkStart w:id="1065" w:name="_Toc63347738"/>
      <w:bookmarkStart w:id="1066" w:name="_Toc114576326"/>
      <w:r w:rsidRPr="00150391">
        <w:rPr>
          <w:rFonts w:ascii="Calibri" w:hAnsi="Calibri" w:cs="Calibri"/>
        </w:rPr>
        <w:t>Outcome information</w:t>
      </w:r>
      <w:bookmarkEnd w:id="1065"/>
      <w:bookmarkEnd w:id="1066"/>
    </w:p>
    <w:p w14:paraId="390123CC" w14:textId="77777777" w:rsidR="00FA0945" w:rsidRPr="00150391" w:rsidRDefault="6B6EE5C4" w:rsidP="000A7DEC">
      <w:pPr>
        <w:rPr>
          <w:rFonts w:cs="Calibri"/>
        </w:rPr>
      </w:pPr>
      <w:r w:rsidRPr="00150391">
        <w:rPr>
          <w:rFonts w:cs="Calibri"/>
        </w:rPr>
        <w:t>Entities should describe any changes to outcome and program structures as a result of MoG changes to Section 2 of their PB Statements, including information on functions/entities transferred and to/from whom.</w:t>
      </w:r>
    </w:p>
    <w:p w14:paraId="7BC72DA9" w14:textId="1200ADFD" w:rsidR="00FA0945" w:rsidRPr="00150391" w:rsidRDefault="001954FB" w:rsidP="005379D4">
      <w:pPr>
        <w:pStyle w:val="Bullet1"/>
        <w:rPr>
          <w:rFonts w:ascii="Calibri" w:hAnsi="Calibri" w:cs="Calibri"/>
        </w:rPr>
      </w:pPr>
      <w:r>
        <w:rPr>
          <w:rFonts w:ascii="Calibri" w:hAnsi="Calibri" w:cs="Calibri"/>
        </w:rPr>
        <w:t>O</w:t>
      </w:r>
      <w:r w:rsidR="53BF0693" w:rsidRPr="00150391">
        <w:rPr>
          <w:rFonts w:ascii="Calibri" w:hAnsi="Calibri" w:cs="Calibri"/>
        </w:rPr>
        <w:t>utcome statements presented must be those approved by the Finance Minister and program names/structures must be those approved by Finance and as reported in CBMS</w:t>
      </w:r>
      <w:r>
        <w:rPr>
          <w:rFonts w:ascii="Calibri" w:hAnsi="Calibri" w:cs="Calibri"/>
        </w:rPr>
        <w:t>.</w:t>
      </w:r>
    </w:p>
    <w:p w14:paraId="232FA375" w14:textId="37214DB6" w:rsidR="00FA0945" w:rsidRPr="00150391" w:rsidRDefault="001954FB">
      <w:pPr>
        <w:pStyle w:val="Bullet2"/>
        <w:rPr>
          <w:rFonts w:cs="Calibri"/>
        </w:rPr>
      </w:pPr>
      <w:r>
        <w:rPr>
          <w:rFonts w:cs="Calibri"/>
        </w:rPr>
        <w:t>A</w:t>
      </w:r>
      <w:r w:rsidRPr="00150391">
        <w:rPr>
          <w:rFonts w:cs="Calibri"/>
        </w:rPr>
        <w:t xml:space="preserve">n </w:t>
      </w:r>
      <w:r w:rsidR="53BF0693" w:rsidRPr="00150391">
        <w:rPr>
          <w:rFonts w:cs="Calibri"/>
        </w:rPr>
        <w:t xml:space="preserve">optional template for showing outcome and program changes is included in the </w:t>
      </w:r>
      <w:r w:rsidR="53BF0693" w:rsidRPr="00150391">
        <w:rPr>
          <w:rFonts w:cs="Calibri"/>
          <w:i/>
          <w:iCs/>
        </w:rPr>
        <w:t>Table 2 optional</w:t>
      </w:r>
      <w:r w:rsidR="53BF0693" w:rsidRPr="00150391">
        <w:rPr>
          <w:rFonts w:cs="Calibri"/>
        </w:rPr>
        <w:t xml:space="preserve"> tab of the Excel Tables workbook (available from CBMS User Reference Material in CBMS). Entities may choose to show outcome and program changes in an alternative table or pictorial format – the presentation chosen will depend on the scope of the changes</w:t>
      </w:r>
      <w:r>
        <w:rPr>
          <w:rFonts w:cs="Calibri"/>
        </w:rPr>
        <w:t>.</w:t>
      </w:r>
    </w:p>
    <w:p w14:paraId="759E8B1B" w14:textId="13AF1D61" w:rsidR="008C2D38" w:rsidRPr="00150391" w:rsidRDefault="001954FB">
      <w:pPr>
        <w:pStyle w:val="Bullet2"/>
        <w:rPr>
          <w:rFonts w:cs="Calibri"/>
        </w:rPr>
      </w:pPr>
      <w:r>
        <w:rPr>
          <w:rFonts w:cs="Calibri"/>
        </w:rPr>
        <w:t>F</w:t>
      </w:r>
      <w:r w:rsidRPr="00150391">
        <w:rPr>
          <w:rFonts w:cs="Calibri"/>
        </w:rPr>
        <w:t xml:space="preserve">urther </w:t>
      </w:r>
      <w:r w:rsidR="6B6EE5C4" w:rsidRPr="00150391">
        <w:rPr>
          <w:rFonts w:cs="Calibri"/>
        </w:rPr>
        <w:t>information on reporting MoG changes in financial statements can be found at:</w:t>
      </w:r>
    </w:p>
    <w:p w14:paraId="02200BA9" w14:textId="0D70CDAB" w:rsidR="004E76A4" w:rsidRPr="00150391" w:rsidRDefault="00A438FF" w:rsidP="001954FB">
      <w:pPr>
        <w:pStyle w:val="Bullet3"/>
        <w:ind w:left="1134"/>
        <w:rPr>
          <w:rStyle w:val="Hyperlink"/>
          <w:rFonts w:ascii="Calibri" w:hAnsi="Calibri" w:cs="Calibri"/>
          <w:u w:val="none"/>
        </w:rPr>
      </w:pPr>
      <w:hyperlink r:id="rId87">
        <w:r w:rsidR="6B6EE5C4" w:rsidRPr="00150391">
          <w:rPr>
            <w:rStyle w:val="Hyperlink"/>
            <w:rFonts w:ascii="Calibri" w:hAnsi="Calibri" w:cs="Calibri"/>
            <w:u w:val="none"/>
          </w:rPr>
          <w:t>Commonwealth entities financial statements guide (RMG</w:t>
        </w:r>
        <w:r w:rsidR="006165CD" w:rsidRPr="00150391">
          <w:rPr>
            <w:rStyle w:val="Hyperlink"/>
            <w:rFonts w:ascii="Calibri" w:hAnsi="Calibri" w:cs="Calibri"/>
            <w:u w:val="none"/>
          </w:rPr>
          <w:t> </w:t>
        </w:r>
        <w:r w:rsidR="6B6EE5C4" w:rsidRPr="00150391">
          <w:rPr>
            <w:rStyle w:val="Hyperlink"/>
            <w:rFonts w:ascii="Calibri" w:hAnsi="Calibri" w:cs="Calibri"/>
            <w:u w:val="none"/>
          </w:rPr>
          <w:t>125)</w:t>
        </w:r>
      </w:hyperlink>
    </w:p>
    <w:p w14:paraId="5E4B6F36" w14:textId="1E745E3E" w:rsidR="00357C9B" w:rsidRPr="00150391" w:rsidRDefault="00A438FF" w:rsidP="001954FB">
      <w:pPr>
        <w:pStyle w:val="Bullet3"/>
        <w:ind w:left="1134"/>
        <w:rPr>
          <w:rFonts w:cs="Calibri"/>
        </w:rPr>
      </w:pPr>
      <w:hyperlink r:id="rId88" w:anchor="key-points" w:tgtFrame="_blank" w:tooltip="https://www.finance.gov.au/publications/resource-management-guides/reporting-requirements-following-machinery-government-changes-rmg-119#key-points" w:history="1">
        <w:r w:rsidR="004E76A4" w:rsidRPr="00150391">
          <w:rPr>
            <w:rStyle w:val="Hyperlink"/>
            <w:rFonts w:ascii="Calibri" w:hAnsi="Calibri" w:cs="Calibri"/>
            <w:u w:val="none"/>
          </w:rPr>
          <w:t>Reporting requirements following machinery of government changes (RMG</w:t>
        </w:r>
        <w:r w:rsidR="006165CD" w:rsidRPr="00150391">
          <w:rPr>
            <w:rStyle w:val="Hyperlink"/>
            <w:rFonts w:ascii="Calibri" w:hAnsi="Calibri" w:cs="Calibri"/>
            <w:u w:val="none"/>
          </w:rPr>
          <w:t> </w:t>
        </w:r>
        <w:r w:rsidR="004E76A4" w:rsidRPr="00150391">
          <w:rPr>
            <w:rStyle w:val="Hyperlink"/>
            <w:rFonts w:ascii="Calibri" w:hAnsi="Calibri" w:cs="Calibri"/>
            <w:u w:val="none"/>
          </w:rPr>
          <w:t xml:space="preserve">119) </w:t>
        </w:r>
      </w:hyperlink>
    </w:p>
    <w:p w14:paraId="0EF653BF" w14:textId="2C67AFD1" w:rsidR="00357C9B" w:rsidRPr="00150391" w:rsidRDefault="00A438FF" w:rsidP="001954FB">
      <w:pPr>
        <w:pStyle w:val="Bullet3"/>
        <w:ind w:left="1134"/>
        <w:rPr>
          <w:rFonts w:cs="Calibri"/>
        </w:rPr>
      </w:pPr>
      <w:hyperlink r:id="rId89">
        <w:r w:rsidR="00AE5D3E" w:rsidRPr="00150391">
          <w:rPr>
            <w:rStyle w:val="Hyperlink"/>
            <w:rFonts w:ascii="Calibri" w:hAnsi="Calibri" w:cs="Calibri"/>
            <w:u w:val="none"/>
          </w:rPr>
          <w:t>A</w:t>
        </w:r>
        <w:r w:rsidR="008A7416" w:rsidRPr="00150391">
          <w:rPr>
            <w:rStyle w:val="Hyperlink"/>
            <w:rFonts w:ascii="Calibri" w:hAnsi="Calibri" w:cs="Calibri"/>
            <w:u w:val="none"/>
          </w:rPr>
          <w:t>ccounting for machinery of government changes (RMG</w:t>
        </w:r>
        <w:r w:rsidR="006165CD" w:rsidRPr="00150391">
          <w:rPr>
            <w:rStyle w:val="Hyperlink"/>
            <w:rFonts w:ascii="Calibri" w:hAnsi="Calibri" w:cs="Calibri"/>
            <w:u w:val="none"/>
          </w:rPr>
          <w:t> </w:t>
        </w:r>
        <w:r w:rsidR="008A7416" w:rsidRPr="00150391">
          <w:rPr>
            <w:rStyle w:val="Hyperlink"/>
            <w:rFonts w:ascii="Calibri" w:hAnsi="Calibri" w:cs="Calibri"/>
            <w:u w:val="none"/>
          </w:rPr>
          <w:t>118)</w:t>
        </w:r>
      </w:hyperlink>
      <w:r w:rsidR="6B6EE5C4" w:rsidRPr="00150391">
        <w:rPr>
          <w:rStyle w:val="Hyperlink"/>
          <w:rFonts w:ascii="Calibri" w:hAnsi="Calibri" w:cs="Calibri"/>
          <w:u w:val="none"/>
        </w:rPr>
        <w:t>.</w:t>
      </w:r>
    </w:p>
    <w:p w14:paraId="1AF773CC" w14:textId="77777777" w:rsidR="00FA0945" w:rsidRPr="00150391" w:rsidRDefault="53BF0693" w:rsidP="00CF6BE7">
      <w:pPr>
        <w:pStyle w:val="Heading3Numbered"/>
        <w:rPr>
          <w:rFonts w:ascii="Calibri" w:hAnsi="Calibri" w:cs="Calibri"/>
        </w:rPr>
      </w:pPr>
      <w:bookmarkStart w:id="1067" w:name="_Toc61875051"/>
      <w:bookmarkStart w:id="1068" w:name="_Toc62648903"/>
      <w:bookmarkStart w:id="1069" w:name="_Toc63347739"/>
      <w:bookmarkStart w:id="1070" w:name="_Toc114576327"/>
      <w:bookmarkEnd w:id="1067"/>
      <w:bookmarkEnd w:id="1068"/>
      <w:r w:rsidRPr="00150391">
        <w:rPr>
          <w:rFonts w:ascii="Calibri" w:hAnsi="Calibri" w:cs="Calibri"/>
        </w:rPr>
        <w:t>Budgeted financial statements</w:t>
      </w:r>
      <w:bookmarkEnd w:id="1069"/>
      <w:bookmarkEnd w:id="1070"/>
    </w:p>
    <w:p w14:paraId="22220F6F" w14:textId="77777777" w:rsidR="00FA0945" w:rsidRPr="00150391" w:rsidRDefault="53BF0693" w:rsidP="000A7DEC">
      <w:pPr>
        <w:rPr>
          <w:rFonts w:cs="Calibri"/>
        </w:rPr>
      </w:pPr>
      <w:r w:rsidRPr="00150391">
        <w:rPr>
          <w:rFonts w:cs="Calibri"/>
        </w:rPr>
        <w:t>Entities’ financial statements should reflect the financial impact of functions/activities/programs transferred.</w:t>
      </w:r>
    </w:p>
    <w:p w14:paraId="0FB6E341" w14:textId="4006D90C" w:rsidR="00FA0945" w:rsidRPr="00150391" w:rsidRDefault="001954FB" w:rsidP="005379D4">
      <w:pPr>
        <w:pStyle w:val="Bullet1"/>
        <w:rPr>
          <w:rFonts w:ascii="Calibri" w:hAnsi="Calibri" w:cs="Calibri"/>
        </w:rPr>
      </w:pPr>
      <w:r>
        <w:rPr>
          <w:rFonts w:ascii="Calibri" w:hAnsi="Calibri" w:cs="Calibri"/>
        </w:rPr>
        <w:t>G</w:t>
      </w:r>
      <w:r w:rsidRPr="00150391">
        <w:rPr>
          <w:rFonts w:ascii="Calibri" w:hAnsi="Calibri" w:cs="Calibri"/>
        </w:rPr>
        <w:t xml:space="preserve">aining </w:t>
      </w:r>
      <w:r w:rsidR="6B6EE5C4" w:rsidRPr="00150391">
        <w:rPr>
          <w:rFonts w:ascii="Calibri" w:hAnsi="Calibri" w:cs="Calibri"/>
        </w:rPr>
        <w:t>entities should report the financial impact of the MoG changes from the agreed date of transfer onwards</w:t>
      </w:r>
      <w:r>
        <w:rPr>
          <w:rFonts w:ascii="Calibri" w:hAnsi="Calibri" w:cs="Calibri"/>
        </w:rPr>
        <w:t>.</w:t>
      </w:r>
    </w:p>
    <w:p w14:paraId="7638E47D" w14:textId="61C16DC9" w:rsidR="00FA0945" w:rsidRPr="00150391" w:rsidRDefault="001954FB" w:rsidP="005379D4">
      <w:pPr>
        <w:pStyle w:val="Bullet1"/>
        <w:rPr>
          <w:rFonts w:ascii="Calibri" w:hAnsi="Calibri" w:cs="Calibri"/>
        </w:rPr>
      </w:pPr>
      <w:r>
        <w:rPr>
          <w:rFonts w:ascii="Calibri" w:hAnsi="Calibri" w:cs="Calibri"/>
        </w:rPr>
        <w:t>T</w:t>
      </w:r>
      <w:r w:rsidR="6B6EE5C4" w:rsidRPr="00150391">
        <w:rPr>
          <w:rFonts w:ascii="Calibri" w:hAnsi="Calibri" w:cs="Calibri"/>
        </w:rPr>
        <w:t>ransferring entities should report the financial impact of the MoG changes up to the agreed date of transfer.</w:t>
      </w:r>
    </w:p>
    <w:p w14:paraId="7FA2923B" w14:textId="77777777" w:rsidR="00BD51B0" w:rsidRPr="00150391" w:rsidRDefault="53BF0693" w:rsidP="00CF6BE7">
      <w:pPr>
        <w:pStyle w:val="Heading3Numbered"/>
        <w:rPr>
          <w:rFonts w:ascii="Calibri" w:hAnsi="Calibri" w:cs="Calibri"/>
        </w:rPr>
      </w:pPr>
      <w:bookmarkStart w:id="1071" w:name="_Toc63347740"/>
      <w:bookmarkStart w:id="1072" w:name="_Toc114576328"/>
      <w:r w:rsidRPr="00150391">
        <w:rPr>
          <w:rFonts w:ascii="Calibri" w:hAnsi="Calibri" w:cs="Calibri"/>
        </w:rPr>
        <w:t>Other important information</w:t>
      </w:r>
      <w:bookmarkEnd w:id="1071"/>
      <w:bookmarkEnd w:id="1072"/>
    </w:p>
    <w:p w14:paraId="1AD0E755" w14:textId="77777777" w:rsidR="00FA0945" w:rsidRPr="00150391" w:rsidRDefault="6B6EE5C4" w:rsidP="000A7DEC">
      <w:pPr>
        <w:pStyle w:val="Heading4"/>
        <w:rPr>
          <w:rFonts w:ascii="Calibri" w:hAnsi="Calibri" w:cs="Calibri"/>
        </w:rPr>
      </w:pPr>
      <w:r w:rsidRPr="00150391">
        <w:rPr>
          <w:rFonts w:ascii="Calibri" w:hAnsi="Calibri" w:cs="Calibri"/>
        </w:rPr>
        <w:t>Subsequent MoG changes following the PB Statements</w:t>
      </w:r>
    </w:p>
    <w:p w14:paraId="5B477222" w14:textId="20D0B879" w:rsidR="00FA0945" w:rsidRPr="00150391" w:rsidRDefault="6B6EE5C4" w:rsidP="000A7DEC">
      <w:pPr>
        <w:rPr>
          <w:rFonts w:cs="Calibri"/>
        </w:rPr>
      </w:pPr>
      <w:r w:rsidRPr="00150391">
        <w:rPr>
          <w:rFonts w:cs="Calibri"/>
        </w:rPr>
        <w:t>MoG changes can be announced at any time. This can be after the preparation of the Appropriation Bills has commenced or after the PB Statements have been completed but not yet tabled in Parliament.</w:t>
      </w:r>
    </w:p>
    <w:p w14:paraId="5EF25C6A" w14:textId="0241C1BE" w:rsidR="004215DD" w:rsidRPr="00150391" w:rsidRDefault="53BF0693" w:rsidP="53BF0693">
      <w:pPr>
        <w:rPr>
          <w:rFonts w:eastAsia="Cambria" w:cs="Calibri"/>
        </w:rPr>
      </w:pPr>
      <w:r w:rsidRPr="00150391">
        <w:rPr>
          <w:rFonts w:cs="Calibri"/>
        </w:rPr>
        <w:t>If changes are announced so close to the presentation of Appropriation Bills to Parliament that neither the Bills nor the budget statements can reflect the announced changes, these should be explained in the next budget statements (i.e. PAES) and subsequently in the entity’s annual report.</w:t>
      </w:r>
    </w:p>
    <w:p w14:paraId="12D03516" w14:textId="77777777" w:rsidR="00FA0945" w:rsidRPr="00150391" w:rsidRDefault="53BF0693" w:rsidP="000A7DEC">
      <w:pPr>
        <w:pStyle w:val="Heading4"/>
        <w:rPr>
          <w:rFonts w:ascii="Calibri" w:hAnsi="Calibri" w:cs="Calibri"/>
        </w:rPr>
      </w:pPr>
      <w:bookmarkStart w:id="1073" w:name="_Toc536108599"/>
      <w:bookmarkStart w:id="1074" w:name="_Toc534382583"/>
      <w:bookmarkEnd w:id="1073"/>
      <w:r w:rsidRPr="00150391">
        <w:rPr>
          <w:rFonts w:ascii="Calibri" w:hAnsi="Calibri" w:cs="Calibri"/>
        </w:rPr>
        <w:t>Program and outcome changes</w:t>
      </w:r>
      <w:bookmarkEnd w:id="1064"/>
      <w:bookmarkEnd w:id="1074"/>
    </w:p>
    <w:p w14:paraId="58915A04" w14:textId="77777777" w:rsidR="00FA0945" w:rsidRPr="00150391" w:rsidRDefault="53BF0693" w:rsidP="000A7DEC">
      <w:pPr>
        <w:rPr>
          <w:rFonts w:cs="Calibri"/>
        </w:rPr>
      </w:pPr>
      <w:r w:rsidRPr="00150391">
        <w:rPr>
          <w:rFonts w:cs="Calibri"/>
        </w:rPr>
        <w:t>Changes to outcomes and programs cannot be reflected in the PB Statements until the requisite approval from the Finance Minister and/or Finance (depending on the change) has been received.</w:t>
      </w:r>
    </w:p>
    <w:p w14:paraId="5B37412A" w14:textId="350A9380" w:rsidR="00F62D83" w:rsidRPr="00150391" w:rsidRDefault="00FA0945" w:rsidP="00580008">
      <w:pPr>
        <w:rPr>
          <w:rFonts w:cs="Calibri"/>
        </w:rPr>
      </w:pPr>
      <w:r w:rsidRPr="00150391">
        <w:rPr>
          <w:rFonts w:cs="Calibri"/>
        </w:rPr>
        <w:t xml:space="preserve">For </w:t>
      </w:r>
      <w:r w:rsidR="0045475E" w:rsidRPr="00150391">
        <w:rPr>
          <w:rFonts w:cs="Calibri"/>
        </w:rPr>
        <w:t xml:space="preserve">further </w:t>
      </w:r>
      <w:r w:rsidRPr="00150391">
        <w:rPr>
          <w:rFonts w:cs="Calibri"/>
        </w:rPr>
        <w:t xml:space="preserve">information on </w:t>
      </w:r>
      <w:r w:rsidR="0045475E" w:rsidRPr="00150391">
        <w:rPr>
          <w:rFonts w:cs="Calibri"/>
        </w:rPr>
        <w:t>t</w:t>
      </w:r>
      <w:r w:rsidR="000B4CED" w:rsidRPr="00150391">
        <w:rPr>
          <w:rFonts w:cs="Calibri"/>
        </w:rPr>
        <w:t>he p</w:t>
      </w:r>
      <w:r w:rsidRPr="00150391">
        <w:rPr>
          <w:rFonts w:cs="Calibri"/>
        </w:rPr>
        <w:t xml:space="preserve">olicy and </w:t>
      </w:r>
      <w:r w:rsidR="000B4CED" w:rsidRPr="00150391">
        <w:rPr>
          <w:rFonts w:cs="Calibri"/>
        </w:rPr>
        <w:t>a</w:t>
      </w:r>
      <w:r w:rsidRPr="00150391">
        <w:rPr>
          <w:rFonts w:cs="Calibri"/>
        </w:rPr>
        <w:t xml:space="preserve">pproval </w:t>
      </w:r>
      <w:r w:rsidR="00CC3256" w:rsidRPr="00150391">
        <w:rPr>
          <w:rFonts w:cs="Calibri"/>
        </w:rPr>
        <w:t>p</w:t>
      </w:r>
      <w:r w:rsidRPr="00150391">
        <w:rPr>
          <w:rFonts w:cs="Calibri"/>
        </w:rPr>
        <w:t xml:space="preserve">rocess </w:t>
      </w:r>
      <w:r w:rsidR="000B4CED" w:rsidRPr="00150391">
        <w:rPr>
          <w:rFonts w:cs="Calibri"/>
        </w:rPr>
        <w:t xml:space="preserve">for outcome and program </w:t>
      </w:r>
      <w:r w:rsidR="00B06B0D" w:rsidRPr="00150391">
        <w:rPr>
          <w:rFonts w:cs="Calibri"/>
        </w:rPr>
        <w:t>changes refer to</w:t>
      </w:r>
      <w:r w:rsidR="002F164F" w:rsidRPr="00150391">
        <w:rPr>
          <w:rFonts w:cs="Calibri"/>
        </w:rPr>
        <w:t xml:space="preserve"> section </w:t>
      </w:r>
      <w:r w:rsidR="004D284E" w:rsidRPr="002B4935">
        <w:rPr>
          <w:rStyle w:val="CrossReferenceChar"/>
          <w:rFonts w:cs="Calibri"/>
          <w:color w:val="0070C0"/>
        </w:rPr>
        <w:fldChar w:fldCharType="begin"/>
      </w:r>
      <w:r w:rsidR="004D284E" w:rsidRPr="002B4935">
        <w:rPr>
          <w:rStyle w:val="CrossReferenceChar"/>
          <w:rFonts w:cs="Calibri"/>
          <w:color w:val="0070C0"/>
        </w:rPr>
        <w:instrText xml:space="preserve"> REF _Ref33522177 \r \h  \* MERGEFORMAT </w:instrText>
      </w:r>
      <w:r w:rsidR="004D284E" w:rsidRPr="002B4935">
        <w:rPr>
          <w:rStyle w:val="CrossReferenceChar"/>
          <w:rFonts w:cs="Calibri"/>
          <w:color w:val="0070C0"/>
        </w:rPr>
      </w:r>
      <w:r w:rsidR="004D284E" w:rsidRPr="002B4935">
        <w:rPr>
          <w:rStyle w:val="CrossReferenceChar"/>
          <w:rFonts w:cs="Calibri"/>
          <w:color w:val="0070C0"/>
        </w:rPr>
        <w:fldChar w:fldCharType="separate"/>
      </w:r>
      <w:r w:rsidR="0073409A">
        <w:rPr>
          <w:rStyle w:val="CrossReferenceChar"/>
          <w:rFonts w:cs="Calibri"/>
          <w:color w:val="0070C0"/>
        </w:rPr>
        <w:t>10.3</w:t>
      </w:r>
      <w:r w:rsidR="004D284E" w:rsidRPr="002B4935">
        <w:rPr>
          <w:rStyle w:val="CrossReferenceChar"/>
          <w:rFonts w:cs="Calibri"/>
          <w:color w:val="0070C0"/>
        </w:rPr>
        <w:fldChar w:fldCharType="end"/>
      </w:r>
      <w:r w:rsidR="004D284E" w:rsidRPr="002B4935">
        <w:rPr>
          <w:rStyle w:val="CrossReferenceChar"/>
          <w:rFonts w:cs="Calibri"/>
          <w:color w:val="0070C0"/>
        </w:rPr>
        <w:t> </w:t>
      </w:r>
      <w:r w:rsidR="002F164F" w:rsidRPr="002B4935">
        <w:rPr>
          <w:rStyle w:val="CrossReferenceChar"/>
          <w:rFonts w:cs="Calibri"/>
          <w:color w:val="0070C0"/>
        </w:rPr>
        <w:fldChar w:fldCharType="begin"/>
      </w:r>
      <w:r w:rsidR="002F164F" w:rsidRPr="002B4935">
        <w:rPr>
          <w:rStyle w:val="CrossReferenceChar"/>
          <w:rFonts w:cs="Calibri"/>
          <w:color w:val="0070C0"/>
        </w:rPr>
        <w:instrText xml:space="preserve"> REF _Ref33522182 \h  \* MERGEFORMAT </w:instrText>
      </w:r>
      <w:r w:rsidR="002F164F" w:rsidRPr="002B4935">
        <w:rPr>
          <w:rStyle w:val="CrossReferenceChar"/>
          <w:rFonts w:cs="Calibri"/>
          <w:color w:val="0070C0"/>
        </w:rPr>
      </w:r>
      <w:r w:rsidR="002F164F" w:rsidRPr="002B4935">
        <w:rPr>
          <w:rStyle w:val="CrossReferenceChar"/>
          <w:rFonts w:cs="Calibri"/>
          <w:color w:val="0070C0"/>
        </w:rPr>
        <w:fldChar w:fldCharType="separate"/>
      </w:r>
      <w:r w:rsidR="0073409A" w:rsidRPr="0073409A">
        <w:rPr>
          <w:rStyle w:val="CrossReferenceChar"/>
          <w:color w:val="0070C0"/>
        </w:rPr>
        <w:t>Outcome statements</w:t>
      </w:r>
      <w:r w:rsidR="002F164F" w:rsidRPr="002B4935">
        <w:rPr>
          <w:rStyle w:val="CrossReferenceChar"/>
          <w:rFonts w:cs="Calibri"/>
          <w:color w:val="0070C0"/>
        </w:rPr>
        <w:fldChar w:fldCharType="end"/>
      </w:r>
      <w:r w:rsidR="00B06B0D" w:rsidRPr="00150391">
        <w:rPr>
          <w:rFonts w:cs="Calibri"/>
        </w:rPr>
        <w:t>.</w:t>
      </w:r>
      <w:r w:rsidR="00F62D83" w:rsidRPr="00150391">
        <w:rPr>
          <w:rFonts w:cs="Calibri"/>
        </w:rPr>
        <w:br w:type="page"/>
      </w:r>
    </w:p>
    <w:p w14:paraId="71CBCFCE" w14:textId="72E695F7" w:rsidR="00FA0945" w:rsidRPr="00150391" w:rsidRDefault="53BF0693" w:rsidP="00CF6BE7">
      <w:pPr>
        <w:pStyle w:val="Heading1Numbered"/>
        <w:rPr>
          <w:rFonts w:ascii="Calibri" w:hAnsi="Calibri" w:cs="Calibri"/>
        </w:rPr>
      </w:pPr>
      <w:bookmarkStart w:id="1075" w:name="_Toc29394574"/>
      <w:bookmarkStart w:id="1076" w:name="_Toc29394872"/>
      <w:bookmarkStart w:id="1077" w:name="_Toc29394999"/>
      <w:bookmarkStart w:id="1078" w:name="_Toc29395396"/>
      <w:bookmarkStart w:id="1079" w:name="_Toc29395483"/>
      <w:bookmarkStart w:id="1080" w:name="_Toc29396914"/>
      <w:bookmarkStart w:id="1081" w:name="_Toc29478156"/>
      <w:bookmarkStart w:id="1082" w:name="_Toc29481894"/>
      <w:bookmarkStart w:id="1083" w:name="_Toc29544198"/>
      <w:bookmarkStart w:id="1084" w:name="_Toc29544785"/>
      <w:bookmarkStart w:id="1085" w:name="_Toc29544860"/>
      <w:bookmarkStart w:id="1086" w:name="_Toc29546724"/>
      <w:bookmarkStart w:id="1087" w:name="_Toc29980741"/>
      <w:bookmarkStart w:id="1088" w:name="_Toc30405629"/>
      <w:bookmarkStart w:id="1089" w:name="_Toc30581370"/>
      <w:bookmarkStart w:id="1090" w:name="_Toc32830032"/>
      <w:bookmarkStart w:id="1091" w:name="_Toc32917539"/>
      <w:bookmarkStart w:id="1092" w:name="_Toc32918345"/>
      <w:bookmarkStart w:id="1093" w:name="_Toc32999728"/>
      <w:bookmarkStart w:id="1094" w:name="_Toc33099452"/>
      <w:bookmarkStart w:id="1095" w:name="_Toc33196077"/>
      <w:bookmarkStart w:id="1096" w:name="_Toc33196379"/>
      <w:bookmarkStart w:id="1097" w:name="_Toc411852707"/>
      <w:bookmarkStart w:id="1098" w:name="_Toc534382584"/>
      <w:bookmarkStart w:id="1099" w:name="_Toc63347741"/>
      <w:bookmarkStart w:id="1100" w:name="_Toc114576329"/>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150391">
        <w:rPr>
          <w:rFonts w:ascii="Calibri" w:hAnsi="Calibri" w:cs="Calibri"/>
        </w:rPr>
        <w:t>Working with the templates</w:t>
      </w:r>
      <w:bookmarkEnd w:id="1097"/>
      <w:bookmarkEnd w:id="1098"/>
      <w:bookmarkEnd w:id="1099"/>
      <w:bookmarkEnd w:id="1100"/>
      <w:bookmarkEnd w:id="6"/>
    </w:p>
    <w:p w14:paraId="32F01317" w14:textId="1321971D" w:rsidR="00FA0945" w:rsidRPr="00150391" w:rsidRDefault="53BF0693" w:rsidP="00CF6BE7">
      <w:pPr>
        <w:pStyle w:val="Heading2Numbered"/>
        <w:rPr>
          <w:rFonts w:ascii="Calibri" w:hAnsi="Calibri" w:cs="Calibri"/>
        </w:rPr>
      </w:pPr>
      <w:bookmarkStart w:id="1101" w:name="_Toc63347742"/>
      <w:bookmarkStart w:id="1102" w:name="_Toc114576330"/>
      <w:r w:rsidRPr="00150391">
        <w:rPr>
          <w:rFonts w:ascii="Calibri" w:hAnsi="Calibri" w:cs="Calibri"/>
        </w:rPr>
        <w:t>Saving the files</w:t>
      </w:r>
      <w:bookmarkEnd w:id="1101"/>
      <w:bookmarkEnd w:id="1102"/>
    </w:p>
    <w:p w14:paraId="3F191992" w14:textId="77777777" w:rsidR="00FA0945" w:rsidRPr="00150391" w:rsidRDefault="53BF0693" w:rsidP="000A7DEC">
      <w:pPr>
        <w:rPr>
          <w:rFonts w:cs="Calibri"/>
        </w:rPr>
      </w:pPr>
      <w:r w:rsidRPr="00150391">
        <w:rPr>
          <w:rFonts w:cs="Calibri"/>
          <w:b/>
          <w:bCs/>
        </w:rPr>
        <w:t>Do not</w:t>
      </w:r>
      <w:r w:rsidRPr="00150391">
        <w:rPr>
          <w:rFonts w:cs="Calibri"/>
        </w:rPr>
        <w:t xml:space="preserve"> open and save the files. Use your email program to save the attachments. For example, using Outlook 2016:</w:t>
      </w:r>
    </w:p>
    <w:p w14:paraId="40F6C311" w14:textId="77777777" w:rsidR="00FA0945" w:rsidRPr="00150391" w:rsidRDefault="00F62D83" w:rsidP="005D722E">
      <w:pPr>
        <w:pStyle w:val="Numbered"/>
        <w:numPr>
          <w:ilvl w:val="0"/>
          <w:numId w:val="207"/>
        </w:numPr>
        <w:rPr>
          <w:rFonts w:cs="Calibri"/>
        </w:rPr>
      </w:pPr>
      <w:r w:rsidRPr="00150391">
        <w:rPr>
          <w:rFonts w:cs="Calibri"/>
        </w:rPr>
        <w:t>s</w:t>
      </w:r>
      <w:r w:rsidR="53BF0693" w:rsidRPr="00150391">
        <w:rPr>
          <w:rFonts w:cs="Calibri"/>
        </w:rPr>
        <w:t xml:space="preserve">elect the email containing the attachments  </w:t>
      </w:r>
    </w:p>
    <w:p w14:paraId="55A63286" w14:textId="77777777" w:rsidR="00FA0945" w:rsidRPr="00150391" w:rsidRDefault="53BF0693" w:rsidP="005D722E">
      <w:pPr>
        <w:pStyle w:val="Numbered"/>
        <w:numPr>
          <w:ilvl w:val="0"/>
          <w:numId w:val="207"/>
        </w:numPr>
        <w:rPr>
          <w:rFonts w:cs="Calibri"/>
        </w:rPr>
      </w:pPr>
      <w:r w:rsidRPr="00150391">
        <w:rPr>
          <w:rFonts w:cs="Calibri"/>
        </w:rPr>
        <w:t>click File and select Save Attachments.</w:t>
      </w:r>
    </w:p>
    <w:p w14:paraId="63ED263B" w14:textId="6EA93A0D" w:rsidR="00FA0945" w:rsidRPr="00150391" w:rsidRDefault="53BF0693" w:rsidP="00CF6BE7">
      <w:pPr>
        <w:pStyle w:val="Heading2Numbered"/>
        <w:rPr>
          <w:rFonts w:ascii="Calibri" w:hAnsi="Calibri" w:cs="Calibri"/>
        </w:rPr>
      </w:pPr>
      <w:bookmarkStart w:id="1103" w:name="_Toc63347743"/>
      <w:bookmarkStart w:id="1104" w:name="_Toc114576331"/>
      <w:r w:rsidRPr="00150391">
        <w:rPr>
          <w:rFonts w:ascii="Calibri" w:hAnsi="Calibri" w:cs="Calibri"/>
        </w:rPr>
        <w:t>Excel table specifications</w:t>
      </w:r>
      <w:bookmarkEnd w:id="1103"/>
      <w:bookmarkEnd w:id="1104"/>
    </w:p>
    <w:p w14:paraId="1BE08053" w14:textId="0C77D7F4" w:rsidR="004B345F" w:rsidRPr="00150391" w:rsidRDefault="53BF0693" w:rsidP="000A7DEC">
      <w:pPr>
        <w:rPr>
          <w:rFonts w:cs="Calibri"/>
        </w:rPr>
      </w:pPr>
      <w:r w:rsidRPr="00150391">
        <w:rPr>
          <w:rFonts w:cs="Calibri"/>
        </w:rPr>
        <w:t>The Excel Tables have been formatted to B5 size. Should you need to reformat any of the tables, please use the following specifications</w:t>
      </w:r>
      <w:r w:rsidR="00780A8D" w:rsidRPr="00150391">
        <w:rPr>
          <w:rFonts w:cs="Calibri"/>
        </w:rPr>
        <w:t xml:space="preserve"> below. Should a decision be taken to revise the following requirements, separate advice will be provided to Portfolio Coordinators</w:t>
      </w:r>
      <w:r w:rsidR="001954FB">
        <w:rPr>
          <w:rFonts w:cs="Calibri"/>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1E0" w:firstRow="1" w:lastRow="1" w:firstColumn="1" w:lastColumn="1" w:noHBand="0" w:noVBand="0"/>
      </w:tblPr>
      <w:tblGrid>
        <w:gridCol w:w="3397"/>
        <w:gridCol w:w="2386"/>
        <w:gridCol w:w="3710"/>
      </w:tblGrid>
      <w:tr w:rsidR="00FA0945" w:rsidRPr="002B4935" w14:paraId="21DCCACF" w14:textId="77777777" w:rsidTr="00F62D83">
        <w:tc>
          <w:tcPr>
            <w:tcW w:w="3397" w:type="dxa"/>
            <w:shd w:val="clear" w:color="auto" w:fill="F2F2F2" w:themeFill="background1" w:themeFillShade="F2"/>
          </w:tcPr>
          <w:p w14:paraId="0EA7B04B"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Font name</w:t>
            </w:r>
          </w:p>
        </w:tc>
        <w:tc>
          <w:tcPr>
            <w:tcW w:w="6096" w:type="dxa"/>
            <w:gridSpan w:val="2"/>
            <w:shd w:val="clear" w:color="auto" w:fill="F2F2F2" w:themeFill="background1" w:themeFillShade="F2"/>
          </w:tcPr>
          <w:p w14:paraId="5222F34E"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Arial</w:t>
            </w:r>
          </w:p>
        </w:tc>
      </w:tr>
      <w:tr w:rsidR="00FA0945" w:rsidRPr="002B4935" w14:paraId="6EA8D83E" w14:textId="77777777" w:rsidTr="00F62D83">
        <w:tc>
          <w:tcPr>
            <w:tcW w:w="3397" w:type="dxa"/>
            <w:shd w:val="clear" w:color="auto" w:fill="F2F2F2" w:themeFill="background1" w:themeFillShade="F2"/>
          </w:tcPr>
          <w:p w14:paraId="2E5D2803"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Font size</w:t>
            </w:r>
          </w:p>
        </w:tc>
        <w:tc>
          <w:tcPr>
            <w:tcW w:w="6096" w:type="dxa"/>
            <w:gridSpan w:val="2"/>
            <w:shd w:val="clear" w:color="auto" w:fill="F2F2F2" w:themeFill="background1" w:themeFillShade="F2"/>
          </w:tcPr>
          <w:p w14:paraId="46D4D980"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8 pts (colour = Black not automatic)</w:t>
            </w:r>
          </w:p>
        </w:tc>
      </w:tr>
      <w:tr w:rsidR="00FA0945" w:rsidRPr="002B4935" w14:paraId="25D35D0F" w14:textId="77777777" w:rsidTr="00F62D83">
        <w:trPr>
          <w:trHeight w:val="900"/>
        </w:trPr>
        <w:tc>
          <w:tcPr>
            <w:tcW w:w="3397" w:type="dxa"/>
            <w:shd w:val="clear" w:color="auto" w:fill="F2F2F2" w:themeFill="background1" w:themeFillShade="F2"/>
          </w:tcPr>
          <w:p w14:paraId="5E7CAD12"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Height/width dimensions</w:t>
            </w:r>
          </w:p>
          <w:p w14:paraId="700870C4"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Portrait tables</w:t>
            </w:r>
          </w:p>
        </w:tc>
        <w:tc>
          <w:tcPr>
            <w:tcW w:w="6096" w:type="dxa"/>
            <w:gridSpan w:val="2"/>
            <w:shd w:val="clear" w:color="auto" w:fill="F2F2F2" w:themeFill="background1" w:themeFillShade="F2"/>
          </w:tcPr>
          <w:p w14:paraId="0EDAF842"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Width 13.6 cm (13 cm in a shaded cell)</w:t>
            </w:r>
          </w:p>
          <w:p w14:paraId="0172A292"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Height 21 cm</w:t>
            </w:r>
          </w:p>
        </w:tc>
      </w:tr>
      <w:tr w:rsidR="00FA0945" w:rsidRPr="002B4935" w14:paraId="1CBBADC5" w14:textId="77777777" w:rsidTr="00F62D83">
        <w:trPr>
          <w:trHeight w:val="600"/>
        </w:trPr>
        <w:tc>
          <w:tcPr>
            <w:tcW w:w="3397" w:type="dxa"/>
            <w:shd w:val="clear" w:color="auto" w:fill="F2F2F2" w:themeFill="background1" w:themeFillShade="F2"/>
          </w:tcPr>
          <w:p w14:paraId="38A5CDC3"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Landscape</w:t>
            </w:r>
          </w:p>
        </w:tc>
        <w:tc>
          <w:tcPr>
            <w:tcW w:w="6096" w:type="dxa"/>
            <w:gridSpan w:val="2"/>
            <w:shd w:val="clear" w:color="auto" w:fill="F2F2F2" w:themeFill="background1" w:themeFillShade="F2"/>
          </w:tcPr>
          <w:p w14:paraId="4BD3717E"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Width 21 cm</w:t>
            </w:r>
          </w:p>
          <w:p w14:paraId="09B5C10C"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Height 13.6 cm</w:t>
            </w:r>
          </w:p>
        </w:tc>
      </w:tr>
      <w:tr w:rsidR="00FA0945" w:rsidRPr="002B4935" w14:paraId="015794F5" w14:textId="77777777" w:rsidTr="00F62D83">
        <w:trPr>
          <w:trHeight w:val="600"/>
        </w:trPr>
        <w:tc>
          <w:tcPr>
            <w:tcW w:w="3397" w:type="dxa"/>
            <w:shd w:val="clear" w:color="auto" w:fill="F2F2F2" w:themeFill="background1" w:themeFillShade="F2"/>
          </w:tcPr>
          <w:p w14:paraId="6706322F"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Row height</w:t>
            </w:r>
          </w:p>
          <w:p w14:paraId="73C02A2F"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Text and numbers in the body of table (8pt font size)</w:t>
            </w:r>
          </w:p>
        </w:tc>
        <w:tc>
          <w:tcPr>
            <w:tcW w:w="6096" w:type="dxa"/>
            <w:gridSpan w:val="2"/>
            <w:shd w:val="clear" w:color="auto" w:fill="F2F2F2" w:themeFill="background1" w:themeFillShade="F2"/>
          </w:tcPr>
          <w:p w14:paraId="2E1F499B"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 xml:space="preserve">Set row height to 11.25 pts </w:t>
            </w:r>
            <w:r w:rsidR="00FA0945" w:rsidRPr="002B4935">
              <w:rPr>
                <w:rFonts w:cs="Calibri"/>
                <w:sz w:val="19"/>
                <w:szCs w:val="19"/>
              </w:rPr>
              <w:br/>
            </w:r>
            <w:r w:rsidRPr="002B4935">
              <w:rPr>
                <w:rFonts w:cs="Calibri"/>
                <w:sz w:val="19"/>
                <w:szCs w:val="19"/>
              </w:rPr>
              <w:t>(Table Row Height button on the Treasury ribbon)</w:t>
            </w:r>
          </w:p>
        </w:tc>
      </w:tr>
      <w:tr w:rsidR="00FA0945" w:rsidRPr="002B4935" w14:paraId="4DC0C03E" w14:textId="77777777" w:rsidTr="00F62D83">
        <w:trPr>
          <w:trHeight w:val="1050"/>
        </w:trPr>
        <w:tc>
          <w:tcPr>
            <w:tcW w:w="3397" w:type="dxa"/>
            <w:shd w:val="clear" w:color="auto" w:fill="F2F2F2" w:themeFill="background1" w:themeFillShade="F2"/>
          </w:tcPr>
          <w:p w14:paraId="17FA1FB9" w14:textId="77777777" w:rsidR="0082509B"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If you need to squeeze a table onto one page, you can reduce the font size in the table to 7.5 pts.</w:t>
            </w:r>
          </w:p>
          <w:p w14:paraId="719FAFD5" w14:textId="77777777" w:rsidR="00FA0945" w:rsidRPr="002B4935" w:rsidRDefault="00DB5F5A" w:rsidP="002B4935">
            <w:pPr>
              <w:pStyle w:val="TableText-Medium"/>
              <w:spacing w:beforeLines="20" w:before="48" w:afterLines="20" w:after="48" w:line="240" w:lineRule="auto"/>
              <w:rPr>
                <w:rFonts w:cs="Calibri"/>
                <w:b/>
                <w:sz w:val="19"/>
                <w:szCs w:val="19"/>
              </w:rPr>
            </w:pPr>
            <w:r w:rsidRPr="002B4935">
              <w:rPr>
                <w:rFonts w:cs="Calibri"/>
                <w:b/>
                <w:sz w:val="19"/>
                <w:szCs w:val="19"/>
              </w:rPr>
              <w:t>F</w:t>
            </w:r>
            <w:r w:rsidR="53BF0693" w:rsidRPr="002B4935">
              <w:rPr>
                <w:rFonts w:cs="Calibri"/>
                <w:b/>
                <w:sz w:val="19"/>
                <w:szCs w:val="19"/>
              </w:rPr>
              <w:t>onts cannot be reduced any smaller than 7.5 pts.</w:t>
            </w:r>
          </w:p>
        </w:tc>
        <w:tc>
          <w:tcPr>
            <w:tcW w:w="6096" w:type="dxa"/>
            <w:gridSpan w:val="2"/>
            <w:shd w:val="clear" w:color="auto" w:fill="F2F2F2" w:themeFill="background1" w:themeFillShade="F2"/>
          </w:tcPr>
          <w:p w14:paraId="1629697E"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Set row height to 10.5 pts</w:t>
            </w:r>
          </w:p>
        </w:tc>
      </w:tr>
      <w:tr w:rsidR="00FA0945" w:rsidRPr="002B4935" w14:paraId="474AB4A9" w14:textId="77777777" w:rsidTr="00F62D83">
        <w:trPr>
          <w:trHeight w:val="285"/>
        </w:trPr>
        <w:tc>
          <w:tcPr>
            <w:tcW w:w="3397" w:type="dxa"/>
            <w:vMerge w:val="restart"/>
            <w:shd w:val="clear" w:color="auto" w:fill="F2F2F2" w:themeFill="background1" w:themeFillShade="F2"/>
          </w:tcPr>
          <w:p w14:paraId="769BF093"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Table cell alignment</w:t>
            </w:r>
          </w:p>
          <w:p w14:paraId="57692060"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Text</w:t>
            </w:r>
          </w:p>
        </w:tc>
        <w:tc>
          <w:tcPr>
            <w:tcW w:w="2386" w:type="dxa"/>
            <w:shd w:val="clear" w:color="auto" w:fill="F2F2F2" w:themeFill="background1" w:themeFillShade="F2"/>
          </w:tcPr>
          <w:p w14:paraId="770BEF25"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Horizontal</w:t>
            </w:r>
          </w:p>
        </w:tc>
        <w:tc>
          <w:tcPr>
            <w:tcW w:w="3710" w:type="dxa"/>
            <w:shd w:val="clear" w:color="auto" w:fill="F2F2F2" w:themeFill="background1" w:themeFillShade="F2"/>
          </w:tcPr>
          <w:p w14:paraId="1FE24A57"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Vertical</w:t>
            </w:r>
          </w:p>
        </w:tc>
      </w:tr>
      <w:tr w:rsidR="00FA0945" w:rsidRPr="002B4935" w14:paraId="3453EC1D" w14:textId="77777777" w:rsidTr="00F62D83">
        <w:trPr>
          <w:trHeight w:val="330"/>
        </w:trPr>
        <w:tc>
          <w:tcPr>
            <w:tcW w:w="3397" w:type="dxa"/>
            <w:vMerge/>
            <w:shd w:val="clear" w:color="auto" w:fill="F2F2F2" w:themeFill="background1" w:themeFillShade="F2"/>
          </w:tcPr>
          <w:p w14:paraId="1801950F" w14:textId="77777777" w:rsidR="00FA0945" w:rsidRPr="002B4935" w:rsidRDefault="00FA0945" w:rsidP="002B4935">
            <w:pPr>
              <w:pStyle w:val="TableText-Medium"/>
              <w:spacing w:beforeLines="20" w:before="48" w:afterLines="20" w:after="48" w:line="240" w:lineRule="auto"/>
              <w:rPr>
                <w:rFonts w:cs="Calibri"/>
                <w:sz w:val="19"/>
                <w:szCs w:val="19"/>
              </w:rPr>
            </w:pPr>
          </w:p>
        </w:tc>
        <w:tc>
          <w:tcPr>
            <w:tcW w:w="2386" w:type="dxa"/>
            <w:shd w:val="clear" w:color="auto" w:fill="F2F2F2" w:themeFill="background1" w:themeFillShade="F2"/>
          </w:tcPr>
          <w:p w14:paraId="0FC015E0"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Left align</w:t>
            </w:r>
          </w:p>
        </w:tc>
        <w:tc>
          <w:tcPr>
            <w:tcW w:w="3710" w:type="dxa"/>
            <w:shd w:val="clear" w:color="auto" w:fill="F2F2F2" w:themeFill="background1" w:themeFillShade="F2"/>
          </w:tcPr>
          <w:p w14:paraId="5713F968"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Centre</w:t>
            </w:r>
          </w:p>
        </w:tc>
      </w:tr>
      <w:tr w:rsidR="00FA0945" w:rsidRPr="002B4935" w14:paraId="7C020E67" w14:textId="77777777" w:rsidTr="00F62D83">
        <w:trPr>
          <w:trHeight w:val="270"/>
        </w:trPr>
        <w:tc>
          <w:tcPr>
            <w:tcW w:w="3397" w:type="dxa"/>
            <w:shd w:val="clear" w:color="auto" w:fill="F2F2F2" w:themeFill="background1" w:themeFillShade="F2"/>
          </w:tcPr>
          <w:p w14:paraId="1295EC81"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Numbers (use ROUND function)</w:t>
            </w:r>
          </w:p>
        </w:tc>
        <w:tc>
          <w:tcPr>
            <w:tcW w:w="2386" w:type="dxa"/>
            <w:shd w:val="clear" w:color="auto" w:fill="F2F2F2" w:themeFill="background1" w:themeFillShade="F2"/>
          </w:tcPr>
          <w:p w14:paraId="1C9ECDC8"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Right align</w:t>
            </w:r>
          </w:p>
        </w:tc>
        <w:tc>
          <w:tcPr>
            <w:tcW w:w="3710" w:type="dxa"/>
            <w:shd w:val="clear" w:color="auto" w:fill="F2F2F2" w:themeFill="background1" w:themeFillShade="F2"/>
          </w:tcPr>
          <w:p w14:paraId="13493EFC"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Centre</w:t>
            </w:r>
          </w:p>
        </w:tc>
      </w:tr>
      <w:tr w:rsidR="00FA0945" w:rsidRPr="002B4935" w14:paraId="3CD42BDB" w14:textId="77777777" w:rsidTr="00F62D83">
        <w:trPr>
          <w:trHeight w:val="495"/>
        </w:trPr>
        <w:tc>
          <w:tcPr>
            <w:tcW w:w="3397" w:type="dxa"/>
            <w:shd w:val="clear" w:color="auto" w:fill="F2F2F2" w:themeFill="background1" w:themeFillShade="F2"/>
          </w:tcPr>
          <w:p w14:paraId="75EF82D8"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Braced column headings</w:t>
            </w:r>
          </w:p>
        </w:tc>
        <w:tc>
          <w:tcPr>
            <w:tcW w:w="2386" w:type="dxa"/>
            <w:shd w:val="clear" w:color="auto" w:fill="F2F2F2" w:themeFill="background1" w:themeFillShade="F2"/>
          </w:tcPr>
          <w:p w14:paraId="007B9B5F"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Centre</w:t>
            </w:r>
          </w:p>
        </w:tc>
        <w:tc>
          <w:tcPr>
            <w:tcW w:w="3710" w:type="dxa"/>
            <w:shd w:val="clear" w:color="auto" w:fill="F2F2F2" w:themeFill="background1" w:themeFillShade="F2"/>
          </w:tcPr>
          <w:p w14:paraId="21044B94"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Centre</w:t>
            </w:r>
          </w:p>
        </w:tc>
      </w:tr>
      <w:tr w:rsidR="00FA0945" w:rsidRPr="002B4935" w14:paraId="590ACA64" w14:textId="77777777" w:rsidTr="00F62D83">
        <w:tc>
          <w:tcPr>
            <w:tcW w:w="3397" w:type="dxa"/>
            <w:shd w:val="clear" w:color="auto" w:fill="F2F2F2" w:themeFill="background1" w:themeFillShade="F2"/>
          </w:tcPr>
          <w:p w14:paraId="32A353A7"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Borders</w:t>
            </w:r>
          </w:p>
        </w:tc>
        <w:tc>
          <w:tcPr>
            <w:tcW w:w="6096" w:type="dxa"/>
            <w:gridSpan w:val="2"/>
            <w:shd w:val="clear" w:color="auto" w:fill="F2F2F2" w:themeFill="background1" w:themeFillShade="F2"/>
          </w:tcPr>
          <w:p w14:paraId="3ECCFCCB"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Colour = Black, hairline weight (first option in list, not the default)</w:t>
            </w:r>
            <w:r w:rsidR="00FA0945" w:rsidRPr="002B4935">
              <w:rPr>
                <w:rFonts w:cs="Calibri"/>
                <w:sz w:val="19"/>
                <w:szCs w:val="19"/>
              </w:rPr>
              <w:br/>
            </w:r>
            <w:r w:rsidRPr="002B4935">
              <w:rPr>
                <w:rFonts w:cs="Calibri"/>
                <w:sz w:val="19"/>
                <w:szCs w:val="19"/>
              </w:rPr>
              <w:t>(Apply Table Border button on the Treasury ribbon)</w:t>
            </w:r>
          </w:p>
        </w:tc>
      </w:tr>
      <w:tr w:rsidR="00FA0945" w:rsidRPr="002B4935" w14:paraId="11247011" w14:textId="77777777" w:rsidTr="00F62D83">
        <w:tc>
          <w:tcPr>
            <w:tcW w:w="3397" w:type="dxa"/>
            <w:shd w:val="clear" w:color="auto" w:fill="F2F2F2" w:themeFill="background1" w:themeFillShade="F2"/>
          </w:tcPr>
          <w:p w14:paraId="0E034595"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Column width</w:t>
            </w:r>
          </w:p>
        </w:tc>
        <w:tc>
          <w:tcPr>
            <w:tcW w:w="6096" w:type="dxa"/>
            <w:gridSpan w:val="2"/>
            <w:shd w:val="clear" w:color="auto" w:fill="F2F2F2" w:themeFill="background1" w:themeFillShade="F2"/>
          </w:tcPr>
          <w:p w14:paraId="2E912425"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Be consistent particularly if there are similar tables on the one page</w:t>
            </w:r>
          </w:p>
        </w:tc>
      </w:tr>
      <w:tr w:rsidR="00FA0945" w:rsidRPr="002B4935" w14:paraId="3A5D0D47" w14:textId="77777777" w:rsidTr="00F62D83">
        <w:trPr>
          <w:trHeight w:val="1125"/>
        </w:trPr>
        <w:tc>
          <w:tcPr>
            <w:tcW w:w="3397" w:type="dxa"/>
            <w:shd w:val="clear" w:color="auto" w:fill="F2F2F2" w:themeFill="background1" w:themeFillShade="F2"/>
          </w:tcPr>
          <w:p w14:paraId="3DEC00BC"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Blank columns and rows</w:t>
            </w:r>
          </w:p>
          <w:p w14:paraId="21E50DDB"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Columns</w:t>
            </w:r>
          </w:p>
          <w:p w14:paraId="6B515110"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To separate columns where braced headings have been used</w:t>
            </w:r>
          </w:p>
        </w:tc>
        <w:tc>
          <w:tcPr>
            <w:tcW w:w="6096" w:type="dxa"/>
            <w:gridSpan w:val="2"/>
            <w:shd w:val="clear" w:color="auto" w:fill="F2F2F2" w:themeFill="background1" w:themeFillShade="F2"/>
          </w:tcPr>
          <w:p w14:paraId="299FD018"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Set column width to .5</w:t>
            </w:r>
          </w:p>
          <w:p w14:paraId="72FEF72A"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Remove the bottom border for blank columns (see example table 1)</w:t>
            </w:r>
          </w:p>
        </w:tc>
      </w:tr>
      <w:tr w:rsidR="00FA0945" w:rsidRPr="002B4935" w14:paraId="0AF9E224" w14:textId="77777777" w:rsidTr="00F62D83">
        <w:trPr>
          <w:trHeight w:val="539"/>
        </w:trPr>
        <w:tc>
          <w:tcPr>
            <w:tcW w:w="3397" w:type="dxa"/>
            <w:shd w:val="clear" w:color="auto" w:fill="F2F2F2" w:themeFill="background1" w:themeFillShade="F2"/>
          </w:tcPr>
          <w:p w14:paraId="1ED342EC"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Rows</w:t>
            </w:r>
          </w:p>
        </w:tc>
        <w:tc>
          <w:tcPr>
            <w:tcW w:w="6096" w:type="dxa"/>
            <w:gridSpan w:val="2"/>
            <w:shd w:val="clear" w:color="auto" w:fill="F2F2F2" w:themeFill="background1" w:themeFillShade="F2"/>
          </w:tcPr>
          <w:p w14:paraId="29BB2151" w14:textId="77777777" w:rsidR="00FA0945" w:rsidRPr="002B4935" w:rsidRDefault="53BF0693" w:rsidP="002B4935">
            <w:pPr>
              <w:pStyle w:val="TableText-Medium"/>
              <w:spacing w:beforeLines="20" w:before="48" w:afterLines="20" w:after="48" w:line="240" w:lineRule="auto"/>
              <w:rPr>
                <w:rFonts w:cs="Calibri"/>
                <w:sz w:val="19"/>
                <w:szCs w:val="19"/>
              </w:rPr>
            </w:pPr>
            <w:r w:rsidRPr="002B4935">
              <w:rPr>
                <w:rFonts w:cs="Calibri"/>
                <w:sz w:val="19"/>
                <w:szCs w:val="19"/>
              </w:rPr>
              <w:t>Set row height to 3 pts</w:t>
            </w:r>
            <w:r w:rsidR="00FA0945" w:rsidRPr="002B4935">
              <w:rPr>
                <w:rFonts w:cs="Calibri"/>
                <w:sz w:val="19"/>
                <w:szCs w:val="19"/>
              </w:rPr>
              <w:br/>
            </w:r>
            <w:r w:rsidRPr="002B4935">
              <w:rPr>
                <w:rFonts w:cs="Calibri"/>
                <w:sz w:val="19"/>
                <w:szCs w:val="19"/>
              </w:rPr>
              <w:t>(Table Row Height button on the Treasury ribbon)</w:t>
            </w:r>
          </w:p>
        </w:tc>
      </w:tr>
    </w:tbl>
    <w:p w14:paraId="2F653E05" w14:textId="77777777" w:rsidR="00FA0945" w:rsidRPr="00150391" w:rsidRDefault="53BF0693" w:rsidP="00580008">
      <w:pPr>
        <w:pStyle w:val="Boxed2Text"/>
        <w:rPr>
          <w:rFonts w:cs="Calibri"/>
        </w:rPr>
      </w:pPr>
      <w:r w:rsidRPr="00150391">
        <w:rPr>
          <w:rFonts w:cs="Calibri"/>
        </w:rPr>
        <w:t xml:space="preserve">Please use minimal capitalisation. </w:t>
      </w:r>
      <w:r w:rsidRPr="00150391">
        <w:rPr>
          <w:rFonts w:cs="Calibri"/>
          <w:b/>
          <w:bCs/>
        </w:rPr>
        <w:t>Wrap text</w:t>
      </w:r>
      <w:r w:rsidRPr="00150391">
        <w:rPr>
          <w:rFonts w:cs="Calibri"/>
        </w:rPr>
        <w:t xml:space="preserve"> if text goes over a column width. </w:t>
      </w:r>
    </w:p>
    <w:p w14:paraId="5A090F78" w14:textId="54D467E0" w:rsidR="00FA0945" w:rsidRPr="00150391" w:rsidRDefault="53BF0693" w:rsidP="00CF6BE7">
      <w:pPr>
        <w:pStyle w:val="Heading3Numbered"/>
        <w:rPr>
          <w:rFonts w:ascii="Calibri" w:hAnsi="Calibri" w:cs="Calibri"/>
        </w:rPr>
      </w:pPr>
      <w:bookmarkStart w:id="1105" w:name="_Toc63347744"/>
      <w:bookmarkStart w:id="1106" w:name="_Toc114576332"/>
      <w:r w:rsidRPr="00150391">
        <w:rPr>
          <w:rFonts w:ascii="Calibri" w:hAnsi="Calibri" w:cs="Calibri"/>
        </w:rPr>
        <w:t>Formatting an existing table to budget standards</w:t>
      </w:r>
      <w:bookmarkEnd w:id="1105"/>
      <w:bookmarkEnd w:id="1106"/>
    </w:p>
    <w:p w14:paraId="28A35DA4" w14:textId="77777777" w:rsidR="00FA0945" w:rsidRPr="00150391" w:rsidRDefault="53BF0693" w:rsidP="000A7DEC">
      <w:pPr>
        <w:rPr>
          <w:rFonts w:cs="Calibri"/>
        </w:rPr>
      </w:pPr>
      <w:r w:rsidRPr="00150391">
        <w:rPr>
          <w:rFonts w:cs="Calibri"/>
        </w:rPr>
        <w:t>To create an Excel table which fits into a Budget word document’s set margins.</w:t>
      </w:r>
    </w:p>
    <w:p w14:paraId="1E4C1766" w14:textId="523639C8" w:rsidR="00FA0945" w:rsidRPr="00150391" w:rsidRDefault="53BF0693" w:rsidP="001D30A2">
      <w:pPr>
        <w:pStyle w:val="Heading4"/>
        <w:rPr>
          <w:rFonts w:ascii="Calibri" w:hAnsi="Calibri" w:cs="Calibri"/>
        </w:rPr>
      </w:pPr>
      <w:bookmarkStart w:id="1107" w:name="_Ref45028756"/>
      <w:r w:rsidRPr="00150391">
        <w:rPr>
          <w:rFonts w:ascii="Calibri" w:hAnsi="Calibri" w:cs="Calibri"/>
        </w:rPr>
        <w:t>Portrait tables</w:t>
      </w:r>
      <w:bookmarkEnd w:id="1107"/>
    </w:p>
    <w:p w14:paraId="682A6E15" w14:textId="77777777" w:rsidR="00FA0945" w:rsidRPr="00150391" w:rsidRDefault="00F05ECA" w:rsidP="005D722E">
      <w:pPr>
        <w:pStyle w:val="Numbered"/>
        <w:numPr>
          <w:ilvl w:val="0"/>
          <w:numId w:val="230"/>
        </w:numPr>
        <w:rPr>
          <w:rFonts w:cs="Calibri"/>
        </w:rPr>
      </w:pPr>
      <w:r w:rsidRPr="00150391">
        <w:rPr>
          <w:rFonts w:cs="Calibri"/>
        </w:rPr>
        <w:t>i</w:t>
      </w:r>
      <w:r w:rsidR="00FA0945" w:rsidRPr="00150391">
        <w:rPr>
          <w:rFonts w:cs="Calibri"/>
        </w:rPr>
        <w:t xml:space="preserve">n Excel from “Page Layout” ribbon select Page Layout </w:t>
      </w:r>
      <w:r w:rsidR="004B76F7" w:rsidRPr="00150391">
        <w:rPr>
          <w:rFonts w:cs="Calibri"/>
        </w:rPr>
        <w:sym w:font="Wingdings" w:char="F0E0"/>
      </w:r>
      <w:r w:rsidR="00FA0945" w:rsidRPr="00150391">
        <w:rPr>
          <w:rFonts w:cs="Calibri"/>
        </w:rPr>
        <w:t xml:space="preserve"> Margins </w:t>
      </w:r>
      <w:r w:rsidR="004B76F7" w:rsidRPr="00150391">
        <w:rPr>
          <w:rFonts w:cs="Calibri"/>
        </w:rPr>
        <w:sym w:font="Wingdings" w:char="F0E0"/>
      </w:r>
      <w:r w:rsidR="00FA0945" w:rsidRPr="00150391">
        <w:rPr>
          <w:rFonts w:cs="Calibri"/>
        </w:rPr>
        <w:t xml:space="preserve"> Custom Margins</w:t>
      </w:r>
    </w:p>
    <w:p w14:paraId="3ECE0727" w14:textId="77777777" w:rsidR="00FA0945" w:rsidRPr="00150391" w:rsidRDefault="00F05ECA" w:rsidP="005D722E">
      <w:pPr>
        <w:pStyle w:val="Numbered"/>
        <w:numPr>
          <w:ilvl w:val="0"/>
          <w:numId w:val="230"/>
        </w:numPr>
        <w:rPr>
          <w:rFonts w:cs="Calibri"/>
        </w:rPr>
      </w:pPr>
      <w:r w:rsidRPr="00150391">
        <w:rPr>
          <w:rFonts w:cs="Calibri"/>
        </w:rPr>
        <w:t>c</w:t>
      </w:r>
      <w:r w:rsidR="53BF0693" w:rsidRPr="00150391">
        <w:rPr>
          <w:rFonts w:cs="Calibri"/>
        </w:rPr>
        <w:t>lick on the “Page” tab, select “Portrait orientation”</w:t>
      </w:r>
    </w:p>
    <w:p w14:paraId="00F52FC0" w14:textId="77777777" w:rsidR="00FA0945" w:rsidRPr="00150391" w:rsidRDefault="00F05ECA" w:rsidP="005D722E">
      <w:pPr>
        <w:pStyle w:val="Numbered"/>
        <w:numPr>
          <w:ilvl w:val="0"/>
          <w:numId w:val="230"/>
        </w:numPr>
        <w:rPr>
          <w:rFonts w:cs="Calibri"/>
        </w:rPr>
      </w:pPr>
      <w:r w:rsidRPr="00150391">
        <w:rPr>
          <w:rFonts w:cs="Calibri"/>
        </w:rPr>
        <w:t>e</w:t>
      </w:r>
      <w:r w:rsidR="53BF0693" w:rsidRPr="00150391">
        <w:rPr>
          <w:rFonts w:cs="Calibri"/>
        </w:rPr>
        <w:t>nsure the Scaling is set to 100% normal size</w:t>
      </w:r>
    </w:p>
    <w:p w14:paraId="59357E4A" w14:textId="77777777" w:rsidR="00FA0945" w:rsidRPr="00150391" w:rsidRDefault="00F05ECA" w:rsidP="005D722E">
      <w:pPr>
        <w:pStyle w:val="Numbered"/>
        <w:numPr>
          <w:ilvl w:val="0"/>
          <w:numId w:val="230"/>
        </w:numPr>
        <w:rPr>
          <w:rFonts w:cs="Calibri"/>
        </w:rPr>
      </w:pPr>
      <w:r w:rsidRPr="00150391">
        <w:rPr>
          <w:rFonts w:cs="Calibri"/>
        </w:rPr>
        <w:t>c</w:t>
      </w:r>
      <w:r w:rsidR="53BF0693" w:rsidRPr="00150391">
        <w:rPr>
          <w:rFonts w:cs="Calibri"/>
        </w:rPr>
        <w:t>lick on the “Margins tab” and set margins to:</w:t>
      </w:r>
    </w:p>
    <w:p w14:paraId="743AB6CC" w14:textId="77777777" w:rsidR="00FA0945" w:rsidRPr="00150391" w:rsidRDefault="006F2D40" w:rsidP="000A7DEC">
      <w:pPr>
        <w:pStyle w:val="Bullet2"/>
        <w:rPr>
          <w:rFonts w:cs="Calibri"/>
        </w:rPr>
      </w:pPr>
      <w:r w:rsidRPr="00150391">
        <w:rPr>
          <w:rFonts w:cs="Calibri"/>
        </w:rPr>
        <w:t>l</w:t>
      </w:r>
      <w:r w:rsidR="00FA0945" w:rsidRPr="00150391">
        <w:rPr>
          <w:rFonts w:cs="Calibri"/>
        </w:rPr>
        <w:t>eft and right</w:t>
      </w:r>
      <w:r w:rsidR="00FA0945" w:rsidRPr="00150391">
        <w:rPr>
          <w:rFonts w:cs="Calibri"/>
        </w:rPr>
        <w:tab/>
      </w:r>
      <w:r w:rsidR="004D0115" w:rsidRPr="00150391">
        <w:rPr>
          <w:rFonts w:cs="Calibri"/>
        </w:rPr>
        <w:tab/>
        <w:t xml:space="preserve">= </w:t>
      </w:r>
      <w:r w:rsidR="00FA0945" w:rsidRPr="00150391">
        <w:rPr>
          <w:rFonts w:cs="Calibri"/>
        </w:rPr>
        <w:t>3.7</w:t>
      </w:r>
      <w:r w:rsidR="004D0115" w:rsidRPr="00150391">
        <w:rPr>
          <w:rFonts w:cs="Calibri"/>
        </w:rPr>
        <w:t>cm</w:t>
      </w:r>
    </w:p>
    <w:p w14:paraId="0B839438" w14:textId="77777777" w:rsidR="00FA0945" w:rsidRPr="00150391" w:rsidRDefault="006F2D40" w:rsidP="000A7DEC">
      <w:pPr>
        <w:pStyle w:val="Bullet2"/>
        <w:rPr>
          <w:rFonts w:cs="Calibri"/>
        </w:rPr>
      </w:pPr>
      <w:r w:rsidRPr="00150391">
        <w:rPr>
          <w:rFonts w:cs="Calibri"/>
        </w:rPr>
        <w:t>t</w:t>
      </w:r>
      <w:r w:rsidR="00FA0945" w:rsidRPr="00150391">
        <w:rPr>
          <w:rFonts w:cs="Calibri"/>
        </w:rPr>
        <w:t>op and bottom</w:t>
      </w:r>
      <w:r w:rsidR="00FA0945" w:rsidRPr="00150391">
        <w:rPr>
          <w:rFonts w:cs="Calibri"/>
        </w:rPr>
        <w:tab/>
      </w:r>
      <w:r w:rsidR="004D0115" w:rsidRPr="00150391">
        <w:rPr>
          <w:rFonts w:cs="Calibri"/>
        </w:rPr>
        <w:t xml:space="preserve">= </w:t>
      </w:r>
      <w:r w:rsidR="00FA0945" w:rsidRPr="00150391">
        <w:rPr>
          <w:rFonts w:cs="Calibri"/>
        </w:rPr>
        <w:t>4.3</w:t>
      </w:r>
      <w:r w:rsidR="004D0115" w:rsidRPr="00150391">
        <w:rPr>
          <w:rFonts w:cs="Calibri"/>
        </w:rPr>
        <w:t>cm</w:t>
      </w:r>
      <w:r w:rsidRPr="00150391">
        <w:rPr>
          <w:rFonts w:cs="Calibri"/>
        </w:rPr>
        <w:t xml:space="preserve">  </w:t>
      </w:r>
    </w:p>
    <w:p w14:paraId="51D9CF3B" w14:textId="77777777" w:rsidR="00FA0945" w:rsidRPr="00150391" w:rsidRDefault="53BF0693" w:rsidP="000A7DEC">
      <w:pPr>
        <w:pStyle w:val="Bullet2"/>
        <w:rPr>
          <w:rFonts w:cs="Calibri"/>
        </w:rPr>
      </w:pPr>
      <w:r w:rsidRPr="00150391">
        <w:rPr>
          <w:rFonts w:cs="Calibri"/>
        </w:rPr>
        <w:t>landscape tables.</w:t>
      </w:r>
    </w:p>
    <w:p w14:paraId="2BEFEEB0" w14:textId="77777777" w:rsidR="00FA0945" w:rsidRPr="00150391" w:rsidRDefault="00F05ECA" w:rsidP="005D722E">
      <w:pPr>
        <w:pStyle w:val="Numbered"/>
        <w:numPr>
          <w:ilvl w:val="0"/>
          <w:numId w:val="230"/>
        </w:numPr>
        <w:rPr>
          <w:rFonts w:cs="Calibri"/>
        </w:rPr>
      </w:pPr>
      <w:r w:rsidRPr="00150391">
        <w:rPr>
          <w:rFonts w:cs="Calibri"/>
        </w:rPr>
        <w:t>i</w:t>
      </w:r>
      <w:r w:rsidR="00FA0945" w:rsidRPr="00150391">
        <w:rPr>
          <w:rFonts w:cs="Calibri"/>
        </w:rPr>
        <w:t xml:space="preserve">n Excel from the “Page Layout” ribbon, select Page Layout </w:t>
      </w:r>
      <w:r w:rsidR="004B76F7" w:rsidRPr="00150391">
        <w:rPr>
          <w:rFonts w:cs="Calibri"/>
        </w:rPr>
        <w:sym w:font="Wingdings" w:char="F0E0"/>
      </w:r>
      <w:r w:rsidR="00FA0945" w:rsidRPr="00150391">
        <w:rPr>
          <w:rFonts w:cs="Calibri"/>
        </w:rPr>
        <w:t xml:space="preserve"> Margins </w:t>
      </w:r>
      <w:r w:rsidR="004B76F7" w:rsidRPr="00150391">
        <w:rPr>
          <w:rFonts w:cs="Calibri"/>
        </w:rPr>
        <w:sym w:font="Wingdings" w:char="F0E0"/>
      </w:r>
      <w:r w:rsidR="0045475E" w:rsidRPr="00150391">
        <w:rPr>
          <w:rFonts w:cs="Calibri"/>
        </w:rPr>
        <w:t xml:space="preserve"> Custom Margins</w:t>
      </w:r>
    </w:p>
    <w:p w14:paraId="2EA4B120" w14:textId="77777777" w:rsidR="00FA0945" w:rsidRPr="00150391" w:rsidRDefault="00F05ECA" w:rsidP="005D722E">
      <w:pPr>
        <w:pStyle w:val="Numbered"/>
        <w:numPr>
          <w:ilvl w:val="0"/>
          <w:numId w:val="230"/>
        </w:numPr>
        <w:rPr>
          <w:rFonts w:cs="Calibri"/>
        </w:rPr>
      </w:pPr>
      <w:r w:rsidRPr="00150391">
        <w:rPr>
          <w:rFonts w:cs="Calibri"/>
        </w:rPr>
        <w:t>c</w:t>
      </w:r>
      <w:r w:rsidR="53BF0693" w:rsidRPr="00150391">
        <w:rPr>
          <w:rFonts w:cs="Calibri"/>
        </w:rPr>
        <w:t>lick on the “Page” tab, select “Landscape orientation”</w:t>
      </w:r>
    </w:p>
    <w:p w14:paraId="7F2BF4A2" w14:textId="77777777" w:rsidR="00FA0945" w:rsidRPr="00150391" w:rsidRDefault="00F05ECA" w:rsidP="005D722E">
      <w:pPr>
        <w:pStyle w:val="Numbered"/>
        <w:numPr>
          <w:ilvl w:val="0"/>
          <w:numId w:val="230"/>
        </w:numPr>
        <w:rPr>
          <w:rFonts w:cs="Calibri"/>
        </w:rPr>
      </w:pPr>
      <w:r w:rsidRPr="00150391">
        <w:rPr>
          <w:rFonts w:cs="Calibri"/>
        </w:rPr>
        <w:t>e</w:t>
      </w:r>
      <w:r w:rsidR="53BF0693" w:rsidRPr="00150391">
        <w:rPr>
          <w:rFonts w:cs="Calibri"/>
        </w:rPr>
        <w:t>nsure the Scaling is set to 100% normal size</w:t>
      </w:r>
    </w:p>
    <w:p w14:paraId="5454ED27" w14:textId="77777777" w:rsidR="00FA0945" w:rsidRPr="00150391" w:rsidRDefault="00F05ECA" w:rsidP="005D722E">
      <w:pPr>
        <w:pStyle w:val="Numbered"/>
        <w:numPr>
          <w:ilvl w:val="0"/>
          <w:numId w:val="230"/>
        </w:numPr>
        <w:rPr>
          <w:rFonts w:cs="Calibri"/>
        </w:rPr>
      </w:pPr>
      <w:r w:rsidRPr="00150391">
        <w:rPr>
          <w:rFonts w:cs="Calibri"/>
        </w:rPr>
        <w:t>c</w:t>
      </w:r>
      <w:r w:rsidR="00346167" w:rsidRPr="00150391">
        <w:rPr>
          <w:rFonts w:cs="Calibri"/>
        </w:rPr>
        <w:t>lick on the “Margins” tab:</w:t>
      </w:r>
    </w:p>
    <w:p w14:paraId="591AC636" w14:textId="77777777" w:rsidR="00FA0945" w:rsidRPr="00150391" w:rsidRDefault="00346167" w:rsidP="000A7DEC">
      <w:pPr>
        <w:pStyle w:val="Bullet2"/>
        <w:rPr>
          <w:rFonts w:cs="Calibri"/>
        </w:rPr>
      </w:pPr>
      <w:r w:rsidRPr="00150391">
        <w:rPr>
          <w:rFonts w:cs="Calibri"/>
        </w:rPr>
        <w:t>l</w:t>
      </w:r>
      <w:r w:rsidR="00FA0945" w:rsidRPr="00150391">
        <w:rPr>
          <w:rFonts w:cs="Calibri"/>
        </w:rPr>
        <w:t>eft and right</w:t>
      </w:r>
      <w:r w:rsidR="00FA0945" w:rsidRPr="00150391">
        <w:rPr>
          <w:rFonts w:cs="Calibri"/>
        </w:rPr>
        <w:tab/>
      </w:r>
      <w:r w:rsidR="00444045" w:rsidRPr="00150391">
        <w:rPr>
          <w:rFonts w:cs="Calibri"/>
        </w:rPr>
        <w:tab/>
      </w:r>
      <w:r w:rsidR="004D0115" w:rsidRPr="00150391">
        <w:rPr>
          <w:rFonts w:cs="Calibri"/>
        </w:rPr>
        <w:t xml:space="preserve">= </w:t>
      </w:r>
      <w:r w:rsidR="00FA0945" w:rsidRPr="00150391">
        <w:rPr>
          <w:rFonts w:cs="Calibri"/>
        </w:rPr>
        <w:t>4.3</w:t>
      </w:r>
      <w:r w:rsidR="004D0115" w:rsidRPr="00150391">
        <w:rPr>
          <w:rFonts w:cs="Calibri"/>
        </w:rPr>
        <w:t>cm</w:t>
      </w:r>
      <w:r w:rsidR="006F2D40" w:rsidRPr="00150391">
        <w:rPr>
          <w:rFonts w:cs="Calibri"/>
        </w:rPr>
        <w:t xml:space="preserve">  </w:t>
      </w:r>
    </w:p>
    <w:p w14:paraId="7332E5AC" w14:textId="77777777" w:rsidR="00655600" w:rsidRPr="00150391" w:rsidRDefault="00346167" w:rsidP="53BF0693">
      <w:pPr>
        <w:pStyle w:val="Bullet2"/>
        <w:rPr>
          <w:rFonts w:eastAsiaTheme="majorEastAsia" w:cs="Calibri"/>
        </w:rPr>
      </w:pPr>
      <w:r w:rsidRPr="00150391">
        <w:rPr>
          <w:rFonts w:cs="Calibri"/>
        </w:rPr>
        <w:t>t</w:t>
      </w:r>
      <w:r w:rsidR="00FA0945" w:rsidRPr="00150391">
        <w:rPr>
          <w:rFonts w:cs="Calibri"/>
        </w:rPr>
        <w:t>op and bottom</w:t>
      </w:r>
      <w:r w:rsidR="00FA0945" w:rsidRPr="00150391">
        <w:rPr>
          <w:rFonts w:cs="Calibri"/>
        </w:rPr>
        <w:tab/>
      </w:r>
      <w:r w:rsidR="004D0115" w:rsidRPr="00150391">
        <w:rPr>
          <w:rFonts w:cs="Calibri"/>
        </w:rPr>
        <w:t xml:space="preserve">= </w:t>
      </w:r>
      <w:r w:rsidR="00FA0945" w:rsidRPr="00150391">
        <w:rPr>
          <w:rFonts w:cs="Calibri"/>
        </w:rPr>
        <w:t>3.7</w:t>
      </w:r>
      <w:r w:rsidR="004D0115" w:rsidRPr="00150391">
        <w:rPr>
          <w:rFonts w:cs="Calibri"/>
        </w:rPr>
        <w:t>cm</w:t>
      </w:r>
      <w:r w:rsidR="006F2D40" w:rsidRPr="00150391">
        <w:rPr>
          <w:rFonts w:cs="Calibri"/>
        </w:rPr>
        <w:t>.</w:t>
      </w:r>
    </w:p>
    <w:p w14:paraId="02A1F272" w14:textId="6A640F88" w:rsidR="00FA0945" w:rsidRPr="00150391" w:rsidRDefault="53BF0693" w:rsidP="00CF6BE7">
      <w:pPr>
        <w:pStyle w:val="Heading3Numbered"/>
        <w:rPr>
          <w:rFonts w:ascii="Calibri" w:hAnsi="Calibri" w:cs="Calibri"/>
        </w:rPr>
      </w:pPr>
      <w:bookmarkStart w:id="1108" w:name="_Toc63347745"/>
      <w:bookmarkStart w:id="1109" w:name="_Toc114576333"/>
      <w:r w:rsidRPr="00150391">
        <w:rPr>
          <w:rFonts w:ascii="Calibri" w:hAnsi="Calibri" w:cs="Calibri"/>
        </w:rPr>
        <w:t>Setting font and text alignment</w:t>
      </w:r>
      <w:bookmarkEnd w:id="1108"/>
      <w:bookmarkEnd w:id="1109"/>
    </w:p>
    <w:p w14:paraId="19DEB5BD" w14:textId="77777777" w:rsidR="000C42A6" w:rsidRPr="00150391" w:rsidRDefault="00F05ECA" w:rsidP="000C42A6">
      <w:pPr>
        <w:pStyle w:val="Numbered"/>
        <w:numPr>
          <w:ilvl w:val="0"/>
          <w:numId w:val="231"/>
        </w:numPr>
        <w:rPr>
          <w:rFonts w:cs="Calibri"/>
        </w:rPr>
      </w:pPr>
      <w:r w:rsidRPr="00150391">
        <w:rPr>
          <w:rFonts w:cs="Calibri"/>
        </w:rPr>
        <w:t>c</w:t>
      </w:r>
      <w:r w:rsidR="00FA0945" w:rsidRPr="00150391">
        <w:rPr>
          <w:rFonts w:cs="Calibri"/>
        </w:rPr>
        <w:t>lick the select all button in the upper left corner of the worksheet (where the row and column headings meet)</w:t>
      </w:r>
      <w:r w:rsidR="004C0DE8" w:rsidRPr="00150391">
        <w:rPr>
          <w:rFonts w:cs="Calibri"/>
        </w:rPr>
        <w:br/>
      </w:r>
      <w:r w:rsidR="00FA0945" w:rsidRPr="00150391">
        <w:rPr>
          <w:rFonts w:cs="Calibri"/>
          <w:noProof/>
          <w:lang w:eastAsia="en-AU"/>
        </w:rPr>
        <w:drawing>
          <wp:inline distT="0" distB="0" distL="0" distR="0" wp14:anchorId="20151A81" wp14:editId="64A6832E">
            <wp:extent cx="935355" cy="478155"/>
            <wp:effectExtent l="19050" t="19050" r="17145" b="17145"/>
            <wp:docPr id="8" name="Picture 8" descr="&quot;Select all&quot; button in a Microsoft Excel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Select all&quot; button in a Microsoft Excel workshee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35355" cy="478155"/>
                    </a:xfrm>
                    <a:prstGeom prst="rect">
                      <a:avLst/>
                    </a:prstGeom>
                    <a:noFill/>
                    <a:ln>
                      <a:solidFill>
                        <a:schemeClr val="tx1"/>
                      </a:solidFill>
                    </a:ln>
                  </pic:spPr>
                </pic:pic>
              </a:graphicData>
            </a:graphic>
          </wp:inline>
        </w:drawing>
      </w:r>
    </w:p>
    <w:p w14:paraId="0FEEE197" w14:textId="77777777" w:rsidR="00FA0945" w:rsidRPr="00150391" w:rsidRDefault="00F05ECA" w:rsidP="005D722E">
      <w:pPr>
        <w:pStyle w:val="Numbered"/>
        <w:numPr>
          <w:ilvl w:val="0"/>
          <w:numId w:val="231"/>
        </w:numPr>
        <w:rPr>
          <w:rFonts w:cs="Calibri"/>
        </w:rPr>
      </w:pPr>
      <w:r w:rsidRPr="00150391">
        <w:rPr>
          <w:rFonts w:cs="Calibri"/>
        </w:rPr>
        <w:t>f</w:t>
      </w:r>
      <w:r w:rsidR="53BF0693" w:rsidRPr="00150391">
        <w:rPr>
          <w:rFonts w:cs="Calibri"/>
        </w:rPr>
        <w:t>rom the “Home” ribbon, on the “Font” tab set font to 8 pts Arial</w:t>
      </w:r>
    </w:p>
    <w:p w14:paraId="5A5124BD" w14:textId="77777777" w:rsidR="00FA0945" w:rsidRPr="00150391" w:rsidRDefault="00F05ECA" w:rsidP="005D722E">
      <w:pPr>
        <w:pStyle w:val="Numbered"/>
        <w:numPr>
          <w:ilvl w:val="0"/>
          <w:numId w:val="231"/>
        </w:numPr>
        <w:rPr>
          <w:rFonts w:cs="Calibri"/>
        </w:rPr>
      </w:pPr>
      <w:r w:rsidRPr="00150391">
        <w:rPr>
          <w:rFonts w:cs="Calibri"/>
        </w:rPr>
        <w:t>s</w:t>
      </w:r>
      <w:r w:rsidR="00FA0945" w:rsidRPr="00150391">
        <w:rPr>
          <w:rFonts w:cs="Calibri"/>
        </w:rPr>
        <w:t>elect the “Alignment” tab set the Vertical text alignment to “Centre”</w:t>
      </w:r>
      <w:r w:rsidR="00AE0D55" w:rsidRPr="00150391">
        <w:rPr>
          <w:rFonts w:cs="Calibri"/>
        </w:rPr>
        <w:t>.</w:t>
      </w:r>
      <w:r w:rsidR="004C0DE8" w:rsidRPr="00150391">
        <w:rPr>
          <w:rFonts w:cs="Calibri"/>
        </w:rPr>
        <w:br/>
      </w:r>
      <w:r w:rsidR="004C0DE8" w:rsidRPr="00150391">
        <w:rPr>
          <w:rFonts w:cs="Calibri"/>
        </w:rPr>
        <w:br/>
      </w:r>
      <w:r w:rsidR="00FA0945" w:rsidRPr="00150391">
        <w:rPr>
          <w:rFonts w:cs="Calibri"/>
          <w:noProof/>
          <w:lang w:eastAsia="en-AU"/>
        </w:rPr>
        <w:drawing>
          <wp:inline distT="0" distB="0" distL="0" distR="0" wp14:anchorId="63035E04" wp14:editId="133AA549">
            <wp:extent cx="4045585" cy="789940"/>
            <wp:effectExtent l="19050" t="19050" r="12065" b="10160"/>
            <wp:docPr id="7" name="Picture 7" descr="Alignment group on the Microsoft Excel Home ribb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ignment group on the Microsoft Excel Home ribbon.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45585" cy="789940"/>
                    </a:xfrm>
                    <a:prstGeom prst="rect">
                      <a:avLst/>
                    </a:prstGeom>
                    <a:noFill/>
                    <a:ln>
                      <a:solidFill>
                        <a:schemeClr val="tx1"/>
                      </a:solidFill>
                    </a:ln>
                  </pic:spPr>
                </pic:pic>
              </a:graphicData>
            </a:graphic>
          </wp:inline>
        </w:drawing>
      </w:r>
    </w:p>
    <w:p w14:paraId="75FB3A0D" w14:textId="3570469F" w:rsidR="00FA0945" w:rsidRPr="00150391" w:rsidRDefault="53BF0693" w:rsidP="00CF6BE7">
      <w:pPr>
        <w:pStyle w:val="Heading3Numbered"/>
        <w:rPr>
          <w:rFonts w:ascii="Calibri" w:hAnsi="Calibri" w:cs="Calibri"/>
        </w:rPr>
      </w:pPr>
      <w:bookmarkStart w:id="1110" w:name="_Toc63347746"/>
      <w:bookmarkStart w:id="1111" w:name="_Toc114576334"/>
      <w:r w:rsidRPr="00150391">
        <w:rPr>
          <w:rFonts w:ascii="Calibri" w:hAnsi="Calibri" w:cs="Calibri"/>
        </w:rPr>
        <w:t>Row height</w:t>
      </w:r>
      <w:bookmarkEnd w:id="1110"/>
      <w:bookmarkEnd w:id="1111"/>
    </w:p>
    <w:p w14:paraId="41EF0B4B" w14:textId="77777777" w:rsidR="00FA0945" w:rsidRPr="00150391" w:rsidRDefault="00F05ECA" w:rsidP="005D722E">
      <w:pPr>
        <w:pStyle w:val="Numbered"/>
        <w:numPr>
          <w:ilvl w:val="0"/>
          <w:numId w:val="232"/>
        </w:numPr>
        <w:rPr>
          <w:rFonts w:cs="Calibri"/>
        </w:rPr>
      </w:pPr>
      <w:r w:rsidRPr="00150391">
        <w:rPr>
          <w:rFonts w:cs="Calibri"/>
        </w:rPr>
        <w:t>s</w:t>
      </w:r>
      <w:r w:rsidR="53BF0693" w:rsidRPr="00150391">
        <w:rPr>
          <w:rFonts w:cs="Calibri"/>
        </w:rPr>
        <w:t>elect the rows to be adjusted</w:t>
      </w:r>
    </w:p>
    <w:p w14:paraId="0A911EC8" w14:textId="77777777" w:rsidR="00FA0945" w:rsidRPr="00150391" w:rsidRDefault="00F05ECA" w:rsidP="005D722E">
      <w:pPr>
        <w:pStyle w:val="Numbered"/>
        <w:numPr>
          <w:ilvl w:val="0"/>
          <w:numId w:val="232"/>
        </w:numPr>
        <w:rPr>
          <w:rFonts w:cs="Calibri"/>
        </w:rPr>
      </w:pPr>
      <w:r w:rsidRPr="00150391">
        <w:rPr>
          <w:rFonts w:cs="Calibri"/>
        </w:rPr>
        <w:t>f</w:t>
      </w:r>
      <w:r w:rsidR="00FA0945" w:rsidRPr="00150391">
        <w:rPr>
          <w:rFonts w:cs="Calibri"/>
        </w:rPr>
        <w:t>rom the “Home” ribbon, in the “Cells” group select “Format” and then “Row height”</w:t>
      </w:r>
      <w:r w:rsidR="004C0DE8" w:rsidRPr="00150391">
        <w:rPr>
          <w:rFonts w:cs="Calibri"/>
        </w:rPr>
        <w:br/>
      </w:r>
      <w:r w:rsidR="00FA0945" w:rsidRPr="00150391">
        <w:rPr>
          <w:rFonts w:cs="Calibri"/>
          <w:noProof/>
          <w:lang w:eastAsia="en-AU"/>
        </w:rPr>
        <w:drawing>
          <wp:inline distT="0" distB="0" distL="0" distR="0" wp14:anchorId="4BE38F3A" wp14:editId="73FA7644">
            <wp:extent cx="1717675" cy="1524000"/>
            <wp:effectExtent l="19050" t="19050" r="15875" b="19050"/>
            <wp:docPr id="5" name="Picture 5" descr="&quot;Row height&quot; command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Row height&quot; command on the Microsoft Excel Home ribbon."/>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17675" cy="1524000"/>
                    </a:xfrm>
                    <a:prstGeom prst="rect">
                      <a:avLst/>
                    </a:prstGeom>
                    <a:noFill/>
                    <a:ln>
                      <a:solidFill>
                        <a:schemeClr val="tx1"/>
                      </a:solidFill>
                    </a:ln>
                  </pic:spPr>
                </pic:pic>
              </a:graphicData>
            </a:graphic>
          </wp:inline>
        </w:drawing>
      </w:r>
    </w:p>
    <w:p w14:paraId="7C568CA9" w14:textId="77777777" w:rsidR="00E23D4B" w:rsidRPr="00150391" w:rsidRDefault="00F05ECA" w:rsidP="005D722E">
      <w:pPr>
        <w:pStyle w:val="Numbered"/>
        <w:numPr>
          <w:ilvl w:val="0"/>
          <w:numId w:val="232"/>
        </w:numPr>
        <w:rPr>
          <w:rFonts w:cs="Calibri"/>
        </w:rPr>
      </w:pPr>
      <w:r w:rsidRPr="00150391">
        <w:rPr>
          <w:rFonts w:cs="Calibri"/>
        </w:rPr>
        <w:t>e</w:t>
      </w:r>
      <w:r w:rsidR="53BF0693" w:rsidRPr="00150391">
        <w:rPr>
          <w:rFonts w:cs="Calibri"/>
        </w:rPr>
        <w:t>nter 11.25 and then click OK.</w:t>
      </w:r>
    </w:p>
    <w:p w14:paraId="1F5F1D77" w14:textId="77777777" w:rsidR="00FA0945" w:rsidRPr="00150391" w:rsidRDefault="53BF0693" w:rsidP="00580008">
      <w:pPr>
        <w:pStyle w:val="Boxed2Text"/>
        <w:rPr>
          <w:rFonts w:cs="Calibri"/>
        </w:rPr>
      </w:pPr>
      <w:r w:rsidRPr="00150391">
        <w:rPr>
          <w:rFonts w:cs="Calibri"/>
        </w:rPr>
        <w:t>If a table is difficult to fit onto a Word page the row height can be reduced. In Word check the printed page to ensure that numbers and text are not cut off.</w:t>
      </w:r>
    </w:p>
    <w:p w14:paraId="1EFA31A1" w14:textId="5A29C788" w:rsidR="00FA0945" w:rsidRPr="00150391" w:rsidRDefault="53BF0693" w:rsidP="00CF6BE7">
      <w:pPr>
        <w:pStyle w:val="Heading3Numbered"/>
        <w:rPr>
          <w:rFonts w:ascii="Calibri" w:hAnsi="Calibri" w:cs="Calibri"/>
        </w:rPr>
      </w:pPr>
      <w:bookmarkStart w:id="1112" w:name="_Toc63347747"/>
      <w:bookmarkStart w:id="1113" w:name="_Toc114576335"/>
      <w:r w:rsidRPr="00150391">
        <w:rPr>
          <w:rFonts w:ascii="Calibri" w:hAnsi="Calibri" w:cs="Calibri"/>
        </w:rPr>
        <w:t>Table borders</w:t>
      </w:r>
      <w:bookmarkEnd w:id="1112"/>
      <w:bookmarkEnd w:id="1113"/>
    </w:p>
    <w:p w14:paraId="7F4EA754" w14:textId="77777777" w:rsidR="00FA0945" w:rsidRPr="00150391" w:rsidRDefault="00F05ECA" w:rsidP="005D722E">
      <w:pPr>
        <w:pStyle w:val="Numbered"/>
        <w:numPr>
          <w:ilvl w:val="0"/>
          <w:numId w:val="233"/>
        </w:numPr>
        <w:rPr>
          <w:rFonts w:cs="Calibri"/>
        </w:rPr>
      </w:pPr>
      <w:r w:rsidRPr="00150391">
        <w:rPr>
          <w:rFonts w:cs="Calibri"/>
        </w:rPr>
        <w:t>s</w:t>
      </w:r>
      <w:r w:rsidR="53BF0693" w:rsidRPr="00150391">
        <w:rPr>
          <w:rFonts w:cs="Calibri"/>
        </w:rPr>
        <w:t>elect the row to contain the ruled line</w:t>
      </w:r>
    </w:p>
    <w:p w14:paraId="07764A6A" w14:textId="77777777" w:rsidR="003E05CE" w:rsidRPr="00150391" w:rsidRDefault="00F05ECA" w:rsidP="001D30A2">
      <w:pPr>
        <w:pStyle w:val="Numbered"/>
        <w:numPr>
          <w:ilvl w:val="0"/>
          <w:numId w:val="233"/>
        </w:numPr>
        <w:spacing w:before="0" w:after="120" w:line="440" w:lineRule="atLeast"/>
        <w:rPr>
          <w:rFonts w:cs="Calibri"/>
        </w:rPr>
      </w:pPr>
      <w:r w:rsidRPr="00150391">
        <w:rPr>
          <w:rFonts w:cs="Calibri"/>
        </w:rPr>
        <w:t>f</w:t>
      </w:r>
      <w:r w:rsidR="00FA0945" w:rsidRPr="00150391">
        <w:rPr>
          <w:rFonts w:cs="Calibri"/>
        </w:rPr>
        <w:t>rom the “Home” ribbon, select the “Font” tab</w:t>
      </w:r>
      <w:r w:rsidR="004C0DE8" w:rsidRPr="00150391">
        <w:rPr>
          <w:rFonts w:cs="Calibri"/>
        </w:rPr>
        <w:br/>
      </w:r>
      <w:r w:rsidR="00FA0945" w:rsidRPr="00150391">
        <w:rPr>
          <w:rFonts w:cs="Calibri"/>
          <w:noProof/>
          <w:lang w:eastAsia="en-AU"/>
        </w:rPr>
        <w:drawing>
          <wp:inline distT="0" distB="0" distL="0" distR="0" wp14:anchorId="6A97F281" wp14:editId="623F3CF7">
            <wp:extent cx="1911985" cy="817245"/>
            <wp:effectExtent l="19050" t="19050" r="12065" b="20955"/>
            <wp:docPr id="4" name="Picture 4" descr="Font group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nt group on the Microsoft Excel Home ribbon."/>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11985" cy="817245"/>
                    </a:xfrm>
                    <a:prstGeom prst="rect">
                      <a:avLst/>
                    </a:prstGeom>
                    <a:noFill/>
                    <a:ln>
                      <a:solidFill>
                        <a:schemeClr val="tx1"/>
                      </a:solidFill>
                    </a:ln>
                  </pic:spPr>
                </pic:pic>
              </a:graphicData>
            </a:graphic>
          </wp:inline>
        </w:drawing>
      </w:r>
    </w:p>
    <w:p w14:paraId="60117296" w14:textId="77777777" w:rsidR="00FA0945" w:rsidRPr="00150391" w:rsidRDefault="00F05ECA" w:rsidP="005D722E">
      <w:pPr>
        <w:pStyle w:val="Numbered"/>
        <w:numPr>
          <w:ilvl w:val="0"/>
          <w:numId w:val="233"/>
        </w:numPr>
        <w:rPr>
          <w:rFonts w:cs="Calibri"/>
        </w:rPr>
      </w:pPr>
      <w:r w:rsidRPr="00150391">
        <w:rPr>
          <w:rFonts w:cs="Calibri"/>
        </w:rPr>
        <w:t>s</w:t>
      </w:r>
      <w:r w:rsidR="00FA0945" w:rsidRPr="00150391">
        <w:rPr>
          <w:rFonts w:cs="Calibri"/>
        </w:rPr>
        <w:t>elect the “Border” tab</w:t>
      </w:r>
      <w:r w:rsidR="004C0DE8" w:rsidRPr="00150391">
        <w:rPr>
          <w:rFonts w:cs="Calibri"/>
        </w:rPr>
        <w:br/>
      </w:r>
      <w:r w:rsidR="00FA0945" w:rsidRPr="00150391">
        <w:rPr>
          <w:rFonts w:cs="Calibri"/>
          <w:noProof/>
          <w:lang w:eastAsia="en-AU"/>
        </w:rPr>
        <w:drawing>
          <wp:inline distT="0" distB="0" distL="0" distR="0" wp14:anchorId="2F12C478" wp14:editId="7E080948">
            <wp:extent cx="2988000" cy="2026800"/>
            <wp:effectExtent l="19050" t="19050" r="22225" b="12065"/>
            <wp:docPr id="3" name="Picture 3" descr="&quot;Format Cells&quot; pop up menu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ot;Format Cells&quot; pop up menu in Excel."/>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88000" cy="2026800"/>
                    </a:xfrm>
                    <a:prstGeom prst="rect">
                      <a:avLst/>
                    </a:prstGeom>
                    <a:noFill/>
                    <a:ln>
                      <a:solidFill>
                        <a:schemeClr val="tx1"/>
                      </a:solidFill>
                    </a:ln>
                  </pic:spPr>
                </pic:pic>
              </a:graphicData>
            </a:graphic>
          </wp:inline>
        </w:drawing>
      </w:r>
      <w:r w:rsidR="004E58F5" w:rsidRPr="00150391">
        <w:rPr>
          <w:rFonts w:cs="Calibri"/>
        </w:rPr>
        <w:br/>
      </w:r>
    </w:p>
    <w:p w14:paraId="1865D988" w14:textId="77777777" w:rsidR="00E23D4B" w:rsidRPr="00150391" w:rsidRDefault="00F05ECA" w:rsidP="005D722E">
      <w:pPr>
        <w:pStyle w:val="Numbered"/>
        <w:numPr>
          <w:ilvl w:val="0"/>
          <w:numId w:val="233"/>
        </w:numPr>
        <w:rPr>
          <w:rFonts w:cs="Calibri"/>
        </w:rPr>
      </w:pPr>
      <w:r w:rsidRPr="00150391">
        <w:rPr>
          <w:rFonts w:cs="Calibri"/>
        </w:rPr>
        <w:t>s</w:t>
      </w:r>
      <w:r w:rsidR="53BF0693" w:rsidRPr="00150391">
        <w:rPr>
          <w:rFonts w:cs="Calibri"/>
        </w:rPr>
        <w:t>elect the first weight (first in list) and Colour = Black</w:t>
      </w:r>
    </w:p>
    <w:p w14:paraId="1657059C" w14:textId="77777777" w:rsidR="00FE449B" w:rsidRPr="00150391" w:rsidRDefault="00090962" w:rsidP="00580008">
      <w:pPr>
        <w:pStyle w:val="Boxed2Text"/>
        <w:rPr>
          <w:rFonts w:cs="Calibri"/>
        </w:rPr>
      </w:pPr>
      <w:r w:rsidRPr="00150391">
        <w:rPr>
          <w:rFonts w:cs="Calibri"/>
          <w:bCs/>
        </w:rPr>
        <w:t>T</w:t>
      </w:r>
      <w:r w:rsidR="53BF0693" w:rsidRPr="00150391">
        <w:rPr>
          <w:rFonts w:cs="Calibri"/>
        </w:rPr>
        <w:t>hough the line appears to be broken it will appear as solid when linked in Word.</w:t>
      </w:r>
    </w:p>
    <w:p w14:paraId="237EE4ED" w14:textId="77777777" w:rsidR="007363C0" w:rsidRPr="00150391" w:rsidRDefault="00F05ECA" w:rsidP="001D30A2">
      <w:pPr>
        <w:pStyle w:val="Numbered"/>
        <w:numPr>
          <w:ilvl w:val="0"/>
          <w:numId w:val="233"/>
        </w:numPr>
        <w:ind w:left="357" w:hanging="357"/>
        <w:rPr>
          <w:rFonts w:cs="Calibri"/>
        </w:rPr>
      </w:pPr>
      <w:r w:rsidRPr="00150391">
        <w:rPr>
          <w:rFonts w:cs="Calibri"/>
        </w:rPr>
        <w:t>c</w:t>
      </w:r>
      <w:r w:rsidR="53BF0693" w:rsidRPr="00150391">
        <w:rPr>
          <w:rFonts w:cs="Calibri"/>
        </w:rPr>
        <w:t>lick OK.</w:t>
      </w:r>
    </w:p>
    <w:p w14:paraId="562114DD" w14:textId="77777777" w:rsidR="00FA0945" w:rsidRPr="00150391" w:rsidRDefault="53BF0693" w:rsidP="00580008">
      <w:pPr>
        <w:pStyle w:val="Boxed2Text"/>
        <w:rPr>
          <w:rFonts w:cs="Calibri"/>
        </w:rPr>
      </w:pPr>
      <w:r w:rsidRPr="00150391">
        <w:rPr>
          <w:rFonts w:cs="Calibri"/>
        </w:rPr>
        <w:t xml:space="preserve">Only apply borders to the row with the description and values, not the row above or below. </w:t>
      </w:r>
    </w:p>
    <w:p w14:paraId="4E2A480A" w14:textId="479BB12D" w:rsidR="00FA0945" w:rsidRPr="00150391" w:rsidRDefault="53BF0693" w:rsidP="00CF6BE7">
      <w:pPr>
        <w:pStyle w:val="Heading3Numbered"/>
        <w:rPr>
          <w:rFonts w:ascii="Calibri" w:hAnsi="Calibri" w:cs="Calibri"/>
        </w:rPr>
      </w:pPr>
      <w:bookmarkStart w:id="1114" w:name="_Toc63347748"/>
      <w:bookmarkStart w:id="1115" w:name="_Toc114576336"/>
      <w:r w:rsidRPr="00150391">
        <w:rPr>
          <w:rFonts w:ascii="Calibri" w:hAnsi="Calibri" w:cs="Calibri"/>
        </w:rPr>
        <w:t>Shading</w:t>
      </w:r>
      <w:bookmarkEnd w:id="1114"/>
      <w:bookmarkEnd w:id="1115"/>
    </w:p>
    <w:p w14:paraId="471A74BC" w14:textId="77777777" w:rsidR="00FA0945" w:rsidRPr="00150391" w:rsidRDefault="00F05ECA" w:rsidP="002B4935">
      <w:pPr>
        <w:pStyle w:val="Numbered"/>
        <w:numPr>
          <w:ilvl w:val="0"/>
          <w:numId w:val="264"/>
        </w:numPr>
        <w:ind w:left="357" w:hanging="357"/>
        <w:rPr>
          <w:rFonts w:cs="Calibri"/>
        </w:rPr>
      </w:pPr>
      <w:r w:rsidRPr="00150391">
        <w:rPr>
          <w:rFonts w:cs="Calibri"/>
        </w:rPr>
        <w:t>s</w:t>
      </w:r>
      <w:r w:rsidR="53BF0693" w:rsidRPr="00150391">
        <w:rPr>
          <w:rFonts w:cs="Calibri"/>
        </w:rPr>
        <w:t>elect the cells to be shaded</w:t>
      </w:r>
    </w:p>
    <w:p w14:paraId="5CFD269D" w14:textId="77777777" w:rsidR="00FE449B" w:rsidRPr="00150391" w:rsidRDefault="00F05ECA" w:rsidP="002B4935">
      <w:pPr>
        <w:pStyle w:val="Numbered"/>
        <w:numPr>
          <w:ilvl w:val="0"/>
          <w:numId w:val="264"/>
        </w:numPr>
        <w:ind w:left="357" w:hanging="357"/>
        <w:rPr>
          <w:rFonts w:cs="Calibri"/>
        </w:rPr>
      </w:pPr>
      <w:r w:rsidRPr="00150391">
        <w:rPr>
          <w:rFonts w:cs="Calibri"/>
        </w:rPr>
        <w:t>s</w:t>
      </w:r>
      <w:r w:rsidR="53BF0693" w:rsidRPr="00150391">
        <w:rPr>
          <w:rFonts w:cs="Calibri"/>
        </w:rPr>
        <w:t>elect the “Fill” tab from the “Font” group</w:t>
      </w:r>
    </w:p>
    <w:p w14:paraId="76BF3876" w14:textId="77777777" w:rsidR="00FE449B" w:rsidRPr="00150391" w:rsidRDefault="00F05ECA" w:rsidP="002B4935">
      <w:pPr>
        <w:pStyle w:val="Numbered"/>
        <w:numPr>
          <w:ilvl w:val="0"/>
          <w:numId w:val="264"/>
        </w:numPr>
        <w:ind w:left="357" w:hanging="357"/>
        <w:rPr>
          <w:rFonts w:cs="Calibri"/>
        </w:rPr>
      </w:pPr>
      <w:r w:rsidRPr="00150391">
        <w:rPr>
          <w:rFonts w:cs="Calibri"/>
        </w:rPr>
        <w:t>s</w:t>
      </w:r>
      <w:r w:rsidR="53BF0693" w:rsidRPr="00150391">
        <w:rPr>
          <w:rFonts w:cs="Calibri"/>
        </w:rPr>
        <w:t>elect “More colours”</w:t>
      </w:r>
    </w:p>
    <w:p w14:paraId="20E6087F" w14:textId="77777777" w:rsidR="00FE449B" w:rsidRPr="00150391" w:rsidRDefault="00F05ECA" w:rsidP="002B4935">
      <w:pPr>
        <w:pStyle w:val="Numbered"/>
        <w:numPr>
          <w:ilvl w:val="0"/>
          <w:numId w:val="264"/>
        </w:numPr>
        <w:ind w:left="357" w:hanging="357"/>
        <w:rPr>
          <w:rFonts w:cs="Calibri"/>
        </w:rPr>
      </w:pPr>
      <w:r w:rsidRPr="00150391">
        <w:rPr>
          <w:rFonts w:cs="Calibri"/>
        </w:rPr>
        <w:t>s</w:t>
      </w:r>
      <w:r w:rsidR="53BF0693" w:rsidRPr="00150391">
        <w:rPr>
          <w:rFonts w:cs="Calibri"/>
        </w:rPr>
        <w:t>elect the “Custom” tab</w:t>
      </w:r>
    </w:p>
    <w:p w14:paraId="33E0ACE8" w14:textId="77777777" w:rsidR="00FA0945" w:rsidRPr="00150391" w:rsidRDefault="00F05ECA" w:rsidP="002B4935">
      <w:pPr>
        <w:pStyle w:val="Numbered"/>
        <w:numPr>
          <w:ilvl w:val="0"/>
          <w:numId w:val="264"/>
        </w:numPr>
        <w:ind w:left="357" w:hanging="357"/>
        <w:rPr>
          <w:rFonts w:cs="Calibri"/>
        </w:rPr>
      </w:pPr>
      <w:r w:rsidRPr="00150391">
        <w:rPr>
          <w:rFonts w:cs="Calibri"/>
        </w:rPr>
        <w:t>s</w:t>
      </w:r>
      <w:r w:rsidR="53BF0693" w:rsidRPr="00150391">
        <w:rPr>
          <w:rFonts w:cs="Calibri"/>
        </w:rPr>
        <w:t>et as: Red – 235, Green – 235 and Blue – 235.</w:t>
      </w:r>
    </w:p>
    <w:p w14:paraId="4D55FFAC" w14:textId="484DF494" w:rsidR="00FA0945" w:rsidRPr="00150391" w:rsidRDefault="53BF0693" w:rsidP="00CF6BE7">
      <w:pPr>
        <w:pStyle w:val="Heading3Numbered"/>
        <w:rPr>
          <w:rFonts w:ascii="Calibri" w:hAnsi="Calibri" w:cs="Calibri"/>
        </w:rPr>
      </w:pPr>
      <w:bookmarkStart w:id="1116" w:name="_Toc63347749"/>
      <w:bookmarkStart w:id="1117" w:name="_Toc114576337"/>
      <w:r w:rsidRPr="00150391">
        <w:rPr>
          <w:rFonts w:ascii="Calibri" w:hAnsi="Calibri" w:cs="Calibri"/>
        </w:rPr>
        <w:t>Indenting text</w:t>
      </w:r>
      <w:bookmarkEnd w:id="1116"/>
      <w:bookmarkEnd w:id="1117"/>
    </w:p>
    <w:p w14:paraId="773E3695" w14:textId="77777777" w:rsidR="00FA0945" w:rsidRPr="00150391" w:rsidRDefault="53BF0693" w:rsidP="000A7DEC">
      <w:pPr>
        <w:rPr>
          <w:rFonts w:cs="Calibri"/>
        </w:rPr>
      </w:pPr>
      <w:r w:rsidRPr="00150391">
        <w:rPr>
          <w:rFonts w:cs="Calibri"/>
        </w:rPr>
        <w:t xml:space="preserve">Use the “Right Indent” button to indent text in columns. Do not create a second column to indent text or use spaces to indent text. </w:t>
      </w:r>
    </w:p>
    <w:p w14:paraId="28C0EED0" w14:textId="77777777" w:rsidR="00FA0945" w:rsidRPr="00150391" w:rsidRDefault="00FA0945">
      <w:pPr>
        <w:pStyle w:val="BodyText"/>
        <w:rPr>
          <w:rFonts w:cs="Calibri"/>
        </w:rPr>
      </w:pPr>
      <w:r w:rsidRPr="00150391">
        <w:rPr>
          <w:rFonts w:cs="Calibri"/>
          <w:noProof/>
          <w:lang w:eastAsia="en-AU"/>
        </w:rPr>
        <w:drawing>
          <wp:inline distT="0" distB="0" distL="0" distR="0" wp14:anchorId="1558F942" wp14:editId="115F143F">
            <wp:extent cx="1537970" cy="803275"/>
            <wp:effectExtent l="19050" t="19050" r="24130" b="15875"/>
            <wp:docPr id="2" name="Picture 2" descr="&quot;Right indent&quot; button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ot;Right indent&quot; button on the Microsoft Excel Home ribbon."/>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37970" cy="803275"/>
                    </a:xfrm>
                    <a:prstGeom prst="rect">
                      <a:avLst/>
                    </a:prstGeom>
                    <a:noFill/>
                    <a:ln>
                      <a:solidFill>
                        <a:schemeClr val="tx1"/>
                      </a:solidFill>
                    </a:ln>
                  </pic:spPr>
                </pic:pic>
              </a:graphicData>
            </a:graphic>
          </wp:inline>
        </w:drawing>
      </w:r>
    </w:p>
    <w:p w14:paraId="0C965EA2" w14:textId="7A9D2705" w:rsidR="00FA0945" w:rsidRPr="00150391" w:rsidRDefault="53BF0693" w:rsidP="00CF6BE7">
      <w:pPr>
        <w:pStyle w:val="Heading3Numbered"/>
        <w:rPr>
          <w:rFonts w:ascii="Calibri" w:hAnsi="Calibri" w:cs="Calibri"/>
        </w:rPr>
      </w:pPr>
      <w:bookmarkStart w:id="1118" w:name="_Toc63347750"/>
      <w:bookmarkStart w:id="1119" w:name="_Toc114576338"/>
      <w:r w:rsidRPr="00150391">
        <w:rPr>
          <w:rFonts w:ascii="Calibri" w:hAnsi="Calibri" w:cs="Calibri"/>
        </w:rPr>
        <w:t>Inserting linked excel tables into the word template</w:t>
      </w:r>
      <w:bookmarkEnd w:id="1118"/>
      <w:bookmarkEnd w:id="1119"/>
    </w:p>
    <w:p w14:paraId="7FB921BF" w14:textId="77777777" w:rsidR="00FA0945" w:rsidRPr="00150391" w:rsidRDefault="53BF0693" w:rsidP="000A7DEC">
      <w:pPr>
        <w:rPr>
          <w:rFonts w:cs="Calibri"/>
        </w:rPr>
      </w:pPr>
      <w:r w:rsidRPr="00150391">
        <w:rPr>
          <w:rFonts w:cs="Calibri"/>
        </w:rPr>
        <w:t>The standard practice for preparing Budget documentation is to link tables and charts from Excel into Word. There are a number of reasons for this:</w:t>
      </w:r>
    </w:p>
    <w:p w14:paraId="7C50A5BA" w14:textId="77777777" w:rsidR="00FA0945" w:rsidRPr="00150391" w:rsidRDefault="53BF0693" w:rsidP="005379D4">
      <w:pPr>
        <w:pStyle w:val="Bullet1"/>
        <w:rPr>
          <w:rFonts w:ascii="Calibri" w:hAnsi="Calibri" w:cs="Calibri"/>
        </w:rPr>
      </w:pPr>
      <w:r w:rsidRPr="00150391">
        <w:rPr>
          <w:rFonts w:ascii="Calibri" w:hAnsi="Calibri" w:cs="Calibri"/>
        </w:rPr>
        <w:t>when the Excel tables are updated, the Word template can be easily updated by pressing the F9 key in Word</w:t>
      </w:r>
    </w:p>
    <w:p w14:paraId="3CF2CED3" w14:textId="77777777" w:rsidR="00FA0945" w:rsidRPr="00150391" w:rsidRDefault="53BF0693" w:rsidP="005379D4">
      <w:pPr>
        <w:pStyle w:val="Bullet1"/>
        <w:rPr>
          <w:rFonts w:ascii="Calibri" w:hAnsi="Calibri" w:cs="Calibri"/>
        </w:rPr>
      </w:pPr>
      <w:r w:rsidRPr="00150391">
        <w:rPr>
          <w:rFonts w:ascii="Calibri" w:hAnsi="Calibri" w:cs="Calibri"/>
        </w:rPr>
        <w:t>placing a linked object into a document helps to keep the file size smaller. An unlinked object increases the document size</w:t>
      </w:r>
    </w:p>
    <w:p w14:paraId="49F5510A" w14:textId="77777777" w:rsidR="00FA0945" w:rsidRPr="00150391" w:rsidRDefault="53BF0693" w:rsidP="005379D4">
      <w:pPr>
        <w:pStyle w:val="Bullet1"/>
        <w:rPr>
          <w:rFonts w:ascii="Calibri" w:hAnsi="Calibri" w:cs="Calibri"/>
        </w:rPr>
      </w:pPr>
      <w:r w:rsidRPr="00150391">
        <w:rPr>
          <w:rFonts w:ascii="Calibri" w:hAnsi="Calibri" w:cs="Calibri"/>
        </w:rPr>
        <w:t>when you double click on a linked object in Word you cannot open a copy of the Excel workbook (unless you have access to the Excel file).</w:t>
      </w:r>
    </w:p>
    <w:p w14:paraId="6332C50C" w14:textId="77777777" w:rsidR="00FA0945" w:rsidRPr="00150391" w:rsidRDefault="53BF0693" w:rsidP="001D30A2">
      <w:pPr>
        <w:pStyle w:val="Heading4"/>
        <w:rPr>
          <w:rFonts w:ascii="Calibri" w:hAnsi="Calibri" w:cs="Calibri"/>
        </w:rPr>
      </w:pPr>
      <w:r w:rsidRPr="00150391">
        <w:rPr>
          <w:rFonts w:ascii="Calibri" w:hAnsi="Calibri" w:cs="Calibri"/>
        </w:rPr>
        <w:t>To insert a linked Excel table into the Word template:</w:t>
      </w:r>
    </w:p>
    <w:p w14:paraId="2DBE4416" w14:textId="77777777" w:rsidR="00FA0945" w:rsidRPr="00150391" w:rsidRDefault="00F05ECA" w:rsidP="005D722E">
      <w:pPr>
        <w:pStyle w:val="Numbered"/>
        <w:numPr>
          <w:ilvl w:val="0"/>
          <w:numId w:val="235"/>
        </w:numPr>
        <w:rPr>
          <w:rFonts w:cs="Calibri"/>
        </w:rPr>
      </w:pPr>
      <w:r w:rsidRPr="00150391">
        <w:rPr>
          <w:rFonts w:cs="Calibri"/>
        </w:rPr>
        <w:t>i</w:t>
      </w:r>
      <w:r w:rsidR="53BF0693" w:rsidRPr="00150391">
        <w:rPr>
          <w:rFonts w:cs="Calibri"/>
        </w:rPr>
        <w:t>n Excel, format the table to budget standards (see page 59)</w:t>
      </w:r>
    </w:p>
    <w:p w14:paraId="7746DAF4" w14:textId="77777777" w:rsidR="00FA0945" w:rsidRPr="00150391" w:rsidRDefault="00F05ECA" w:rsidP="005D722E">
      <w:pPr>
        <w:pStyle w:val="Numbered"/>
        <w:numPr>
          <w:ilvl w:val="0"/>
          <w:numId w:val="235"/>
        </w:numPr>
        <w:rPr>
          <w:rFonts w:cs="Calibri"/>
        </w:rPr>
      </w:pPr>
      <w:r w:rsidRPr="00150391">
        <w:rPr>
          <w:rFonts w:cs="Calibri"/>
        </w:rPr>
        <w:t>i</w:t>
      </w:r>
      <w:r w:rsidR="53BF0693" w:rsidRPr="00150391">
        <w:rPr>
          <w:rFonts w:cs="Calibri"/>
        </w:rPr>
        <w:t>n Excel, select and copy the table</w:t>
      </w:r>
    </w:p>
    <w:p w14:paraId="744AB01C" w14:textId="77777777" w:rsidR="00FA0945" w:rsidRPr="00150391" w:rsidRDefault="00F05ECA" w:rsidP="005D722E">
      <w:pPr>
        <w:pStyle w:val="Numbered"/>
        <w:numPr>
          <w:ilvl w:val="0"/>
          <w:numId w:val="235"/>
        </w:numPr>
        <w:rPr>
          <w:rFonts w:cs="Calibri"/>
        </w:rPr>
      </w:pPr>
      <w:r w:rsidRPr="00150391">
        <w:rPr>
          <w:rFonts w:cs="Calibri"/>
        </w:rPr>
        <w:t>i</w:t>
      </w:r>
      <w:r w:rsidR="53BF0693" w:rsidRPr="00150391">
        <w:rPr>
          <w:rFonts w:cs="Calibri"/>
        </w:rPr>
        <w:t>n Word, enter the appropriate heading and apply the Table Heading format to the text</w:t>
      </w:r>
    </w:p>
    <w:p w14:paraId="70530A8B" w14:textId="77777777" w:rsidR="00FA0945" w:rsidRPr="00150391" w:rsidRDefault="00F05ECA" w:rsidP="005D722E">
      <w:pPr>
        <w:pStyle w:val="Numbered"/>
        <w:numPr>
          <w:ilvl w:val="0"/>
          <w:numId w:val="235"/>
        </w:numPr>
        <w:rPr>
          <w:rFonts w:cs="Calibri"/>
        </w:rPr>
      </w:pPr>
      <w:r w:rsidRPr="00150391">
        <w:rPr>
          <w:rFonts w:cs="Calibri"/>
        </w:rPr>
        <w:t>i</w:t>
      </w:r>
      <w:r w:rsidR="53BF0693" w:rsidRPr="00150391">
        <w:rPr>
          <w:rFonts w:cs="Calibri"/>
        </w:rPr>
        <w:t>n Word, select “Paste Special”, choose “Paste Link – Excel Object” and click “OK”</w:t>
      </w:r>
    </w:p>
    <w:p w14:paraId="3CC877BF" w14:textId="77777777" w:rsidR="00FA0945" w:rsidRPr="00150391" w:rsidRDefault="00F05ECA" w:rsidP="005D722E">
      <w:pPr>
        <w:pStyle w:val="Numbered"/>
        <w:numPr>
          <w:ilvl w:val="0"/>
          <w:numId w:val="235"/>
        </w:numPr>
        <w:rPr>
          <w:rFonts w:cs="Calibri"/>
        </w:rPr>
      </w:pPr>
      <w:r w:rsidRPr="00150391">
        <w:rPr>
          <w:rFonts w:cs="Calibri"/>
        </w:rPr>
        <w:t>i</w:t>
      </w:r>
      <w:r w:rsidR="53BF0693" w:rsidRPr="00150391">
        <w:rPr>
          <w:rFonts w:cs="Calibri"/>
        </w:rPr>
        <w:t>n Word, type in the footnotes and other text</w:t>
      </w:r>
    </w:p>
    <w:p w14:paraId="71A6C0F6" w14:textId="77777777" w:rsidR="00FA0945" w:rsidRPr="00150391" w:rsidRDefault="00F05ECA" w:rsidP="005D722E">
      <w:pPr>
        <w:pStyle w:val="Numbered"/>
        <w:numPr>
          <w:ilvl w:val="0"/>
          <w:numId w:val="235"/>
        </w:numPr>
        <w:rPr>
          <w:rFonts w:cs="Calibri"/>
        </w:rPr>
      </w:pPr>
      <w:r w:rsidRPr="00150391">
        <w:rPr>
          <w:rFonts w:cs="Calibri"/>
        </w:rPr>
        <w:t>i</w:t>
      </w:r>
      <w:r w:rsidR="00FA0945" w:rsidRPr="00150391">
        <w:rPr>
          <w:rFonts w:cs="Calibri"/>
        </w:rPr>
        <w:t xml:space="preserve">n Word lock the links by right clicking the linked table and choosing Linked Worksheet Object </w:t>
      </w:r>
      <w:r w:rsidR="004B76F7" w:rsidRPr="00150391">
        <w:rPr>
          <w:rFonts w:cs="Calibri"/>
        </w:rPr>
        <w:sym w:font="Wingdings" w:char="F0E0"/>
      </w:r>
      <w:r w:rsidR="00FA0945" w:rsidRPr="00150391">
        <w:rPr>
          <w:rFonts w:cs="Calibri"/>
        </w:rPr>
        <w:t xml:space="preserve"> Links and then checking the “Locked” tick box, then click “OK”.</w:t>
      </w:r>
    </w:p>
    <w:p w14:paraId="254590C2" w14:textId="77777777" w:rsidR="00FA0945" w:rsidRPr="00150391" w:rsidRDefault="53BF0693" w:rsidP="001D30A2">
      <w:pPr>
        <w:pStyle w:val="Heading4"/>
        <w:rPr>
          <w:rFonts w:ascii="Calibri" w:hAnsi="Calibri" w:cs="Calibri"/>
        </w:rPr>
      </w:pPr>
      <w:r w:rsidRPr="00150391">
        <w:rPr>
          <w:rFonts w:ascii="Calibri" w:hAnsi="Calibri" w:cs="Calibri"/>
        </w:rPr>
        <w:t>To update linked tables</w:t>
      </w:r>
    </w:p>
    <w:p w14:paraId="78CF31D3" w14:textId="77777777" w:rsidR="00FA0945" w:rsidRPr="00150391" w:rsidRDefault="00F05ECA" w:rsidP="005D722E">
      <w:pPr>
        <w:pStyle w:val="Numbered"/>
        <w:numPr>
          <w:ilvl w:val="0"/>
          <w:numId w:val="236"/>
        </w:numPr>
        <w:rPr>
          <w:rFonts w:cs="Calibri"/>
        </w:rPr>
      </w:pPr>
      <w:r w:rsidRPr="00150391">
        <w:rPr>
          <w:rFonts w:cs="Calibri"/>
        </w:rPr>
        <w:t>i</w:t>
      </w:r>
      <w:r w:rsidR="53BF0693" w:rsidRPr="00150391">
        <w:rPr>
          <w:rFonts w:cs="Calibri"/>
        </w:rPr>
        <w:t>n Excel, open the source workbook to update the table</w:t>
      </w:r>
    </w:p>
    <w:p w14:paraId="3FB75334" w14:textId="77777777" w:rsidR="00FA0945" w:rsidRPr="00150391" w:rsidRDefault="00F05ECA" w:rsidP="005D722E">
      <w:pPr>
        <w:pStyle w:val="Numbered"/>
        <w:numPr>
          <w:ilvl w:val="0"/>
          <w:numId w:val="236"/>
        </w:numPr>
        <w:rPr>
          <w:rFonts w:cs="Calibri"/>
        </w:rPr>
      </w:pPr>
      <w:r w:rsidRPr="00150391">
        <w:rPr>
          <w:rFonts w:cs="Calibri"/>
        </w:rPr>
        <w:t>t</w:t>
      </w:r>
      <w:r w:rsidR="00FA0945" w:rsidRPr="00150391">
        <w:rPr>
          <w:rFonts w:cs="Calibri"/>
        </w:rPr>
        <w:t>o update the table, in Word, right click the table and select Linked Worksheet Object</w:t>
      </w:r>
      <w:r w:rsidR="009244B3" w:rsidRPr="00150391">
        <w:rPr>
          <w:rFonts w:cs="Calibri"/>
        </w:rPr>
        <w:t> </w:t>
      </w:r>
      <w:r w:rsidR="004B76F7" w:rsidRPr="00150391">
        <w:rPr>
          <w:rFonts w:cs="Calibri"/>
        </w:rPr>
        <w:sym w:font="Wingdings" w:char="F0E0"/>
      </w:r>
      <w:r w:rsidR="009244B3" w:rsidRPr="00150391">
        <w:rPr>
          <w:rFonts w:cs="Calibri"/>
        </w:rPr>
        <w:t> </w:t>
      </w:r>
      <w:r w:rsidR="00FA0945" w:rsidRPr="00150391">
        <w:rPr>
          <w:rFonts w:cs="Calibri"/>
        </w:rPr>
        <w:t>Links. Uncheck the “Locked” tick box, then select update now, then re-check the “Locked” tick box, then click “OK”</w:t>
      </w:r>
    </w:p>
    <w:p w14:paraId="76FFCCED" w14:textId="77777777" w:rsidR="00FA0945" w:rsidRPr="00150391" w:rsidRDefault="00F05ECA" w:rsidP="005D722E">
      <w:pPr>
        <w:pStyle w:val="Numbered"/>
        <w:numPr>
          <w:ilvl w:val="0"/>
          <w:numId w:val="236"/>
        </w:numPr>
        <w:rPr>
          <w:rFonts w:cs="Calibri"/>
        </w:rPr>
      </w:pPr>
      <w:r w:rsidRPr="00150391">
        <w:rPr>
          <w:rFonts w:cs="Calibri"/>
        </w:rPr>
        <w:t>i</w:t>
      </w:r>
      <w:r w:rsidR="53BF0693" w:rsidRPr="00150391">
        <w:rPr>
          <w:rFonts w:cs="Calibri"/>
        </w:rPr>
        <w:t xml:space="preserve">f you have not locked the tables, press F9 to update the table in the Word document. </w:t>
      </w:r>
    </w:p>
    <w:p w14:paraId="4E659489" w14:textId="5EE2B523" w:rsidR="00FA0945" w:rsidRPr="00150391" w:rsidRDefault="53BF0693" w:rsidP="00CF6BE7">
      <w:pPr>
        <w:pStyle w:val="Heading2Numbered"/>
        <w:rPr>
          <w:rFonts w:ascii="Calibri" w:hAnsi="Calibri" w:cs="Calibri"/>
        </w:rPr>
      </w:pPr>
      <w:bookmarkStart w:id="1120" w:name="_Toc534382585"/>
      <w:bookmarkStart w:id="1121" w:name="_Toc63347751"/>
      <w:bookmarkStart w:id="1122" w:name="_Toc114576339"/>
      <w:r w:rsidRPr="00150391">
        <w:rPr>
          <w:rFonts w:ascii="Calibri" w:hAnsi="Calibri" w:cs="Calibri"/>
        </w:rPr>
        <w:t>Preparing the word template for printing</w:t>
      </w:r>
      <w:bookmarkEnd w:id="1120"/>
      <w:bookmarkEnd w:id="1121"/>
      <w:bookmarkEnd w:id="1122"/>
    </w:p>
    <w:p w14:paraId="2A00301A" w14:textId="77777777" w:rsidR="00FA0945" w:rsidRPr="00150391" w:rsidRDefault="53BF0693">
      <w:pPr>
        <w:pStyle w:val="BodyText"/>
        <w:rPr>
          <w:rFonts w:cs="Calibri"/>
        </w:rPr>
      </w:pPr>
      <w:r w:rsidRPr="00150391">
        <w:rPr>
          <w:rFonts w:cs="Calibri"/>
        </w:rPr>
        <w:t>To prepare the Word template for printing, the links to the Excel template should be broken. To break the links:</w:t>
      </w:r>
    </w:p>
    <w:p w14:paraId="6442113C" w14:textId="77777777" w:rsidR="00FA0945" w:rsidRPr="00150391" w:rsidRDefault="00F05ECA" w:rsidP="005D722E">
      <w:pPr>
        <w:pStyle w:val="Numbered"/>
        <w:numPr>
          <w:ilvl w:val="0"/>
          <w:numId w:val="237"/>
        </w:numPr>
        <w:rPr>
          <w:rFonts w:cs="Calibri"/>
        </w:rPr>
      </w:pPr>
      <w:r w:rsidRPr="00150391">
        <w:rPr>
          <w:rFonts w:cs="Calibri"/>
        </w:rPr>
        <w:t>i</w:t>
      </w:r>
      <w:r w:rsidR="53BF0693" w:rsidRPr="00150391">
        <w:rPr>
          <w:rFonts w:cs="Calibri"/>
        </w:rPr>
        <w:t>n Word, click the Office button, then “Prepare” and then “Edit Links to Files”</w:t>
      </w:r>
    </w:p>
    <w:p w14:paraId="559C290D" w14:textId="77777777" w:rsidR="00FA0945" w:rsidRPr="00150391" w:rsidRDefault="00F05ECA" w:rsidP="005D722E">
      <w:pPr>
        <w:pStyle w:val="Numbered"/>
        <w:numPr>
          <w:ilvl w:val="0"/>
          <w:numId w:val="237"/>
        </w:numPr>
        <w:rPr>
          <w:rFonts w:cs="Calibri"/>
        </w:rPr>
      </w:pPr>
      <w:r w:rsidRPr="00150391">
        <w:rPr>
          <w:rFonts w:cs="Calibri"/>
        </w:rPr>
        <w:t>f</w:t>
      </w:r>
      <w:r w:rsidR="53BF0693" w:rsidRPr="00150391">
        <w:rPr>
          <w:rFonts w:cs="Calibri"/>
        </w:rPr>
        <w:t>or each link listed, click “Break Link”</w:t>
      </w:r>
    </w:p>
    <w:p w14:paraId="62DFB408" w14:textId="77777777" w:rsidR="00FA0945" w:rsidRPr="00150391" w:rsidRDefault="00F05ECA" w:rsidP="005D722E">
      <w:pPr>
        <w:pStyle w:val="Numbered"/>
        <w:numPr>
          <w:ilvl w:val="0"/>
          <w:numId w:val="237"/>
        </w:numPr>
        <w:rPr>
          <w:rFonts w:cs="Calibri"/>
        </w:rPr>
      </w:pPr>
      <w:r w:rsidRPr="00150391">
        <w:rPr>
          <w:rFonts w:cs="Calibri"/>
        </w:rPr>
        <w:t>s</w:t>
      </w:r>
      <w:r w:rsidR="53BF0693" w:rsidRPr="00150391">
        <w:rPr>
          <w:rFonts w:cs="Calibri"/>
        </w:rPr>
        <w:t xml:space="preserve">ave the file and if required by your publisher, convert to Adobe PDF format for printing. </w:t>
      </w:r>
    </w:p>
    <w:p w14:paraId="3B0A8EB8" w14:textId="376FF583" w:rsidR="00FA0945" w:rsidRPr="00150391" w:rsidRDefault="53BF0693" w:rsidP="00CF6BE7">
      <w:pPr>
        <w:pStyle w:val="Heading2Numbered"/>
        <w:rPr>
          <w:rFonts w:ascii="Calibri" w:hAnsi="Calibri" w:cs="Calibri"/>
        </w:rPr>
      </w:pPr>
      <w:bookmarkStart w:id="1123" w:name="_Toc534382586"/>
      <w:bookmarkStart w:id="1124" w:name="_Toc63347752"/>
      <w:bookmarkStart w:id="1125" w:name="_Toc114576340"/>
      <w:r w:rsidRPr="00150391">
        <w:rPr>
          <w:rFonts w:ascii="Calibri" w:hAnsi="Calibri" w:cs="Calibri"/>
        </w:rPr>
        <w:t>Preparing the word template for online publication</w:t>
      </w:r>
      <w:bookmarkEnd w:id="1123"/>
      <w:bookmarkEnd w:id="1124"/>
      <w:bookmarkEnd w:id="1125"/>
    </w:p>
    <w:p w14:paraId="1F11ED55" w14:textId="77777777" w:rsidR="00FA0945" w:rsidRPr="00150391" w:rsidRDefault="53BF0693">
      <w:pPr>
        <w:pStyle w:val="BodyText"/>
        <w:rPr>
          <w:rFonts w:cs="Calibri"/>
        </w:rPr>
      </w:pPr>
      <w:r w:rsidRPr="00150391">
        <w:rPr>
          <w:rFonts w:cs="Calibri"/>
        </w:rPr>
        <w:t>In order to prepare the Word template for online publication and to ensure they are web accessible, entities will need to re-paste the Excel tables into the Word document in HTML format:</w:t>
      </w:r>
    </w:p>
    <w:p w14:paraId="0DCA8A1B" w14:textId="77777777" w:rsidR="00FA0945" w:rsidRPr="00150391" w:rsidRDefault="00F05ECA" w:rsidP="005D722E">
      <w:pPr>
        <w:pStyle w:val="Numbered"/>
        <w:numPr>
          <w:ilvl w:val="0"/>
          <w:numId w:val="238"/>
        </w:numPr>
        <w:rPr>
          <w:rFonts w:cs="Calibri"/>
        </w:rPr>
      </w:pPr>
      <w:r w:rsidRPr="00150391">
        <w:rPr>
          <w:rFonts w:cs="Calibri"/>
        </w:rPr>
        <w:t>i</w:t>
      </w:r>
      <w:r w:rsidR="53BF0693" w:rsidRPr="00150391">
        <w:rPr>
          <w:rFonts w:cs="Calibri"/>
        </w:rPr>
        <w:t>n Excel, select and copy the table</w:t>
      </w:r>
    </w:p>
    <w:p w14:paraId="2E20F870" w14:textId="77777777" w:rsidR="00FA0945" w:rsidRPr="00150391" w:rsidRDefault="00F05ECA" w:rsidP="005D722E">
      <w:pPr>
        <w:pStyle w:val="Numbered"/>
        <w:numPr>
          <w:ilvl w:val="0"/>
          <w:numId w:val="238"/>
        </w:numPr>
        <w:rPr>
          <w:rFonts w:cs="Calibri"/>
        </w:rPr>
      </w:pPr>
      <w:r w:rsidRPr="00150391">
        <w:rPr>
          <w:rFonts w:cs="Calibri"/>
        </w:rPr>
        <w:t>i</w:t>
      </w:r>
      <w:r w:rsidR="53BF0693" w:rsidRPr="00150391">
        <w:rPr>
          <w:rFonts w:cs="Calibri"/>
        </w:rPr>
        <w:t>n Word, select “Paste Special”, choose “Paste – HTML Format” and click “OK”</w:t>
      </w:r>
    </w:p>
    <w:p w14:paraId="41E7B73B" w14:textId="77777777" w:rsidR="00FA0945" w:rsidRPr="00150391" w:rsidRDefault="00F05ECA" w:rsidP="005D722E">
      <w:pPr>
        <w:pStyle w:val="Numbered"/>
        <w:numPr>
          <w:ilvl w:val="0"/>
          <w:numId w:val="238"/>
        </w:numPr>
        <w:rPr>
          <w:rFonts w:cs="Calibri"/>
        </w:rPr>
      </w:pPr>
      <w:r w:rsidRPr="00150391">
        <w:rPr>
          <w:rFonts w:cs="Calibri"/>
        </w:rPr>
        <w:t>s</w:t>
      </w:r>
      <w:r w:rsidR="53BF0693" w:rsidRPr="00150391">
        <w:rPr>
          <w:rFonts w:cs="Calibri"/>
        </w:rPr>
        <w:t>ave the file. It is now ready for conversion into Adobe PDF or HTML format by your Web Publishing area.</w:t>
      </w:r>
    </w:p>
    <w:p w14:paraId="716D2467" w14:textId="13CEE9E6" w:rsidR="00FA0945" w:rsidRPr="00150391" w:rsidRDefault="53BF0693" w:rsidP="00CF6BE7">
      <w:pPr>
        <w:pStyle w:val="Heading2Numbered"/>
        <w:rPr>
          <w:rFonts w:ascii="Calibri" w:hAnsi="Calibri" w:cs="Calibri"/>
        </w:rPr>
      </w:pPr>
      <w:bookmarkStart w:id="1126" w:name="_Toc534382587"/>
      <w:bookmarkStart w:id="1127" w:name="_Toc63347753"/>
      <w:bookmarkStart w:id="1128" w:name="_Toc114576341"/>
      <w:r w:rsidRPr="00150391">
        <w:rPr>
          <w:rFonts w:ascii="Calibri" w:hAnsi="Calibri" w:cs="Calibri"/>
        </w:rPr>
        <w:t>Web accessibility requirements</w:t>
      </w:r>
      <w:bookmarkEnd w:id="1126"/>
      <w:bookmarkEnd w:id="1127"/>
      <w:bookmarkEnd w:id="1128"/>
    </w:p>
    <w:p w14:paraId="031A78AF" w14:textId="2B6F0BF1" w:rsidR="00FA0945" w:rsidRPr="00150391" w:rsidRDefault="53BF0693" w:rsidP="000A7DEC">
      <w:pPr>
        <w:rPr>
          <w:rFonts w:cs="Calibri"/>
        </w:rPr>
      </w:pPr>
      <w:r w:rsidRPr="00150391">
        <w:rPr>
          <w:rFonts w:cs="Calibri"/>
        </w:rPr>
        <w:t xml:space="preserve">Entities must ensure web content published on government websites meets the mandatory accessibility standard ‘Web Content Accessibility Guidelines Version 2.0’. Details of the standard and associated policy advice can be found online at </w:t>
      </w:r>
      <w:hyperlink r:id="rId96">
        <w:r w:rsidRPr="002B4935">
          <w:rPr>
            <w:rStyle w:val="Hyperlink"/>
            <w:rFonts w:ascii="Calibri" w:hAnsi="Calibri" w:cs="Calibri"/>
            <w:color w:val="0070C0"/>
          </w:rPr>
          <w:t>www.stylemanual.gov.au/user-needs/accessibility-and-inclusion</w:t>
        </w:r>
      </w:hyperlink>
      <w:r w:rsidRPr="00150391">
        <w:rPr>
          <w:rFonts w:cs="Calibri"/>
        </w:rPr>
        <w:t>.</w:t>
      </w:r>
    </w:p>
    <w:p w14:paraId="29948F64" w14:textId="77777777" w:rsidR="00FA0945" w:rsidRPr="00150391" w:rsidRDefault="53BF0693" w:rsidP="000A7DEC">
      <w:pPr>
        <w:rPr>
          <w:rFonts w:cs="Calibri"/>
        </w:rPr>
      </w:pPr>
      <w:r w:rsidRPr="00150391">
        <w:rPr>
          <w:rFonts w:cs="Calibri"/>
        </w:rPr>
        <w:t>The tables for the PB Statements have been reformatted to improve accessibility for users with a disability. Changes to improve the accessibility of the tables include:</w:t>
      </w:r>
    </w:p>
    <w:p w14:paraId="434DC38D" w14:textId="77777777" w:rsidR="00FA0945" w:rsidRPr="00150391" w:rsidRDefault="00F05ECA" w:rsidP="002B4935">
      <w:pPr>
        <w:pStyle w:val="Numbered"/>
        <w:numPr>
          <w:ilvl w:val="0"/>
          <w:numId w:val="265"/>
        </w:numPr>
        <w:ind w:left="357" w:hanging="357"/>
        <w:rPr>
          <w:rFonts w:cs="Calibri"/>
        </w:rPr>
      </w:pPr>
      <w:r w:rsidRPr="00150391">
        <w:rPr>
          <w:rFonts w:cs="Calibri"/>
        </w:rPr>
        <w:t>r</w:t>
      </w:r>
      <w:r w:rsidR="53BF0693" w:rsidRPr="00150391">
        <w:rPr>
          <w:rFonts w:cs="Calibri"/>
        </w:rPr>
        <w:t>emoval of blank cells and rows so text-to-speech reader software can read tables</w:t>
      </w:r>
    </w:p>
    <w:p w14:paraId="1953C8FF" w14:textId="77777777" w:rsidR="00FA0945" w:rsidRPr="00150391" w:rsidRDefault="00F05ECA" w:rsidP="001D30A2">
      <w:pPr>
        <w:pStyle w:val="Numbered"/>
        <w:rPr>
          <w:rFonts w:cs="Calibri"/>
        </w:rPr>
      </w:pPr>
      <w:r w:rsidRPr="00150391">
        <w:rPr>
          <w:rFonts w:cs="Calibri"/>
        </w:rPr>
        <w:t>w</w:t>
      </w:r>
      <w:r w:rsidR="53BF0693" w:rsidRPr="00150391">
        <w:rPr>
          <w:rFonts w:cs="Calibri"/>
        </w:rPr>
        <w:t>rapping text so that entire phrases, titles or sentences appear in the one cell, rather than being split over several lines</w:t>
      </w:r>
    </w:p>
    <w:p w14:paraId="3E52B122" w14:textId="77777777" w:rsidR="00FA0945" w:rsidRPr="00150391" w:rsidRDefault="00F05ECA" w:rsidP="001D30A2">
      <w:pPr>
        <w:pStyle w:val="Numbered"/>
        <w:rPr>
          <w:rFonts w:cs="Calibri"/>
        </w:rPr>
      </w:pPr>
      <w:r w:rsidRPr="00150391">
        <w:rPr>
          <w:rFonts w:cs="Calibri"/>
        </w:rPr>
        <w:t>u</w:t>
      </w:r>
      <w:r w:rsidR="53BF0693" w:rsidRPr="00150391">
        <w:rPr>
          <w:rFonts w:cs="Calibri"/>
        </w:rPr>
        <w:t>sing “soft returns” in cells so headings in the electronic version can be read by text-to-speech reader software but headings are formatted correctly in the printed version and more consistent capitalisation so sighted users can differentiate between new cells versus new lines within a cell/row.</w:t>
      </w:r>
    </w:p>
    <w:p w14:paraId="05623EAC" w14:textId="01DF82A8" w:rsidR="00FA0945" w:rsidRPr="00150391" w:rsidRDefault="53BF0693" w:rsidP="00CF6BE7">
      <w:pPr>
        <w:pStyle w:val="Heading3Numbered"/>
        <w:rPr>
          <w:rFonts w:ascii="Calibri" w:hAnsi="Calibri" w:cs="Calibri"/>
        </w:rPr>
      </w:pPr>
      <w:bookmarkStart w:id="1129" w:name="_Toc63347754"/>
      <w:bookmarkStart w:id="1130" w:name="_Toc114576342"/>
      <w:r w:rsidRPr="00150391">
        <w:rPr>
          <w:rFonts w:ascii="Calibri" w:hAnsi="Calibri" w:cs="Calibri"/>
        </w:rPr>
        <w:t>Guide to making accessible soft copy documents</w:t>
      </w:r>
      <w:bookmarkEnd w:id="1129"/>
      <w:bookmarkEnd w:id="1130"/>
    </w:p>
    <w:p w14:paraId="250AED61" w14:textId="77777777" w:rsidR="00FA0945" w:rsidRPr="00150391" w:rsidRDefault="53BF0693" w:rsidP="000A7DEC">
      <w:pPr>
        <w:rPr>
          <w:rFonts w:cs="Calibri"/>
        </w:rPr>
      </w:pPr>
      <w:r w:rsidRPr="00150391">
        <w:rPr>
          <w:rFonts w:cs="Calibri"/>
        </w:rPr>
        <w:t>Entities are responsible for making their documents accessible and it is recommended entities contact their publishing or web</w:t>
      </w:r>
      <w:r w:rsidR="00622136" w:rsidRPr="00150391">
        <w:rPr>
          <w:rFonts w:cs="Calibri"/>
        </w:rPr>
        <w:t>-publishing</w:t>
      </w:r>
      <w:r w:rsidRPr="00150391">
        <w:rPr>
          <w:rFonts w:cs="Calibri"/>
        </w:rPr>
        <w:t xml:space="preserve"> teams early to ensure requirements are met.</w:t>
      </w:r>
    </w:p>
    <w:p w14:paraId="2F41721D" w14:textId="77777777" w:rsidR="00FA0945" w:rsidRPr="00150391" w:rsidRDefault="00AE0D55" w:rsidP="00BD1BD3">
      <w:pPr>
        <w:pStyle w:val="Numbered"/>
        <w:numPr>
          <w:ilvl w:val="0"/>
          <w:numId w:val="271"/>
        </w:numPr>
        <w:rPr>
          <w:rFonts w:cs="Calibri"/>
        </w:rPr>
      </w:pPr>
      <w:r w:rsidRPr="00150391">
        <w:rPr>
          <w:rFonts w:cs="Calibri"/>
        </w:rPr>
        <w:t>c</w:t>
      </w:r>
      <w:r w:rsidR="53BF0693" w:rsidRPr="00150391">
        <w:rPr>
          <w:rFonts w:cs="Calibri"/>
        </w:rPr>
        <w:t>ontent structure — use styles:</w:t>
      </w:r>
    </w:p>
    <w:p w14:paraId="7CC38E22" w14:textId="77777777" w:rsidR="00FA0945" w:rsidRPr="00150391" w:rsidRDefault="53BF0693">
      <w:pPr>
        <w:pStyle w:val="Bullet2"/>
        <w:rPr>
          <w:rFonts w:cs="Calibri"/>
        </w:rPr>
      </w:pPr>
      <w:r w:rsidRPr="00150391">
        <w:rPr>
          <w:rFonts w:cs="Calibri"/>
        </w:rPr>
        <w:t>using styles such as heading types, bullet point lists and numbered lists makes it easier for users with disabilities to navigate through a document</w:t>
      </w:r>
    </w:p>
    <w:p w14:paraId="7530B91E" w14:textId="77777777" w:rsidR="00FA0945" w:rsidRPr="00150391" w:rsidRDefault="003141CD">
      <w:pPr>
        <w:pStyle w:val="Bullet2"/>
        <w:rPr>
          <w:rFonts w:cs="Calibri"/>
        </w:rPr>
      </w:pPr>
      <w:r w:rsidRPr="00150391">
        <w:rPr>
          <w:rFonts w:cs="Calibri"/>
        </w:rPr>
        <w:t>u</w:t>
      </w:r>
      <w:r w:rsidR="00FA0945" w:rsidRPr="00150391">
        <w:rPr>
          <w:rFonts w:cs="Calibri"/>
        </w:rPr>
        <w:t>se the styles that are available on the Office ribbon under the Home tab or through the Styles window (Alt</w:t>
      </w:r>
      <w:r w:rsidR="00C37129" w:rsidRPr="00150391">
        <w:rPr>
          <w:rFonts w:cs="Calibri"/>
        </w:rPr>
        <w:t xml:space="preserve"> </w:t>
      </w:r>
      <w:r w:rsidR="00FA0945" w:rsidRPr="00150391">
        <w:rPr>
          <w:rFonts w:cs="Calibri"/>
        </w:rPr>
        <w:t>+</w:t>
      </w:r>
      <w:r w:rsidR="00C37129" w:rsidRPr="00150391">
        <w:rPr>
          <w:rFonts w:cs="Calibri"/>
        </w:rPr>
        <w:t xml:space="preserve"> </w:t>
      </w:r>
      <w:r w:rsidR="00FA0945" w:rsidRPr="00150391">
        <w:rPr>
          <w:rFonts w:cs="Calibri"/>
        </w:rPr>
        <w:t>Ctrl</w:t>
      </w:r>
      <w:r w:rsidR="00C37129" w:rsidRPr="00150391">
        <w:rPr>
          <w:rFonts w:cs="Calibri"/>
        </w:rPr>
        <w:t xml:space="preserve"> </w:t>
      </w:r>
      <w:r w:rsidR="00FA0945" w:rsidRPr="00150391">
        <w:rPr>
          <w:rFonts w:cs="Calibri"/>
        </w:rPr>
        <w:t>+</w:t>
      </w:r>
      <w:r w:rsidR="00C37129" w:rsidRPr="00150391">
        <w:rPr>
          <w:rFonts w:cs="Calibri"/>
        </w:rPr>
        <w:t xml:space="preserve"> </w:t>
      </w:r>
      <w:r w:rsidR="00FA0945" w:rsidRPr="00150391">
        <w:rPr>
          <w:rFonts w:cs="Calibri"/>
        </w:rPr>
        <w:t>Shift</w:t>
      </w:r>
      <w:r w:rsidR="00C37129" w:rsidRPr="00150391">
        <w:rPr>
          <w:rFonts w:cs="Calibri"/>
        </w:rPr>
        <w:t xml:space="preserve"> </w:t>
      </w:r>
      <w:r w:rsidR="00FA0945" w:rsidRPr="00150391">
        <w:rPr>
          <w:rFonts w:cs="Calibri"/>
        </w:rPr>
        <w:t>+</w:t>
      </w:r>
      <w:r w:rsidR="00C37129" w:rsidRPr="00150391">
        <w:rPr>
          <w:rFonts w:cs="Calibri"/>
        </w:rPr>
        <w:t xml:space="preserve"> </w:t>
      </w:r>
      <w:r w:rsidR="00FA0945" w:rsidRPr="00150391">
        <w:rPr>
          <w:rFonts w:cs="Calibri"/>
        </w:rPr>
        <w:t>S)</w:t>
      </w:r>
      <w:r w:rsidR="00E10C89" w:rsidRPr="00150391">
        <w:rPr>
          <w:rFonts w:cs="Calibri"/>
        </w:rPr>
        <w:t xml:space="preserve"> (</w:t>
      </w:r>
      <w:r w:rsidR="00F62339" w:rsidRPr="00150391">
        <w:rPr>
          <w:rFonts w:cs="Calibri"/>
        </w:rPr>
        <w:t>i.e.</w:t>
      </w:r>
      <w:r w:rsidR="00FA0945" w:rsidRPr="00150391">
        <w:rPr>
          <w:rFonts w:cs="Calibri"/>
        </w:rPr>
        <w:t xml:space="preserve"> Heading 1, Heading 2, Heading 3, Heading 4, Normal etc</w:t>
      </w:r>
      <w:r w:rsidR="00E10C89" w:rsidRPr="00150391">
        <w:rPr>
          <w:rFonts w:cs="Calibri"/>
        </w:rPr>
        <w:t>)</w:t>
      </w:r>
      <w:r w:rsidR="003911FC" w:rsidRPr="00150391">
        <w:rPr>
          <w:rFonts w:cs="Calibri"/>
        </w:rPr>
        <w:br/>
      </w:r>
      <w:r w:rsidR="003911FC" w:rsidRPr="00150391">
        <w:rPr>
          <w:rFonts w:cs="Calibri"/>
        </w:rPr>
        <w:br/>
      </w:r>
      <w:r w:rsidR="00FA0945" w:rsidRPr="00150391">
        <w:rPr>
          <w:rFonts w:cs="Calibri"/>
          <w:noProof/>
          <w:lang w:eastAsia="en-AU"/>
        </w:rPr>
        <w:drawing>
          <wp:inline distT="0" distB="0" distL="0" distR="0" wp14:anchorId="0798825E" wp14:editId="00CDFC96">
            <wp:extent cx="4862830" cy="873125"/>
            <wp:effectExtent l="19050" t="19050" r="13970" b="22225"/>
            <wp:docPr id="1" name="Picture 1" descr="&quot;Styles&quot; group on the Microsoft Word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Styles&quot; group on the Microsoft Word Home ribbo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62830" cy="873125"/>
                    </a:xfrm>
                    <a:prstGeom prst="rect">
                      <a:avLst/>
                    </a:prstGeom>
                    <a:noFill/>
                    <a:ln>
                      <a:solidFill>
                        <a:schemeClr val="tx1"/>
                      </a:solidFill>
                    </a:ln>
                  </pic:spPr>
                </pic:pic>
              </a:graphicData>
            </a:graphic>
          </wp:inline>
        </w:drawing>
      </w:r>
      <w:r w:rsidR="004E58F5" w:rsidRPr="00150391">
        <w:rPr>
          <w:rFonts w:cs="Calibri"/>
        </w:rPr>
        <w:br/>
      </w:r>
    </w:p>
    <w:p w14:paraId="693A9D05" w14:textId="77777777" w:rsidR="00FA0945" w:rsidRPr="00150391" w:rsidRDefault="53BF0693">
      <w:pPr>
        <w:pStyle w:val="Bullet2"/>
        <w:rPr>
          <w:rFonts w:cs="Calibri"/>
        </w:rPr>
      </w:pPr>
      <w:r w:rsidRPr="00150391">
        <w:rPr>
          <w:rFonts w:cs="Calibri"/>
        </w:rPr>
        <w:t>use heading styles to apply a logical structure to your document. Headings will allow screen reader users to navigate through the page easily and will make the page more usable for everyone. Use the Outline view to see the hierarchy of styles</w:t>
      </w:r>
    </w:p>
    <w:p w14:paraId="08A6C307" w14:textId="77777777" w:rsidR="00FA0945" w:rsidRPr="00150391" w:rsidRDefault="53BF0693">
      <w:pPr>
        <w:pStyle w:val="Bullet2"/>
        <w:rPr>
          <w:rFonts w:cs="Calibri"/>
        </w:rPr>
      </w:pPr>
      <w:r w:rsidRPr="00150391">
        <w:rPr>
          <w:rFonts w:cs="Calibri"/>
        </w:rPr>
        <w:t>do not skip any heading level — this may affect the logical reading order of the document when used by a screen reader</w:t>
      </w:r>
    </w:p>
    <w:p w14:paraId="0094A0D7" w14:textId="77777777" w:rsidR="00FA0945" w:rsidRPr="00150391" w:rsidRDefault="53BF0693">
      <w:pPr>
        <w:pStyle w:val="Bullet2"/>
        <w:rPr>
          <w:rFonts w:cs="Calibri"/>
        </w:rPr>
      </w:pPr>
      <w:r w:rsidRPr="00150391">
        <w:rPr>
          <w:rFonts w:cs="Calibri"/>
        </w:rPr>
        <w:t>make a page break to move text to the next page to ensure there is no blank space for screen reader audio.</w:t>
      </w:r>
    </w:p>
    <w:p w14:paraId="60EAFB8B" w14:textId="77777777" w:rsidR="00FA0945" w:rsidRPr="00150391" w:rsidRDefault="00AE0D55" w:rsidP="003141CD">
      <w:pPr>
        <w:pStyle w:val="Numbered"/>
        <w:numPr>
          <w:ilvl w:val="0"/>
          <w:numId w:val="270"/>
        </w:numPr>
        <w:rPr>
          <w:rFonts w:cs="Calibri"/>
        </w:rPr>
      </w:pPr>
      <w:r w:rsidRPr="00150391">
        <w:rPr>
          <w:rFonts w:cs="Calibri"/>
        </w:rPr>
        <w:t>a</w:t>
      </w:r>
      <w:r w:rsidR="53BF0693" w:rsidRPr="00150391">
        <w:rPr>
          <w:rFonts w:cs="Calibri"/>
        </w:rPr>
        <w:t>lternative text:</w:t>
      </w:r>
    </w:p>
    <w:p w14:paraId="31C1007B" w14:textId="77777777" w:rsidR="00FA0945" w:rsidRPr="00150391" w:rsidRDefault="53BF0693">
      <w:pPr>
        <w:pStyle w:val="Bullet2"/>
        <w:rPr>
          <w:rFonts w:cs="Calibri"/>
        </w:rPr>
      </w:pPr>
      <w:r w:rsidRPr="00150391">
        <w:rPr>
          <w:rFonts w:cs="Calibri"/>
        </w:rPr>
        <w:t>charts and images all need to have alternative text, this text will be read by a screen reader in a Word file and will remain intact when exported to HTML or PDF</w:t>
      </w:r>
    </w:p>
    <w:p w14:paraId="543C2CB9" w14:textId="77777777" w:rsidR="00FA0945" w:rsidRPr="00150391" w:rsidRDefault="53BF0693">
      <w:pPr>
        <w:pStyle w:val="Bullet2"/>
        <w:rPr>
          <w:rFonts w:cs="Calibri"/>
        </w:rPr>
      </w:pPr>
      <w:r w:rsidRPr="00150391">
        <w:rPr>
          <w:rFonts w:cs="Calibri"/>
        </w:rPr>
        <w:t>entities must pr</w:t>
      </w:r>
      <w:r w:rsidR="00BD1BD3" w:rsidRPr="00150391">
        <w:rPr>
          <w:rFonts w:cs="Calibri"/>
        </w:rPr>
        <w:t>ovide an alternative text (ALT t</w:t>
      </w:r>
      <w:r w:rsidRPr="00150391">
        <w:rPr>
          <w:rFonts w:cs="Calibri"/>
        </w:rPr>
        <w:t>ext) description for all non-text objects and should communicate the essential content of the image as efficiently as possible</w:t>
      </w:r>
    </w:p>
    <w:p w14:paraId="238C9E55" w14:textId="77777777" w:rsidR="00FA0945" w:rsidRPr="00150391" w:rsidRDefault="53BF0693">
      <w:pPr>
        <w:pStyle w:val="Bullet2"/>
        <w:rPr>
          <w:rFonts w:cs="Calibri"/>
        </w:rPr>
      </w:pPr>
      <w:r w:rsidRPr="00150391">
        <w:rPr>
          <w:rFonts w:cs="Calibri"/>
        </w:rPr>
        <w:t>to enter in ALT text right click on the image, select Format Picture/Shape and then select the ALT text tab to enter in the title and description.</w:t>
      </w:r>
    </w:p>
    <w:p w14:paraId="64A2F6A6" w14:textId="77777777" w:rsidR="00FA0945" w:rsidRPr="00150391" w:rsidRDefault="00AE0D55" w:rsidP="003141CD">
      <w:pPr>
        <w:pStyle w:val="Numbered"/>
        <w:numPr>
          <w:ilvl w:val="0"/>
          <w:numId w:val="270"/>
        </w:numPr>
        <w:rPr>
          <w:rFonts w:cs="Calibri"/>
        </w:rPr>
      </w:pPr>
      <w:r w:rsidRPr="00150391">
        <w:rPr>
          <w:rFonts w:cs="Calibri"/>
        </w:rPr>
        <w:t>u</w:t>
      </w:r>
      <w:r w:rsidR="53BF0693" w:rsidRPr="00150391">
        <w:rPr>
          <w:rFonts w:cs="Calibri"/>
        </w:rPr>
        <w:t>se the accessibility checker:</w:t>
      </w:r>
    </w:p>
    <w:p w14:paraId="5ADD1AFD" w14:textId="77777777" w:rsidR="00FA0945" w:rsidRPr="00150391" w:rsidRDefault="53BF0693">
      <w:pPr>
        <w:pStyle w:val="Bullet2"/>
        <w:rPr>
          <w:rFonts w:cs="Calibri"/>
        </w:rPr>
      </w:pPr>
      <w:r w:rsidRPr="00150391">
        <w:rPr>
          <w:rFonts w:cs="Calibri"/>
        </w:rPr>
        <w:t xml:space="preserve">Word 2016 offers an “Accessibility Checker” to review your document against a set of possible issues that users with disabilities may experience in your file: </w:t>
      </w:r>
    </w:p>
    <w:p w14:paraId="6F615032" w14:textId="77777777" w:rsidR="00FA0945" w:rsidRPr="00150391" w:rsidRDefault="003141CD">
      <w:pPr>
        <w:pStyle w:val="Bullet3"/>
        <w:rPr>
          <w:rFonts w:cs="Calibri"/>
        </w:rPr>
      </w:pPr>
      <w:r w:rsidRPr="00150391">
        <w:rPr>
          <w:rFonts w:cs="Calibri"/>
        </w:rPr>
        <w:t>s</w:t>
      </w:r>
      <w:r w:rsidR="00FA0945" w:rsidRPr="00150391">
        <w:rPr>
          <w:rFonts w:cs="Calibri"/>
        </w:rPr>
        <w:t xml:space="preserve">elect File </w:t>
      </w:r>
      <w:r w:rsidR="004B76F7" w:rsidRPr="00150391">
        <w:rPr>
          <w:rFonts w:cs="Calibri"/>
        </w:rPr>
        <w:sym w:font="Wingdings" w:char="F0E0"/>
      </w:r>
      <w:r w:rsidR="00FA0945" w:rsidRPr="00150391">
        <w:rPr>
          <w:rFonts w:cs="Calibri"/>
        </w:rPr>
        <w:t xml:space="preserve"> Info</w:t>
      </w:r>
    </w:p>
    <w:p w14:paraId="034E8AC6" w14:textId="77777777" w:rsidR="00FA0945" w:rsidRPr="00150391" w:rsidRDefault="003141CD">
      <w:pPr>
        <w:pStyle w:val="Bullet3"/>
        <w:rPr>
          <w:rFonts w:cs="Calibri"/>
        </w:rPr>
      </w:pPr>
      <w:r w:rsidRPr="00150391">
        <w:rPr>
          <w:rFonts w:cs="Calibri"/>
        </w:rPr>
        <w:t>s</w:t>
      </w:r>
      <w:r w:rsidR="00FA0945" w:rsidRPr="00150391">
        <w:rPr>
          <w:rFonts w:cs="Calibri"/>
        </w:rPr>
        <w:t xml:space="preserve">elect ‘Check for Issues’ </w:t>
      </w:r>
      <w:r w:rsidR="004B76F7" w:rsidRPr="00150391">
        <w:rPr>
          <w:rFonts w:cs="Calibri"/>
        </w:rPr>
        <w:sym w:font="Wingdings" w:char="F0E0"/>
      </w:r>
      <w:r w:rsidR="00FA0945" w:rsidRPr="00150391">
        <w:rPr>
          <w:rFonts w:cs="Calibri"/>
        </w:rPr>
        <w:t xml:space="preserve"> ‘Check Accessibility’.</w:t>
      </w:r>
    </w:p>
    <w:p w14:paraId="772E841A" w14:textId="77777777" w:rsidR="00FA0945" w:rsidRPr="00150391" w:rsidRDefault="00AE0D55" w:rsidP="003141CD">
      <w:pPr>
        <w:pStyle w:val="Numbered"/>
        <w:numPr>
          <w:ilvl w:val="0"/>
          <w:numId w:val="270"/>
        </w:numPr>
        <w:rPr>
          <w:rFonts w:cs="Calibri"/>
        </w:rPr>
      </w:pPr>
      <w:r w:rsidRPr="00150391">
        <w:rPr>
          <w:rFonts w:cs="Calibri"/>
        </w:rPr>
        <w:t>c</w:t>
      </w:r>
      <w:r w:rsidR="53BF0693" w:rsidRPr="00150391">
        <w:rPr>
          <w:rFonts w:cs="Calibri"/>
        </w:rPr>
        <w:t>onvert Word documents to tagged PDF files</w:t>
      </w:r>
    </w:p>
    <w:p w14:paraId="4E8EBFCD" w14:textId="77777777" w:rsidR="00FA0945" w:rsidRPr="00150391" w:rsidRDefault="53BF0693">
      <w:pPr>
        <w:pStyle w:val="Bullet2"/>
        <w:rPr>
          <w:rFonts w:cs="Calibri"/>
        </w:rPr>
      </w:pPr>
      <w:r w:rsidRPr="00150391">
        <w:rPr>
          <w:rFonts w:cs="Calibri"/>
        </w:rPr>
        <w:t>Microsoft Office 2016 allows you to create tagged PDF files. If you want to verify the accessibility of the PDF or edit the tags that are created, you will still need Acrobat Professional (your web team can help).</w:t>
      </w:r>
    </w:p>
    <w:p w14:paraId="5560EAAC" w14:textId="77777777" w:rsidR="00FA0945" w:rsidRPr="00150391" w:rsidRDefault="003141CD">
      <w:pPr>
        <w:pStyle w:val="Bullet3"/>
        <w:rPr>
          <w:rFonts w:cs="Calibri"/>
        </w:rPr>
      </w:pPr>
      <w:r w:rsidRPr="00150391">
        <w:rPr>
          <w:rFonts w:cs="Calibri"/>
        </w:rPr>
        <w:t>s</w:t>
      </w:r>
      <w:r w:rsidR="00FA0945" w:rsidRPr="00150391">
        <w:rPr>
          <w:rFonts w:cs="Calibri"/>
        </w:rPr>
        <w:t xml:space="preserve">elect File </w:t>
      </w:r>
      <w:r w:rsidR="004B76F7" w:rsidRPr="00150391">
        <w:rPr>
          <w:rFonts w:cs="Calibri"/>
        </w:rPr>
        <w:sym w:font="Wingdings" w:char="F0E0"/>
      </w:r>
      <w:r w:rsidR="00FA0945" w:rsidRPr="00150391">
        <w:rPr>
          <w:rFonts w:cs="Calibri"/>
        </w:rPr>
        <w:t xml:space="preserve"> Save As</w:t>
      </w:r>
    </w:p>
    <w:p w14:paraId="0217A21A" w14:textId="77777777" w:rsidR="00FA0945" w:rsidRPr="00150391" w:rsidRDefault="53BF0693">
      <w:pPr>
        <w:pStyle w:val="Bullet3"/>
        <w:rPr>
          <w:rFonts w:cs="Calibri"/>
        </w:rPr>
      </w:pPr>
      <w:r w:rsidRPr="00150391">
        <w:rPr>
          <w:rFonts w:cs="Calibri"/>
        </w:rPr>
        <w:t>under ‘Save as’ type: select PDF</w:t>
      </w:r>
      <w:r w:rsidR="00BC0DB5" w:rsidRPr="00150391">
        <w:rPr>
          <w:rFonts w:cs="Calibri"/>
        </w:rPr>
        <w:t>, b</w:t>
      </w:r>
      <w:r w:rsidRPr="00150391">
        <w:rPr>
          <w:rFonts w:cs="Calibri"/>
        </w:rPr>
        <w:t>efore you save the file, select ‘Options’ and ensure that the ‘Document structure tags for accessibility’ option is selected.</w:t>
      </w:r>
    </w:p>
    <w:p w14:paraId="5FB27C36" w14:textId="77777777" w:rsidR="00FA0945" w:rsidRPr="00150391" w:rsidRDefault="00AE0D55" w:rsidP="003141CD">
      <w:pPr>
        <w:pStyle w:val="Numbered"/>
        <w:numPr>
          <w:ilvl w:val="0"/>
          <w:numId w:val="270"/>
        </w:numPr>
        <w:rPr>
          <w:rFonts w:cs="Calibri"/>
        </w:rPr>
      </w:pPr>
      <w:r w:rsidRPr="00150391">
        <w:rPr>
          <w:rFonts w:cs="Calibri"/>
        </w:rPr>
        <w:t>m</w:t>
      </w:r>
      <w:r w:rsidR="53BF0693" w:rsidRPr="00150391">
        <w:rPr>
          <w:rFonts w:cs="Calibri"/>
        </w:rPr>
        <w:t>aking Excel tables accessible</w:t>
      </w:r>
    </w:p>
    <w:p w14:paraId="5D54095F" w14:textId="77777777" w:rsidR="00FA0945" w:rsidRPr="00150391" w:rsidRDefault="53BF0693">
      <w:pPr>
        <w:pStyle w:val="Bullet2"/>
        <w:rPr>
          <w:rFonts w:cs="Calibri"/>
        </w:rPr>
      </w:pPr>
      <w:r w:rsidRPr="00150391">
        <w:rPr>
          <w:rFonts w:cs="Calibri"/>
        </w:rPr>
        <w:t>because of the complex nature of the Budget tables, it’s difficult to make them accessible using Microsoft Office 2016 features. There are two options to make this content available - entities can either make the data behind the tables available on their website or they can convert the Excel tables to Word.</w:t>
      </w:r>
    </w:p>
    <w:p w14:paraId="528B93F0" w14:textId="00DA5078" w:rsidR="006165CD" w:rsidRPr="00150391" w:rsidRDefault="53BF0693" w:rsidP="00913329">
      <w:pPr>
        <w:pStyle w:val="Bullet3"/>
        <w:rPr>
          <w:rFonts w:eastAsiaTheme="majorEastAsia" w:cs="Calibri"/>
          <w:color w:val="1C1C1C" w:themeColor="text2"/>
          <w:sz w:val="40"/>
        </w:rPr>
      </w:pPr>
      <w:r w:rsidRPr="00150391">
        <w:rPr>
          <w:rFonts w:cs="Calibri"/>
        </w:rPr>
        <w:t xml:space="preserve">portfolios may also wish to include a link on their website to </w:t>
      </w:r>
      <w:hyperlink r:id="rId98">
        <w:r w:rsidR="00300209" w:rsidRPr="00150391">
          <w:rPr>
            <w:rStyle w:val="Hyperlink"/>
            <w:rFonts w:ascii="Calibri" w:hAnsi="Calibri" w:cs="Calibri"/>
          </w:rPr>
          <w:t>www.data.gov.au</w:t>
        </w:r>
      </w:hyperlink>
      <w:r w:rsidRPr="00150391">
        <w:rPr>
          <w:rFonts w:cs="Calibri"/>
        </w:rPr>
        <w:t>, where most PB Statement financial tables will be available in Excel format following tabling of the PB Statements in Parliament.</w:t>
      </w:r>
      <w:bookmarkStart w:id="1131" w:name="_Ref67044155"/>
      <w:r w:rsidR="006165CD" w:rsidRPr="00150391">
        <w:rPr>
          <w:rFonts w:cs="Calibri"/>
        </w:rPr>
        <w:br w:type="page"/>
      </w:r>
    </w:p>
    <w:p w14:paraId="751A63A1" w14:textId="360AAC95" w:rsidR="00FA0945" w:rsidRPr="00150391" w:rsidRDefault="53BF0693" w:rsidP="00411378">
      <w:pPr>
        <w:pStyle w:val="Heading1Numbered"/>
        <w:rPr>
          <w:rFonts w:ascii="Calibri" w:hAnsi="Calibri" w:cs="Calibri"/>
        </w:rPr>
      </w:pPr>
      <w:bookmarkStart w:id="1132" w:name="_Ref94870174"/>
      <w:bookmarkStart w:id="1133" w:name="_Toc114576343"/>
      <w:r w:rsidRPr="00150391">
        <w:rPr>
          <w:rFonts w:ascii="Calibri" w:hAnsi="Calibri" w:cs="Calibri"/>
        </w:rPr>
        <w:t>Contacts</w:t>
      </w:r>
      <w:bookmarkStart w:id="1134" w:name="_Toc411852709"/>
      <w:bookmarkStart w:id="1135" w:name="_Toc534382589"/>
      <w:bookmarkStart w:id="1136" w:name="_Ref33522418"/>
      <w:bookmarkStart w:id="1137" w:name="_Ref33522421"/>
      <w:bookmarkStart w:id="1138" w:name="_Ref33522426"/>
      <w:bookmarkStart w:id="1139" w:name="_Ref33523372"/>
      <w:bookmarkStart w:id="1140" w:name="_Ref33523377"/>
      <w:bookmarkStart w:id="1141" w:name="_Ref33523382"/>
      <w:bookmarkStart w:id="1142" w:name="_Ref55984418"/>
      <w:bookmarkStart w:id="1143" w:name="_Ref55984423"/>
      <w:bookmarkStart w:id="1144" w:name="_Toc63347755"/>
      <w:bookmarkEnd w:id="1131"/>
      <w:bookmarkEnd w:id="1132"/>
      <w:bookmarkEnd w:id="1134"/>
      <w:bookmarkEnd w:id="1135"/>
      <w:bookmarkEnd w:id="1136"/>
      <w:bookmarkEnd w:id="1137"/>
      <w:bookmarkEnd w:id="1138"/>
      <w:bookmarkEnd w:id="1139"/>
      <w:bookmarkEnd w:id="1140"/>
      <w:bookmarkEnd w:id="1141"/>
      <w:bookmarkEnd w:id="1142"/>
      <w:bookmarkEnd w:id="1143"/>
      <w:bookmarkEnd w:id="1144"/>
      <w:bookmarkEnd w:id="1133"/>
    </w:p>
    <w:p w14:paraId="106D2003" w14:textId="6410332C" w:rsidR="00FA0945" w:rsidRPr="00150391" w:rsidRDefault="53BF0693" w:rsidP="00CF6BE7">
      <w:pPr>
        <w:pStyle w:val="Heading2Numbered"/>
        <w:rPr>
          <w:rFonts w:ascii="Calibri" w:hAnsi="Calibri" w:cs="Calibri"/>
        </w:rPr>
      </w:pPr>
      <w:bookmarkStart w:id="1145" w:name="_Toc63347756"/>
      <w:bookmarkStart w:id="1146" w:name="_Toc114576344"/>
      <w:r w:rsidRPr="00150391">
        <w:rPr>
          <w:rFonts w:ascii="Calibri" w:hAnsi="Calibri" w:cs="Calibri"/>
        </w:rPr>
        <w:t>Department of Finance</w:t>
      </w:r>
      <w:bookmarkEnd w:id="1145"/>
      <w:bookmarkEnd w:id="1146"/>
    </w:p>
    <w:p w14:paraId="4571C4C4" w14:textId="77777777" w:rsidR="00FA0945" w:rsidRPr="00150391" w:rsidRDefault="53BF0693" w:rsidP="000A7DEC">
      <w:pPr>
        <w:rPr>
          <w:rFonts w:cs="Calibri"/>
        </w:rPr>
      </w:pPr>
      <w:r w:rsidRPr="00150391">
        <w:rPr>
          <w:rFonts w:cs="Calibri"/>
        </w:rPr>
        <w:t xml:space="preserve">In the first instance, entities should contact their AAU </w:t>
      </w:r>
      <w:r w:rsidR="007004B1" w:rsidRPr="00150391">
        <w:rPr>
          <w:rFonts w:cs="Calibri"/>
        </w:rPr>
        <w:t>for</w:t>
      </w:r>
      <w:r w:rsidRPr="00150391">
        <w:rPr>
          <w:rFonts w:cs="Calibri"/>
        </w:rPr>
        <w:t xml:space="preserve"> enquiries.</w:t>
      </w:r>
    </w:p>
    <w:p w14:paraId="38967D74" w14:textId="34D2FCF4" w:rsidR="00696DD2" w:rsidRPr="00150391" w:rsidRDefault="007004B1" w:rsidP="000A7DEC">
      <w:pPr>
        <w:rPr>
          <w:rFonts w:cs="Calibri"/>
        </w:rPr>
      </w:pPr>
      <w:r w:rsidRPr="00150391">
        <w:rPr>
          <w:rFonts w:cs="Calibri"/>
        </w:rPr>
        <w:t xml:space="preserve">For guidance on the preparation of the PB Statements (including publication on </w:t>
      </w:r>
      <w:hyperlink r:id="rId99">
        <w:r w:rsidR="00FE100A" w:rsidRPr="002B4935">
          <w:rPr>
            <w:rStyle w:val="Hyperlink"/>
            <w:rFonts w:ascii="Calibri" w:hAnsi="Calibri" w:cs="Calibri"/>
            <w:color w:val="0070C0"/>
          </w:rPr>
          <w:t>data.gov.au</w:t>
        </w:r>
      </w:hyperlink>
      <w:r w:rsidRPr="00150391">
        <w:rPr>
          <w:rFonts w:cs="Calibri"/>
        </w:rPr>
        <w:t xml:space="preserve"> but excluding performance reporting), entities can contact the </w:t>
      </w:r>
      <w:r w:rsidRPr="00150391">
        <w:rPr>
          <w:rFonts w:cs="Calibri"/>
          <w:b/>
        </w:rPr>
        <w:t>Accounting Framework and Capability Support Team</w:t>
      </w:r>
      <w:r w:rsidRPr="00150391">
        <w:rPr>
          <w:rFonts w:cs="Calibri"/>
        </w:rPr>
        <w:t xml:space="preserve"> by:</w:t>
      </w:r>
    </w:p>
    <w:p w14:paraId="0057945A" w14:textId="5EE6CA41" w:rsidR="006A69BF" w:rsidRPr="00150391" w:rsidRDefault="00AE0D55" w:rsidP="006A69BF">
      <w:pPr>
        <w:pStyle w:val="Bullet1"/>
        <w:numPr>
          <w:ilvl w:val="0"/>
          <w:numId w:val="11"/>
        </w:numPr>
        <w:rPr>
          <w:rFonts w:ascii="Calibri" w:hAnsi="Calibri" w:cs="Calibri"/>
        </w:rPr>
      </w:pPr>
      <w:r w:rsidRPr="00150391">
        <w:rPr>
          <w:rFonts w:ascii="Calibri" w:hAnsi="Calibri" w:cs="Calibri"/>
        </w:rPr>
        <w:t>b</w:t>
      </w:r>
      <w:r w:rsidR="006A69BF" w:rsidRPr="00150391">
        <w:rPr>
          <w:rFonts w:ascii="Calibri" w:hAnsi="Calibri" w:cs="Calibri"/>
        </w:rPr>
        <w:t xml:space="preserve">y email </w:t>
      </w:r>
      <w:hyperlink r:id="rId100" w:history="1">
        <w:r w:rsidR="006A69BF" w:rsidRPr="002B4935">
          <w:rPr>
            <w:rStyle w:val="Hyperlink"/>
            <w:rFonts w:ascii="Calibri" w:hAnsi="Calibri" w:cs="Calibri"/>
            <w:color w:val="0070C0"/>
          </w:rPr>
          <w:t>budget_framework@finance.gov.au</w:t>
        </w:r>
      </w:hyperlink>
      <w:r w:rsidR="006A69BF" w:rsidRPr="00150391">
        <w:rPr>
          <w:rFonts w:ascii="Calibri" w:hAnsi="Calibri" w:cs="Calibri"/>
        </w:rPr>
        <w:tab/>
        <w:t>(emails rated up to Protected)</w:t>
      </w:r>
    </w:p>
    <w:p w14:paraId="12D01FDF" w14:textId="77777777" w:rsidR="006A69BF" w:rsidRPr="00150391" w:rsidRDefault="006A69BF" w:rsidP="000A7DEC">
      <w:pPr>
        <w:rPr>
          <w:rFonts w:cs="Calibri"/>
        </w:rPr>
      </w:pPr>
    </w:p>
    <w:p w14:paraId="55636B27" w14:textId="77777777" w:rsidR="00156C1B" w:rsidRPr="00150391" w:rsidRDefault="53BF0693" w:rsidP="000A7DEC">
      <w:pPr>
        <w:rPr>
          <w:rFonts w:cs="Calibri"/>
        </w:rPr>
      </w:pPr>
      <w:r w:rsidRPr="00150391">
        <w:rPr>
          <w:rFonts w:cs="Calibri"/>
        </w:rPr>
        <w:t xml:space="preserve">For guidance on </w:t>
      </w:r>
      <w:r w:rsidRPr="00150391">
        <w:rPr>
          <w:rFonts w:cs="Calibri"/>
          <w:b/>
          <w:bCs/>
        </w:rPr>
        <w:t>Performance Information</w:t>
      </w:r>
      <w:r w:rsidRPr="00150391">
        <w:rPr>
          <w:rFonts w:cs="Calibri"/>
        </w:rPr>
        <w:t xml:space="preserve"> and annual performance statements (Section 2 of the PB</w:t>
      </w:r>
      <w:r w:rsidR="001459A2" w:rsidRPr="00150391">
        <w:rPr>
          <w:rFonts w:cs="Calibri"/>
        </w:rPr>
        <w:t xml:space="preserve"> </w:t>
      </w:r>
      <w:r w:rsidRPr="00150391">
        <w:rPr>
          <w:rFonts w:cs="Calibri"/>
        </w:rPr>
        <w:t>S</w:t>
      </w:r>
      <w:r w:rsidR="001459A2" w:rsidRPr="00150391">
        <w:rPr>
          <w:rFonts w:cs="Calibri"/>
        </w:rPr>
        <w:t>tatement</w:t>
      </w:r>
      <w:r w:rsidR="00B83588" w:rsidRPr="00150391">
        <w:rPr>
          <w:rFonts w:cs="Calibri"/>
        </w:rPr>
        <w:t xml:space="preserve"> </w:t>
      </w:r>
      <w:r w:rsidRPr="00150391">
        <w:rPr>
          <w:rFonts w:cs="Calibri"/>
        </w:rPr>
        <w:t xml:space="preserve">excluding </w:t>
      </w:r>
      <w:r w:rsidRPr="00150391">
        <w:rPr>
          <w:rFonts w:cs="Calibri"/>
          <w:i/>
          <w:iCs/>
        </w:rPr>
        <w:t>Table 2.x.1</w:t>
      </w:r>
      <w:r w:rsidRPr="00150391">
        <w:rPr>
          <w:rFonts w:cs="Calibri"/>
        </w:rPr>
        <w:t xml:space="preserve"> and </w:t>
      </w:r>
      <w:r w:rsidRPr="00150391">
        <w:rPr>
          <w:rFonts w:cs="Calibri"/>
          <w:i/>
          <w:iCs/>
        </w:rPr>
        <w:t>2.x.2</w:t>
      </w:r>
      <w:r w:rsidRPr="00150391">
        <w:rPr>
          <w:rFonts w:cs="Calibri"/>
        </w:rPr>
        <w:t>), corporate plans and annual reports entities should contact the:</w:t>
      </w:r>
    </w:p>
    <w:p w14:paraId="62129966" w14:textId="047D2260" w:rsidR="006A69BF" w:rsidRPr="00150391" w:rsidRDefault="001B0748" w:rsidP="006A69BF">
      <w:pPr>
        <w:pStyle w:val="Bullet1"/>
        <w:numPr>
          <w:ilvl w:val="0"/>
          <w:numId w:val="11"/>
        </w:numPr>
        <w:rPr>
          <w:rFonts w:ascii="Calibri" w:hAnsi="Calibri" w:cs="Calibri"/>
        </w:rPr>
      </w:pPr>
      <w:r w:rsidRPr="00150391">
        <w:rPr>
          <w:rFonts w:ascii="Calibri" w:hAnsi="Calibri" w:cs="Calibri"/>
        </w:rPr>
        <w:t xml:space="preserve">PGPA and Digital Reporting Branch </w:t>
      </w:r>
      <w:r w:rsidR="53BF0693" w:rsidRPr="00150391">
        <w:rPr>
          <w:rFonts w:ascii="Calibri" w:hAnsi="Calibri" w:cs="Calibri"/>
        </w:rPr>
        <w:t xml:space="preserve">by email </w:t>
      </w:r>
      <w:hyperlink r:id="rId101">
        <w:r w:rsidR="53BF0693" w:rsidRPr="002B4935">
          <w:rPr>
            <w:rStyle w:val="Hyperlink"/>
            <w:rFonts w:ascii="Calibri" w:hAnsi="Calibri" w:cs="Calibri"/>
            <w:color w:val="0070C0"/>
          </w:rPr>
          <w:t>PGPA@finance.gov.au</w:t>
        </w:r>
      </w:hyperlink>
    </w:p>
    <w:p w14:paraId="04C33534" w14:textId="77777777" w:rsidR="00CB6D35" w:rsidRPr="00150391" w:rsidRDefault="00CB6D35" w:rsidP="000A7DEC">
      <w:pPr>
        <w:rPr>
          <w:rFonts w:cs="Calibri"/>
        </w:rPr>
      </w:pPr>
    </w:p>
    <w:p w14:paraId="4FDCB76C" w14:textId="77777777" w:rsidR="00156C1B" w:rsidRPr="00150391" w:rsidRDefault="53BF0693" w:rsidP="000A7DEC">
      <w:pPr>
        <w:rPr>
          <w:rFonts w:cs="Calibri"/>
        </w:rPr>
      </w:pPr>
      <w:r w:rsidRPr="00150391">
        <w:rPr>
          <w:rFonts w:cs="Calibri"/>
        </w:rPr>
        <w:t xml:space="preserve">For guidance on the production of the </w:t>
      </w:r>
      <w:r w:rsidRPr="00150391">
        <w:rPr>
          <w:rFonts w:cs="Calibri"/>
          <w:b/>
          <w:bCs/>
        </w:rPr>
        <w:t>Appropriation Bills</w:t>
      </w:r>
      <w:r w:rsidRPr="00150391">
        <w:rPr>
          <w:rFonts w:cs="Calibri"/>
        </w:rPr>
        <w:t>, the CFO sign-off process and outcome changes, entities should contact:</w:t>
      </w:r>
    </w:p>
    <w:p w14:paraId="61759887" w14:textId="6B1071EB" w:rsidR="006A69BF" w:rsidRPr="00150391" w:rsidRDefault="00AE0D55" w:rsidP="006A69BF">
      <w:pPr>
        <w:pStyle w:val="Bullet1"/>
        <w:numPr>
          <w:ilvl w:val="0"/>
          <w:numId w:val="11"/>
        </w:numPr>
        <w:tabs>
          <w:tab w:val="left" w:pos="2835"/>
          <w:tab w:val="left" w:pos="4678"/>
        </w:tabs>
        <w:rPr>
          <w:rFonts w:ascii="Calibri" w:hAnsi="Calibri" w:cs="Calibri"/>
        </w:rPr>
      </w:pPr>
      <w:r w:rsidRPr="00150391">
        <w:rPr>
          <w:rFonts w:ascii="Calibri" w:hAnsi="Calibri" w:cs="Calibri"/>
        </w:rPr>
        <w:t>t</w:t>
      </w:r>
      <w:r w:rsidR="53BF0693" w:rsidRPr="00150391">
        <w:rPr>
          <w:rFonts w:ascii="Calibri" w:hAnsi="Calibri" w:cs="Calibri"/>
        </w:rPr>
        <w:t xml:space="preserve">he Annual Appropriation Team by email </w:t>
      </w:r>
      <w:hyperlink r:id="rId102">
        <w:r w:rsidR="53BF0693" w:rsidRPr="002B4935">
          <w:rPr>
            <w:rStyle w:val="Hyperlink"/>
            <w:rFonts w:ascii="Calibri" w:hAnsi="Calibri" w:cs="Calibri"/>
            <w:color w:val="0070C0"/>
          </w:rPr>
          <w:t>annual.appropriations@finance.gov.au</w:t>
        </w:r>
      </w:hyperlink>
      <w:r w:rsidR="53BF0693" w:rsidRPr="00150391">
        <w:rPr>
          <w:rFonts w:ascii="Calibri" w:hAnsi="Calibri" w:cs="Calibri"/>
        </w:rPr>
        <w:t>.</w:t>
      </w:r>
    </w:p>
    <w:p w14:paraId="50B22F7A" w14:textId="77777777" w:rsidR="00CB6D35" w:rsidRPr="00150391" w:rsidRDefault="00CB6D35">
      <w:pPr>
        <w:pStyle w:val="BodyText"/>
        <w:rPr>
          <w:rFonts w:cs="Calibri"/>
        </w:rPr>
      </w:pPr>
    </w:p>
    <w:p w14:paraId="5ED432AF" w14:textId="77777777" w:rsidR="00FA0945" w:rsidRPr="00150391" w:rsidRDefault="53BF0693" w:rsidP="000A7DEC">
      <w:pPr>
        <w:rPr>
          <w:rFonts w:cs="Calibri"/>
        </w:rPr>
      </w:pPr>
      <w:r w:rsidRPr="00150391">
        <w:rPr>
          <w:rFonts w:cs="Calibri"/>
        </w:rPr>
        <w:t xml:space="preserve">For queries regarding </w:t>
      </w:r>
      <w:r w:rsidRPr="00150391">
        <w:rPr>
          <w:rFonts w:cs="Calibri"/>
          <w:b/>
          <w:bCs/>
        </w:rPr>
        <w:t>ASL reporting</w:t>
      </w:r>
      <w:r w:rsidRPr="00150391">
        <w:rPr>
          <w:rFonts w:cs="Calibri"/>
        </w:rPr>
        <w:t>, should contact their AAU with all enquiries.</w:t>
      </w:r>
    </w:p>
    <w:p w14:paraId="0DA95BD6" w14:textId="77777777" w:rsidR="00C03287" w:rsidRPr="00150391" w:rsidRDefault="00C03287">
      <w:pPr>
        <w:suppressAutoHyphens w:val="0"/>
        <w:spacing w:before="0" w:after="120" w:line="440" w:lineRule="atLeast"/>
        <w:rPr>
          <w:rFonts w:eastAsiaTheme="majorEastAsia" w:cs="Calibri"/>
          <w:bCs/>
          <w:color w:val="1C1C1C" w:themeColor="text2"/>
          <w:sz w:val="34"/>
          <w:szCs w:val="26"/>
        </w:rPr>
      </w:pPr>
      <w:r w:rsidRPr="00150391">
        <w:rPr>
          <w:rFonts w:cs="Calibri"/>
        </w:rPr>
        <w:br w:type="page"/>
      </w:r>
    </w:p>
    <w:p w14:paraId="3534E8AD" w14:textId="5D6C9EAD" w:rsidR="00FA0945" w:rsidRPr="00150391" w:rsidRDefault="53BF0693" w:rsidP="00CF6BE7">
      <w:pPr>
        <w:pStyle w:val="Heading2Numbered"/>
        <w:rPr>
          <w:rFonts w:ascii="Calibri" w:hAnsi="Calibri" w:cs="Calibri"/>
        </w:rPr>
      </w:pPr>
      <w:bookmarkStart w:id="1147" w:name="_Toc63347757"/>
      <w:bookmarkStart w:id="1148" w:name="_Toc114576345"/>
      <w:r w:rsidRPr="00150391">
        <w:rPr>
          <w:rFonts w:ascii="Calibri" w:hAnsi="Calibri" w:cs="Calibri"/>
        </w:rPr>
        <w:t>Treasury</w:t>
      </w:r>
      <w:bookmarkEnd w:id="1147"/>
      <w:bookmarkEnd w:id="1148"/>
    </w:p>
    <w:p w14:paraId="49CEF6B6" w14:textId="43E390DB" w:rsidR="001106C6" w:rsidRPr="00150391" w:rsidRDefault="53BF0693" w:rsidP="001106C6">
      <w:pPr>
        <w:rPr>
          <w:rFonts w:cs="Calibri"/>
        </w:rPr>
      </w:pPr>
      <w:r w:rsidRPr="00150391">
        <w:rPr>
          <w:rFonts w:cs="Calibri"/>
        </w:rPr>
        <w:t xml:space="preserve">Treasury sets formatting standards for PB Statement templates and uploads PB Statements links to </w:t>
      </w:r>
      <w:hyperlink r:id="rId103">
        <w:r w:rsidR="00027573" w:rsidRPr="002B4935">
          <w:rPr>
            <w:rStyle w:val="Hyperlink"/>
            <w:rFonts w:ascii="Calibri" w:hAnsi="Calibri" w:cs="Calibri"/>
            <w:color w:val="0070C0"/>
          </w:rPr>
          <w:t>www.budget.gov.au</w:t>
        </w:r>
      </w:hyperlink>
      <w:r w:rsidRPr="00150391">
        <w:rPr>
          <w:rFonts w:cs="Calibri"/>
        </w:rPr>
        <w:t>. Treasury also coordinates the Budget lock-up at Australian Parliament House and undertakes budget coordination activities at the agency level.</w:t>
      </w:r>
    </w:p>
    <w:p w14:paraId="23DB70FF" w14:textId="77777777" w:rsidR="001106C6" w:rsidRPr="00150391" w:rsidRDefault="53BF0693" w:rsidP="001106C6">
      <w:pPr>
        <w:rPr>
          <w:rFonts w:cs="Calibri"/>
        </w:rPr>
      </w:pPr>
      <w:r w:rsidRPr="00150391">
        <w:rPr>
          <w:rFonts w:cs="Calibri"/>
        </w:rPr>
        <w:t>Key Treasury contacts:</w:t>
      </w:r>
    </w:p>
    <w:p w14:paraId="348AA80D" w14:textId="26012EE8" w:rsidR="00C3013C" w:rsidRPr="00150391" w:rsidRDefault="0055620B" w:rsidP="53BF0693">
      <w:pPr>
        <w:pStyle w:val="Bullet1"/>
        <w:rPr>
          <w:rStyle w:val="Hyperlink"/>
          <w:rFonts w:ascii="Calibri" w:eastAsiaTheme="minorEastAsia" w:hAnsi="Calibri" w:cs="Calibri"/>
        </w:rPr>
      </w:pPr>
      <w:r w:rsidRPr="00150391">
        <w:rPr>
          <w:rFonts w:ascii="Calibri" w:hAnsi="Calibri" w:cs="Calibri"/>
        </w:rPr>
        <w:t>g</w:t>
      </w:r>
      <w:r w:rsidR="001106C6" w:rsidRPr="00150391">
        <w:rPr>
          <w:rFonts w:ascii="Calibri" w:hAnsi="Calibri" w:cs="Calibri"/>
        </w:rPr>
        <w:t>eneral</w:t>
      </w:r>
      <w:r w:rsidRPr="00150391">
        <w:rPr>
          <w:rFonts w:ascii="Calibri" w:hAnsi="Calibri" w:cs="Calibri"/>
        </w:rPr>
        <w:t xml:space="preserve"> b</w:t>
      </w:r>
      <w:r w:rsidR="001106C6" w:rsidRPr="00150391">
        <w:rPr>
          <w:rFonts w:ascii="Calibri" w:hAnsi="Calibri" w:cs="Calibri"/>
        </w:rPr>
        <w:t>udget communications queries</w:t>
      </w:r>
      <w:r w:rsidRPr="00150391">
        <w:rPr>
          <w:rFonts w:ascii="Calibri" w:hAnsi="Calibri" w:cs="Calibri"/>
        </w:rPr>
        <w:tab/>
      </w:r>
      <w:r w:rsidRPr="00150391">
        <w:rPr>
          <w:rFonts w:ascii="Calibri" w:hAnsi="Calibri" w:cs="Calibri"/>
        </w:rPr>
        <w:tab/>
      </w:r>
      <w:hyperlink r:id="rId104" w:history="1">
        <w:r w:rsidR="00FE2128" w:rsidRPr="002B4935">
          <w:rPr>
            <w:rStyle w:val="Hyperlink"/>
            <w:rFonts w:ascii="Calibri" w:hAnsi="Calibri" w:cs="Calibri"/>
            <w:color w:val="0070C0"/>
          </w:rPr>
          <w:t>budgetcommunications@treasury.gov.au</w:t>
        </w:r>
      </w:hyperlink>
    </w:p>
    <w:p w14:paraId="465DC427" w14:textId="0C38F867" w:rsidR="001106C6" w:rsidRPr="00150391" w:rsidRDefault="0055620B" w:rsidP="00CF6BE7">
      <w:pPr>
        <w:pStyle w:val="Bullet1"/>
        <w:rPr>
          <w:rFonts w:ascii="Calibri" w:hAnsi="Calibri" w:cs="Calibri"/>
        </w:rPr>
      </w:pPr>
      <w:r w:rsidRPr="00150391">
        <w:rPr>
          <w:rFonts w:ascii="Calibri" w:hAnsi="Calibri" w:cs="Calibri"/>
        </w:rPr>
        <w:t>d</w:t>
      </w:r>
      <w:r w:rsidR="00696DD2" w:rsidRPr="00150391">
        <w:rPr>
          <w:rFonts w:ascii="Calibri" w:hAnsi="Calibri" w:cs="Calibri"/>
        </w:rPr>
        <w:t xml:space="preserve">esign </w:t>
      </w:r>
      <w:r w:rsidR="001106C6" w:rsidRPr="00150391">
        <w:rPr>
          <w:rFonts w:ascii="Calibri" w:hAnsi="Calibri" w:cs="Calibri"/>
        </w:rPr>
        <w:t>and formatting</w:t>
      </w:r>
      <w:r w:rsidR="00B30721" w:rsidRPr="00150391">
        <w:rPr>
          <w:rFonts w:ascii="Calibri" w:hAnsi="Calibri" w:cs="Calibri"/>
        </w:rPr>
        <w:tab/>
      </w:r>
      <w:r w:rsidR="00B30721" w:rsidRPr="00150391">
        <w:rPr>
          <w:rFonts w:ascii="Calibri" w:hAnsi="Calibri" w:cs="Calibri"/>
        </w:rPr>
        <w:tab/>
      </w:r>
      <w:r w:rsidR="00B30721" w:rsidRPr="00150391">
        <w:rPr>
          <w:rFonts w:ascii="Calibri" w:hAnsi="Calibri" w:cs="Calibri"/>
        </w:rPr>
        <w:tab/>
      </w:r>
      <w:r w:rsidR="00B30721" w:rsidRPr="00150391">
        <w:rPr>
          <w:rFonts w:ascii="Calibri" w:hAnsi="Calibri" w:cs="Calibri"/>
        </w:rPr>
        <w:tab/>
      </w:r>
      <w:hyperlink r:id="rId105" w:history="1">
        <w:r w:rsidR="00DE7074" w:rsidRPr="002B4935">
          <w:rPr>
            <w:rStyle w:val="Hyperlink"/>
            <w:rFonts w:ascii="Calibri" w:eastAsiaTheme="minorEastAsia" w:hAnsi="Calibri" w:cs="Calibri"/>
            <w:color w:val="0070C0"/>
          </w:rPr>
          <w:t>creativeservices@treasury.gov.au</w:t>
        </w:r>
      </w:hyperlink>
    </w:p>
    <w:p w14:paraId="163AE64F" w14:textId="13450B7E" w:rsidR="001106C6" w:rsidRPr="00150391" w:rsidRDefault="0055620B" w:rsidP="53BF0693">
      <w:pPr>
        <w:pStyle w:val="Bullet1"/>
        <w:rPr>
          <w:rStyle w:val="Hyperlink"/>
          <w:rFonts w:ascii="Calibri" w:hAnsi="Calibri" w:cs="Calibri"/>
          <w:u w:val="none"/>
        </w:rPr>
      </w:pPr>
      <w:r w:rsidRPr="00150391">
        <w:rPr>
          <w:rFonts w:ascii="Calibri" w:hAnsi="Calibri" w:cs="Calibri"/>
        </w:rPr>
        <w:t>b</w:t>
      </w:r>
      <w:r w:rsidR="00696DD2" w:rsidRPr="00150391">
        <w:rPr>
          <w:rFonts w:ascii="Calibri" w:hAnsi="Calibri" w:cs="Calibri"/>
        </w:rPr>
        <w:t>udget website</w:t>
      </w:r>
      <w:r w:rsidR="000711B1" w:rsidRPr="00150391">
        <w:rPr>
          <w:rFonts w:ascii="Calibri" w:hAnsi="Calibri" w:cs="Calibri"/>
        </w:rPr>
        <w:tab/>
      </w:r>
      <w:r w:rsidR="00B30721" w:rsidRPr="00150391">
        <w:rPr>
          <w:rFonts w:ascii="Calibri" w:hAnsi="Calibri" w:cs="Calibri"/>
        </w:rPr>
        <w:tab/>
      </w:r>
      <w:r w:rsidR="00B30721" w:rsidRPr="00150391">
        <w:rPr>
          <w:rFonts w:ascii="Calibri" w:hAnsi="Calibri" w:cs="Calibri"/>
        </w:rPr>
        <w:tab/>
      </w:r>
      <w:r w:rsidR="00B30721" w:rsidRPr="00150391">
        <w:rPr>
          <w:rFonts w:ascii="Calibri" w:hAnsi="Calibri" w:cs="Calibri"/>
        </w:rPr>
        <w:tab/>
      </w:r>
      <w:r w:rsidR="00B30721" w:rsidRPr="00150391">
        <w:rPr>
          <w:rFonts w:ascii="Calibri" w:hAnsi="Calibri" w:cs="Calibri"/>
        </w:rPr>
        <w:tab/>
      </w:r>
      <w:hyperlink r:id="rId106" w:history="1">
        <w:r w:rsidR="00FE2128" w:rsidRPr="002B4935">
          <w:rPr>
            <w:rStyle w:val="Hyperlink"/>
            <w:rFonts w:ascii="Calibri" w:hAnsi="Calibri" w:cs="Calibri"/>
            <w:color w:val="0070C0"/>
          </w:rPr>
          <w:t>budget-website@treasury.gov.au</w:t>
        </w:r>
      </w:hyperlink>
    </w:p>
    <w:p w14:paraId="6CA22BE1" w14:textId="77777777" w:rsidR="00814186" w:rsidRPr="00150391" w:rsidRDefault="00814186" w:rsidP="005379D4">
      <w:pPr>
        <w:pStyle w:val="Bullet1"/>
        <w:numPr>
          <w:ilvl w:val="0"/>
          <w:numId w:val="0"/>
        </w:numPr>
        <w:rPr>
          <w:rFonts w:ascii="Calibri" w:hAnsi="Calibri" w:cs="Calibri"/>
        </w:rPr>
      </w:pPr>
    </w:p>
    <w:p w14:paraId="247A4602" w14:textId="77777777" w:rsidR="00AA7167" w:rsidRPr="00150391" w:rsidRDefault="00B31167" w:rsidP="005379D4">
      <w:pPr>
        <w:pStyle w:val="Bullet1"/>
        <w:numPr>
          <w:ilvl w:val="0"/>
          <w:numId w:val="0"/>
        </w:numPr>
        <w:rPr>
          <w:rFonts w:ascii="Calibri" w:hAnsi="Calibri" w:cs="Calibri"/>
        </w:rPr>
      </w:pPr>
      <w:r w:rsidRPr="00150391">
        <w:rPr>
          <w:rFonts w:ascii="Calibri" w:hAnsi="Calibri" w:cs="Calibri"/>
        </w:rPr>
        <w:t xml:space="preserve">The Treasury Budget </w:t>
      </w:r>
      <w:r w:rsidR="00622136" w:rsidRPr="00150391">
        <w:rPr>
          <w:rFonts w:ascii="Calibri" w:hAnsi="Calibri" w:cs="Calibri"/>
        </w:rPr>
        <w:t>C</w:t>
      </w:r>
      <w:r w:rsidRPr="00150391">
        <w:rPr>
          <w:rFonts w:ascii="Calibri" w:hAnsi="Calibri" w:cs="Calibri"/>
        </w:rPr>
        <w:t xml:space="preserve">ommunications </w:t>
      </w:r>
      <w:r w:rsidR="00622136" w:rsidRPr="00150391">
        <w:rPr>
          <w:rFonts w:ascii="Calibri" w:hAnsi="Calibri" w:cs="Calibri"/>
        </w:rPr>
        <w:t>T</w:t>
      </w:r>
      <w:r w:rsidRPr="00150391">
        <w:rPr>
          <w:rFonts w:ascii="Calibri" w:hAnsi="Calibri" w:cs="Calibri"/>
        </w:rPr>
        <w:t xml:space="preserve">eam can also be reached </w:t>
      </w:r>
      <w:r w:rsidR="006A69BF" w:rsidRPr="00150391">
        <w:rPr>
          <w:rFonts w:ascii="Calibri" w:hAnsi="Calibri" w:cs="Calibri"/>
        </w:rPr>
        <w:t>by</w:t>
      </w:r>
      <w:r w:rsidR="006A69BF" w:rsidRPr="00150391">
        <w:rPr>
          <w:rFonts w:ascii="Calibri" w:hAnsi="Calibri" w:cs="Calibri"/>
        </w:rPr>
        <w:tab/>
      </w:r>
      <w:r w:rsidRPr="00150391">
        <w:rPr>
          <w:rFonts w:ascii="Calibri" w:hAnsi="Calibri" w:cs="Calibri"/>
        </w:rPr>
        <w:t>02 6263 3788</w:t>
      </w:r>
    </w:p>
    <w:p w14:paraId="01DC8A88" w14:textId="70DD5BFE" w:rsidR="00FA0945" w:rsidRPr="00150391" w:rsidRDefault="6B6EE5C4" w:rsidP="00CF6BE7">
      <w:pPr>
        <w:pStyle w:val="Heading2Numbered"/>
        <w:rPr>
          <w:rFonts w:ascii="Calibri" w:hAnsi="Calibri" w:cs="Calibri"/>
        </w:rPr>
      </w:pPr>
      <w:bookmarkStart w:id="1149" w:name="_Toc33196095"/>
      <w:bookmarkStart w:id="1150" w:name="_Toc33196397"/>
      <w:bookmarkStart w:id="1151" w:name="_Toc33196096"/>
      <w:bookmarkStart w:id="1152" w:name="_Toc33196398"/>
      <w:bookmarkStart w:id="1153" w:name="_Toc33196097"/>
      <w:bookmarkStart w:id="1154" w:name="_Toc33196399"/>
      <w:bookmarkStart w:id="1155" w:name="_Toc33196098"/>
      <w:bookmarkStart w:id="1156" w:name="_Toc33196400"/>
      <w:bookmarkStart w:id="1157" w:name="_Toc33099470"/>
      <w:bookmarkStart w:id="1158" w:name="_Toc33196099"/>
      <w:bookmarkStart w:id="1159" w:name="_Toc33196401"/>
      <w:bookmarkStart w:id="1160" w:name="_Ref55984327"/>
      <w:bookmarkStart w:id="1161" w:name="_Ref55984331"/>
      <w:bookmarkStart w:id="1162" w:name="_Ref55984344"/>
      <w:bookmarkStart w:id="1163" w:name="_Ref55984351"/>
      <w:bookmarkStart w:id="1164" w:name="_Toc63347758"/>
      <w:bookmarkStart w:id="1165" w:name="_Toc114576346"/>
      <w:bookmarkEnd w:id="1149"/>
      <w:bookmarkEnd w:id="1150"/>
      <w:bookmarkEnd w:id="1151"/>
      <w:bookmarkEnd w:id="1152"/>
      <w:bookmarkEnd w:id="1153"/>
      <w:bookmarkEnd w:id="1154"/>
      <w:bookmarkEnd w:id="1155"/>
      <w:bookmarkEnd w:id="1156"/>
      <w:bookmarkEnd w:id="1157"/>
      <w:bookmarkEnd w:id="1158"/>
      <w:bookmarkEnd w:id="1159"/>
      <w:r w:rsidRPr="00150391">
        <w:rPr>
          <w:rFonts w:ascii="Calibri" w:hAnsi="Calibri" w:cs="Calibri"/>
        </w:rPr>
        <w:t>CanPrint</w:t>
      </w:r>
      <w:bookmarkEnd w:id="1160"/>
      <w:bookmarkEnd w:id="1161"/>
      <w:bookmarkEnd w:id="1162"/>
      <w:bookmarkEnd w:id="1163"/>
      <w:bookmarkEnd w:id="1164"/>
      <w:bookmarkEnd w:id="1165"/>
    </w:p>
    <w:p w14:paraId="04BB21AE" w14:textId="4DC18BF2" w:rsidR="005A364E" w:rsidRPr="00150391" w:rsidRDefault="6B6EE5C4" w:rsidP="000A7DEC">
      <w:pPr>
        <w:rPr>
          <w:rFonts w:cs="Calibri"/>
        </w:rPr>
      </w:pPr>
      <w:r w:rsidRPr="00150391">
        <w:rPr>
          <w:rFonts w:cs="Calibri"/>
        </w:rPr>
        <w:t>CanPrint is the preferred printer for BP</w:t>
      </w:r>
      <w:r w:rsidR="00A834F4" w:rsidRPr="00150391">
        <w:rPr>
          <w:rFonts w:cs="Calibri"/>
        </w:rPr>
        <w:t>s</w:t>
      </w:r>
      <w:r w:rsidRPr="00150391">
        <w:rPr>
          <w:rFonts w:cs="Calibri"/>
        </w:rPr>
        <w:t xml:space="preserve"> and PB Statements. If printing is carried out ‘in-house’ or with another printer, entities must liaise with Finance to ensure that cover stock, colour and text is consistent with all other portfolio</w:t>
      </w:r>
      <w:r w:rsidR="00F20077" w:rsidRPr="00150391">
        <w:rPr>
          <w:rFonts w:cs="Calibri"/>
        </w:rPr>
        <w:t>s</w:t>
      </w:r>
      <w:r w:rsidR="00A7168C" w:rsidRPr="00150391">
        <w:rPr>
          <w:rFonts w:cs="Calibri"/>
        </w:rPr>
        <w:t>.</w:t>
      </w:r>
    </w:p>
    <w:p w14:paraId="1A07D261" w14:textId="77777777" w:rsidR="00FA0945" w:rsidRPr="00150391" w:rsidRDefault="53BF0693" w:rsidP="000A7DEC">
      <w:pPr>
        <w:rPr>
          <w:rFonts w:cs="Calibri"/>
        </w:rPr>
      </w:pPr>
      <w:r w:rsidRPr="00150391">
        <w:rPr>
          <w:rFonts w:cs="Calibri"/>
        </w:rPr>
        <w:t xml:space="preserve">It is the responsibility of each </w:t>
      </w:r>
      <w:r w:rsidR="00396887" w:rsidRPr="00150391">
        <w:rPr>
          <w:rFonts w:cs="Calibri"/>
        </w:rPr>
        <w:t>portfolio department</w:t>
      </w:r>
      <w:r w:rsidRPr="00150391">
        <w:rPr>
          <w:rFonts w:cs="Calibri"/>
        </w:rPr>
        <w:t>s to arrange the printing and secure freighting of their PB Statements.</w:t>
      </w:r>
    </w:p>
    <w:p w14:paraId="391E8641" w14:textId="77777777" w:rsidR="00FA0945" w:rsidRPr="00150391" w:rsidRDefault="6B6EE5C4" w:rsidP="000A7DEC">
      <w:pPr>
        <w:rPr>
          <w:rFonts w:cs="Calibri"/>
        </w:rPr>
      </w:pPr>
      <w:r w:rsidRPr="00150391">
        <w:rPr>
          <w:rFonts w:cs="Calibri"/>
        </w:rPr>
        <w:t>Contact details for CanPrint Communications Pty Ltd are:</w:t>
      </w:r>
    </w:p>
    <w:p w14:paraId="1370A71B" w14:textId="2A943C60" w:rsidR="007004B1" w:rsidRPr="00150391" w:rsidRDefault="007004B1" w:rsidP="00AA2CB0">
      <w:pPr>
        <w:rPr>
          <w:rFonts w:cs="Calibri"/>
        </w:rPr>
      </w:pPr>
      <w:r w:rsidRPr="00150391">
        <w:rPr>
          <w:rFonts w:cs="Calibri"/>
        </w:rPr>
        <w:t>Canprint Communications Pty Ltd</w:t>
      </w:r>
    </w:p>
    <w:p w14:paraId="63C782EF" w14:textId="77777777" w:rsidR="007004B1" w:rsidRPr="00150391" w:rsidRDefault="007004B1" w:rsidP="00AA2CB0">
      <w:pPr>
        <w:rPr>
          <w:rFonts w:cs="Calibri"/>
        </w:rPr>
      </w:pPr>
      <w:r w:rsidRPr="00150391">
        <w:rPr>
          <w:rFonts w:cs="Calibri"/>
        </w:rPr>
        <w:t>16 Nyrang Street</w:t>
      </w:r>
      <w:r w:rsidRPr="00150391">
        <w:rPr>
          <w:rFonts w:cs="Calibri"/>
        </w:rPr>
        <w:br/>
        <w:t>Fyshwick, ACT 2609</w:t>
      </w:r>
    </w:p>
    <w:p w14:paraId="77F6F9A4" w14:textId="0C431DA8" w:rsidR="00FA0945" w:rsidRPr="00150391" w:rsidRDefault="53BF0693" w:rsidP="00CF6BE7">
      <w:pPr>
        <w:pStyle w:val="Heading2Numbered"/>
        <w:rPr>
          <w:rFonts w:ascii="Calibri" w:hAnsi="Calibri" w:cs="Calibri"/>
        </w:rPr>
      </w:pPr>
      <w:bookmarkStart w:id="1166" w:name="_Toc86765009"/>
      <w:bookmarkStart w:id="1167" w:name="_Toc87979930"/>
      <w:bookmarkStart w:id="1168" w:name="_Toc86765010"/>
      <w:bookmarkStart w:id="1169" w:name="_Toc87979931"/>
      <w:bookmarkStart w:id="1170" w:name="_Toc86765011"/>
      <w:bookmarkStart w:id="1171" w:name="_Toc87979932"/>
      <w:bookmarkStart w:id="1172" w:name="_Toc86765012"/>
      <w:bookmarkStart w:id="1173" w:name="_Toc87979933"/>
      <w:bookmarkStart w:id="1174" w:name="_Toc63347759"/>
      <w:bookmarkStart w:id="1175" w:name="_Toc114576347"/>
      <w:bookmarkEnd w:id="1166"/>
      <w:bookmarkEnd w:id="1167"/>
      <w:bookmarkEnd w:id="1168"/>
      <w:bookmarkEnd w:id="1169"/>
      <w:bookmarkEnd w:id="1170"/>
      <w:bookmarkEnd w:id="1171"/>
      <w:bookmarkEnd w:id="1172"/>
      <w:bookmarkEnd w:id="1173"/>
      <w:r w:rsidRPr="00150391">
        <w:rPr>
          <w:rFonts w:ascii="Calibri" w:hAnsi="Calibri" w:cs="Calibri"/>
        </w:rPr>
        <w:t>Senate Table Office</w:t>
      </w:r>
      <w:bookmarkEnd w:id="1174"/>
      <w:bookmarkEnd w:id="1175"/>
    </w:p>
    <w:p w14:paraId="58D3FB38" w14:textId="77777777" w:rsidR="00FA0945" w:rsidRPr="00150391" w:rsidRDefault="53BF0693" w:rsidP="000A7DEC">
      <w:pPr>
        <w:rPr>
          <w:rFonts w:cs="Calibri"/>
        </w:rPr>
      </w:pPr>
      <w:r w:rsidRPr="00150391">
        <w:rPr>
          <w:rFonts w:cs="Calibri"/>
        </w:rPr>
        <w:t xml:space="preserve">The </w:t>
      </w:r>
      <w:r w:rsidRPr="00150391">
        <w:rPr>
          <w:rFonts w:cs="Calibri"/>
          <w:b/>
          <w:bCs/>
        </w:rPr>
        <w:t>Senate Table Office</w:t>
      </w:r>
      <w:r w:rsidRPr="00150391">
        <w:rPr>
          <w:rFonts w:cs="Calibri"/>
        </w:rPr>
        <w:t xml:space="preserve"> receives deliveries from entities of PB Statements for the Senate, House of Representatives, Budget lockup and the Parliamentary Library. Their contact details are:</w:t>
      </w:r>
    </w:p>
    <w:p w14:paraId="575969E3" w14:textId="18272489" w:rsidR="00FA0945" w:rsidRPr="00150391" w:rsidRDefault="0055620B" w:rsidP="001D30A2">
      <w:pPr>
        <w:pStyle w:val="Bullet1"/>
        <w:rPr>
          <w:rFonts w:ascii="Calibri" w:hAnsi="Calibri" w:cs="Calibri"/>
        </w:rPr>
      </w:pPr>
      <w:r w:rsidRPr="00150391">
        <w:rPr>
          <w:rFonts w:ascii="Calibri" w:hAnsi="Calibri" w:cs="Calibri"/>
        </w:rPr>
        <w:t>d</w:t>
      </w:r>
      <w:r w:rsidR="00FA0945" w:rsidRPr="00150391">
        <w:rPr>
          <w:rFonts w:ascii="Calibri" w:hAnsi="Calibri" w:cs="Calibri"/>
        </w:rPr>
        <w:t>ocuments officer</w:t>
      </w:r>
      <w:r w:rsidR="00696DD2" w:rsidRPr="00150391">
        <w:rPr>
          <w:rFonts w:ascii="Calibri" w:hAnsi="Calibri" w:cs="Calibri"/>
        </w:rPr>
        <w:tab/>
      </w:r>
      <w:r w:rsidR="00696DD2" w:rsidRPr="00150391">
        <w:rPr>
          <w:rFonts w:ascii="Calibri" w:hAnsi="Calibri" w:cs="Calibri"/>
        </w:rPr>
        <w:tab/>
      </w:r>
      <w:r w:rsidR="00696DD2" w:rsidRPr="00150391">
        <w:rPr>
          <w:rFonts w:ascii="Calibri" w:hAnsi="Calibri" w:cs="Calibri"/>
        </w:rPr>
        <w:tab/>
      </w:r>
      <w:r w:rsidR="00696DD2" w:rsidRPr="00150391">
        <w:rPr>
          <w:rFonts w:ascii="Calibri" w:hAnsi="Calibri" w:cs="Calibri"/>
        </w:rPr>
        <w:tab/>
      </w:r>
      <w:r w:rsidR="00696DD2" w:rsidRPr="00150391">
        <w:rPr>
          <w:rFonts w:ascii="Calibri" w:hAnsi="Calibri" w:cs="Calibri"/>
        </w:rPr>
        <w:tab/>
      </w:r>
      <w:r w:rsidR="00696DD2" w:rsidRPr="00150391">
        <w:rPr>
          <w:rFonts w:ascii="Calibri" w:hAnsi="Calibri" w:cs="Calibri"/>
        </w:rPr>
        <w:tab/>
      </w:r>
      <w:r w:rsidR="006A69BF" w:rsidRPr="00150391">
        <w:rPr>
          <w:rFonts w:ascii="Calibri" w:hAnsi="Calibri" w:cs="Calibri"/>
        </w:rPr>
        <w:tab/>
      </w:r>
      <w:r w:rsidR="00FA0945" w:rsidRPr="00150391">
        <w:rPr>
          <w:rFonts w:ascii="Calibri" w:hAnsi="Calibri" w:cs="Calibri"/>
        </w:rPr>
        <w:t>02 6277 3037</w:t>
      </w:r>
    </w:p>
    <w:p w14:paraId="1C3FFB70" w14:textId="36A6C5C7" w:rsidR="006A69BF" w:rsidRPr="00150391" w:rsidRDefault="0055620B" w:rsidP="006A69BF">
      <w:pPr>
        <w:pStyle w:val="Bullet1"/>
        <w:rPr>
          <w:rFonts w:ascii="Calibri" w:hAnsi="Calibri" w:cs="Calibri"/>
        </w:rPr>
      </w:pPr>
      <w:r w:rsidRPr="00150391">
        <w:rPr>
          <w:rFonts w:ascii="Calibri" w:hAnsi="Calibri" w:cs="Calibri"/>
        </w:rPr>
        <w:t>e</w:t>
      </w:r>
      <w:r w:rsidR="006A69BF" w:rsidRPr="00150391">
        <w:rPr>
          <w:rFonts w:ascii="Calibri" w:hAnsi="Calibri" w:cs="Calibri"/>
        </w:rPr>
        <w:t>mail</w:t>
      </w:r>
      <w:r w:rsidR="006A69BF" w:rsidRPr="00150391">
        <w:rPr>
          <w:rFonts w:ascii="Calibri" w:hAnsi="Calibri" w:cs="Calibri"/>
        </w:rPr>
        <w:tab/>
      </w:r>
      <w:r w:rsidR="006A69BF" w:rsidRPr="00150391">
        <w:rPr>
          <w:rFonts w:ascii="Calibri" w:hAnsi="Calibri" w:cs="Calibri"/>
        </w:rPr>
        <w:tab/>
      </w:r>
      <w:hyperlink r:id="rId107" w:history="1">
        <w:r w:rsidR="006A69BF" w:rsidRPr="002B4935">
          <w:rPr>
            <w:rStyle w:val="Hyperlink"/>
            <w:rFonts w:ascii="Calibri" w:hAnsi="Calibri" w:cs="Calibri"/>
            <w:color w:val="0070C0"/>
          </w:rPr>
          <w:t>table.docs@aph.gov.au</w:t>
        </w:r>
      </w:hyperlink>
    </w:p>
    <w:p w14:paraId="5D9DC696" w14:textId="5C766B5B" w:rsidR="00616039" w:rsidRPr="00150391" w:rsidRDefault="0055620B" w:rsidP="001D30A2">
      <w:pPr>
        <w:pStyle w:val="Bullet1"/>
        <w:rPr>
          <w:rFonts w:ascii="Calibri" w:hAnsi="Calibri" w:cs="Calibri"/>
        </w:rPr>
      </w:pPr>
      <w:r w:rsidRPr="00150391">
        <w:rPr>
          <w:rFonts w:ascii="Calibri" w:hAnsi="Calibri" w:cs="Calibri"/>
        </w:rPr>
        <w:t>a</w:t>
      </w:r>
      <w:r w:rsidR="00FA0945" w:rsidRPr="00150391">
        <w:rPr>
          <w:rFonts w:ascii="Calibri" w:hAnsi="Calibri" w:cs="Calibri"/>
        </w:rPr>
        <w:t>ddress:</w:t>
      </w:r>
      <w:r w:rsidR="006A69BF" w:rsidRPr="00150391">
        <w:rPr>
          <w:rFonts w:ascii="Calibri" w:hAnsi="Calibri" w:cs="Calibri"/>
        </w:rPr>
        <w:tab/>
      </w:r>
      <w:r w:rsidR="00FA0945" w:rsidRPr="00150391">
        <w:rPr>
          <w:rFonts w:ascii="Calibri" w:hAnsi="Calibri" w:cs="Calibri"/>
        </w:rPr>
        <w:t>Room SG 25</w:t>
      </w:r>
    </w:p>
    <w:p w14:paraId="08D84C9A" w14:textId="77777777" w:rsidR="00616039" w:rsidRPr="00150391" w:rsidRDefault="00616039" w:rsidP="001D30A2">
      <w:pPr>
        <w:pStyle w:val="Bullet1"/>
        <w:numPr>
          <w:ilvl w:val="0"/>
          <w:numId w:val="0"/>
        </w:numPr>
        <w:rPr>
          <w:rFonts w:ascii="Calibri" w:hAnsi="Calibri" w:cs="Calibri"/>
        </w:rPr>
      </w:pPr>
      <w:r w:rsidRPr="00150391">
        <w:rPr>
          <w:rFonts w:ascii="Calibri" w:hAnsi="Calibri" w:cs="Calibri"/>
        </w:rPr>
        <w:tab/>
      </w:r>
      <w:r w:rsidR="006A69BF" w:rsidRPr="00150391">
        <w:rPr>
          <w:rFonts w:ascii="Calibri" w:hAnsi="Calibri" w:cs="Calibri"/>
        </w:rPr>
        <w:tab/>
      </w:r>
      <w:r w:rsidR="006A69BF" w:rsidRPr="00150391">
        <w:rPr>
          <w:rFonts w:ascii="Calibri" w:hAnsi="Calibri" w:cs="Calibri"/>
        </w:rPr>
        <w:tab/>
      </w:r>
      <w:r w:rsidR="00FA0945" w:rsidRPr="00150391">
        <w:rPr>
          <w:rFonts w:ascii="Calibri" w:hAnsi="Calibri" w:cs="Calibri"/>
        </w:rPr>
        <w:t>Department of the Senate</w:t>
      </w:r>
    </w:p>
    <w:p w14:paraId="6CFF56D5" w14:textId="77777777" w:rsidR="00616039" w:rsidRPr="00150391" w:rsidRDefault="00616039" w:rsidP="001D30A2">
      <w:pPr>
        <w:pStyle w:val="Bullet1"/>
        <w:numPr>
          <w:ilvl w:val="0"/>
          <w:numId w:val="0"/>
        </w:numPr>
        <w:rPr>
          <w:rFonts w:ascii="Calibri" w:hAnsi="Calibri" w:cs="Calibri"/>
        </w:rPr>
      </w:pPr>
      <w:r w:rsidRPr="00150391">
        <w:rPr>
          <w:rFonts w:ascii="Calibri" w:hAnsi="Calibri" w:cs="Calibri"/>
        </w:rPr>
        <w:tab/>
      </w:r>
      <w:r w:rsidR="006A69BF" w:rsidRPr="00150391">
        <w:rPr>
          <w:rFonts w:ascii="Calibri" w:hAnsi="Calibri" w:cs="Calibri"/>
        </w:rPr>
        <w:tab/>
      </w:r>
      <w:r w:rsidR="006A69BF" w:rsidRPr="00150391">
        <w:rPr>
          <w:rFonts w:ascii="Calibri" w:hAnsi="Calibri" w:cs="Calibri"/>
        </w:rPr>
        <w:tab/>
      </w:r>
      <w:r w:rsidRPr="00150391">
        <w:rPr>
          <w:rFonts w:ascii="Calibri" w:hAnsi="Calibri" w:cs="Calibri"/>
        </w:rPr>
        <w:t>P</w:t>
      </w:r>
      <w:r w:rsidR="00FA0945" w:rsidRPr="00150391">
        <w:rPr>
          <w:rFonts w:ascii="Calibri" w:hAnsi="Calibri" w:cs="Calibri"/>
        </w:rPr>
        <w:t>arliament House</w:t>
      </w:r>
    </w:p>
    <w:p w14:paraId="1AB30DA3" w14:textId="77777777" w:rsidR="00595D6E" w:rsidRPr="00150391" w:rsidRDefault="00616039" w:rsidP="001D30A2">
      <w:pPr>
        <w:pStyle w:val="Bullet1"/>
        <w:numPr>
          <w:ilvl w:val="0"/>
          <w:numId w:val="0"/>
        </w:numPr>
        <w:rPr>
          <w:rFonts w:ascii="Calibri" w:hAnsi="Calibri" w:cs="Calibri"/>
        </w:rPr>
        <w:sectPr w:rsidR="00595D6E" w:rsidRPr="00150391" w:rsidSect="00C32EB7">
          <w:pgSz w:w="11900" w:h="16840" w:code="9"/>
          <w:pgMar w:top="1418" w:right="1418" w:bottom="1276" w:left="1418" w:header="510" w:footer="510" w:gutter="0"/>
          <w:cols w:space="708"/>
          <w:docGrid w:linePitch="360"/>
        </w:sectPr>
      </w:pPr>
      <w:r w:rsidRPr="00150391">
        <w:rPr>
          <w:rFonts w:ascii="Calibri" w:hAnsi="Calibri" w:cs="Calibri"/>
        </w:rPr>
        <w:tab/>
      </w:r>
      <w:r w:rsidR="005A364E" w:rsidRPr="00150391">
        <w:rPr>
          <w:rFonts w:ascii="Calibri" w:hAnsi="Calibri" w:cs="Calibri"/>
        </w:rPr>
        <w:tab/>
      </w:r>
      <w:r w:rsidR="005A364E" w:rsidRPr="00150391">
        <w:rPr>
          <w:rFonts w:ascii="Calibri" w:hAnsi="Calibri" w:cs="Calibri"/>
        </w:rPr>
        <w:tab/>
      </w:r>
      <w:r w:rsidR="00FA0945" w:rsidRPr="00150391">
        <w:rPr>
          <w:rFonts w:ascii="Calibri" w:hAnsi="Calibri" w:cs="Calibri"/>
        </w:rPr>
        <w:t>Canberra, ACT 2600</w:t>
      </w:r>
      <w:bookmarkStart w:id="1176" w:name="_Toc534382590"/>
    </w:p>
    <w:p w14:paraId="621EDB30" w14:textId="361364E9" w:rsidR="00FA0945" w:rsidRPr="00150391" w:rsidRDefault="53BF0693" w:rsidP="00CF6BE7">
      <w:pPr>
        <w:pStyle w:val="Heading1Numbered"/>
        <w:rPr>
          <w:rFonts w:ascii="Calibri" w:hAnsi="Calibri" w:cs="Calibri"/>
        </w:rPr>
      </w:pPr>
      <w:bookmarkStart w:id="1177" w:name="_Toc63347760"/>
      <w:bookmarkStart w:id="1178" w:name="_Toc114576348"/>
      <w:r w:rsidRPr="00150391">
        <w:rPr>
          <w:rFonts w:ascii="Calibri" w:hAnsi="Calibri" w:cs="Calibri"/>
        </w:rPr>
        <w:t>Glossary of terms</w:t>
      </w:r>
      <w:bookmarkEnd w:id="1176"/>
      <w:bookmarkEnd w:id="1177"/>
      <w:bookmarkEnd w:id="1178"/>
    </w:p>
    <w:p w14:paraId="54CBAA63" w14:textId="77777777" w:rsidR="00FA0945" w:rsidRPr="00150391" w:rsidRDefault="53BF0693" w:rsidP="000A7DEC">
      <w:pPr>
        <w:pStyle w:val="Heading4"/>
        <w:rPr>
          <w:rFonts w:ascii="Calibri" w:hAnsi="Calibri" w:cs="Calibri"/>
        </w:rPr>
      </w:pPr>
      <w:r w:rsidRPr="00150391">
        <w:rPr>
          <w:rFonts w:ascii="Calibri" w:hAnsi="Calibri" w:cs="Calibri"/>
        </w:rPr>
        <w:t>Activities</w:t>
      </w:r>
    </w:p>
    <w:p w14:paraId="24546BA9" w14:textId="77777777" w:rsidR="00FA0945" w:rsidRPr="00150391" w:rsidRDefault="53BF0693" w:rsidP="000A7DEC">
      <w:pPr>
        <w:rPr>
          <w:rFonts w:cs="Calibri"/>
        </w:rPr>
      </w:pPr>
      <w:r w:rsidRPr="00150391">
        <w:rPr>
          <w:rFonts w:cs="Calibri"/>
        </w:rPr>
        <w:t>The actions/functions performed by entities to deliver government policies.</w:t>
      </w:r>
    </w:p>
    <w:p w14:paraId="55B3081D" w14:textId="77777777" w:rsidR="00FA0945" w:rsidRPr="00150391" w:rsidRDefault="53BF0693" w:rsidP="000A7DEC">
      <w:pPr>
        <w:pStyle w:val="Heading4"/>
        <w:rPr>
          <w:rFonts w:ascii="Calibri" w:hAnsi="Calibri" w:cs="Calibri"/>
        </w:rPr>
      </w:pPr>
      <w:r w:rsidRPr="00150391">
        <w:rPr>
          <w:rFonts w:ascii="Calibri" w:hAnsi="Calibri" w:cs="Calibri"/>
        </w:rPr>
        <w:t>Actual available appropriation</w:t>
      </w:r>
    </w:p>
    <w:p w14:paraId="504B1295" w14:textId="12038AF8" w:rsidR="00FA0945" w:rsidRPr="00150391" w:rsidRDefault="53BF0693" w:rsidP="000A7DEC">
      <w:pPr>
        <w:rPr>
          <w:rFonts w:cs="Calibri"/>
        </w:rPr>
      </w:pPr>
      <w:r w:rsidRPr="00150391">
        <w:rPr>
          <w:rFonts w:cs="Calibri"/>
        </w:rPr>
        <w:t xml:space="preserve">The Actual Available Appropriation indicates the total appropriations available to the entity for </w:t>
      </w:r>
      <w:r w:rsidR="00BA2416" w:rsidRPr="00150391">
        <w:rPr>
          <w:rFonts w:cs="Calibri"/>
        </w:rPr>
        <w:t>2021</w:t>
      </w:r>
      <w:r w:rsidR="001954FB">
        <w:rPr>
          <w:rFonts w:cs="Calibri"/>
        </w:rPr>
        <w:noBreakHyphen/>
      </w:r>
      <w:r w:rsidR="00BA2416" w:rsidRPr="00150391">
        <w:rPr>
          <w:rFonts w:cs="Calibri"/>
        </w:rPr>
        <w:t xml:space="preserve">22 </w:t>
      </w:r>
      <w:r w:rsidRPr="00150391">
        <w:rPr>
          <w:rFonts w:cs="Calibri"/>
        </w:rPr>
        <w:t xml:space="preserve">as at the </w:t>
      </w:r>
      <w:r w:rsidR="00BA2416" w:rsidRPr="00150391">
        <w:rPr>
          <w:rFonts w:cs="Calibri"/>
        </w:rPr>
        <w:t>2022</w:t>
      </w:r>
      <w:r w:rsidRPr="00150391">
        <w:rPr>
          <w:rFonts w:cs="Calibri"/>
        </w:rPr>
        <w:t>-</w:t>
      </w:r>
      <w:r w:rsidR="00BA2416" w:rsidRPr="00150391">
        <w:rPr>
          <w:rFonts w:cs="Calibri"/>
        </w:rPr>
        <w:t xml:space="preserve">23 </w:t>
      </w:r>
      <w:r w:rsidRPr="00150391">
        <w:rPr>
          <w:rFonts w:cs="Calibri"/>
        </w:rPr>
        <w:t xml:space="preserve">Budget. It includes all appropriations made available to the entity in the year (+/- section 75 transfers, </w:t>
      </w:r>
      <w:r w:rsidR="009A1184" w:rsidRPr="00150391">
        <w:rPr>
          <w:rFonts w:cs="Calibri"/>
        </w:rPr>
        <w:t>AFM</w:t>
      </w:r>
      <w:r w:rsidRPr="00150391">
        <w:rPr>
          <w:rFonts w:cs="Calibri"/>
        </w:rPr>
        <w:t xml:space="preserve">, withholdings under section 51 of the </w:t>
      </w:r>
      <w:r w:rsidRPr="00150391">
        <w:rPr>
          <w:rFonts w:cs="Calibri"/>
          <w:i/>
          <w:iCs/>
        </w:rPr>
        <w:t>Public Governance, Performance and Accountability Act 2013</w:t>
      </w:r>
      <w:r w:rsidRPr="00150391">
        <w:rPr>
          <w:rFonts w:cs="Calibri"/>
        </w:rPr>
        <w:t xml:space="preserve"> and other administrative quarantines made by Finance). It is to be the same as the comparator figure included in the Appropriation Bills, and as such provides a comparison with the appropriation proposed for the budget year.</w:t>
      </w:r>
    </w:p>
    <w:p w14:paraId="6B14B3FF" w14:textId="77777777" w:rsidR="00FA0945" w:rsidRPr="00150391" w:rsidRDefault="53BF0693" w:rsidP="000A7DEC">
      <w:pPr>
        <w:pStyle w:val="Heading4"/>
        <w:rPr>
          <w:rFonts w:ascii="Calibri" w:hAnsi="Calibri" w:cs="Calibri"/>
        </w:rPr>
      </w:pPr>
      <w:r w:rsidRPr="00150391">
        <w:rPr>
          <w:rFonts w:ascii="Calibri" w:hAnsi="Calibri" w:cs="Calibri"/>
        </w:rPr>
        <w:t>Administered item</w:t>
      </w:r>
    </w:p>
    <w:p w14:paraId="144A1D9F" w14:textId="77777777" w:rsidR="002F060E" w:rsidRPr="00150391" w:rsidRDefault="53BF0693" w:rsidP="000A7DEC">
      <w:pPr>
        <w:rPr>
          <w:rFonts w:cs="Calibri"/>
        </w:rPr>
      </w:pPr>
      <w:r w:rsidRPr="00150391">
        <w:rPr>
          <w:rFonts w:cs="Calibri"/>
        </w:rPr>
        <w:t xml:space="preserve">Administered items are usually those managed by an entity on behalf of the </w:t>
      </w:r>
      <w:r w:rsidR="006418EA" w:rsidRPr="00150391">
        <w:rPr>
          <w:rFonts w:cs="Calibri"/>
        </w:rPr>
        <w:t>g</w:t>
      </w:r>
      <w:r w:rsidRPr="00150391">
        <w:rPr>
          <w:rFonts w:cs="Calibri"/>
        </w:rPr>
        <w:t xml:space="preserve">overnment. </w:t>
      </w:r>
      <w:r w:rsidR="00BC0DB5" w:rsidRPr="00150391">
        <w:rPr>
          <w:rFonts w:cs="Calibri"/>
        </w:rPr>
        <w:t>E</w:t>
      </w:r>
      <w:r w:rsidRPr="00150391">
        <w:rPr>
          <w:rFonts w:cs="Calibri"/>
        </w:rPr>
        <w:t>ntities do not have control over these items, which are normally related to activities governed by eligibility rules and conditions established by the legislation (for example, grants, subsidies and benefit payments).</w:t>
      </w:r>
    </w:p>
    <w:p w14:paraId="7A5F2A76" w14:textId="77777777" w:rsidR="00FA0945" w:rsidRPr="00150391" w:rsidRDefault="53BF0693" w:rsidP="000A7DEC">
      <w:pPr>
        <w:rPr>
          <w:rFonts w:cs="Calibri"/>
        </w:rPr>
      </w:pPr>
      <w:r w:rsidRPr="00150391">
        <w:rPr>
          <w:rFonts w:cs="Calibri"/>
        </w:rPr>
        <w:t>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p w14:paraId="2FECD892" w14:textId="3704AD4B" w:rsidR="002F0879" w:rsidRPr="00150391" w:rsidRDefault="53BF0693" w:rsidP="000A7DEC">
      <w:pPr>
        <w:pStyle w:val="Heading4"/>
        <w:rPr>
          <w:rFonts w:ascii="Calibri" w:hAnsi="Calibri" w:cs="Calibri"/>
        </w:rPr>
      </w:pPr>
      <w:r w:rsidRPr="00150391">
        <w:rPr>
          <w:rFonts w:ascii="Calibri" w:hAnsi="Calibri" w:cs="Calibri"/>
        </w:rPr>
        <w:t>Administrative Arrangement</w:t>
      </w:r>
      <w:r w:rsidR="00767433" w:rsidRPr="00150391">
        <w:rPr>
          <w:rFonts w:ascii="Calibri" w:hAnsi="Calibri" w:cs="Calibri"/>
        </w:rPr>
        <w:t>s</w:t>
      </w:r>
      <w:r w:rsidRPr="00150391">
        <w:rPr>
          <w:rFonts w:ascii="Calibri" w:hAnsi="Calibri" w:cs="Calibri"/>
        </w:rPr>
        <w:t xml:space="preserve"> Order </w:t>
      </w:r>
    </w:p>
    <w:p w14:paraId="2C3D1B81" w14:textId="77777777" w:rsidR="002F0879" w:rsidRPr="00150391" w:rsidRDefault="53BF0693" w:rsidP="002F0879">
      <w:pPr>
        <w:rPr>
          <w:rFonts w:cs="Calibri"/>
        </w:rPr>
      </w:pPr>
      <w:r w:rsidRPr="00150391">
        <w:rPr>
          <w:rFonts w:cs="Calibri"/>
        </w:rPr>
        <w:t>Administrative Arrangements Orders (AAOs) specify firstly, the subject matters, and secondly, the legislation dealt with by particular government departments.</w:t>
      </w:r>
    </w:p>
    <w:p w14:paraId="3F54DBC3" w14:textId="77777777" w:rsidR="00FA0945" w:rsidRPr="00150391" w:rsidRDefault="53BF0693" w:rsidP="000A7DEC">
      <w:pPr>
        <w:pStyle w:val="Heading4"/>
        <w:rPr>
          <w:rFonts w:ascii="Calibri" w:hAnsi="Calibri" w:cs="Calibri"/>
        </w:rPr>
      </w:pPr>
      <w:r w:rsidRPr="00150391">
        <w:rPr>
          <w:rFonts w:ascii="Calibri" w:hAnsi="Calibri" w:cs="Calibri"/>
        </w:rPr>
        <w:t xml:space="preserve">Agency advice unit </w:t>
      </w:r>
    </w:p>
    <w:p w14:paraId="357F8EA6" w14:textId="77777777" w:rsidR="00FA0945" w:rsidRPr="00150391" w:rsidRDefault="53BF0693" w:rsidP="000A7DEC">
      <w:pPr>
        <w:rPr>
          <w:rFonts w:cs="Calibri"/>
        </w:rPr>
      </w:pPr>
      <w:r w:rsidRPr="00150391">
        <w:rPr>
          <w:rFonts w:cs="Calibri"/>
        </w:rPr>
        <w:t xml:space="preserve">Advisers within the Budget and Financial Reporting Group, Finance that analyse expenditure trends of entities, agree costings of Policy Proposals, validate entities’ program estimates and advise entities on financial and budget matters. </w:t>
      </w:r>
    </w:p>
    <w:p w14:paraId="799042BA" w14:textId="77777777" w:rsidR="00FA0945" w:rsidRPr="00150391" w:rsidRDefault="53BF0693" w:rsidP="000A7DEC">
      <w:pPr>
        <w:pStyle w:val="Heading4"/>
        <w:rPr>
          <w:rFonts w:ascii="Calibri" w:hAnsi="Calibri" w:cs="Calibri"/>
        </w:rPr>
      </w:pPr>
      <w:r w:rsidRPr="00150391">
        <w:rPr>
          <w:rFonts w:ascii="Calibri" w:hAnsi="Calibri" w:cs="Calibri"/>
        </w:rPr>
        <w:t>Appropriation</w:t>
      </w:r>
    </w:p>
    <w:p w14:paraId="2E5CE444" w14:textId="77777777" w:rsidR="00FA0945" w:rsidRPr="00150391" w:rsidRDefault="53BF0693" w:rsidP="000A7DEC">
      <w:pPr>
        <w:rPr>
          <w:rFonts w:cs="Calibri"/>
        </w:rPr>
      </w:pPr>
      <w:r w:rsidRPr="00150391">
        <w:rPr>
          <w:rFonts w:cs="Calibri"/>
        </w:rPr>
        <w:t>An amount of public money the Parliament authorises for spending (i.e. funds to be withdrawn from the CRF). The Parliament makes laws for appropriating money under the Annual Appropriation Acts and under Special Appropriations, with spending restricted to the purposes specified in the Appropriation Acts.</w:t>
      </w:r>
    </w:p>
    <w:p w14:paraId="3CADC092" w14:textId="77777777" w:rsidR="00FA0945" w:rsidRPr="00150391" w:rsidRDefault="53BF0693" w:rsidP="000A7DEC">
      <w:pPr>
        <w:pStyle w:val="Heading4"/>
        <w:rPr>
          <w:rFonts w:ascii="Calibri" w:hAnsi="Calibri" w:cs="Calibri"/>
        </w:rPr>
      </w:pPr>
      <w:r w:rsidRPr="00150391">
        <w:rPr>
          <w:rFonts w:ascii="Calibri" w:hAnsi="Calibri" w:cs="Calibri"/>
        </w:rPr>
        <w:t xml:space="preserve">Appropriations and cash management module </w:t>
      </w:r>
    </w:p>
    <w:p w14:paraId="70C17FE5" w14:textId="77777777" w:rsidR="00FA0945" w:rsidRPr="00150391" w:rsidRDefault="53BF0693" w:rsidP="000A7DEC">
      <w:pPr>
        <w:rPr>
          <w:rFonts w:cs="Calibri"/>
        </w:rPr>
      </w:pPr>
      <w:r w:rsidRPr="00150391">
        <w:rPr>
          <w:rFonts w:cs="Calibri"/>
        </w:rPr>
        <w:t>A module of the CBMS from which entities draw down funds from the CRF.</w:t>
      </w:r>
    </w:p>
    <w:p w14:paraId="4A5472BF" w14:textId="77777777" w:rsidR="00554601" w:rsidRPr="00150391" w:rsidRDefault="53BF0693" w:rsidP="000A7DEC">
      <w:pPr>
        <w:pStyle w:val="Heading4"/>
        <w:rPr>
          <w:rFonts w:ascii="Calibri" w:hAnsi="Calibri" w:cs="Calibri"/>
        </w:rPr>
      </w:pPr>
      <w:r w:rsidRPr="00150391">
        <w:rPr>
          <w:rFonts w:ascii="Calibri" w:hAnsi="Calibri" w:cs="Calibri"/>
        </w:rPr>
        <w:t>Australian government organisation register</w:t>
      </w:r>
    </w:p>
    <w:p w14:paraId="24C2DB49" w14:textId="77777777" w:rsidR="00554601" w:rsidRPr="00150391" w:rsidRDefault="53BF0693" w:rsidP="000A7DEC">
      <w:pPr>
        <w:rPr>
          <w:rFonts w:cs="Calibri"/>
        </w:rPr>
      </w:pPr>
      <w:r w:rsidRPr="00150391">
        <w:rPr>
          <w:rFonts w:cs="Calibri"/>
        </w:rPr>
        <w:t>The AGOR provides information on the function, composition, origins and other details of Australian Government bodies. The scope is based on the characteristics used to describe the 12 main types of bodies identified for classification purposes.</w:t>
      </w:r>
    </w:p>
    <w:p w14:paraId="62634773" w14:textId="37D3B4F9" w:rsidR="00554601" w:rsidRPr="00150391" w:rsidRDefault="53BF0693" w:rsidP="000A7DEC">
      <w:pPr>
        <w:rPr>
          <w:rFonts w:cs="Calibri"/>
        </w:rPr>
      </w:pPr>
      <w:r w:rsidRPr="00150391">
        <w:rPr>
          <w:rFonts w:cs="Calibri"/>
        </w:rPr>
        <w:t xml:space="preserve">The AGOR dataset forms part of the </w:t>
      </w:r>
      <w:hyperlink r:id="rId108" w:history="1">
        <w:r w:rsidRPr="002B4935">
          <w:rPr>
            <w:rStyle w:val="Hyperlink"/>
            <w:rFonts w:ascii="Calibri" w:hAnsi="Calibri" w:cs="Calibri"/>
            <w:color w:val="0070C0"/>
          </w:rPr>
          <w:t>Organisation and Appointments Register</w:t>
        </w:r>
      </w:hyperlink>
      <w:r w:rsidRPr="00150391">
        <w:rPr>
          <w:rFonts w:cs="Calibri"/>
        </w:rPr>
        <w:t xml:space="preserve"> which supports the front-facing website known as </w:t>
      </w:r>
      <w:hyperlink r:id="rId109" w:history="1">
        <w:r w:rsidR="000733FF" w:rsidRPr="002B4935">
          <w:rPr>
            <w:rStyle w:val="Hyperlink"/>
            <w:rFonts w:ascii="Calibri" w:hAnsi="Calibri" w:cs="Calibri"/>
            <w:color w:val="0070C0"/>
          </w:rPr>
          <w:t>directory.gov.au</w:t>
        </w:r>
      </w:hyperlink>
      <w:r w:rsidRPr="00150391">
        <w:rPr>
          <w:rFonts w:cs="Calibri"/>
        </w:rPr>
        <w:t>:</w:t>
      </w:r>
    </w:p>
    <w:p w14:paraId="15B8EF01" w14:textId="7A2B40F9" w:rsidR="00554601" w:rsidRPr="00150391" w:rsidRDefault="53BF0693" w:rsidP="004E7B5C">
      <w:pPr>
        <w:rPr>
          <w:rStyle w:val="Hyperlink"/>
          <w:rFonts w:ascii="Calibri" w:hAnsi="Calibri" w:cs="Calibri"/>
        </w:rPr>
      </w:pPr>
      <w:r w:rsidRPr="00150391">
        <w:rPr>
          <w:rFonts w:cs="Calibri"/>
        </w:rPr>
        <w:t xml:space="preserve">The </w:t>
      </w:r>
      <w:r w:rsidR="00396887" w:rsidRPr="00150391">
        <w:rPr>
          <w:rFonts w:cs="Calibri"/>
        </w:rPr>
        <w:t>portfolio department</w:t>
      </w:r>
      <w:r w:rsidRPr="00150391">
        <w:rPr>
          <w:rFonts w:cs="Calibri"/>
        </w:rPr>
        <w:t>s are responsible for collecting information about the entities and bodies listed. Further information</w:t>
      </w:r>
      <w:r w:rsidR="00DB5F5A" w:rsidRPr="00150391">
        <w:rPr>
          <w:rFonts w:cs="Calibri"/>
        </w:rPr>
        <w:t xml:space="preserve"> on the </w:t>
      </w:r>
      <w:hyperlink r:id="rId110" w:history="1">
        <w:r w:rsidR="00DB5F5A" w:rsidRPr="002B4935">
          <w:rPr>
            <w:rStyle w:val="Hyperlink"/>
            <w:rFonts w:ascii="Calibri" w:hAnsi="Calibri" w:cs="Calibri"/>
            <w:color w:val="0070C0"/>
          </w:rPr>
          <w:t>AGOR</w:t>
        </w:r>
        <w:r w:rsidRPr="002B4935">
          <w:rPr>
            <w:rStyle w:val="Hyperlink"/>
            <w:rFonts w:ascii="Calibri" w:hAnsi="Calibri" w:cs="Calibri"/>
            <w:color w:val="0070C0"/>
          </w:rPr>
          <w:t xml:space="preserve"> </w:t>
        </w:r>
        <w:r w:rsidR="00DB5F5A" w:rsidRPr="002B4935">
          <w:rPr>
            <w:rStyle w:val="Hyperlink"/>
            <w:rFonts w:ascii="Calibri" w:hAnsi="Calibri" w:cs="Calibri"/>
            <w:color w:val="0070C0"/>
          </w:rPr>
          <w:t>dataset</w:t>
        </w:r>
      </w:hyperlink>
      <w:r w:rsidR="00DB5F5A" w:rsidRPr="00150391">
        <w:rPr>
          <w:rFonts w:cs="Calibri"/>
        </w:rPr>
        <w:t xml:space="preserve"> </w:t>
      </w:r>
      <w:r w:rsidRPr="00150391">
        <w:rPr>
          <w:rFonts w:cs="Calibri"/>
        </w:rPr>
        <w:t>can also be found on Finance's website at</w:t>
      </w:r>
      <w:r w:rsidR="00DB5F5A" w:rsidRPr="00150391">
        <w:rPr>
          <w:rFonts w:cs="Calibri"/>
        </w:rPr>
        <w:t>.</w:t>
      </w:r>
    </w:p>
    <w:p w14:paraId="72B5C63D" w14:textId="77777777" w:rsidR="00FA0945" w:rsidRPr="00150391" w:rsidRDefault="53BF0693" w:rsidP="000A7DEC">
      <w:pPr>
        <w:pStyle w:val="Heading4"/>
        <w:rPr>
          <w:rFonts w:ascii="Calibri" w:hAnsi="Calibri" w:cs="Calibri"/>
        </w:rPr>
      </w:pPr>
      <w:r w:rsidRPr="00150391">
        <w:rPr>
          <w:rFonts w:ascii="Calibri" w:hAnsi="Calibri" w:cs="Calibri"/>
        </w:rPr>
        <w:t>Budget Paper 1 (BP No. 1)</w:t>
      </w:r>
    </w:p>
    <w:p w14:paraId="4282F9F0" w14:textId="77777777" w:rsidR="00FA0945" w:rsidRPr="00150391" w:rsidRDefault="53BF0693" w:rsidP="000A7DEC">
      <w:pPr>
        <w:rPr>
          <w:rFonts w:cs="Calibri"/>
        </w:rPr>
      </w:pPr>
      <w:r w:rsidRPr="00150391">
        <w:rPr>
          <w:rFonts w:cs="Calibri"/>
        </w:rPr>
        <w:t xml:space="preserve">Budget Strategy and Outlook. Provides information on the economic and fiscal outlook for the Australian Government, including information on the </w:t>
      </w:r>
      <w:r w:rsidR="006418EA" w:rsidRPr="00150391">
        <w:rPr>
          <w:rFonts w:cs="Calibri"/>
        </w:rPr>
        <w:t>government</w:t>
      </w:r>
      <w:r w:rsidRPr="00150391">
        <w:rPr>
          <w:rFonts w:cs="Calibri"/>
        </w:rPr>
        <w:t>’s fiscal strategy.</w:t>
      </w:r>
    </w:p>
    <w:p w14:paraId="35BB35B1" w14:textId="77777777" w:rsidR="00FA0945" w:rsidRPr="00150391" w:rsidRDefault="53BF0693" w:rsidP="000A7DEC">
      <w:pPr>
        <w:pStyle w:val="Heading4"/>
        <w:rPr>
          <w:rFonts w:ascii="Calibri" w:hAnsi="Calibri" w:cs="Calibri"/>
        </w:rPr>
      </w:pPr>
      <w:r w:rsidRPr="00150391">
        <w:rPr>
          <w:rFonts w:ascii="Calibri" w:hAnsi="Calibri" w:cs="Calibri"/>
        </w:rPr>
        <w:t>Budget Paper 2 (BP No. 2)</w:t>
      </w:r>
    </w:p>
    <w:p w14:paraId="6A07A868" w14:textId="77777777" w:rsidR="00FA0945" w:rsidRPr="00150391" w:rsidRDefault="53BF0693" w:rsidP="000A7DEC">
      <w:pPr>
        <w:rPr>
          <w:rFonts w:cs="Calibri"/>
        </w:rPr>
      </w:pPr>
      <w:r w:rsidRPr="00150391">
        <w:rPr>
          <w:rFonts w:cs="Calibri"/>
        </w:rPr>
        <w:t xml:space="preserve">Budget Measures. Provides a description of each budget measure (receipts and payments) by </w:t>
      </w:r>
      <w:r w:rsidR="00396887" w:rsidRPr="00150391">
        <w:rPr>
          <w:rFonts w:cs="Calibri"/>
        </w:rPr>
        <w:t>portfolio</w:t>
      </w:r>
      <w:r w:rsidRPr="00150391">
        <w:rPr>
          <w:rFonts w:cs="Calibri"/>
        </w:rPr>
        <w:t>.</w:t>
      </w:r>
    </w:p>
    <w:p w14:paraId="42D48735" w14:textId="77777777" w:rsidR="00FA0945" w:rsidRPr="00150391" w:rsidRDefault="53BF0693" w:rsidP="000A7DEC">
      <w:pPr>
        <w:pStyle w:val="Heading4"/>
        <w:rPr>
          <w:rFonts w:ascii="Calibri" w:hAnsi="Calibri" w:cs="Calibri"/>
        </w:rPr>
      </w:pPr>
      <w:r w:rsidRPr="00150391">
        <w:rPr>
          <w:rFonts w:ascii="Calibri" w:hAnsi="Calibri" w:cs="Calibri"/>
        </w:rPr>
        <w:t>Budget Paper 3 (BP No. 3)</w:t>
      </w:r>
    </w:p>
    <w:p w14:paraId="6E53C588" w14:textId="77777777" w:rsidR="00FA0945" w:rsidRPr="00150391" w:rsidRDefault="53BF0693" w:rsidP="000A7DEC">
      <w:pPr>
        <w:rPr>
          <w:rFonts w:cs="Calibri"/>
        </w:rPr>
      </w:pPr>
      <w:r w:rsidRPr="00150391">
        <w:rPr>
          <w:rFonts w:cs="Calibri"/>
        </w:rPr>
        <w:t>Australia’s Federal Relations. Provides information and analysis on Federal funding provided to the States, Territories and local government.</w:t>
      </w:r>
    </w:p>
    <w:p w14:paraId="1ECDE4F9" w14:textId="77777777" w:rsidR="00FA0945" w:rsidRPr="00150391" w:rsidRDefault="53BF0693" w:rsidP="000A7DEC">
      <w:pPr>
        <w:pStyle w:val="Heading4"/>
        <w:rPr>
          <w:rFonts w:ascii="Calibri" w:hAnsi="Calibri" w:cs="Calibri"/>
        </w:rPr>
      </w:pPr>
      <w:r w:rsidRPr="00150391">
        <w:rPr>
          <w:rFonts w:ascii="Calibri" w:hAnsi="Calibri" w:cs="Calibri"/>
        </w:rPr>
        <w:t>Budget Paper 4 (BP No. 4)</w:t>
      </w:r>
    </w:p>
    <w:p w14:paraId="5BD5F3F4" w14:textId="77777777" w:rsidR="00FA0945" w:rsidRPr="00150391" w:rsidRDefault="53BF0693" w:rsidP="000A7DEC">
      <w:pPr>
        <w:rPr>
          <w:rFonts w:cs="Calibri"/>
        </w:rPr>
      </w:pPr>
      <w:r w:rsidRPr="00150391">
        <w:rPr>
          <w:rFonts w:cs="Calibri"/>
        </w:rPr>
        <w:t xml:space="preserve">Agency Resourcing. Contains information on resourcing for Australian Government entities (including special appropriations, special accounts and a summary of agency resourcing). </w:t>
      </w:r>
    </w:p>
    <w:p w14:paraId="39FCCD21" w14:textId="77777777" w:rsidR="00FA0945" w:rsidRPr="00150391" w:rsidRDefault="53BF0693" w:rsidP="000A7DEC">
      <w:pPr>
        <w:pStyle w:val="Heading4"/>
        <w:rPr>
          <w:rFonts w:ascii="Calibri" w:hAnsi="Calibri" w:cs="Calibri"/>
        </w:rPr>
      </w:pPr>
      <w:r w:rsidRPr="00150391">
        <w:rPr>
          <w:rFonts w:ascii="Calibri" w:hAnsi="Calibri" w:cs="Calibri"/>
        </w:rPr>
        <w:t xml:space="preserve">Central budget management system </w:t>
      </w:r>
    </w:p>
    <w:p w14:paraId="32563DA3" w14:textId="77777777" w:rsidR="00CD0900" w:rsidRPr="00150391" w:rsidRDefault="53BF0693" w:rsidP="000A7DEC">
      <w:pPr>
        <w:rPr>
          <w:rFonts w:cs="Calibri"/>
        </w:rPr>
      </w:pPr>
      <w:r w:rsidRPr="00150391">
        <w:rPr>
          <w:rFonts w:cs="Calibri"/>
        </w:rPr>
        <w:t>The Central Budget Management System (CBMS) is the Australian Government’s central budget and financial management information system administered by Finance. It contains the Commonwealth’s program list and produces the annual Appropriation Bills.</w:t>
      </w:r>
    </w:p>
    <w:p w14:paraId="3187571B" w14:textId="77777777" w:rsidR="00FA0945" w:rsidRPr="00150391" w:rsidRDefault="53BF0693" w:rsidP="000A7DEC">
      <w:pPr>
        <w:pStyle w:val="Heading4"/>
        <w:rPr>
          <w:rFonts w:ascii="Calibri" w:hAnsi="Calibri" w:cs="Calibri"/>
        </w:rPr>
      </w:pPr>
      <w:r w:rsidRPr="00150391">
        <w:rPr>
          <w:rFonts w:ascii="Calibri" w:hAnsi="Calibri" w:cs="Calibri"/>
        </w:rPr>
        <w:t>Clear read principle</w:t>
      </w:r>
    </w:p>
    <w:p w14:paraId="302565D3" w14:textId="77777777" w:rsidR="00B06B0D" w:rsidRPr="00150391" w:rsidRDefault="53BF0693" w:rsidP="00B06B0D">
      <w:pPr>
        <w:rPr>
          <w:rFonts w:cs="Calibri"/>
        </w:rPr>
      </w:pPr>
      <w:r w:rsidRPr="00150391">
        <w:rPr>
          <w:rFonts w:cs="Calibri"/>
        </w:rPr>
        <w:t xml:space="preserve">The Commonwealth Resource Management Framework is designed to support an accountable and transparent public sector by providing the opportunity for the Parliament and the public to make judgements on the performance of Commonwealth entities. To assist readers to form a judgment, reporting by entities should provide a clear linkage (a “clear read”) between the allocation and use of public resources, and the results being achieved. </w:t>
      </w:r>
    </w:p>
    <w:p w14:paraId="25C02047" w14:textId="77777777" w:rsidR="00B06B0D" w:rsidRPr="00150391" w:rsidRDefault="53BF0693" w:rsidP="7185AFE5">
      <w:pPr>
        <w:rPr>
          <w:rFonts w:cs="Calibri"/>
          <w:bCs/>
          <w:iCs/>
        </w:rPr>
      </w:pPr>
      <w:r w:rsidRPr="00150391">
        <w:rPr>
          <w:rFonts w:cs="Calibri"/>
        </w:rPr>
        <w:t>Entities should present information clearly and consistently (and ensure it is reconcilable) between/across reporting documents.</w:t>
      </w:r>
    </w:p>
    <w:p w14:paraId="56A3085A" w14:textId="77777777" w:rsidR="00FA0945" w:rsidRPr="00150391" w:rsidRDefault="53BF0693" w:rsidP="00B06B0D">
      <w:pPr>
        <w:pStyle w:val="Heading4"/>
        <w:rPr>
          <w:rFonts w:ascii="Calibri" w:hAnsi="Calibri" w:cs="Calibri"/>
        </w:rPr>
      </w:pPr>
      <w:r w:rsidRPr="00150391">
        <w:rPr>
          <w:rFonts w:ascii="Calibri" w:hAnsi="Calibri" w:cs="Calibri"/>
        </w:rPr>
        <w:t>Consolidated Revenue Fund</w:t>
      </w:r>
    </w:p>
    <w:p w14:paraId="47844640" w14:textId="77777777" w:rsidR="00FA0945" w:rsidRPr="00150391" w:rsidRDefault="53BF0693" w:rsidP="000A7DEC">
      <w:pPr>
        <w:rPr>
          <w:rFonts w:cs="Calibri"/>
        </w:rPr>
      </w:pPr>
      <w:r w:rsidRPr="00150391">
        <w:rPr>
          <w:rFonts w:cs="Calibri"/>
        </w:rPr>
        <w:t xml:space="preserve">The principal operating fund from which money is drawn to pay for the activities of the </w:t>
      </w:r>
      <w:r w:rsidR="006418EA" w:rsidRPr="00150391">
        <w:rPr>
          <w:rFonts w:cs="Calibri"/>
        </w:rPr>
        <w:t>government</w:t>
      </w:r>
      <w:r w:rsidRPr="00150391">
        <w:rPr>
          <w:rFonts w:cs="Calibri"/>
        </w:rPr>
        <w:t xml:space="preserve">. Section 81 of the Australian Constitution provides all revenue raised or monies received by the </w:t>
      </w:r>
      <w:r w:rsidR="006418EA" w:rsidRPr="00150391">
        <w:rPr>
          <w:rFonts w:cs="Calibri"/>
        </w:rPr>
        <w:t>e</w:t>
      </w:r>
      <w:r w:rsidRPr="00150391">
        <w:rPr>
          <w:rFonts w:cs="Calibri"/>
        </w:rPr>
        <w:t xml:space="preserve">xecutive </w:t>
      </w:r>
      <w:r w:rsidR="006418EA" w:rsidRPr="00150391">
        <w:rPr>
          <w:rFonts w:cs="Calibri"/>
        </w:rPr>
        <w:t>g</w:t>
      </w:r>
      <w:r w:rsidRPr="00150391">
        <w:rPr>
          <w:rFonts w:cs="Calibri"/>
        </w:rPr>
        <w:t>overnment forms one consolidated revenue fund from which appropriations are made for the purposes of the Australian Government.</w:t>
      </w:r>
    </w:p>
    <w:p w14:paraId="3887F21F" w14:textId="77777777" w:rsidR="00FA0945" w:rsidRPr="00150391" w:rsidRDefault="53BF0693" w:rsidP="000A7DEC">
      <w:pPr>
        <w:pStyle w:val="Heading4"/>
        <w:rPr>
          <w:rFonts w:ascii="Calibri" w:hAnsi="Calibri" w:cs="Calibri"/>
        </w:rPr>
      </w:pPr>
      <w:r w:rsidRPr="00150391">
        <w:rPr>
          <w:rFonts w:ascii="Calibri" w:hAnsi="Calibri" w:cs="Calibri"/>
        </w:rPr>
        <w:t>Contractor</w:t>
      </w:r>
    </w:p>
    <w:p w14:paraId="5260662E" w14:textId="77777777" w:rsidR="00FA0945" w:rsidRPr="00150391" w:rsidRDefault="53BF0693" w:rsidP="000A7DEC">
      <w:pPr>
        <w:rPr>
          <w:rFonts w:cs="Calibri"/>
        </w:rPr>
      </w:pPr>
      <w:r w:rsidRPr="00150391">
        <w:rPr>
          <w:rFonts w:cs="Calibri"/>
        </w:rPr>
        <w:t>A person engaged by an entity, usually on a temporary basis. Treated as an employee of the entity for the purposes of program performance reporting.</w:t>
      </w:r>
    </w:p>
    <w:p w14:paraId="573CC129" w14:textId="77777777" w:rsidR="00FA0945" w:rsidRPr="00150391" w:rsidRDefault="53BF0693" w:rsidP="000A7DEC">
      <w:pPr>
        <w:pStyle w:val="Heading4"/>
        <w:rPr>
          <w:rFonts w:ascii="Calibri" w:hAnsi="Calibri" w:cs="Calibri"/>
        </w:rPr>
      </w:pPr>
      <w:r w:rsidRPr="00150391">
        <w:rPr>
          <w:rFonts w:ascii="Calibri" w:hAnsi="Calibri" w:cs="Calibri"/>
        </w:rPr>
        <w:t>Departmental item</w:t>
      </w:r>
    </w:p>
    <w:p w14:paraId="50CB228D" w14:textId="77777777" w:rsidR="00FA0945" w:rsidRPr="00150391" w:rsidRDefault="53BF0693" w:rsidP="000A7DEC">
      <w:pPr>
        <w:rPr>
          <w:rFonts w:cs="Calibri"/>
        </w:rPr>
      </w:pPr>
      <w:r w:rsidRPr="00150391">
        <w:rPr>
          <w:rFonts w:cs="Calibri"/>
        </w:rPr>
        <w:t xml:space="preserve">Resources (assets, liabilities, revenues and expenses) that the entity’s Accountable Authority controls directly. This includes outsourced activities funded and controlled by the entity. Examples of departmental items include entity running costs, accrued employee entitlements and net appropriations. A departmental item is a component of a departmental program. </w:t>
      </w:r>
    </w:p>
    <w:p w14:paraId="1BF96134" w14:textId="77777777" w:rsidR="00FA0945" w:rsidRPr="00150391" w:rsidRDefault="53BF0693" w:rsidP="000A7DEC">
      <w:pPr>
        <w:pStyle w:val="Heading4"/>
        <w:rPr>
          <w:rFonts w:ascii="Calibri" w:hAnsi="Calibri" w:cs="Calibri"/>
        </w:rPr>
      </w:pPr>
      <w:r w:rsidRPr="00150391">
        <w:rPr>
          <w:rFonts w:ascii="Calibri" w:hAnsi="Calibri" w:cs="Calibri"/>
        </w:rPr>
        <w:t>Entities</w:t>
      </w:r>
    </w:p>
    <w:p w14:paraId="4912C389" w14:textId="5AFE04C7" w:rsidR="00FA0945" w:rsidRPr="00150391" w:rsidRDefault="53BF0693" w:rsidP="53BF0693">
      <w:pPr>
        <w:rPr>
          <w:rFonts w:cs="Calibri"/>
          <w:i/>
          <w:iCs/>
        </w:rPr>
      </w:pPr>
      <w:r w:rsidRPr="00150391">
        <w:rPr>
          <w:rFonts w:cs="Calibri"/>
        </w:rPr>
        <w:t>For the purposes of this guidance, this means Commonwealth entities and Commonwealth companies as defined under the PGPA Act</w:t>
      </w:r>
      <w:r w:rsidRPr="00150391">
        <w:rPr>
          <w:rFonts w:cs="Calibri"/>
          <w:i/>
          <w:iCs/>
        </w:rPr>
        <w:t xml:space="preserve"> </w:t>
      </w:r>
      <w:r w:rsidRPr="00150391">
        <w:rPr>
          <w:rFonts w:cs="Calibri"/>
        </w:rPr>
        <w:t xml:space="preserve">that are within the </w:t>
      </w:r>
      <w:r w:rsidR="00681C3A" w:rsidRPr="00150391">
        <w:rPr>
          <w:rFonts w:cs="Calibri"/>
        </w:rPr>
        <w:t>GGS</w:t>
      </w:r>
      <w:r w:rsidR="00B83588" w:rsidRPr="00150391">
        <w:rPr>
          <w:rFonts w:cs="Calibri"/>
        </w:rPr>
        <w:t>,</w:t>
      </w:r>
      <w:r w:rsidRPr="00150391">
        <w:rPr>
          <w:rFonts w:cs="Calibri"/>
        </w:rPr>
        <w:t xml:space="preserve"> the High Court of Australia and the Future Fund Board of Guardians.</w:t>
      </w:r>
    </w:p>
    <w:p w14:paraId="6FE428B9" w14:textId="77777777" w:rsidR="00FA0945" w:rsidRPr="00150391" w:rsidRDefault="53BF0693" w:rsidP="000A7DEC">
      <w:pPr>
        <w:pStyle w:val="Heading4"/>
        <w:rPr>
          <w:rFonts w:ascii="Calibri" w:hAnsi="Calibri" w:cs="Calibri"/>
        </w:rPr>
      </w:pPr>
      <w:r w:rsidRPr="00150391">
        <w:rPr>
          <w:rFonts w:ascii="Calibri" w:hAnsi="Calibri" w:cs="Calibri"/>
        </w:rPr>
        <w:t>Estimated actual expenses</w:t>
      </w:r>
    </w:p>
    <w:p w14:paraId="1EFB25C3" w14:textId="77777777" w:rsidR="00FA0945" w:rsidRPr="00150391" w:rsidRDefault="53BF0693" w:rsidP="000A7DEC">
      <w:pPr>
        <w:rPr>
          <w:rFonts w:cs="Calibri"/>
        </w:rPr>
      </w:pPr>
      <w:r w:rsidRPr="00150391">
        <w:rPr>
          <w:rFonts w:cs="Calibri"/>
        </w:rPr>
        <w:t xml:space="preserve">Details of the current year’s estimated final figures as included in the Budget documentation. As the Budget is </w:t>
      </w:r>
      <w:r w:rsidR="00467790" w:rsidRPr="00150391">
        <w:rPr>
          <w:rFonts w:cs="Calibri"/>
        </w:rPr>
        <w:t xml:space="preserve">generally </w:t>
      </w:r>
      <w:r w:rsidRPr="00150391">
        <w:rPr>
          <w:rFonts w:cs="Calibri"/>
        </w:rPr>
        <w:t>released in May each year, but the financial year does not end until 30 June, the current year numbers that are used for comparison with Budget amounts can only be estimates.</w:t>
      </w:r>
    </w:p>
    <w:p w14:paraId="23E47AB1" w14:textId="77777777" w:rsidR="00FA0945" w:rsidRPr="00150391" w:rsidRDefault="53BF0693" w:rsidP="000A7DEC">
      <w:pPr>
        <w:pStyle w:val="Heading4"/>
        <w:rPr>
          <w:rFonts w:ascii="Calibri" w:hAnsi="Calibri" w:cs="Calibri"/>
        </w:rPr>
      </w:pPr>
      <w:r w:rsidRPr="00150391">
        <w:rPr>
          <w:rFonts w:ascii="Calibri" w:hAnsi="Calibri" w:cs="Calibri"/>
        </w:rPr>
        <w:t>Expenses not requiring appropriation in the Budget year</w:t>
      </w:r>
    </w:p>
    <w:p w14:paraId="0F438B68" w14:textId="77777777" w:rsidR="00FA0945" w:rsidRPr="00150391" w:rsidRDefault="53BF0693" w:rsidP="000A7DEC">
      <w:pPr>
        <w:rPr>
          <w:rFonts w:cs="Calibri"/>
        </w:rPr>
      </w:pPr>
      <w:r w:rsidRPr="00150391">
        <w:rPr>
          <w:rFonts w:cs="Calibri"/>
        </w:rPr>
        <w:t>Expenses which do not involve a cash flow impact in the Budget year are generally excluded from the calculation of an appropriation. An example of such an event is goods or services received free of charge that are then expensed (i.e. the ANAO) audit services — the ANAO does not charge for audit services however the expense must be recognised). Similarly, bad debts are recognised as an expense but are not recognised for the purpose of calculating appropriation amounts to be sought from Parliament.</w:t>
      </w:r>
    </w:p>
    <w:p w14:paraId="2D47C39D" w14:textId="77777777" w:rsidR="00FA0945" w:rsidRPr="00150391" w:rsidRDefault="53BF0693" w:rsidP="000A7DEC">
      <w:pPr>
        <w:pStyle w:val="Heading4"/>
        <w:rPr>
          <w:rFonts w:ascii="Calibri" w:hAnsi="Calibri" w:cs="Calibri"/>
        </w:rPr>
      </w:pPr>
      <w:r w:rsidRPr="00150391">
        <w:rPr>
          <w:rFonts w:ascii="Calibri" w:hAnsi="Calibri" w:cs="Calibri"/>
        </w:rPr>
        <w:t>Financial management information system</w:t>
      </w:r>
    </w:p>
    <w:p w14:paraId="352825AB" w14:textId="77777777" w:rsidR="00FA0945" w:rsidRPr="00150391" w:rsidRDefault="53BF0693" w:rsidP="000A7DEC">
      <w:pPr>
        <w:rPr>
          <w:rFonts w:cs="Calibri"/>
        </w:rPr>
      </w:pPr>
      <w:r w:rsidRPr="00150391">
        <w:rPr>
          <w:rFonts w:cs="Calibri"/>
        </w:rPr>
        <w:t>A system that holds the financial information of an entity.</w:t>
      </w:r>
    </w:p>
    <w:p w14:paraId="6039DD79" w14:textId="77777777" w:rsidR="00FA0945" w:rsidRPr="00150391" w:rsidRDefault="53BF0693" w:rsidP="000A7DEC">
      <w:pPr>
        <w:pStyle w:val="Heading4"/>
        <w:rPr>
          <w:rFonts w:ascii="Calibri" w:hAnsi="Calibri" w:cs="Calibri"/>
        </w:rPr>
      </w:pPr>
      <w:r w:rsidRPr="00150391">
        <w:rPr>
          <w:rFonts w:ascii="Calibri" w:hAnsi="Calibri" w:cs="Calibri"/>
        </w:rPr>
        <w:t>Forward estimates period</w:t>
      </w:r>
    </w:p>
    <w:p w14:paraId="26F24852" w14:textId="77777777" w:rsidR="00FA0945" w:rsidRPr="00150391" w:rsidRDefault="53BF0693" w:rsidP="000A7DEC">
      <w:pPr>
        <w:rPr>
          <w:rFonts w:cs="Calibri"/>
        </w:rPr>
      </w:pPr>
      <w:r w:rsidRPr="00150391">
        <w:rPr>
          <w:rFonts w:cs="Calibri"/>
        </w:rPr>
        <w:t xml:space="preserve">The three years following the budget year. For example, if </w:t>
      </w:r>
      <w:r w:rsidR="00BA2416" w:rsidRPr="00150391">
        <w:rPr>
          <w:rFonts w:cs="Calibri"/>
        </w:rPr>
        <w:t>2022</w:t>
      </w:r>
      <w:r w:rsidRPr="00150391">
        <w:rPr>
          <w:rFonts w:cs="Calibri"/>
        </w:rPr>
        <w:t>-</w:t>
      </w:r>
      <w:r w:rsidR="00BA2416" w:rsidRPr="00150391">
        <w:rPr>
          <w:rFonts w:cs="Calibri"/>
        </w:rPr>
        <w:t xml:space="preserve">23 </w:t>
      </w:r>
      <w:r w:rsidRPr="00150391">
        <w:rPr>
          <w:rFonts w:cs="Calibri"/>
        </w:rPr>
        <w:t xml:space="preserve">is the Budget year, </w:t>
      </w:r>
      <w:r w:rsidR="00FA0945" w:rsidRPr="00150391">
        <w:rPr>
          <w:rFonts w:cs="Calibri"/>
        </w:rPr>
        <w:br/>
      </w:r>
      <w:r w:rsidR="00BA2416" w:rsidRPr="00150391">
        <w:rPr>
          <w:rFonts w:cs="Calibri"/>
        </w:rPr>
        <w:t>2023</w:t>
      </w:r>
      <w:r w:rsidRPr="00150391">
        <w:rPr>
          <w:rFonts w:cs="Calibri"/>
        </w:rPr>
        <w:t>-</w:t>
      </w:r>
      <w:r w:rsidR="00BA2416" w:rsidRPr="00150391">
        <w:rPr>
          <w:rFonts w:cs="Calibri"/>
        </w:rPr>
        <w:t xml:space="preserve">24 </w:t>
      </w:r>
      <w:r w:rsidRPr="00150391">
        <w:rPr>
          <w:rFonts w:cs="Calibri"/>
        </w:rPr>
        <w:t xml:space="preserve">is forward year 1, </w:t>
      </w:r>
      <w:r w:rsidR="00BA2416" w:rsidRPr="00150391">
        <w:rPr>
          <w:rFonts w:cs="Calibri"/>
        </w:rPr>
        <w:t>2024</w:t>
      </w:r>
      <w:r w:rsidRPr="00150391">
        <w:rPr>
          <w:rFonts w:cs="Calibri"/>
        </w:rPr>
        <w:t>-</w:t>
      </w:r>
      <w:r w:rsidR="00BA2416" w:rsidRPr="00150391">
        <w:rPr>
          <w:rFonts w:cs="Calibri"/>
        </w:rPr>
        <w:t xml:space="preserve">25 </w:t>
      </w:r>
      <w:r w:rsidRPr="00150391">
        <w:rPr>
          <w:rFonts w:cs="Calibri"/>
        </w:rPr>
        <w:t xml:space="preserve">is forward year 2 and </w:t>
      </w:r>
      <w:r w:rsidR="00BA2416" w:rsidRPr="00150391">
        <w:rPr>
          <w:rFonts w:cs="Calibri"/>
        </w:rPr>
        <w:t>2025</w:t>
      </w:r>
      <w:r w:rsidRPr="00150391">
        <w:rPr>
          <w:rFonts w:cs="Calibri"/>
        </w:rPr>
        <w:t>-</w:t>
      </w:r>
      <w:r w:rsidR="00BA2416" w:rsidRPr="00150391">
        <w:rPr>
          <w:rFonts w:cs="Calibri"/>
        </w:rPr>
        <w:t xml:space="preserve">26 </w:t>
      </w:r>
      <w:r w:rsidRPr="00150391">
        <w:rPr>
          <w:rFonts w:cs="Calibri"/>
        </w:rPr>
        <w:t>is forward year 3. This period does not include the (</w:t>
      </w:r>
      <w:r w:rsidR="00BA2416" w:rsidRPr="00150391">
        <w:rPr>
          <w:rFonts w:cs="Calibri"/>
        </w:rPr>
        <w:t>2021</w:t>
      </w:r>
      <w:r w:rsidRPr="00150391">
        <w:rPr>
          <w:rFonts w:cs="Calibri"/>
        </w:rPr>
        <w:t>-</w:t>
      </w:r>
      <w:r w:rsidR="00BA2416" w:rsidRPr="00150391">
        <w:rPr>
          <w:rFonts w:cs="Calibri"/>
        </w:rPr>
        <w:t>22</w:t>
      </w:r>
      <w:r w:rsidRPr="00150391">
        <w:rPr>
          <w:rFonts w:cs="Calibri"/>
        </w:rPr>
        <w:t>) or the Budget year (</w:t>
      </w:r>
      <w:r w:rsidR="00BA2416" w:rsidRPr="00150391">
        <w:rPr>
          <w:rFonts w:cs="Calibri"/>
        </w:rPr>
        <w:t>2022</w:t>
      </w:r>
      <w:r w:rsidRPr="00150391">
        <w:rPr>
          <w:rFonts w:cs="Calibri"/>
        </w:rPr>
        <w:t>-</w:t>
      </w:r>
      <w:r w:rsidR="00BA2416" w:rsidRPr="00150391">
        <w:rPr>
          <w:rFonts w:cs="Calibri"/>
        </w:rPr>
        <w:t>23</w:t>
      </w:r>
      <w:r w:rsidRPr="00150391">
        <w:rPr>
          <w:rFonts w:cs="Calibri"/>
        </w:rPr>
        <w:t>).</w:t>
      </w:r>
    </w:p>
    <w:p w14:paraId="37CD31B4" w14:textId="77777777" w:rsidR="00FA0945" w:rsidRPr="00150391" w:rsidRDefault="53BF0693" w:rsidP="000A7DEC">
      <w:pPr>
        <w:pStyle w:val="Heading4"/>
        <w:rPr>
          <w:rFonts w:ascii="Calibri" w:hAnsi="Calibri" w:cs="Calibri"/>
        </w:rPr>
      </w:pPr>
      <w:r w:rsidRPr="00150391">
        <w:rPr>
          <w:rFonts w:ascii="Calibri" w:hAnsi="Calibri" w:cs="Calibri"/>
        </w:rPr>
        <w:t>General government sector</w:t>
      </w:r>
    </w:p>
    <w:p w14:paraId="55F89DE8" w14:textId="77777777" w:rsidR="00FA0945" w:rsidRPr="00150391" w:rsidRDefault="53BF0693" w:rsidP="000A7DEC">
      <w:pPr>
        <w:rPr>
          <w:rFonts w:cs="Calibri"/>
        </w:rPr>
      </w:pPr>
      <w:r w:rsidRPr="00150391">
        <w:rPr>
          <w:rFonts w:cs="Calibri"/>
        </w:rPr>
        <w:t xml:space="preserve">A Government Finance Statistics’ classification of all entities that are controlled and largely funded by the Australian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 </w:t>
      </w:r>
    </w:p>
    <w:p w14:paraId="3DCEAD1D" w14:textId="77777777" w:rsidR="00FA0945" w:rsidRPr="00150391" w:rsidRDefault="53BF0693" w:rsidP="000A7DEC">
      <w:pPr>
        <w:pStyle w:val="Heading4"/>
        <w:rPr>
          <w:rFonts w:ascii="Calibri" w:hAnsi="Calibri" w:cs="Calibri"/>
        </w:rPr>
      </w:pPr>
      <w:r w:rsidRPr="00150391">
        <w:rPr>
          <w:rFonts w:ascii="Calibri" w:hAnsi="Calibri" w:cs="Calibri"/>
        </w:rPr>
        <w:t>Government finance statistics</w:t>
      </w:r>
    </w:p>
    <w:p w14:paraId="3CD41797" w14:textId="77777777" w:rsidR="00FA0945" w:rsidRPr="00150391" w:rsidRDefault="53BF0693" w:rsidP="000A7DEC">
      <w:pPr>
        <w:rPr>
          <w:rFonts w:cs="Calibri"/>
        </w:rPr>
      </w:pPr>
      <w:r w:rsidRPr="00150391">
        <w:rPr>
          <w:rFonts w:cs="Calibri"/>
        </w:rPr>
        <w:t>A reporting framework that is a specialised statistical system designed to support economic analysis of the public sector. It allows for comprehensive assessments of the economic impact of government and is consistent with international statistical standards of the International Monetary Fund and the System of National Accounts.</w:t>
      </w:r>
    </w:p>
    <w:p w14:paraId="2F99BE78" w14:textId="77777777" w:rsidR="00FA0945" w:rsidRPr="00150391" w:rsidRDefault="53BF0693" w:rsidP="000A7DEC">
      <w:pPr>
        <w:pStyle w:val="Heading4"/>
        <w:rPr>
          <w:rFonts w:ascii="Calibri" w:hAnsi="Calibri" w:cs="Calibri"/>
        </w:rPr>
      </w:pPr>
      <w:r w:rsidRPr="00150391">
        <w:rPr>
          <w:rFonts w:ascii="Calibri" w:hAnsi="Calibri" w:cs="Calibri"/>
        </w:rPr>
        <w:t>Intended result</w:t>
      </w:r>
    </w:p>
    <w:p w14:paraId="382CC76D" w14:textId="77777777" w:rsidR="00FA0945" w:rsidRPr="00150391" w:rsidRDefault="53BF0693" w:rsidP="000A7DEC">
      <w:pPr>
        <w:rPr>
          <w:rFonts w:cs="Calibri"/>
        </w:rPr>
      </w:pPr>
      <w:r w:rsidRPr="00150391">
        <w:rPr>
          <w:rFonts w:cs="Calibri"/>
        </w:rPr>
        <w:t xml:space="preserve">Intended result is a key part of an outcome statement and describes the goal or objective of an entity. The intended result is typically distilled from the </w:t>
      </w:r>
      <w:r w:rsidR="006418EA" w:rsidRPr="00150391">
        <w:rPr>
          <w:rFonts w:cs="Calibri"/>
        </w:rPr>
        <w:t>government</w:t>
      </w:r>
      <w:r w:rsidRPr="00150391">
        <w:rPr>
          <w:rFonts w:cs="Calibri"/>
        </w:rPr>
        <w:t>’s economic, social, health or environmental policy goals.</w:t>
      </w:r>
    </w:p>
    <w:p w14:paraId="28EB8587" w14:textId="77777777" w:rsidR="00BD560A" w:rsidRPr="00150391" w:rsidRDefault="53BF0693" w:rsidP="000A7DEC">
      <w:pPr>
        <w:pStyle w:val="Heading4"/>
        <w:rPr>
          <w:rFonts w:ascii="Calibri" w:hAnsi="Calibri" w:cs="Calibri"/>
        </w:rPr>
      </w:pPr>
      <w:r w:rsidRPr="00150391">
        <w:rPr>
          <w:rFonts w:ascii="Calibri" w:hAnsi="Calibri" w:cs="Calibri"/>
        </w:rPr>
        <w:t>Machinery of Government changes</w:t>
      </w:r>
    </w:p>
    <w:p w14:paraId="6E6E5937" w14:textId="77777777" w:rsidR="00BD560A" w:rsidRPr="00150391" w:rsidRDefault="6B6EE5C4" w:rsidP="001D30A2">
      <w:pPr>
        <w:rPr>
          <w:rFonts w:cs="Calibri"/>
        </w:rPr>
      </w:pPr>
      <w:r w:rsidRPr="00150391">
        <w:rPr>
          <w:rFonts w:cs="Calibri"/>
        </w:rPr>
        <w:t>A Machinery of Government (MoG) change occurs when the Government decides to change the way Commonwealth responsibilities are managed. It can involve the movement of functions, resources and people from one agency to another.</w:t>
      </w:r>
    </w:p>
    <w:p w14:paraId="1A6196A2" w14:textId="77777777" w:rsidR="00FA0945" w:rsidRPr="00150391" w:rsidRDefault="53BF0693" w:rsidP="000A7DEC">
      <w:pPr>
        <w:pStyle w:val="Heading4"/>
        <w:rPr>
          <w:rFonts w:ascii="Calibri" w:hAnsi="Calibri" w:cs="Calibri"/>
        </w:rPr>
      </w:pPr>
      <w:r w:rsidRPr="00150391">
        <w:rPr>
          <w:rFonts w:ascii="Calibri" w:hAnsi="Calibri" w:cs="Calibri"/>
        </w:rPr>
        <w:t>Measure</w:t>
      </w:r>
    </w:p>
    <w:p w14:paraId="2CDC7DE0" w14:textId="77777777" w:rsidR="00FA0945" w:rsidRPr="00150391" w:rsidRDefault="53BF0693" w:rsidP="000A7DEC">
      <w:pPr>
        <w:rPr>
          <w:rFonts w:cs="Calibri"/>
        </w:rPr>
      </w:pPr>
      <w:r w:rsidRPr="00150391">
        <w:rPr>
          <w:rFonts w:cs="Calibri"/>
        </w:rPr>
        <w:t>A new policy or savings decision of the government with financial impacts on the government's underlying cash balance</w:t>
      </w:r>
      <w:r w:rsidR="00B83588" w:rsidRPr="00150391">
        <w:rPr>
          <w:rFonts w:cs="Calibri"/>
        </w:rPr>
        <w:t>,</w:t>
      </w:r>
      <w:r w:rsidRPr="00150391">
        <w:rPr>
          <w:rFonts w:cs="Calibri"/>
        </w:rPr>
        <w:t xml:space="preserve"> fiscal balance</w:t>
      </w:r>
      <w:r w:rsidR="00B83588" w:rsidRPr="00150391">
        <w:rPr>
          <w:rFonts w:cs="Calibri"/>
        </w:rPr>
        <w:t>,</w:t>
      </w:r>
      <w:r w:rsidRPr="00150391">
        <w:rPr>
          <w:rFonts w:cs="Calibri"/>
        </w:rPr>
        <w:t xml:space="preserve"> operating balance</w:t>
      </w:r>
      <w:r w:rsidR="00B83588" w:rsidRPr="00150391">
        <w:rPr>
          <w:rFonts w:cs="Calibri"/>
        </w:rPr>
        <w:t>,</w:t>
      </w:r>
      <w:r w:rsidRPr="00150391">
        <w:rPr>
          <w:rFonts w:cs="Calibri"/>
        </w:rPr>
        <w:t xml:space="preserve"> headline cash balance</w:t>
      </w:r>
      <w:r w:rsidR="00B83588" w:rsidRPr="00150391">
        <w:rPr>
          <w:rFonts w:cs="Calibri"/>
        </w:rPr>
        <w:t>,</w:t>
      </w:r>
      <w:r w:rsidRPr="00150391">
        <w:rPr>
          <w:rFonts w:cs="Calibri"/>
        </w:rPr>
        <w:t xml:space="preserve"> net debt or net worth. Such proposals are normally made in the context of the annual Budget, and are typically published in BP No. 2, in the MYEFO and the </w:t>
      </w:r>
      <w:r w:rsidR="00FA0945" w:rsidRPr="00150391">
        <w:rPr>
          <w:rFonts w:cs="Calibri"/>
        </w:rPr>
        <w:br/>
      </w:r>
      <w:r w:rsidRPr="00150391">
        <w:rPr>
          <w:rFonts w:cs="Calibri"/>
        </w:rPr>
        <w:t>Pre-election Economic and Fiscal Outlook (PEFO).</w:t>
      </w:r>
    </w:p>
    <w:p w14:paraId="21D5B69F" w14:textId="5E0A3243" w:rsidR="00FA0945" w:rsidRPr="00150391" w:rsidRDefault="53BF0693" w:rsidP="000A7DEC">
      <w:pPr>
        <w:pStyle w:val="Heading4"/>
        <w:rPr>
          <w:rFonts w:ascii="Calibri" w:hAnsi="Calibri" w:cs="Calibri"/>
        </w:rPr>
      </w:pPr>
      <w:r w:rsidRPr="00150391">
        <w:rPr>
          <w:rFonts w:ascii="Calibri" w:hAnsi="Calibri" w:cs="Calibri"/>
        </w:rPr>
        <w:t xml:space="preserve">Mid-year economic and fiscal outlook </w:t>
      </w:r>
    </w:p>
    <w:p w14:paraId="1ECBA6BD" w14:textId="77777777" w:rsidR="00FA0945" w:rsidRPr="00150391" w:rsidRDefault="53BF0693" w:rsidP="000A7DEC">
      <w:pPr>
        <w:rPr>
          <w:rFonts w:cs="Calibri"/>
        </w:rPr>
      </w:pPr>
      <w:r w:rsidRPr="00150391">
        <w:rPr>
          <w:rFonts w:cs="Calibri"/>
        </w:rPr>
        <w:t xml:space="preserve">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 </w:t>
      </w:r>
    </w:p>
    <w:p w14:paraId="05C86440" w14:textId="77777777" w:rsidR="00FA0945" w:rsidRPr="00150391" w:rsidRDefault="53BF0693" w:rsidP="000A7DEC">
      <w:pPr>
        <w:pStyle w:val="Heading4"/>
        <w:rPr>
          <w:rFonts w:ascii="Calibri" w:hAnsi="Calibri" w:cs="Calibri"/>
        </w:rPr>
      </w:pPr>
      <w:r w:rsidRPr="00150391">
        <w:rPr>
          <w:rFonts w:ascii="Calibri" w:hAnsi="Calibri" w:cs="Calibri"/>
        </w:rPr>
        <w:t xml:space="preserve">Official public account </w:t>
      </w:r>
    </w:p>
    <w:p w14:paraId="73BA9894" w14:textId="77777777" w:rsidR="00FA0945" w:rsidRPr="00150391" w:rsidRDefault="53BF0693" w:rsidP="000A7DEC">
      <w:pPr>
        <w:rPr>
          <w:rFonts w:cs="Calibri"/>
        </w:rPr>
      </w:pPr>
      <w:r w:rsidRPr="00150391">
        <w:rPr>
          <w:rFonts w:cs="Calibri"/>
        </w:rPr>
        <w:t>The Official Public Account (OPA) is the Australian Government’s central bank account held within the Reserve Bank of Australia. The OPA reflects the operations of the Consolidated Revenue Fund.</w:t>
      </w:r>
    </w:p>
    <w:p w14:paraId="587C61D9" w14:textId="77777777" w:rsidR="00FA0945" w:rsidRPr="00150391" w:rsidRDefault="53BF0693" w:rsidP="000A7DEC">
      <w:pPr>
        <w:pStyle w:val="Heading4"/>
        <w:rPr>
          <w:rFonts w:ascii="Calibri" w:hAnsi="Calibri" w:cs="Calibri"/>
        </w:rPr>
      </w:pPr>
      <w:r w:rsidRPr="00150391">
        <w:rPr>
          <w:rFonts w:ascii="Calibri" w:hAnsi="Calibri" w:cs="Calibri"/>
        </w:rPr>
        <w:t>Operating expenditure (of heritage and cultural assets)</w:t>
      </w:r>
    </w:p>
    <w:p w14:paraId="36C293E1" w14:textId="77777777" w:rsidR="0014140F" w:rsidRPr="00150391" w:rsidRDefault="53BF0693" w:rsidP="000A7DEC">
      <w:pPr>
        <w:rPr>
          <w:rFonts w:cs="Calibri"/>
        </w:rPr>
      </w:pPr>
      <w:r w:rsidRPr="00150391">
        <w:rPr>
          <w:rFonts w:cs="Calibri"/>
        </w:rPr>
        <w:t xml:space="preserve">The following is a list of expenditure items that Collection Institutions might include in the “Operating expenditure for heritage and cultural assets” section of </w:t>
      </w:r>
      <w:r w:rsidRPr="00150391">
        <w:rPr>
          <w:rFonts w:cs="Calibri"/>
          <w:i/>
          <w:iCs/>
        </w:rPr>
        <w:t>Table 3.6</w:t>
      </w:r>
      <w:r w:rsidRPr="00150391">
        <w:rPr>
          <w:rFonts w:cs="Calibri"/>
        </w:rPr>
        <w:t xml:space="preserve"> and </w:t>
      </w:r>
      <w:r w:rsidRPr="00150391">
        <w:rPr>
          <w:rFonts w:cs="Calibri"/>
          <w:i/>
          <w:iCs/>
        </w:rPr>
        <w:t>Table 3.11</w:t>
      </w:r>
      <w:r w:rsidRPr="00150391">
        <w:rPr>
          <w:rFonts w:cs="Calibri"/>
        </w:rPr>
        <w:t>:</w:t>
      </w:r>
    </w:p>
    <w:p w14:paraId="61AFF49B" w14:textId="77777777" w:rsidR="00FA0945" w:rsidRPr="00150391" w:rsidRDefault="53BF0693" w:rsidP="005D722E">
      <w:pPr>
        <w:pStyle w:val="Numbered"/>
        <w:numPr>
          <w:ilvl w:val="0"/>
          <w:numId w:val="240"/>
        </w:numPr>
        <w:rPr>
          <w:rFonts w:cs="Calibri"/>
        </w:rPr>
      </w:pPr>
      <w:r w:rsidRPr="00150391">
        <w:rPr>
          <w:rFonts w:cs="Calibri"/>
        </w:rPr>
        <w:t>supply of goods and services, for example, outsourced repairs to artwork or insurance costs</w:t>
      </w:r>
    </w:p>
    <w:p w14:paraId="3647BE4B" w14:textId="77777777" w:rsidR="00FA0945" w:rsidRPr="00150391" w:rsidRDefault="53BF0693" w:rsidP="005D722E">
      <w:pPr>
        <w:pStyle w:val="Numbered"/>
        <w:numPr>
          <w:ilvl w:val="0"/>
          <w:numId w:val="240"/>
        </w:numPr>
        <w:rPr>
          <w:rFonts w:cs="Calibri"/>
        </w:rPr>
      </w:pPr>
      <w:r w:rsidRPr="00150391">
        <w:rPr>
          <w:rFonts w:cs="Calibri"/>
        </w:rPr>
        <w:t xml:space="preserve">direct labour on-costs, for example, the salaries and associated costs of staff researching and restoring items, lease of storage facilities </w:t>
      </w:r>
    </w:p>
    <w:p w14:paraId="795C10DE" w14:textId="77777777" w:rsidR="00FA0945" w:rsidRPr="00150391" w:rsidRDefault="53BF0693" w:rsidP="005D722E">
      <w:pPr>
        <w:pStyle w:val="Numbered"/>
        <w:numPr>
          <w:ilvl w:val="0"/>
          <w:numId w:val="240"/>
        </w:numPr>
        <w:rPr>
          <w:rFonts w:cs="Calibri"/>
        </w:rPr>
      </w:pPr>
      <w:r w:rsidRPr="00150391">
        <w:rPr>
          <w:rFonts w:cs="Calibri"/>
        </w:rPr>
        <w:t>associated utility costs (electricity, water, gas)</w:t>
      </w:r>
    </w:p>
    <w:p w14:paraId="5C001BBE" w14:textId="77777777" w:rsidR="00FA0945" w:rsidRPr="00150391" w:rsidRDefault="53BF0693" w:rsidP="005D722E">
      <w:pPr>
        <w:pStyle w:val="Numbered"/>
        <w:numPr>
          <w:ilvl w:val="0"/>
          <w:numId w:val="240"/>
        </w:numPr>
        <w:rPr>
          <w:rFonts w:cs="Calibri"/>
        </w:rPr>
      </w:pPr>
      <w:r w:rsidRPr="00150391">
        <w:rPr>
          <w:rFonts w:cs="Calibri"/>
        </w:rPr>
        <w:t>cataloguing costs</w:t>
      </w:r>
    </w:p>
    <w:p w14:paraId="0B35350C" w14:textId="77777777" w:rsidR="00FA0945" w:rsidRPr="00150391" w:rsidRDefault="53BF0693" w:rsidP="005D722E">
      <w:pPr>
        <w:pStyle w:val="Numbered"/>
        <w:numPr>
          <w:ilvl w:val="0"/>
          <w:numId w:val="240"/>
        </w:numPr>
        <w:rPr>
          <w:rFonts w:cs="Calibri"/>
        </w:rPr>
      </w:pPr>
      <w:r w:rsidRPr="00150391">
        <w:rPr>
          <w:rFonts w:cs="Calibri"/>
        </w:rPr>
        <w:t>containers and packaging and transportation</w:t>
      </w:r>
    </w:p>
    <w:p w14:paraId="1340CBDA" w14:textId="77777777" w:rsidR="00FA0945" w:rsidRPr="00150391" w:rsidRDefault="53BF0693" w:rsidP="005D722E">
      <w:pPr>
        <w:pStyle w:val="Numbered"/>
        <w:numPr>
          <w:ilvl w:val="0"/>
          <w:numId w:val="240"/>
        </w:numPr>
        <w:rPr>
          <w:rFonts w:cs="Calibri"/>
        </w:rPr>
      </w:pPr>
      <w:r w:rsidRPr="00150391">
        <w:rPr>
          <w:rFonts w:cs="Calibri"/>
        </w:rPr>
        <w:t>cleaning of collections and storage facilities</w:t>
      </w:r>
    </w:p>
    <w:p w14:paraId="37D93067" w14:textId="77777777" w:rsidR="00FA0945" w:rsidRPr="00150391" w:rsidRDefault="53BF0693" w:rsidP="005D722E">
      <w:pPr>
        <w:pStyle w:val="Numbered"/>
        <w:numPr>
          <w:ilvl w:val="0"/>
          <w:numId w:val="240"/>
        </w:numPr>
        <w:rPr>
          <w:rFonts w:cs="Calibri"/>
        </w:rPr>
      </w:pPr>
      <w:r w:rsidRPr="00150391">
        <w:rPr>
          <w:rFonts w:cs="Calibri"/>
        </w:rPr>
        <w:t>substitution costs (preparation of copies/surrogates of art work for public display).</w:t>
      </w:r>
    </w:p>
    <w:p w14:paraId="2222C0D4" w14:textId="77777777" w:rsidR="00FA0945" w:rsidRPr="00150391" w:rsidRDefault="0014140F" w:rsidP="000A7DEC">
      <w:pPr>
        <w:rPr>
          <w:rFonts w:cs="Calibri"/>
        </w:rPr>
      </w:pPr>
      <w:r w:rsidRPr="00150391">
        <w:rPr>
          <w:rFonts w:cs="Calibri"/>
        </w:rPr>
        <w:br/>
      </w:r>
      <w:r w:rsidR="53BF0693" w:rsidRPr="00150391">
        <w:rPr>
          <w:rFonts w:cs="Calibri"/>
        </w:rPr>
        <w:t>The costs above do not include full absorption costing such as an allocation for corporate administration costs or costs that are eligible to be capitalised.</w:t>
      </w:r>
    </w:p>
    <w:p w14:paraId="2A4C3D97" w14:textId="77777777" w:rsidR="00FA0945" w:rsidRPr="00150391" w:rsidRDefault="53BF0693" w:rsidP="000A7DEC">
      <w:pPr>
        <w:rPr>
          <w:rFonts w:cs="Calibri"/>
        </w:rPr>
      </w:pPr>
      <w:r w:rsidRPr="00150391">
        <w:rPr>
          <w:rFonts w:cs="Calibri"/>
        </w:rPr>
        <w:t>Depreciation is not operating expenditure for the purposes of this definition.</w:t>
      </w:r>
    </w:p>
    <w:p w14:paraId="49E382A7" w14:textId="77777777" w:rsidR="00FA0945" w:rsidRPr="00150391" w:rsidRDefault="53BF0693" w:rsidP="000A7DEC">
      <w:pPr>
        <w:pStyle w:val="Heading4"/>
        <w:rPr>
          <w:rFonts w:ascii="Calibri" w:hAnsi="Calibri" w:cs="Calibri"/>
        </w:rPr>
      </w:pPr>
      <w:r w:rsidRPr="00150391">
        <w:rPr>
          <w:rFonts w:ascii="Calibri" w:hAnsi="Calibri" w:cs="Calibri"/>
        </w:rPr>
        <w:t>Outcome</w:t>
      </w:r>
    </w:p>
    <w:p w14:paraId="38180E5F" w14:textId="77777777" w:rsidR="00FA0945" w:rsidRPr="00150391" w:rsidRDefault="53BF0693" w:rsidP="000A7DEC">
      <w:pPr>
        <w:rPr>
          <w:rFonts w:cs="Calibri"/>
        </w:rPr>
      </w:pPr>
      <w:r w:rsidRPr="00150391">
        <w:rPr>
          <w:rFonts w:cs="Calibri"/>
        </w:rPr>
        <w:t xml:space="preserve">An outcome is the intended result, consequence or impact of </w:t>
      </w:r>
      <w:r w:rsidR="006418EA" w:rsidRPr="00150391">
        <w:rPr>
          <w:rFonts w:cs="Calibri"/>
        </w:rPr>
        <w:t>government</w:t>
      </w:r>
      <w:r w:rsidRPr="00150391">
        <w:rPr>
          <w:rFonts w:cs="Calibri"/>
        </w:rPr>
        <w:t xml:space="preserve"> actions on the Australian community.</w:t>
      </w:r>
    </w:p>
    <w:p w14:paraId="0DEC13DA" w14:textId="77777777" w:rsidR="00FA0945" w:rsidRPr="00150391" w:rsidRDefault="53BF0693" w:rsidP="000A7DEC">
      <w:pPr>
        <w:pStyle w:val="Heading4"/>
        <w:rPr>
          <w:rFonts w:ascii="Calibri" w:hAnsi="Calibri" w:cs="Calibri"/>
        </w:rPr>
      </w:pPr>
      <w:r w:rsidRPr="00150391">
        <w:rPr>
          <w:rFonts w:ascii="Calibri" w:hAnsi="Calibri" w:cs="Calibri"/>
        </w:rPr>
        <w:t>Outcome statement</w:t>
      </w:r>
    </w:p>
    <w:p w14:paraId="34C254A8" w14:textId="77777777" w:rsidR="00FA0945" w:rsidRPr="00150391" w:rsidRDefault="53BF0693" w:rsidP="000A7DEC">
      <w:pPr>
        <w:rPr>
          <w:rFonts w:cs="Calibri"/>
        </w:rPr>
      </w:pPr>
      <w:r w:rsidRPr="00150391">
        <w:rPr>
          <w:rFonts w:cs="Calibri"/>
        </w:rPr>
        <w:t>An outcome statement articulates the intended results, activities and target group of an Australian Government entity. An outcome statement serves three main purposes within the financial framework:</w:t>
      </w:r>
    </w:p>
    <w:p w14:paraId="1E368F4B" w14:textId="77777777" w:rsidR="00FA0945" w:rsidRPr="00150391" w:rsidRDefault="53BF0693" w:rsidP="005379D4">
      <w:pPr>
        <w:pStyle w:val="Bullet1"/>
        <w:rPr>
          <w:rFonts w:ascii="Calibri" w:hAnsi="Calibri" w:cs="Calibri"/>
        </w:rPr>
      </w:pPr>
      <w:r w:rsidRPr="00150391">
        <w:rPr>
          <w:rFonts w:ascii="Calibri" w:hAnsi="Calibri" w:cs="Calibri"/>
        </w:rPr>
        <w:t>to explain and control the purposes for which Annual Appropriations are approved by the Parliament for use by entities</w:t>
      </w:r>
    </w:p>
    <w:p w14:paraId="2E23F70E" w14:textId="77777777" w:rsidR="0074521F" w:rsidRPr="00150391" w:rsidRDefault="53BF0693" w:rsidP="005379D4">
      <w:pPr>
        <w:pStyle w:val="Bullet1"/>
        <w:rPr>
          <w:rFonts w:ascii="Calibri" w:hAnsi="Calibri" w:cs="Calibri"/>
        </w:rPr>
      </w:pPr>
      <w:r w:rsidRPr="00150391">
        <w:rPr>
          <w:rFonts w:ascii="Calibri" w:hAnsi="Calibri" w:cs="Calibri"/>
        </w:rPr>
        <w:t>to provide a basis for annual budgeting, including (financial) reporting against the use of appropriated funds</w:t>
      </w:r>
    </w:p>
    <w:p w14:paraId="34C9A084" w14:textId="77777777" w:rsidR="00FA0945" w:rsidRPr="00150391" w:rsidRDefault="53BF0693" w:rsidP="005379D4">
      <w:pPr>
        <w:pStyle w:val="Bullet1"/>
        <w:rPr>
          <w:rFonts w:ascii="Calibri" w:hAnsi="Calibri" w:cs="Calibri"/>
        </w:rPr>
      </w:pPr>
      <w:r w:rsidRPr="00150391">
        <w:rPr>
          <w:rFonts w:ascii="Calibri" w:hAnsi="Calibri" w:cs="Calibri"/>
        </w:rPr>
        <w:t xml:space="preserve">to measure and assess entity and program non‐financial performance in contributing to </w:t>
      </w:r>
      <w:r w:rsidR="006418EA" w:rsidRPr="00150391">
        <w:rPr>
          <w:rFonts w:ascii="Calibri" w:hAnsi="Calibri" w:cs="Calibri"/>
        </w:rPr>
        <w:t>government</w:t>
      </w:r>
      <w:r w:rsidRPr="00150391">
        <w:rPr>
          <w:rFonts w:ascii="Calibri" w:hAnsi="Calibri" w:cs="Calibri"/>
        </w:rPr>
        <w:t xml:space="preserve"> policy objectives.</w:t>
      </w:r>
    </w:p>
    <w:p w14:paraId="361FA5EB" w14:textId="77777777" w:rsidR="003C2C71" w:rsidRPr="00150391" w:rsidRDefault="53BF0693" w:rsidP="000A7DEC">
      <w:pPr>
        <w:pStyle w:val="Heading4"/>
        <w:rPr>
          <w:rFonts w:ascii="Calibri" w:hAnsi="Calibri" w:cs="Calibri"/>
        </w:rPr>
      </w:pPr>
      <w:r w:rsidRPr="00150391">
        <w:rPr>
          <w:rFonts w:ascii="Calibri" w:hAnsi="Calibri" w:cs="Calibri"/>
        </w:rPr>
        <w:t>PB Statements</w:t>
      </w:r>
    </w:p>
    <w:p w14:paraId="772D0A86" w14:textId="77777777" w:rsidR="003C2C71" w:rsidRPr="00150391" w:rsidRDefault="53BF0693" w:rsidP="000A7DEC">
      <w:pPr>
        <w:rPr>
          <w:rFonts w:cs="Calibri"/>
        </w:rPr>
      </w:pPr>
      <w:r w:rsidRPr="00150391">
        <w:rPr>
          <w:rFonts w:cs="Calibri"/>
        </w:rPr>
        <w:t>Are the Portfolio Budget Statements and also commonly referred to as the PB Statements.</w:t>
      </w:r>
    </w:p>
    <w:p w14:paraId="15F9B4F0" w14:textId="0EB67AED" w:rsidR="00D75D60" w:rsidRPr="00150391" w:rsidRDefault="009526CA" w:rsidP="6B6EE5C4">
      <w:pPr>
        <w:rPr>
          <w:rFonts w:eastAsia="MS Gothic" w:cs="Calibri"/>
          <w:color w:val="005A77"/>
          <w:sz w:val="28"/>
        </w:rPr>
      </w:pPr>
      <w:r w:rsidRPr="00150391">
        <w:rPr>
          <w:rFonts w:cs="Calibri"/>
        </w:rPr>
        <w:t>Refer to section</w:t>
      </w:r>
      <w:r w:rsidR="007520F6" w:rsidRPr="002B4935">
        <w:rPr>
          <w:rFonts w:cs="Calibri"/>
          <w:color w:val="0070C0"/>
        </w:rPr>
        <w:t xml:space="preserve"> </w:t>
      </w:r>
      <w:r w:rsidR="007520F6" w:rsidRPr="002B4935">
        <w:rPr>
          <w:rStyle w:val="CrossReferenceChar"/>
          <w:rFonts w:cs="Calibri"/>
          <w:color w:val="0070C0"/>
        </w:rPr>
        <w:fldChar w:fldCharType="begin"/>
      </w:r>
      <w:r w:rsidR="007520F6" w:rsidRPr="002B4935">
        <w:rPr>
          <w:rStyle w:val="CrossReferenceChar"/>
          <w:rFonts w:cs="Calibri"/>
          <w:color w:val="0070C0"/>
        </w:rPr>
        <w:instrText xml:space="preserve"> PAGEREF _Ref94873113 \h </w:instrText>
      </w:r>
      <w:r w:rsidR="007520F6" w:rsidRPr="002B4935">
        <w:rPr>
          <w:rStyle w:val="CrossReferenceChar"/>
          <w:rFonts w:cs="Calibri"/>
          <w:color w:val="0070C0"/>
        </w:rPr>
      </w:r>
      <w:r w:rsidR="007520F6" w:rsidRPr="002B4935">
        <w:rPr>
          <w:rStyle w:val="CrossReferenceChar"/>
          <w:rFonts w:cs="Calibri"/>
          <w:color w:val="0070C0"/>
        </w:rPr>
        <w:fldChar w:fldCharType="separate"/>
      </w:r>
      <w:r w:rsidR="0073409A">
        <w:rPr>
          <w:rStyle w:val="CrossReferenceChar"/>
          <w:rFonts w:cs="Calibri"/>
          <w:b/>
          <w:bCs/>
          <w:noProof/>
          <w:color w:val="0070C0"/>
          <w:lang w:val="en-US"/>
        </w:rPr>
        <w:t>Error! Bookmark not defined.</w:t>
      </w:r>
      <w:r w:rsidR="007520F6" w:rsidRPr="002B4935">
        <w:rPr>
          <w:rStyle w:val="CrossReferenceChar"/>
          <w:rFonts w:cs="Calibri"/>
          <w:color w:val="0070C0"/>
        </w:rPr>
        <w:fldChar w:fldCharType="end"/>
      </w:r>
      <w:r w:rsidR="007520F6" w:rsidRPr="002B4935">
        <w:rPr>
          <w:rStyle w:val="CrossReferenceChar"/>
          <w:rFonts w:cs="Calibri"/>
          <w:color w:val="0070C0"/>
        </w:rPr>
        <w:t xml:space="preserve"> </w:t>
      </w:r>
      <w:r w:rsidR="003908FF" w:rsidRPr="002B4935">
        <w:rPr>
          <w:rStyle w:val="CrossReferenceChar"/>
          <w:rFonts w:cs="Calibri"/>
          <w:color w:val="0070C0"/>
        </w:rPr>
        <w:fldChar w:fldCharType="begin"/>
      </w:r>
      <w:r w:rsidR="003908FF" w:rsidRPr="002B4935">
        <w:rPr>
          <w:rStyle w:val="CrossReferenceChar"/>
          <w:rFonts w:cs="Calibri"/>
          <w:color w:val="0070C0"/>
        </w:rPr>
        <w:instrText xml:space="preserve"> REF _Ref29395987 \h  \* MERGEFORMAT </w:instrText>
      </w:r>
      <w:r w:rsidR="003908FF" w:rsidRPr="002B4935">
        <w:rPr>
          <w:rStyle w:val="CrossReferenceChar"/>
          <w:rFonts w:cs="Calibri"/>
          <w:color w:val="0070C0"/>
        </w:rPr>
      </w:r>
      <w:r w:rsidR="003908FF" w:rsidRPr="002B4935">
        <w:rPr>
          <w:rStyle w:val="CrossReferenceChar"/>
          <w:rFonts w:cs="Calibri"/>
          <w:color w:val="0070C0"/>
        </w:rPr>
        <w:fldChar w:fldCharType="separate"/>
      </w:r>
      <w:r w:rsidR="0073409A" w:rsidRPr="0073409A">
        <w:rPr>
          <w:rStyle w:val="CrossReferenceChar"/>
          <w:color w:val="0070C0"/>
        </w:rPr>
        <w:t>Purpose</w:t>
      </w:r>
      <w:r w:rsidR="003908FF" w:rsidRPr="002B4935">
        <w:rPr>
          <w:rStyle w:val="CrossReferenceChar"/>
          <w:rFonts w:cs="Calibri"/>
          <w:color w:val="0070C0"/>
        </w:rPr>
        <w:fldChar w:fldCharType="end"/>
      </w:r>
      <w:r w:rsidR="003908FF" w:rsidRPr="00150391">
        <w:rPr>
          <w:rFonts w:cs="Calibri"/>
        </w:rPr>
        <w:t xml:space="preserve"> </w:t>
      </w:r>
      <w:r w:rsidR="00700F9D" w:rsidRPr="00150391">
        <w:rPr>
          <w:rFonts w:cs="Calibri"/>
        </w:rPr>
        <w:t xml:space="preserve">within this guide </w:t>
      </w:r>
      <w:r w:rsidRPr="00150391">
        <w:rPr>
          <w:rFonts w:cs="Calibri"/>
        </w:rPr>
        <w:t xml:space="preserve">for an explanation </w:t>
      </w:r>
      <w:r w:rsidR="00700F9D" w:rsidRPr="00150391">
        <w:rPr>
          <w:rFonts w:cs="Calibri"/>
        </w:rPr>
        <w:t xml:space="preserve">to purpose </w:t>
      </w:r>
      <w:r w:rsidRPr="00150391">
        <w:rPr>
          <w:rFonts w:cs="Calibri"/>
        </w:rPr>
        <w:t>of the statements.</w:t>
      </w:r>
    </w:p>
    <w:p w14:paraId="279F1136" w14:textId="77777777" w:rsidR="004E2865" w:rsidRPr="00150391" w:rsidRDefault="53BF0693" w:rsidP="000A7DEC">
      <w:pPr>
        <w:pStyle w:val="Heading4"/>
        <w:rPr>
          <w:rFonts w:ascii="Calibri" w:hAnsi="Calibri" w:cs="Calibri"/>
        </w:rPr>
      </w:pPr>
      <w:r w:rsidRPr="00150391">
        <w:rPr>
          <w:rFonts w:ascii="Calibri" w:hAnsi="Calibri" w:cs="Calibri"/>
        </w:rPr>
        <w:t>PGPA Act flipchart and list</w:t>
      </w:r>
    </w:p>
    <w:p w14:paraId="1C641D09" w14:textId="77777777" w:rsidR="004E2865" w:rsidRPr="00150391" w:rsidRDefault="53BF0693" w:rsidP="000A7DEC">
      <w:pPr>
        <w:rPr>
          <w:rFonts w:cs="Calibri"/>
        </w:rPr>
      </w:pPr>
      <w:r w:rsidRPr="00150391">
        <w:rPr>
          <w:rFonts w:cs="Calibri"/>
        </w:rPr>
        <w:t>The Flipchart is a reference of all non-corporate and corporate Commonwealth entities and companies. Commonwealth entities and companies are government bodies that are subject to the PGPA Act.</w:t>
      </w:r>
    </w:p>
    <w:p w14:paraId="5DFDFBD0" w14:textId="729B5D2D" w:rsidR="004E2865" w:rsidRPr="00150391" w:rsidRDefault="53BF0693" w:rsidP="002B4935">
      <w:pPr>
        <w:spacing w:after="120"/>
        <w:rPr>
          <w:rStyle w:val="Hyperlink"/>
          <w:rFonts w:ascii="Calibri" w:hAnsi="Calibri" w:cs="Calibri"/>
        </w:rPr>
      </w:pPr>
      <w:r w:rsidRPr="00150391">
        <w:rPr>
          <w:rFonts w:cs="Calibri"/>
        </w:rPr>
        <w:t>Commonwealth entities and companies on the Flipchart are organised by their portfolio.</w:t>
      </w:r>
      <w:r w:rsidR="007520F6" w:rsidRPr="00150391">
        <w:rPr>
          <w:rFonts w:cs="Calibri"/>
        </w:rPr>
        <w:t xml:space="preserve"> </w:t>
      </w:r>
      <w:r w:rsidRPr="00150391">
        <w:rPr>
          <w:rFonts w:cs="Calibri"/>
        </w:rPr>
        <w:t xml:space="preserve">The </w:t>
      </w:r>
      <w:hyperlink r:id="rId111" w:history="1">
        <w:r w:rsidRPr="002B4935">
          <w:rPr>
            <w:rStyle w:val="Hyperlink"/>
            <w:rFonts w:ascii="Calibri" w:hAnsi="Calibri" w:cs="Calibri"/>
            <w:color w:val="0070C0"/>
          </w:rPr>
          <w:t>PGPA Act Flipchart</w:t>
        </w:r>
      </w:hyperlink>
      <w:r w:rsidRPr="00150391">
        <w:rPr>
          <w:rFonts w:cs="Calibri"/>
        </w:rPr>
        <w:t xml:space="preserve"> is located</w:t>
      </w:r>
      <w:r w:rsidR="003C681B" w:rsidRPr="00150391">
        <w:rPr>
          <w:rFonts w:cs="Calibri"/>
        </w:rPr>
        <w:t xml:space="preserve"> on Finance’s website.</w:t>
      </w:r>
    </w:p>
    <w:p w14:paraId="73B24808" w14:textId="431A7FBF" w:rsidR="0017331E" w:rsidRPr="00150391" w:rsidRDefault="53BF0693">
      <w:pPr>
        <w:pStyle w:val="Heading4"/>
        <w:rPr>
          <w:rFonts w:ascii="Calibri" w:hAnsi="Calibri" w:cs="Calibri"/>
        </w:rPr>
      </w:pPr>
      <w:r w:rsidRPr="00150391">
        <w:rPr>
          <w:rFonts w:ascii="Calibri" w:hAnsi="Calibri" w:cs="Calibri"/>
        </w:rPr>
        <w:t xml:space="preserve">Portfolio Additional Estimates Statements </w:t>
      </w:r>
    </w:p>
    <w:p w14:paraId="19824336" w14:textId="77777777" w:rsidR="003D66F9" w:rsidRPr="00150391" w:rsidRDefault="53BF0693" w:rsidP="000A7DEC">
      <w:pPr>
        <w:rPr>
          <w:rFonts w:cs="Calibri"/>
        </w:rPr>
      </w:pPr>
      <w:r w:rsidRPr="00150391">
        <w:rPr>
          <w:rFonts w:cs="Calibri"/>
        </w:rPr>
        <w:t>The PAES provide an update to Parliament on updated entity expenditure estimates for the current budget year and reflect changes since the Budget. The PAES should be considered a supplement to the PB Statements explaining subsequent changes to Budget estimates as they appear in the Additional Estimates Appropriation Bills No. 3 and No. 4.</w:t>
      </w:r>
    </w:p>
    <w:p w14:paraId="35591C1A" w14:textId="77777777" w:rsidR="00FA0945" w:rsidRPr="00150391" w:rsidRDefault="53BF0693" w:rsidP="000A7DEC">
      <w:pPr>
        <w:pStyle w:val="Heading4"/>
        <w:rPr>
          <w:rFonts w:ascii="Calibri" w:hAnsi="Calibri" w:cs="Calibri"/>
        </w:rPr>
      </w:pPr>
      <w:r w:rsidRPr="00150391">
        <w:rPr>
          <w:rFonts w:ascii="Calibri" w:hAnsi="Calibri" w:cs="Calibri"/>
        </w:rPr>
        <w:t xml:space="preserve">Portfolio budget statements </w:t>
      </w:r>
    </w:p>
    <w:p w14:paraId="3697CEBD" w14:textId="77777777" w:rsidR="00FA0945" w:rsidRPr="00150391" w:rsidRDefault="53BF0693" w:rsidP="000A7DEC">
      <w:pPr>
        <w:rPr>
          <w:rFonts w:cs="Calibri"/>
        </w:rPr>
      </w:pPr>
      <w:r w:rsidRPr="00150391">
        <w:rPr>
          <w:rFonts w:cs="Calibri"/>
        </w:rPr>
        <w:t xml:space="preserve">Budget related paper detailing budget initiatives and explanations of appropriations specified by outcome and program by each entity within a </w:t>
      </w:r>
      <w:r w:rsidR="00396887" w:rsidRPr="00150391">
        <w:rPr>
          <w:rFonts w:cs="Calibri"/>
        </w:rPr>
        <w:t>portfolio</w:t>
      </w:r>
      <w:r w:rsidRPr="00150391">
        <w:rPr>
          <w:rFonts w:cs="Calibri"/>
        </w:rPr>
        <w:t>.</w:t>
      </w:r>
    </w:p>
    <w:p w14:paraId="78E2F276" w14:textId="0996823C" w:rsidR="009526CA" w:rsidRPr="00150391" w:rsidRDefault="00C861A0" w:rsidP="009526CA">
      <w:pPr>
        <w:rPr>
          <w:rFonts w:cs="Calibri"/>
        </w:rPr>
      </w:pPr>
      <w:r w:rsidRPr="00150391">
        <w:rPr>
          <w:rFonts w:cs="Calibri"/>
        </w:rPr>
        <w:t xml:space="preserve">Refer to section </w:t>
      </w:r>
      <w:r w:rsidRPr="002B4935">
        <w:rPr>
          <w:rStyle w:val="CrossReferenceChar"/>
          <w:rFonts w:cs="Calibri"/>
          <w:color w:val="0070C0"/>
        </w:rPr>
        <w:fldChar w:fldCharType="begin"/>
      </w:r>
      <w:r w:rsidRPr="002B4935">
        <w:rPr>
          <w:rStyle w:val="CrossReferenceChar"/>
          <w:rFonts w:cs="Calibri"/>
          <w:color w:val="0070C0"/>
        </w:rPr>
        <w:instrText xml:space="preserve"> REF _Ref29395987 \w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Pr>
          <w:rStyle w:val="CrossReferenceChar"/>
          <w:rFonts w:cs="Calibri"/>
          <w:color w:val="0070C0"/>
        </w:rPr>
        <w:t>3</w:t>
      </w:r>
      <w:r w:rsidRPr="002B4935">
        <w:rPr>
          <w:rStyle w:val="CrossReferenceChar"/>
          <w:rFonts w:cs="Calibri"/>
          <w:color w:val="0070C0"/>
        </w:rPr>
        <w:fldChar w:fldCharType="end"/>
      </w:r>
      <w:r w:rsidRPr="002B4935">
        <w:rPr>
          <w:rStyle w:val="CrossReferenceChar"/>
          <w:rFonts w:cs="Calibri"/>
          <w:color w:val="0070C0"/>
        </w:rPr>
        <w:t xml:space="preserve"> </w:t>
      </w:r>
      <w:r w:rsidRPr="002B4935">
        <w:rPr>
          <w:rStyle w:val="CrossReferenceChar"/>
          <w:rFonts w:cs="Calibri"/>
          <w:color w:val="0070C0"/>
        </w:rPr>
        <w:fldChar w:fldCharType="begin"/>
      </w:r>
      <w:r w:rsidRPr="002B4935">
        <w:rPr>
          <w:rStyle w:val="CrossReferenceChar"/>
          <w:rFonts w:cs="Calibri"/>
          <w:color w:val="0070C0"/>
        </w:rPr>
        <w:instrText xml:space="preserve"> REF _Ref29395987 \h  \* MERGEFORMAT </w:instrText>
      </w:r>
      <w:r w:rsidRPr="002B4935">
        <w:rPr>
          <w:rStyle w:val="CrossReferenceChar"/>
          <w:rFonts w:cs="Calibri"/>
          <w:color w:val="0070C0"/>
        </w:rPr>
      </w:r>
      <w:r w:rsidRPr="002B4935">
        <w:rPr>
          <w:rStyle w:val="CrossReferenceChar"/>
          <w:rFonts w:cs="Calibri"/>
          <w:color w:val="0070C0"/>
        </w:rPr>
        <w:fldChar w:fldCharType="separate"/>
      </w:r>
      <w:r w:rsidR="0073409A" w:rsidRPr="0073409A">
        <w:rPr>
          <w:rStyle w:val="CrossReferenceChar"/>
          <w:color w:val="0070C0"/>
        </w:rPr>
        <w:t>Purpose</w:t>
      </w:r>
      <w:r w:rsidRPr="002B4935">
        <w:rPr>
          <w:rStyle w:val="CrossReferenceChar"/>
          <w:rFonts w:cs="Calibri"/>
          <w:color w:val="0070C0"/>
        </w:rPr>
        <w:fldChar w:fldCharType="end"/>
      </w:r>
      <w:r w:rsidRPr="00150391">
        <w:rPr>
          <w:rFonts w:cs="Calibri"/>
        </w:rPr>
        <w:t xml:space="preserve"> for an explanation to the statement's purpose.</w:t>
      </w:r>
    </w:p>
    <w:p w14:paraId="357C95D9" w14:textId="77777777" w:rsidR="00204269" w:rsidRPr="00150391" w:rsidRDefault="53BF0693" w:rsidP="008718A1">
      <w:pPr>
        <w:pStyle w:val="Heading4"/>
        <w:rPr>
          <w:rFonts w:ascii="Calibri" w:hAnsi="Calibri" w:cs="Calibri"/>
        </w:rPr>
      </w:pPr>
      <w:r w:rsidRPr="00150391">
        <w:rPr>
          <w:rFonts w:ascii="Calibri" w:hAnsi="Calibri" w:cs="Calibri"/>
        </w:rPr>
        <w:t>Pre-Election Fiscal Outlook (PEFO)</w:t>
      </w:r>
    </w:p>
    <w:p w14:paraId="078D7EC7" w14:textId="77777777" w:rsidR="00204269" w:rsidRPr="00150391" w:rsidRDefault="53BF0693" w:rsidP="000A7DEC">
      <w:pPr>
        <w:rPr>
          <w:rFonts w:cs="Calibri"/>
        </w:rPr>
      </w:pPr>
      <w:r w:rsidRPr="00150391">
        <w:rPr>
          <w:rFonts w:cs="Calibri"/>
        </w:rPr>
        <w:t xml:space="preserve">The PEFO provides an update, to the fullest extent possible, on all </w:t>
      </w:r>
      <w:r w:rsidR="006418EA" w:rsidRPr="00150391">
        <w:rPr>
          <w:rFonts w:cs="Calibri"/>
        </w:rPr>
        <w:t>government</w:t>
      </w:r>
      <w:r w:rsidRPr="00150391">
        <w:rPr>
          <w:rFonts w:cs="Calibri"/>
        </w:rPr>
        <w:t xml:space="preserve"> decisions and all other circumstances that may have a material effect on the economic, fiscal outlook before the issue of the writs for the election.</w:t>
      </w:r>
    </w:p>
    <w:p w14:paraId="5A453CB5" w14:textId="77777777" w:rsidR="00204269" w:rsidRPr="00150391" w:rsidRDefault="53BF0693" w:rsidP="000A7DEC">
      <w:pPr>
        <w:pStyle w:val="Heading4"/>
        <w:rPr>
          <w:rFonts w:ascii="Calibri" w:hAnsi="Calibri" w:cs="Calibri"/>
        </w:rPr>
      </w:pPr>
      <w:r w:rsidRPr="00150391">
        <w:rPr>
          <w:rFonts w:ascii="Calibri" w:hAnsi="Calibri" w:cs="Calibri"/>
        </w:rPr>
        <w:t>Primary Reporting and Information Management Aid</w:t>
      </w:r>
    </w:p>
    <w:p w14:paraId="2D36D03C" w14:textId="3B405632" w:rsidR="00204269" w:rsidRPr="00150391" w:rsidRDefault="53BF0693" w:rsidP="000A7DEC">
      <w:pPr>
        <w:rPr>
          <w:rFonts w:cs="Calibri"/>
        </w:rPr>
      </w:pPr>
      <w:r w:rsidRPr="00150391">
        <w:rPr>
          <w:rFonts w:cs="Calibri"/>
        </w:rPr>
        <w:t>The PRIMA model demonstrates the most common disclosures and presentation affecting entities. There are two separate sets of PRIMA forms to demonstrate tiered reporting requirements (Tier 1, full disclosure; or Tier 2, Reduced Disclosure Requirements).</w:t>
      </w:r>
    </w:p>
    <w:p w14:paraId="2ADF5787" w14:textId="77777777" w:rsidR="00204269" w:rsidRPr="00150391" w:rsidRDefault="53BF0693" w:rsidP="000A7DEC">
      <w:pPr>
        <w:rPr>
          <w:rFonts w:cs="Calibri"/>
        </w:rPr>
      </w:pPr>
      <w:r w:rsidRPr="00150391">
        <w:rPr>
          <w:rFonts w:cs="Calibri"/>
        </w:rPr>
        <w:t>The key principle of PRIMA is to include disclosures that are required by most Australian Accounting Standards or the Financial Reporting Rule.</w:t>
      </w:r>
    </w:p>
    <w:p w14:paraId="552DA5B1" w14:textId="77777777" w:rsidR="00FA0945" w:rsidRPr="00150391" w:rsidRDefault="53BF0693" w:rsidP="000A7DEC">
      <w:pPr>
        <w:pStyle w:val="Heading4"/>
        <w:rPr>
          <w:rFonts w:ascii="Calibri" w:hAnsi="Calibri" w:cs="Calibri"/>
        </w:rPr>
      </w:pPr>
      <w:r w:rsidRPr="00150391">
        <w:rPr>
          <w:rFonts w:ascii="Calibri" w:hAnsi="Calibri" w:cs="Calibri"/>
        </w:rPr>
        <w:t>Program</w:t>
      </w:r>
    </w:p>
    <w:p w14:paraId="533A545C" w14:textId="77777777" w:rsidR="00FA0945" w:rsidRPr="00150391" w:rsidRDefault="53BF0693" w:rsidP="000A7DEC">
      <w:pPr>
        <w:rPr>
          <w:rFonts w:cs="Calibri"/>
        </w:rPr>
      </w:pPr>
      <w:r w:rsidRPr="00150391">
        <w:rPr>
          <w:rFonts w:cs="Calibri"/>
        </w:rPr>
        <w:t>Activity that delivers benefits, services or transfer payments to individuals, industry and/or the community as a whole, with the aim of achieving the intended result specified in an outcome statement.</w:t>
      </w:r>
    </w:p>
    <w:p w14:paraId="7FC33E2F" w14:textId="77777777" w:rsidR="00FA0945" w:rsidRPr="00150391" w:rsidRDefault="53BF0693" w:rsidP="000A7DEC">
      <w:pPr>
        <w:pStyle w:val="Heading4"/>
        <w:rPr>
          <w:rFonts w:ascii="Calibri" w:hAnsi="Calibri" w:cs="Calibri"/>
        </w:rPr>
      </w:pPr>
      <w:r w:rsidRPr="00150391">
        <w:rPr>
          <w:rFonts w:ascii="Calibri" w:hAnsi="Calibri" w:cs="Calibri"/>
        </w:rPr>
        <w:t>Program support</w:t>
      </w:r>
    </w:p>
    <w:p w14:paraId="00359F71" w14:textId="77777777" w:rsidR="00FA0945" w:rsidRPr="00150391" w:rsidRDefault="53BF0693" w:rsidP="000A7DEC">
      <w:pPr>
        <w:rPr>
          <w:rFonts w:cs="Calibri"/>
        </w:rPr>
      </w:pPr>
      <w:r w:rsidRPr="00150391">
        <w:rPr>
          <w:rFonts w:cs="Calibri"/>
        </w:rPr>
        <w:t>The entity’s running costs allocated to a program. This is funded through an entity’s departmental appropriations.</w:t>
      </w:r>
    </w:p>
    <w:p w14:paraId="24326A06" w14:textId="77777777" w:rsidR="00406ADB" w:rsidRPr="00150391" w:rsidRDefault="53BF0693" w:rsidP="000A7DEC">
      <w:pPr>
        <w:pStyle w:val="Heading4"/>
        <w:rPr>
          <w:rFonts w:ascii="Calibri" w:hAnsi="Calibri" w:cs="Calibri"/>
        </w:rPr>
      </w:pPr>
      <w:r w:rsidRPr="00150391">
        <w:rPr>
          <w:rFonts w:ascii="Calibri" w:hAnsi="Calibri" w:cs="Calibri"/>
        </w:rPr>
        <w:t xml:space="preserve">Public Budget Formulation </w:t>
      </w:r>
    </w:p>
    <w:p w14:paraId="3D1A35F5" w14:textId="77777777" w:rsidR="00406ADB" w:rsidRPr="00150391" w:rsidRDefault="53BF0693" w:rsidP="00406ADB">
      <w:pPr>
        <w:rPr>
          <w:rFonts w:cs="Calibri"/>
        </w:rPr>
      </w:pPr>
      <w:r w:rsidRPr="00150391">
        <w:rPr>
          <w:rFonts w:cs="Calibri"/>
        </w:rPr>
        <w:t>Public Budget Formulation (module of CBMS), is used to record an entity’s annual estimates. The module is also used to generate the Appropriation Bills.</w:t>
      </w:r>
    </w:p>
    <w:p w14:paraId="3194CEB2" w14:textId="77777777" w:rsidR="00FA0945" w:rsidRPr="00150391" w:rsidRDefault="53BF0693" w:rsidP="000A7DEC">
      <w:pPr>
        <w:pStyle w:val="Heading4"/>
        <w:rPr>
          <w:rFonts w:ascii="Calibri" w:hAnsi="Calibri" w:cs="Calibri"/>
        </w:rPr>
      </w:pPr>
      <w:r w:rsidRPr="00150391">
        <w:rPr>
          <w:rFonts w:ascii="Calibri" w:hAnsi="Calibri" w:cs="Calibri"/>
          <w:i/>
        </w:rPr>
        <w:t>Public Governance, Performance and Accountability Act 2013</w:t>
      </w:r>
    </w:p>
    <w:p w14:paraId="34CA6293" w14:textId="77777777" w:rsidR="0063372C" w:rsidRPr="00150391" w:rsidRDefault="53BF0693" w:rsidP="000A7DEC">
      <w:pPr>
        <w:rPr>
          <w:rFonts w:cs="Calibri"/>
        </w:rPr>
      </w:pPr>
      <w:r w:rsidRPr="00150391">
        <w:rPr>
          <w:rFonts w:cs="Calibri"/>
        </w:rPr>
        <w:t xml:space="preserve">The </w:t>
      </w:r>
      <w:r w:rsidRPr="00150391">
        <w:rPr>
          <w:rFonts w:cs="Calibri"/>
          <w:i/>
          <w:iCs/>
        </w:rPr>
        <w:t>Public Governance, Performance and Accountability Act 2013</w:t>
      </w:r>
      <w:r w:rsidRPr="00150391">
        <w:rPr>
          <w:rFonts w:cs="Calibri"/>
        </w:rPr>
        <w:t xml:space="preserve"> (PGPA Act) establishes a coherent system of governance and accountability for public resources, with an emphasis on planning, performance and reporting.</w:t>
      </w:r>
    </w:p>
    <w:p w14:paraId="5334680F" w14:textId="77777777" w:rsidR="0063372C" w:rsidRPr="00150391" w:rsidRDefault="53BF0693" w:rsidP="000A7DEC">
      <w:pPr>
        <w:rPr>
          <w:rFonts w:cs="Calibri"/>
        </w:rPr>
      </w:pPr>
      <w:r w:rsidRPr="00150391">
        <w:rPr>
          <w:rFonts w:cs="Calibri"/>
        </w:rPr>
        <w:t>The PGPA Act applies to all Commonwealth entities and Commonwealth companies.</w:t>
      </w:r>
    </w:p>
    <w:p w14:paraId="1C88EC4E" w14:textId="2D0EC0D5" w:rsidR="0063372C" w:rsidRPr="00150391" w:rsidRDefault="53BF0693">
      <w:pPr>
        <w:rPr>
          <w:rFonts w:cs="Calibri"/>
        </w:rPr>
      </w:pPr>
      <w:r w:rsidRPr="00150391">
        <w:rPr>
          <w:rFonts w:cs="Calibri"/>
        </w:rPr>
        <w:t xml:space="preserve">The official version of the PGPA Act is available from </w:t>
      </w:r>
      <w:hyperlink r:id="rId112">
        <w:r w:rsidRPr="002B4935">
          <w:rPr>
            <w:rStyle w:val="Hyperlink"/>
            <w:rFonts w:ascii="Calibri" w:hAnsi="Calibri" w:cs="Calibri"/>
            <w:color w:val="0070C0"/>
          </w:rPr>
          <w:t>www.legislation.gov.au</w:t>
        </w:r>
      </w:hyperlink>
      <w:r w:rsidRPr="002B4935">
        <w:rPr>
          <w:rFonts w:cs="Calibri"/>
          <w:color w:val="0070C0"/>
        </w:rPr>
        <w:t xml:space="preserve"> </w:t>
      </w:r>
    </w:p>
    <w:p w14:paraId="4BDE328B" w14:textId="77777777" w:rsidR="00334C6F" w:rsidRPr="00150391" w:rsidRDefault="53BF0693" w:rsidP="000A7DEC">
      <w:pPr>
        <w:pStyle w:val="Heading4"/>
        <w:rPr>
          <w:rFonts w:ascii="Calibri" w:hAnsi="Calibri" w:cs="Calibri"/>
        </w:rPr>
      </w:pPr>
      <w:r w:rsidRPr="00150391">
        <w:rPr>
          <w:rFonts w:ascii="Calibri" w:hAnsi="Calibri" w:cs="Calibri"/>
        </w:rPr>
        <w:t>Purpose</w:t>
      </w:r>
    </w:p>
    <w:p w14:paraId="2645DFE8" w14:textId="2A086D2B" w:rsidR="00334C6F" w:rsidRPr="00150391" w:rsidRDefault="53BF0693" w:rsidP="000A7DEC">
      <w:pPr>
        <w:rPr>
          <w:rFonts w:cs="Calibri"/>
        </w:rPr>
      </w:pPr>
      <w:r w:rsidRPr="00150391">
        <w:rPr>
          <w:rFonts w:cs="Calibri"/>
        </w:rPr>
        <w:t xml:space="preserve">The purposes of a Commonwealth entity include the objectives, functions or role of the entity. For further information see </w:t>
      </w:r>
      <w:hyperlink r:id="rId113">
        <w:r w:rsidR="008A7416" w:rsidRPr="002B4935">
          <w:rPr>
            <w:rStyle w:val="Hyperlink"/>
            <w:rFonts w:ascii="Calibri" w:hAnsi="Calibri" w:cs="Calibri"/>
            <w:color w:val="0070C0"/>
          </w:rPr>
          <w:t>corporate plans for Commonwealth entities (RMG 132)</w:t>
        </w:r>
      </w:hyperlink>
      <w:r w:rsidRPr="00150391">
        <w:rPr>
          <w:rFonts w:cs="Calibri"/>
        </w:rPr>
        <w:t>.</w:t>
      </w:r>
    </w:p>
    <w:p w14:paraId="61AB7FDA" w14:textId="77777777" w:rsidR="00497E40" w:rsidRPr="00150391" w:rsidRDefault="53BF0693" w:rsidP="000A7DEC">
      <w:pPr>
        <w:pStyle w:val="Heading4"/>
        <w:rPr>
          <w:rFonts w:ascii="Calibri" w:hAnsi="Calibri" w:cs="Calibri"/>
        </w:rPr>
      </w:pPr>
      <w:r w:rsidRPr="00150391">
        <w:rPr>
          <w:rFonts w:ascii="Calibri" w:hAnsi="Calibri" w:cs="Calibri"/>
        </w:rPr>
        <w:t xml:space="preserve">Right-of-Use Asset </w:t>
      </w:r>
    </w:p>
    <w:p w14:paraId="0B54AD5C" w14:textId="77777777" w:rsidR="00497E40" w:rsidRPr="00150391" w:rsidRDefault="00497E40" w:rsidP="000A7DEC">
      <w:pPr>
        <w:rPr>
          <w:rFonts w:cs="Calibri"/>
        </w:rPr>
      </w:pPr>
      <w:r w:rsidRPr="00150391">
        <w:rPr>
          <w:rFonts w:cs="Calibri"/>
        </w:rPr>
        <w:t xml:space="preserve">AASB 16 </w:t>
      </w:r>
      <w:r w:rsidRPr="00150391">
        <w:rPr>
          <w:rFonts w:cs="Calibri"/>
          <w:i/>
          <w:iCs/>
        </w:rPr>
        <w:t>Leases</w:t>
      </w:r>
      <w:r w:rsidR="00A0360B" w:rsidRPr="00150391">
        <w:rPr>
          <w:rFonts w:cs="Calibri"/>
          <w:i/>
          <w:iCs/>
        </w:rPr>
        <w:t xml:space="preserve"> </w:t>
      </w:r>
      <w:r w:rsidR="00A0360B" w:rsidRPr="00150391">
        <w:rPr>
          <w:rFonts w:cs="Calibri"/>
        </w:rPr>
        <w:t>(the Standard)</w:t>
      </w:r>
      <w:r w:rsidRPr="00150391">
        <w:rPr>
          <w:rFonts w:cs="Calibri"/>
        </w:rPr>
        <w:t>, remov</w:t>
      </w:r>
      <w:r w:rsidR="00EA2C25" w:rsidRPr="00150391">
        <w:rPr>
          <w:rFonts w:cs="Calibri"/>
        </w:rPr>
        <w:t>es</w:t>
      </w:r>
      <w:r w:rsidRPr="00150391">
        <w:rPr>
          <w:rFonts w:cs="Calibri"/>
        </w:rPr>
        <w:t xml:space="preserve"> the distinction between operating and finance leases for </w:t>
      </w:r>
      <w:r w:rsidR="00EA2C25" w:rsidRPr="00150391">
        <w:rPr>
          <w:rFonts w:cs="Calibri"/>
        </w:rPr>
        <w:t>lessees</w:t>
      </w:r>
      <w:r w:rsidRPr="00150391">
        <w:rPr>
          <w:rFonts w:cs="Calibri"/>
        </w:rPr>
        <w:t xml:space="preserve"> and </w:t>
      </w:r>
      <w:r w:rsidR="00EA2C25" w:rsidRPr="00150391">
        <w:rPr>
          <w:rFonts w:cs="Calibri"/>
        </w:rPr>
        <w:t>requires</w:t>
      </w:r>
      <w:r w:rsidRPr="00150391">
        <w:rPr>
          <w:rFonts w:cs="Calibri"/>
        </w:rPr>
        <w:t xml:space="preserve"> the recognition of a</w:t>
      </w:r>
      <w:r w:rsidR="004543B9" w:rsidRPr="00150391">
        <w:rPr>
          <w:rFonts w:cs="Calibri"/>
        </w:rPr>
        <w:t xml:space="preserve"> Right-of-</w:t>
      </w:r>
      <w:r w:rsidR="009B6020" w:rsidRPr="00150391">
        <w:rPr>
          <w:rFonts w:cs="Calibri"/>
        </w:rPr>
        <w:t>Use</w:t>
      </w:r>
      <w:r w:rsidRPr="00150391">
        <w:rPr>
          <w:rFonts w:cs="Calibri"/>
        </w:rPr>
        <w:t xml:space="preserve"> </w:t>
      </w:r>
      <w:r w:rsidR="009B6020" w:rsidRPr="00150391">
        <w:rPr>
          <w:rFonts w:cs="Calibri"/>
        </w:rPr>
        <w:t>(</w:t>
      </w:r>
      <w:r w:rsidR="009F3C94" w:rsidRPr="00150391">
        <w:rPr>
          <w:rFonts w:cs="Calibri"/>
        </w:rPr>
        <w:t>RoU</w:t>
      </w:r>
      <w:r w:rsidR="009B6020" w:rsidRPr="00150391">
        <w:rPr>
          <w:rFonts w:cs="Calibri"/>
        </w:rPr>
        <w:t>)</w:t>
      </w:r>
      <w:r w:rsidR="00A0360B" w:rsidRPr="00150391">
        <w:rPr>
          <w:rFonts w:cs="Calibri"/>
        </w:rPr>
        <w:t xml:space="preserve"> </w:t>
      </w:r>
      <w:r w:rsidRPr="00150391">
        <w:rPr>
          <w:rFonts w:cs="Calibri"/>
        </w:rPr>
        <w:t xml:space="preserve">asset and lease liability on the balance sheet for most leasing arrangements. </w:t>
      </w:r>
      <w:r w:rsidR="00A0360B" w:rsidRPr="00150391">
        <w:rPr>
          <w:rFonts w:cs="Calibri"/>
        </w:rPr>
        <w:t>The Standard comes into effect for the 2019</w:t>
      </w:r>
      <w:r w:rsidR="00673397" w:rsidRPr="00150391">
        <w:rPr>
          <w:rFonts w:cs="Calibri"/>
        </w:rPr>
        <w:noBreakHyphen/>
      </w:r>
      <w:r w:rsidR="00A0360B" w:rsidRPr="00150391">
        <w:rPr>
          <w:rFonts w:cs="Calibri"/>
        </w:rPr>
        <w:t xml:space="preserve">20 financial reporting period. From 1 July 2019, all Commonwealth entities and companies </w:t>
      </w:r>
      <w:r w:rsidR="00EA2C25" w:rsidRPr="00150391">
        <w:rPr>
          <w:rFonts w:cs="Calibri"/>
        </w:rPr>
        <w:t>are</w:t>
      </w:r>
      <w:r w:rsidR="00A0360B" w:rsidRPr="00150391">
        <w:rPr>
          <w:rFonts w:cs="Calibri"/>
        </w:rPr>
        <w:t xml:space="preserve"> required to report on their </w:t>
      </w:r>
      <w:r w:rsidR="009F3C94" w:rsidRPr="00150391">
        <w:rPr>
          <w:rFonts w:cs="Calibri"/>
        </w:rPr>
        <w:t>RoU</w:t>
      </w:r>
      <w:r w:rsidR="00A0360B" w:rsidRPr="00150391">
        <w:rPr>
          <w:rFonts w:cs="Calibri"/>
        </w:rPr>
        <w:t xml:space="preserve"> assets and associated lease liabilities in their financial statements.</w:t>
      </w:r>
    </w:p>
    <w:p w14:paraId="4A8B49C2" w14:textId="77777777" w:rsidR="00FA0945" w:rsidRPr="00150391" w:rsidRDefault="53BF0693" w:rsidP="000A7DEC">
      <w:pPr>
        <w:pStyle w:val="Heading4"/>
        <w:rPr>
          <w:rFonts w:ascii="Calibri" w:hAnsi="Calibri" w:cs="Calibri"/>
        </w:rPr>
      </w:pPr>
      <w:r w:rsidRPr="00150391">
        <w:rPr>
          <w:rFonts w:ascii="Calibri" w:hAnsi="Calibri" w:cs="Calibri"/>
        </w:rPr>
        <w:t>Senate estimates hearings</w:t>
      </w:r>
    </w:p>
    <w:p w14:paraId="5C997F2D" w14:textId="77777777" w:rsidR="00FA0945" w:rsidRPr="00150391" w:rsidRDefault="53BF0693" w:rsidP="000A7DEC">
      <w:pPr>
        <w:rPr>
          <w:rFonts w:cs="Calibri"/>
        </w:rPr>
      </w:pPr>
      <w:r w:rsidRPr="00150391">
        <w:rPr>
          <w:rFonts w:cs="Calibri"/>
        </w:rPr>
        <w:t>Senate Standing Committees hold hearings to scrutinise the Appropriation Bills and any explanatory documentation tabled to accompany them. Public servants may be called to attend hearings as witnesses.</w:t>
      </w:r>
    </w:p>
    <w:p w14:paraId="07B0CA2D" w14:textId="77777777" w:rsidR="00FA0945" w:rsidRPr="00150391" w:rsidRDefault="53BF0693" w:rsidP="000A7DEC">
      <w:pPr>
        <w:pStyle w:val="Heading4"/>
        <w:rPr>
          <w:rFonts w:ascii="Calibri" w:hAnsi="Calibri" w:cs="Calibri"/>
        </w:rPr>
      </w:pPr>
      <w:r w:rsidRPr="00150391">
        <w:rPr>
          <w:rFonts w:ascii="Calibri" w:hAnsi="Calibri" w:cs="Calibri"/>
        </w:rPr>
        <w:t xml:space="preserve">Specific purpose payments </w:t>
      </w:r>
    </w:p>
    <w:p w14:paraId="2448D83F" w14:textId="77777777" w:rsidR="00FA0945" w:rsidRPr="00150391" w:rsidRDefault="53BF0693" w:rsidP="000A7DEC">
      <w:pPr>
        <w:rPr>
          <w:rFonts w:cs="Calibri"/>
        </w:rPr>
      </w:pPr>
      <w:r w:rsidRPr="00150391">
        <w:rPr>
          <w:rFonts w:cs="Calibri"/>
        </w:rPr>
        <w:t>Commonwealth payments to the States for specific purposes in order to pursue important national policy objectives in areas that may be administered by the States.</w:t>
      </w:r>
    </w:p>
    <w:p w14:paraId="199CAFB2" w14:textId="77777777" w:rsidR="00FA0945" w:rsidRPr="00150391" w:rsidRDefault="53BF0693" w:rsidP="000A7DEC">
      <w:pPr>
        <w:pStyle w:val="Heading4"/>
        <w:rPr>
          <w:rFonts w:ascii="Calibri" w:hAnsi="Calibri" w:cs="Calibri"/>
        </w:rPr>
      </w:pPr>
      <w:r w:rsidRPr="00150391">
        <w:rPr>
          <w:rFonts w:ascii="Calibri" w:hAnsi="Calibri" w:cs="Calibri"/>
        </w:rPr>
        <w:t>Sub-function</w:t>
      </w:r>
    </w:p>
    <w:p w14:paraId="2B0D0C18" w14:textId="77777777" w:rsidR="00FA0945" w:rsidRPr="00150391" w:rsidRDefault="53BF0693" w:rsidP="000A7DEC">
      <w:pPr>
        <w:rPr>
          <w:rFonts w:cs="Calibri"/>
        </w:rPr>
      </w:pPr>
      <w:r w:rsidRPr="00150391">
        <w:rPr>
          <w:rFonts w:cs="Calibri"/>
        </w:rPr>
        <w:t>Government Finance Statistics classification of government expenses.</w:t>
      </w:r>
    </w:p>
    <w:p w14:paraId="2E95B2B0" w14:textId="77777777" w:rsidR="00FA0945" w:rsidRPr="00150391" w:rsidRDefault="53BF0693" w:rsidP="000A7DEC">
      <w:pPr>
        <w:pStyle w:val="Heading4"/>
        <w:rPr>
          <w:rFonts w:ascii="Calibri" w:hAnsi="Calibri" w:cs="Calibri"/>
        </w:rPr>
      </w:pPr>
      <w:r w:rsidRPr="00150391">
        <w:rPr>
          <w:rFonts w:ascii="Calibri" w:hAnsi="Calibri" w:cs="Calibri"/>
        </w:rPr>
        <w:t xml:space="preserve">System of national accounts </w:t>
      </w:r>
    </w:p>
    <w:p w14:paraId="3FF4C5BB" w14:textId="77777777" w:rsidR="00FA0945" w:rsidRPr="00150391" w:rsidRDefault="53BF0693" w:rsidP="000A7DEC">
      <w:pPr>
        <w:rPr>
          <w:rFonts w:cs="Calibri"/>
        </w:rPr>
      </w:pPr>
      <w:r w:rsidRPr="00150391">
        <w:rPr>
          <w:rFonts w:cs="Calibri"/>
        </w:rPr>
        <w:t>The 2008 System of National Accounts (2008 SNA) is a comprehensive, consistent and flexible set of macroeconomic accounts to meet the needs of government and private-sector analysts, policy-makers, and decisions-takers. It was prepared jointly by the International Monetary Fund, the European Union, the Organization for Economic Co-operation and Development, the United Nations, and the World Bank.</w:t>
      </w:r>
    </w:p>
    <w:p w14:paraId="2C526ED3" w14:textId="77777777" w:rsidR="00FA0945" w:rsidRPr="00150391" w:rsidRDefault="53BF0693" w:rsidP="000A7DEC">
      <w:pPr>
        <w:pStyle w:val="Heading4"/>
        <w:rPr>
          <w:rFonts w:ascii="Calibri" w:hAnsi="Calibri" w:cs="Calibri"/>
        </w:rPr>
      </w:pPr>
      <w:r w:rsidRPr="00150391">
        <w:rPr>
          <w:rFonts w:ascii="Calibri" w:hAnsi="Calibri" w:cs="Calibri"/>
        </w:rPr>
        <w:t>Target group</w:t>
      </w:r>
    </w:p>
    <w:p w14:paraId="717270F6" w14:textId="77777777" w:rsidR="00FA0945" w:rsidRPr="00150391" w:rsidRDefault="53BF0693" w:rsidP="000A7DEC">
      <w:pPr>
        <w:rPr>
          <w:rFonts w:cs="Calibri"/>
        </w:rPr>
      </w:pPr>
      <w:r w:rsidRPr="00150391">
        <w:rPr>
          <w:rFonts w:cs="Calibri"/>
        </w:rPr>
        <w:t>A specific group being targeted for assistance by government policy.</w:t>
      </w:r>
    </w:p>
    <w:p w14:paraId="4E64852D" w14:textId="77777777" w:rsidR="006A0F01" w:rsidRPr="00150391" w:rsidRDefault="53BF0693" w:rsidP="000A7DEC">
      <w:pPr>
        <w:pStyle w:val="Heading4"/>
        <w:rPr>
          <w:rFonts w:ascii="Calibri" w:hAnsi="Calibri" w:cs="Calibri"/>
        </w:rPr>
      </w:pPr>
      <w:r w:rsidRPr="00150391">
        <w:rPr>
          <w:rFonts w:ascii="Calibri" w:hAnsi="Calibri" w:cs="Calibri"/>
        </w:rPr>
        <w:t>Third party payments</w:t>
      </w:r>
    </w:p>
    <w:p w14:paraId="0155FA46" w14:textId="77777777" w:rsidR="006A0F01" w:rsidRPr="00150391" w:rsidRDefault="53BF0693" w:rsidP="000A7DEC">
      <w:pPr>
        <w:rPr>
          <w:rFonts w:cs="Calibri"/>
        </w:rPr>
      </w:pPr>
      <w:r w:rsidRPr="00150391">
        <w:rPr>
          <w:rFonts w:cs="Calibri"/>
        </w:rPr>
        <w:t>Payments made on behalf of another entity, or by other entities on behalf of the agency. For example, payments made in relation to Special Appropriations.</w:t>
      </w:r>
    </w:p>
    <w:p w14:paraId="5A6F0A9F" w14:textId="77777777" w:rsidR="00FA0945" w:rsidRPr="00150391" w:rsidRDefault="53BF0693" w:rsidP="000A7DEC">
      <w:pPr>
        <w:pStyle w:val="Heading4"/>
        <w:rPr>
          <w:rFonts w:ascii="Calibri" w:hAnsi="Calibri" w:cs="Calibri"/>
        </w:rPr>
      </w:pPr>
      <w:r w:rsidRPr="00150391">
        <w:rPr>
          <w:rFonts w:ascii="Calibri" w:hAnsi="Calibri" w:cs="Calibri"/>
        </w:rPr>
        <w:t>Transfer</w:t>
      </w:r>
    </w:p>
    <w:p w14:paraId="70F762A2" w14:textId="77777777" w:rsidR="005D3E0C" w:rsidRPr="00150391" w:rsidRDefault="53BF0693" w:rsidP="000A7DEC">
      <w:pPr>
        <w:rPr>
          <w:rFonts w:cs="Calibri"/>
        </w:rPr>
      </w:pPr>
      <w:r w:rsidRPr="00150391">
        <w:rPr>
          <w:rFonts w:cs="Calibri"/>
        </w:rPr>
        <w:t>Cash paid to recipients of the applicable program. This includes welfare payments and tax rebates.</w:t>
      </w:r>
    </w:p>
    <w:sectPr w:rsidR="005D3E0C" w:rsidRPr="00150391" w:rsidSect="008D2853">
      <w:pgSz w:w="11900" w:h="16840" w:code="9"/>
      <w:pgMar w:top="1418" w:right="1418" w:bottom="170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6E016" w14:textId="77777777" w:rsidR="00AA2CB0" w:rsidRDefault="00AA2CB0" w:rsidP="00DF7D78">
      <w:r>
        <w:separator/>
      </w:r>
    </w:p>
    <w:p w14:paraId="711F53B4" w14:textId="77777777" w:rsidR="00AA2CB0" w:rsidRDefault="00AA2CB0" w:rsidP="00DF7D78"/>
    <w:p w14:paraId="59DB0492" w14:textId="77777777" w:rsidR="00AA2CB0" w:rsidRDefault="00AA2CB0" w:rsidP="00DF7D78"/>
    <w:p w14:paraId="424B4043" w14:textId="77777777" w:rsidR="00AA2CB0" w:rsidRDefault="00AA2CB0" w:rsidP="00DF7D78"/>
    <w:p w14:paraId="5BED2168" w14:textId="77777777" w:rsidR="00AA2CB0" w:rsidRDefault="00AA2CB0"/>
  </w:endnote>
  <w:endnote w:type="continuationSeparator" w:id="0">
    <w:p w14:paraId="0AE09D0A" w14:textId="77777777" w:rsidR="00AA2CB0" w:rsidRDefault="00AA2CB0" w:rsidP="00DF7D78">
      <w:r>
        <w:continuationSeparator/>
      </w:r>
    </w:p>
    <w:p w14:paraId="65F548FF" w14:textId="77777777" w:rsidR="00AA2CB0" w:rsidRDefault="00AA2CB0" w:rsidP="00DF7D78"/>
    <w:p w14:paraId="0DFE399A" w14:textId="77777777" w:rsidR="00AA2CB0" w:rsidRDefault="00AA2CB0" w:rsidP="00DF7D78"/>
    <w:p w14:paraId="6CF4900D" w14:textId="77777777" w:rsidR="00AA2CB0" w:rsidRDefault="00AA2CB0" w:rsidP="00DF7D78"/>
    <w:p w14:paraId="7D472B05" w14:textId="77777777" w:rsidR="00AA2CB0" w:rsidRDefault="00AA2CB0"/>
  </w:endnote>
  <w:endnote w:type="continuationNotice" w:id="1">
    <w:p w14:paraId="75461EE8" w14:textId="77777777" w:rsidR="00AA2CB0" w:rsidRDefault="00AA2CB0">
      <w:pPr>
        <w:spacing w:before="0" w:after="0" w:line="240" w:lineRule="auto"/>
      </w:pPr>
    </w:p>
    <w:p w14:paraId="1E1CA16B" w14:textId="77777777" w:rsidR="00AA2CB0" w:rsidRDefault="00AA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C0A5" w14:textId="77777777" w:rsidR="00AA2CB0" w:rsidRDefault="00AA2CB0" w:rsidP="008F72CD">
    <w:pPr>
      <w:pStyle w:val="Footer"/>
    </w:pPr>
  </w:p>
  <w:p w14:paraId="61E42D91" w14:textId="77777777" w:rsidR="00AA2CB0" w:rsidRDefault="00AA2CB0" w:rsidP="53BF0693">
    <w:pPr>
      <w:pStyle w:val="Footer"/>
      <w:rPr>
        <w:rStyle w:val="Classification"/>
      </w:rPr>
    </w:pPr>
    <w:r w:rsidRPr="53BF0693">
      <w:rPr>
        <w:rStyle w:val="Classification"/>
      </w:rPr>
      <w:t>UNCLASSIFIED</w:t>
    </w:r>
  </w:p>
  <w:p w14:paraId="09B4F34A" w14:textId="77777777" w:rsidR="00AA2CB0" w:rsidRPr="000A6A8B" w:rsidRDefault="00AA2CB0" w:rsidP="008F7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E7EB7" w14:textId="7FD86289" w:rsidR="00AA2CB0" w:rsidRDefault="00AA2CB0">
    <w:pPr>
      <w:pStyle w:val="Footer"/>
      <w:rPr>
        <w:rFonts w:ascii="Arial" w:hAnsi="Arial" w:cs="Arial"/>
        <w:noProof/>
      </w:rPr>
    </w:pPr>
    <w:r w:rsidRPr="53BF0693">
      <w:rPr>
        <w:rStyle w:val="ArialBlackBlue"/>
        <w:sz w:val="18"/>
        <w:szCs w:val="18"/>
      </w:rPr>
      <w:t xml:space="preserve">Guide to preparing the </w:t>
    </w:r>
    <w:r>
      <w:rPr>
        <w:rStyle w:val="ArialBlackBlue"/>
        <w:sz w:val="18"/>
        <w:szCs w:val="18"/>
      </w:rPr>
      <w:t xml:space="preserve">October </w:t>
    </w:r>
    <w:r w:rsidRPr="53BF0693">
      <w:rPr>
        <w:rStyle w:val="ArialBlackBlue"/>
        <w:sz w:val="18"/>
        <w:szCs w:val="18"/>
      </w:rPr>
      <w:t>202</w:t>
    </w:r>
    <w:r>
      <w:rPr>
        <w:rStyle w:val="ArialBlackBlue"/>
        <w:sz w:val="18"/>
        <w:szCs w:val="18"/>
      </w:rPr>
      <w:t>2</w:t>
    </w:r>
    <w:r w:rsidRPr="53BF0693">
      <w:rPr>
        <w:rStyle w:val="ArialBlackBlue"/>
        <w:sz w:val="18"/>
        <w:szCs w:val="18"/>
      </w:rPr>
      <w:t>-2</w:t>
    </w:r>
    <w:r>
      <w:rPr>
        <w:rStyle w:val="ArialBlackBlue"/>
        <w:sz w:val="18"/>
        <w:szCs w:val="18"/>
      </w:rPr>
      <w:t>3</w:t>
    </w:r>
    <w:r w:rsidRPr="53BF0693">
      <w:rPr>
        <w:rStyle w:val="ArialBlackBlue"/>
        <w:sz w:val="18"/>
        <w:szCs w:val="18"/>
      </w:rPr>
      <w:t xml:space="preserve"> Portfolio Budget Statements</w:t>
    </w:r>
    <w:r>
      <w:t xml:space="preserve">    </w:t>
    </w:r>
    <w:r w:rsidRPr="53BF0693">
      <w:rPr>
        <w:rFonts w:ascii="Arial" w:hAnsi="Arial" w:cs="Arial"/>
      </w:rPr>
      <w:t xml:space="preserve">|    </w:t>
    </w:r>
    <w:r w:rsidRPr="53BF0693">
      <w:rPr>
        <w:rFonts w:ascii="Arial" w:hAnsi="Arial" w:cs="Arial"/>
        <w:noProof/>
      </w:rPr>
      <w:fldChar w:fldCharType="begin"/>
    </w:r>
    <w:r w:rsidRPr="53BF0693">
      <w:rPr>
        <w:rFonts w:ascii="Arial" w:hAnsi="Arial" w:cs="Arial"/>
        <w:noProof/>
      </w:rPr>
      <w:instrText xml:space="preserve"> PAGE   \* MERGEFORMAT </w:instrText>
    </w:r>
    <w:r w:rsidRPr="53BF0693">
      <w:rPr>
        <w:rFonts w:ascii="Arial" w:hAnsi="Arial" w:cs="Arial"/>
        <w:noProof/>
      </w:rPr>
      <w:fldChar w:fldCharType="separate"/>
    </w:r>
    <w:r w:rsidR="00A438FF">
      <w:rPr>
        <w:rFonts w:ascii="Arial" w:hAnsi="Arial" w:cs="Arial"/>
        <w:noProof/>
      </w:rPr>
      <w:t>4</w:t>
    </w:r>
    <w:r w:rsidRPr="53BF0693">
      <w:rPr>
        <w:rFonts w:ascii="Arial" w:hAnsi="Arial" w:cs="Arial"/>
        <w:noProof/>
      </w:rPr>
      <w:fldChar w:fldCharType="end"/>
    </w:r>
  </w:p>
  <w:p w14:paraId="23C0443B" w14:textId="77777777" w:rsidR="00AA2CB0" w:rsidRDefault="00AA2CB0" w:rsidP="00E52D1E">
    <w:pPr>
      <w:pStyle w:val="Header"/>
      <w:jc w:val="center"/>
      <w:rPr>
        <w:rStyle w:val="ArialBlackBlue"/>
        <w:sz w:val="18"/>
        <w:szCs w:val="18"/>
      </w:rPr>
    </w:pPr>
    <w:r w:rsidRPr="003F7F2E">
      <w:rPr>
        <w:sz w:val="20"/>
      </w:rPr>
      <w:t>OFFICIAL</w:t>
    </w:r>
    <w:r>
      <w:rPr>
        <w:rStyle w:val="ArialBlackBlue"/>
        <w:sz w:val="18"/>
        <w:szCs w:val="18"/>
      </w:rPr>
      <w:t xml:space="preserve"> </w:t>
    </w:r>
  </w:p>
  <w:p w14:paraId="45598B54" w14:textId="7A9791C6" w:rsidR="00AA2CB0" w:rsidRDefault="00AA2CB0" w:rsidP="00E52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2C1D" w14:textId="77777777" w:rsidR="00AA2CB0" w:rsidRDefault="00AA2CB0">
    <w:pPr>
      <w:pStyle w:val="Footer"/>
      <w:rPr>
        <w:rStyle w:val="ArialBlackBlue"/>
        <w:sz w:val="18"/>
        <w:szCs w:val="18"/>
      </w:rPr>
    </w:pPr>
  </w:p>
  <w:p w14:paraId="0B4CD010" w14:textId="04AA2091" w:rsidR="00AA2CB0" w:rsidRDefault="00AA2CB0">
    <w:pPr>
      <w:pStyle w:val="Footer"/>
    </w:pPr>
    <w:r w:rsidRPr="53BF0693">
      <w:rPr>
        <w:rStyle w:val="ArialBlackBlue"/>
        <w:sz w:val="18"/>
        <w:szCs w:val="18"/>
      </w:rPr>
      <w:t xml:space="preserve">Guide to preparing the </w:t>
    </w:r>
    <w:r>
      <w:rPr>
        <w:rStyle w:val="ArialBlackBlue"/>
        <w:sz w:val="18"/>
        <w:szCs w:val="18"/>
      </w:rPr>
      <w:t xml:space="preserve">October </w:t>
    </w:r>
    <w:r w:rsidRPr="53BF0693">
      <w:rPr>
        <w:rStyle w:val="ArialBlackBlue"/>
        <w:sz w:val="18"/>
        <w:szCs w:val="18"/>
      </w:rPr>
      <w:t>202</w:t>
    </w:r>
    <w:r>
      <w:rPr>
        <w:rStyle w:val="ArialBlackBlue"/>
        <w:sz w:val="18"/>
        <w:szCs w:val="18"/>
      </w:rPr>
      <w:t>2</w:t>
    </w:r>
    <w:r w:rsidRPr="53BF0693">
      <w:rPr>
        <w:rStyle w:val="ArialBlackBlue"/>
        <w:sz w:val="18"/>
        <w:szCs w:val="18"/>
      </w:rPr>
      <w:t>-2</w:t>
    </w:r>
    <w:r>
      <w:rPr>
        <w:rStyle w:val="ArialBlackBlue"/>
        <w:sz w:val="18"/>
        <w:szCs w:val="18"/>
      </w:rPr>
      <w:t>3</w:t>
    </w:r>
    <w:r w:rsidRPr="53BF0693">
      <w:rPr>
        <w:rStyle w:val="ArialBlackBlue"/>
        <w:sz w:val="18"/>
        <w:szCs w:val="18"/>
      </w:rPr>
      <w:t xml:space="preserve"> Portfolio Budget Statements</w:t>
    </w:r>
    <w:r>
      <w:t xml:space="preserve">    </w:t>
    </w:r>
    <w:r w:rsidRPr="53BF0693">
      <w:rPr>
        <w:rFonts w:ascii="Arial" w:hAnsi="Arial" w:cs="Arial"/>
      </w:rPr>
      <w:t xml:space="preserve">|    </w:t>
    </w:r>
    <w:r w:rsidRPr="53BF0693">
      <w:rPr>
        <w:rFonts w:ascii="Arial" w:hAnsi="Arial" w:cs="Arial"/>
        <w:noProof/>
      </w:rPr>
      <w:fldChar w:fldCharType="begin"/>
    </w:r>
    <w:r w:rsidRPr="53BF0693">
      <w:rPr>
        <w:rFonts w:ascii="Arial" w:hAnsi="Arial" w:cs="Arial"/>
        <w:noProof/>
      </w:rPr>
      <w:instrText xml:space="preserve"> PAGE   \* MERGEFORMAT </w:instrText>
    </w:r>
    <w:r w:rsidRPr="53BF0693">
      <w:rPr>
        <w:rFonts w:ascii="Arial" w:hAnsi="Arial" w:cs="Arial"/>
        <w:noProof/>
      </w:rPr>
      <w:fldChar w:fldCharType="separate"/>
    </w:r>
    <w:r w:rsidR="00A438FF">
      <w:rPr>
        <w:rFonts w:ascii="Arial" w:hAnsi="Arial" w:cs="Arial"/>
        <w:noProof/>
      </w:rPr>
      <w:t>20</w:t>
    </w:r>
    <w:r w:rsidRPr="53BF0693">
      <w:rPr>
        <w:rFonts w:ascii="Arial" w:hAnsi="Arial" w:cs="Arial"/>
        <w:noProof/>
      </w:rPr>
      <w:fldChar w:fldCharType="end"/>
    </w:r>
  </w:p>
  <w:p w14:paraId="62757E8F" w14:textId="3E5688A3" w:rsidR="00AA2CB0" w:rsidRPr="003F7F2E" w:rsidRDefault="00AA2CB0" w:rsidP="00913329">
    <w:pPr>
      <w:pStyle w:val="Header"/>
      <w:tabs>
        <w:tab w:val="clear" w:pos="4513"/>
        <w:tab w:val="center" w:pos="4532"/>
        <w:tab w:val="left" w:pos="6532"/>
      </w:tabs>
      <w:jc w:val="left"/>
      <w:rPr>
        <w:sz w:val="20"/>
      </w:rPr>
    </w:pPr>
    <w:r>
      <w:rPr>
        <w:sz w:val="20"/>
      </w:rPr>
      <w:tab/>
    </w:r>
    <w:r w:rsidRPr="003F7F2E">
      <w:rPr>
        <w:sz w:val="20"/>
      </w:rPr>
      <w:t>O</w:t>
    </w:r>
    <w:r>
      <w:rPr>
        <w:sz w:val="20"/>
      </w:rPr>
      <w:t>FFICIAL</w:t>
    </w:r>
    <w:r>
      <w:rPr>
        <w:sz w:val="20"/>
      </w:rPr>
      <w:tab/>
    </w:r>
  </w:p>
  <w:p w14:paraId="1CD6BC2C" w14:textId="77777777" w:rsidR="00AA2CB0" w:rsidRDefault="00AA2C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080E7" w14:textId="77777777" w:rsidR="00AA2CB0" w:rsidRDefault="00AA2CB0" w:rsidP="00DF7D78"/>
    <w:p w14:paraId="6CDDFA3A" w14:textId="77777777" w:rsidR="00AA2CB0" w:rsidRDefault="00AA2CB0" w:rsidP="00DF7D78"/>
    <w:p w14:paraId="1AD57AE2" w14:textId="77777777" w:rsidR="00AA2CB0" w:rsidRDefault="00AA2CB0" w:rsidP="00DF7D78"/>
    <w:p w14:paraId="0AD7F4AA" w14:textId="77777777" w:rsidR="00AA2CB0" w:rsidRDefault="00AA2CB0"/>
  </w:footnote>
  <w:footnote w:type="continuationSeparator" w:id="0">
    <w:p w14:paraId="227CCF26" w14:textId="77777777" w:rsidR="00AA2CB0" w:rsidRDefault="00AA2CB0" w:rsidP="00DF7D78">
      <w:r>
        <w:continuationSeparator/>
      </w:r>
    </w:p>
    <w:p w14:paraId="2923BBB9" w14:textId="77777777" w:rsidR="00AA2CB0" w:rsidRDefault="00AA2CB0" w:rsidP="00DF7D78"/>
    <w:p w14:paraId="5AE576A8" w14:textId="77777777" w:rsidR="00AA2CB0" w:rsidRDefault="00AA2CB0" w:rsidP="00DF7D78"/>
    <w:p w14:paraId="3005EBB1" w14:textId="77777777" w:rsidR="00AA2CB0" w:rsidRDefault="00AA2CB0" w:rsidP="00DF7D78"/>
    <w:p w14:paraId="6E2FA4EA" w14:textId="77777777" w:rsidR="00AA2CB0" w:rsidRDefault="00AA2CB0"/>
  </w:footnote>
  <w:footnote w:type="continuationNotice" w:id="1">
    <w:p w14:paraId="25066E69" w14:textId="77777777" w:rsidR="00AA2CB0" w:rsidRDefault="00AA2CB0">
      <w:pPr>
        <w:spacing w:before="0" w:after="0" w:line="240" w:lineRule="auto"/>
      </w:pPr>
    </w:p>
    <w:p w14:paraId="02C67057" w14:textId="77777777" w:rsidR="00AA2CB0" w:rsidRDefault="00AA2CB0"/>
  </w:footnote>
  <w:footnote w:id="2">
    <w:p w14:paraId="5142F184" w14:textId="412ECC90" w:rsidR="00AA2CB0" w:rsidRDefault="00AA2CB0" w:rsidP="005D37E2">
      <w:pPr>
        <w:pStyle w:val="FootnoteText"/>
      </w:pPr>
      <w:r>
        <w:rPr>
          <w:rStyle w:val="FootnoteReference"/>
        </w:rPr>
        <w:footnoteRef/>
      </w:r>
      <w:r>
        <w:rPr>
          <w:rStyle w:val="BodyTextChar"/>
        </w:rPr>
        <w:tab/>
      </w:r>
      <w:r>
        <w:t xml:space="preserve">As the 2022-23 Budget will be delivered on 25 October 2022, information on expected performance outcomes in the current year (2021-22) should be referenced as actual performance outcomes for the 2021-22 reporting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E7E2" w14:textId="2DB654AE" w:rsidR="00AA2CB0" w:rsidRDefault="00AA2CB0" w:rsidP="53BF0693">
    <w:pPr>
      <w:pStyle w:val="Header"/>
      <w:jc w:val="center"/>
      <w:rPr>
        <w:rStyle w:val="Classification"/>
      </w:rPr>
    </w:pPr>
    <w:r>
      <w:rPr>
        <w:rStyle w:val="Classification"/>
      </w:rPr>
      <w:t>OFfiCIAL</w:t>
    </w:r>
  </w:p>
  <w:p w14:paraId="5138B825" w14:textId="77777777" w:rsidR="00AA2CB0" w:rsidRPr="009F203F" w:rsidRDefault="00AA2CB0">
    <w:pPr>
      <w:pStyle w:val="Header"/>
      <w:rPr>
        <w:rStyle w:val="Classification"/>
        <w:caps w:val="0"/>
        <w:u w:val="single"/>
      </w:rPr>
    </w:pPr>
    <w:r w:rsidRPr="260627E5">
      <w:rPr>
        <w:rStyle w:val="Classification"/>
        <w:caps w:val="0"/>
        <w:u w:val="single"/>
      </w:rPr>
      <w:t>Attachment A</w:t>
    </w:r>
  </w:p>
  <w:p w14:paraId="07FD44A1" w14:textId="77777777" w:rsidR="00AA2CB0" w:rsidRDefault="00AA2CB0" w:rsidP="008F72CD">
    <w:pPr>
      <w:pStyle w:val="Header"/>
    </w:pPr>
    <w:r>
      <w:rPr>
        <w:noProof/>
        <w:lang w:eastAsia="en-AU"/>
      </w:rPr>
      <w:drawing>
        <wp:anchor distT="0" distB="0" distL="114300" distR="114300" simplePos="0" relativeHeight="251657216" behindDoc="1" locked="0" layoutInCell="1" allowOverlap="1" wp14:anchorId="42445291" wp14:editId="5220602A">
          <wp:simplePos x="0" y="0"/>
          <wp:positionH relativeFrom="page">
            <wp:align>left</wp:align>
          </wp:positionH>
          <wp:positionV relativeFrom="paragraph">
            <wp:posOffset>-538968</wp:posOffset>
          </wp:positionV>
          <wp:extent cx="7571105" cy="10705465"/>
          <wp:effectExtent l="0" t="0" r="0" b="635"/>
          <wp:wrapNone/>
          <wp:docPr id="11" name="Picture 11" descr="C:\Users\seabel\AppData\Local\Microsoft\Windows\INetCache\Content.Word\Long word cov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45BB0" w14:textId="77777777" w:rsidR="00AA2CB0" w:rsidRDefault="00A438FF" w:rsidP="008F72CD">
    <w:pPr>
      <w:pStyle w:val="Header"/>
    </w:pPr>
    <w:r>
      <w:rPr>
        <w:noProof/>
      </w:rPr>
      <w:pict w14:anchorId="3F15F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
          <v:imagedata r:id="rId1" o:title="Long word cover_blue"/>
        </v:shape>
      </w:pict>
    </w:r>
    <w:r w:rsidR="00AA2CB0">
      <w:rPr>
        <w:rStyle w:val="Classification"/>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397A" w14:textId="77777777" w:rsidR="00AA2CB0" w:rsidRDefault="00AA2C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42EB" w14:textId="5F724556" w:rsidR="00AA2CB0" w:rsidRPr="004D7049" w:rsidRDefault="00AA2CB0" w:rsidP="00BF002E">
    <w:pPr>
      <w:pStyle w:val="Header"/>
      <w:rPr>
        <w:b/>
        <w:bCs/>
      </w:rPr>
    </w:pPr>
    <w:r>
      <w:tab/>
    </w:r>
    <w:r>
      <w:tab/>
    </w:r>
    <w:r w:rsidRPr="003F204E">
      <w:rPr>
        <w:b/>
        <w:bCs/>
      </w:rPr>
      <w:t>Department of Finance</w:t>
    </w:r>
  </w:p>
  <w:p w14:paraId="68F7A2B1" w14:textId="4A162627" w:rsidR="00AA2CB0" w:rsidRPr="00287835" w:rsidRDefault="00AA2CB0" w:rsidP="00BF002E">
    <w:pPr>
      <w:pStyle w:val="Header"/>
      <w:spacing w:after="680"/>
    </w:pPr>
    <w:r>
      <w:rPr>
        <w:b/>
        <w:noProof/>
      </w:rPr>
      <w:t xml:space="preserve">Attachment A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3026" w14:textId="77777777" w:rsidR="00AA2CB0" w:rsidRDefault="00AA2C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3DDD" w14:textId="77777777" w:rsidR="00AA2CB0" w:rsidRDefault="00AA2CB0">
    <w:pPr>
      <w:pStyle w:val="Header"/>
    </w:pPr>
  </w:p>
  <w:p w14:paraId="31F03368" w14:textId="77777777" w:rsidR="00AA2CB0" w:rsidRDefault="00AA2CB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9A31" w14:textId="1F8E5D28" w:rsidR="00AA2CB0" w:rsidRPr="003F7F2E" w:rsidRDefault="00AA2CB0" w:rsidP="003F7F2E">
    <w:pPr>
      <w:pStyle w:val="Header"/>
      <w:rPr>
        <w:b/>
        <w:szCs w:val="14"/>
      </w:rPr>
    </w:pPr>
    <w:r w:rsidRPr="003F7F2E">
      <w:rPr>
        <w:b/>
        <w:szCs w:val="14"/>
      </w:rPr>
      <w:t>Department of Finance</w:t>
    </w:r>
  </w:p>
  <w:p w14:paraId="33988007" w14:textId="0155487B" w:rsidR="00AA2CB0" w:rsidRPr="003F7F2E" w:rsidRDefault="00AA2CB0" w:rsidP="003F7F2E">
    <w:pPr>
      <w:pStyle w:val="Header"/>
      <w:rPr>
        <w:b/>
        <w:noProof/>
        <w:szCs w:val="14"/>
      </w:rPr>
    </w:pPr>
    <w:r w:rsidRPr="003F7F2E">
      <w:rPr>
        <w:b/>
        <w:szCs w:val="14"/>
      </w:rPr>
      <w:t xml:space="preserve">Attachment A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1566C" w14:textId="77777777" w:rsidR="00AA2CB0" w:rsidRDefault="00AA2CB0">
    <w:pPr>
      <w:pStyle w:val="Header"/>
    </w:pPr>
  </w:p>
  <w:p w14:paraId="59BD4D37" w14:textId="77777777" w:rsidR="00AA2CB0" w:rsidRDefault="00AA2C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DBFA71"/>
    <w:multiLevelType w:val="hybridMultilevel"/>
    <w:tmpl w:val="964295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A3C835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52E6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79AEB1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94EEA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192D2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4CA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526B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BA4E6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CCCA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F7CA5"/>
    <w:multiLevelType w:val="hybridMultilevel"/>
    <w:tmpl w:val="1A5A6380"/>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2" w15:restartNumberingAfterBreak="0">
    <w:nsid w:val="010835EE"/>
    <w:multiLevelType w:val="multilevel"/>
    <w:tmpl w:val="3378FFD0"/>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1BF34E1"/>
    <w:multiLevelType w:val="hybridMultilevel"/>
    <w:tmpl w:val="CE542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28B44FC"/>
    <w:multiLevelType w:val="multilevel"/>
    <w:tmpl w:val="6C6ABDAC"/>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03F203B9"/>
    <w:multiLevelType w:val="hybridMultilevel"/>
    <w:tmpl w:val="0D38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48925B3"/>
    <w:multiLevelType w:val="hybridMultilevel"/>
    <w:tmpl w:val="5736359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7D689F96">
      <w:start w:val="1"/>
      <w:numFmt w:val="bullet"/>
      <w:pStyle w:val="Bullet4"/>
      <w:lvlText w:val="»"/>
      <w:lvlJc w:val="left"/>
      <w:pPr>
        <w:ind w:left="2256" w:hanging="360"/>
      </w:pPr>
      <w:rPr>
        <w:rFonts w:ascii="Arial" w:hAnsi="Arial"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8" w15:restartNumberingAfterBreak="0">
    <w:nsid w:val="089A2618"/>
    <w:multiLevelType w:val="hybridMultilevel"/>
    <w:tmpl w:val="1BA88664"/>
    <w:lvl w:ilvl="0" w:tplc="21181DCE">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9204166"/>
    <w:multiLevelType w:val="hybridMultilevel"/>
    <w:tmpl w:val="3466A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9BE62B8"/>
    <w:multiLevelType w:val="hybridMultilevel"/>
    <w:tmpl w:val="4DBE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A2F6B80"/>
    <w:multiLevelType w:val="multilevel"/>
    <w:tmpl w:val="FC9ECCC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0A436866"/>
    <w:multiLevelType w:val="multilevel"/>
    <w:tmpl w:val="9BB4C626"/>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0BBE366A"/>
    <w:multiLevelType w:val="hybridMultilevel"/>
    <w:tmpl w:val="75DC0EA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0C3A3A83"/>
    <w:multiLevelType w:val="hybridMultilevel"/>
    <w:tmpl w:val="F624461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5" w15:restartNumberingAfterBreak="0">
    <w:nsid w:val="0C4C6C25"/>
    <w:multiLevelType w:val="hybridMultilevel"/>
    <w:tmpl w:val="C8145CAC"/>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A25650F0">
      <w:start w:val="1"/>
      <w:numFmt w:val="bullet"/>
      <w:pStyle w:val="Bullet5"/>
      <w:lvlText w:val="▫"/>
      <w:lvlJc w:val="left"/>
      <w:pPr>
        <w:ind w:left="2976" w:hanging="360"/>
      </w:pPr>
      <w:rPr>
        <w:rFonts w:ascii="Arial" w:hAnsi="Aria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6" w15:restartNumberingAfterBreak="0">
    <w:nsid w:val="0CC33B0F"/>
    <w:multiLevelType w:val="hybridMultilevel"/>
    <w:tmpl w:val="2B0A6CC0"/>
    <w:lvl w:ilvl="0" w:tplc="7C367F58">
      <w:start w:val="1"/>
      <w:numFmt w:val="decimal"/>
      <w:lvlText w:val="%1."/>
      <w:lvlJc w:val="left"/>
      <w:pPr>
        <w:ind w:left="185" w:hanging="360"/>
      </w:pPr>
      <w:rPr>
        <w:rFonts w:hint="default"/>
        <w:color w:val="auto"/>
      </w:rPr>
    </w:lvl>
    <w:lvl w:ilvl="1" w:tplc="0C090019">
      <w:start w:val="1"/>
      <w:numFmt w:val="lowerLetter"/>
      <w:lvlText w:val="%2."/>
      <w:lvlJc w:val="left"/>
      <w:pPr>
        <w:ind w:left="905" w:hanging="360"/>
      </w:pPr>
      <w:rPr>
        <w:rFonts w:hint="default"/>
      </w:rPr>
    </w:lvl>
    <w:lvl w:ilvl="2" w:tplc="0C090005">
      <w:start w:val="1"/>
      <w:numFmt w:val="bullet"/>
      <w:lvlText w:val=""/>
      <w:lvlJc w:val="left"/>
      <w:pPr>
        <w:ind w:left="1625" w:hanging="360"/>
      </w:pPr>
      <w:rPr>
        <w:rFonts w:ascii="Wingdings" w:hAnsi="Wingdings" w:hint="default"/>
      </w:rPr>
    </w:lvl>
    <w:lvl w:ilvl="3" w:tplc="0C090001" w:tentative="1">
      <w:start w:val="1"/>
      <w:numFmt w:val="bullet"/>
      <w:lvlText w:val=""/>
      <w:lvlJc w:val="left"/>
      <w:pPr>
        <w:ind w:left="2345" w:hanging="360"/>
      </w:pPr>
      <w:rPr>
        <w:rFonts w:ascii="Symbol" w:hAnsi="Symbol" w:hint="default"/>
      </w:rPr>
    </w:lvl>
    <w:lvl w:ilvl="4" w:tplc="0C090003" w:tentative="1">
      <w:start w:val="1"/>
      <w:numFmt w:val="bullet"/>
      <w:lvlText w:val="o"/>
      <w:lvlJc w:val="left"/>
      <w:pPr>
        <w:ind w:left="3065" w:hanging="360"/>
      </w:pPr>
      <w:rPr>
        <w:rFonts w:ascii="Courier New" w:hAnsi="Courier New" w:cs="Courier New" w:hint="default"/>
      </w:rPr>
    </w:lvl>
    <w:lvl w:ilvl="5" w:tplc="0C090005" w:tentative="1">
      <w:start w:val="1"/>
      <w:numFmt w:val="bullet"/>
      <w:lvlText w:val=""/>
      <w:lvlJc w:val="left"/>
      <w:pPr>
        <w:ind w:left="3785" w:hanging="360"/>
      </w:pPr>
      <w:rPr>
        <w:rFonts w:ascii="Wingdings" w:hAnsi="Wingdings" w:hint="default"/>
      </w:rPr>
    </w:lvl>
    <w:lvl w:ilvl="6" w:tplc="0C090001" w:tentative="1">
      <w:start w:val="1"/>
      <w:numFmt w:val="bullet"/>
      <w:lvlText w:val=""/>
      <w:lvlJc w:val="left"/>
      <w:pPr>
        <w:ind w:left="4505" w:hanging="360"/>
      </w:pPr>
      <w:rPr>
        <w:rFonts w:ascii="Symbol" w:hAnsi="Symbol" w:hint="default"/>
      </w:rPr>
    </w:lvl>
    <w:lvl w:ilvl="7" w:tplc="0C090003" w:tentative="1">
      <w:start w:val="1"/>
      <w:numFmt w:val="bullet"/>
      <w:lvlText w:val="o"/>
      <w:lvlJc w:val="left"/>
      <w:pPr>
        <w:ind w:left="5225" w:hanging="360"/>
      </w:pPr>
      <w:rPr>
        <w:rFonts w:ascii="Courier New" w:hAnsi="Courier New" w:cs="Courier New" w:hint="default"/>
      </w:rPr>
    </w:lvl>
    <w:lvl w:ilvl="8" w:tplc="0C090005" w:tentative="1">
      <w:start w:val="1"/>
      <w:numFmt w:val="bullet"/>
      <w:lvlText w:val=""/>
      <w:lvlJc w:val="left"/>
      <w:pPr>
        <w:ind w:left="5945" w:hanging="360"/>
      </w:pPr>
      <w:rPr>
        <w:rFonts w:ascii="Wingdings" w:hAnsi="Wingdings" w:hint="default"/>
      </w:rPr>
    </w:lvl>
  </w:abstractNum>
  <w:abstractNum w:abstractNumId="27" w15:restartNumberingAfterBreak="0">
    <w:nsid w:val="0D88409D"/>
    <w:multiLevelType w:val="hybridMultilevel"/>
    <w:tmpl w:val="C48247AE"/>
    <w:lvl w:ilvl="0" w:tplc="4D0E70F2">
      <w:start w:val="1"/>
      <w:numFmt w:val="bullet"/>
      <w:lvlText w:val=""/>
      <w:lvlJc w:val="left"/>
      <w:pPr>
        <w:ind w:left="661" w:hanging="361"/>
      </w:pPr>
      <w:rPr>
        <w:rFonts w:ascii="Symbol" w:hAnsi="Symbol" w:hint="default"/>
        <w:color w:val="005A77"/>
        <w:w w:val="100"/>
      </w:rPr>
    </w:lvl>
    <w:lvl w:ilvl="1" w:tplc="C8562E14">
      <w:numFmt w:val="bullet"/>
      <w:lvlText w:val=""/>
      <w:lvlJc w:val="left"/>
      <w:pPr>
        <w:ind w:left="1024" w:hanging="361"/>
      </w:pPr>
      <w:rPr>
        <w:rFonts w:ascii="Symbol" w:eastAsia="Symbol" w:hAnsi="Symbol" w:cs="Symbol" w:hint="default"/>
        <w:color w:val="14708E"/>
        <w:w w:val="100"/>
        <w:sz w:val="22"/>
        <w:szCs w:val="22"/>
      </w:rPr>
    </w:lvl>
    <w:lvl w:ilvl="2" w:tplc="2BD04494">
      <w:numFmt w:val="bullet"/>
      <w:lvlText w:val=""/>
      <w:lvlJc w:val="left"/>
      <w:pPr>
        <w:ind w:left="1387" w:hanging="358"/>
      </w:pPr>
      <w:rPr>
        <w:rFonts w:ascii="Symbol" w:eastAsia="Symbol" w:hAnsi="Symbol" w:cs="Symbol" w:hint="default"/>
        <w:color w:val="14708E"/>
        <w:w w:val="100"/>
        <w:sz w:val="22"/>
        <w:szCs w:val="22"/>
      </w:rPr>
    </w:lvl>
    <w:lvl w:ilvl="3" w:tplc="45E0F548">
      <w:numFmt w:val="bullet"/>
      <w:lvlText w:val="•"/>
      <w:lvlJc w:val="left"/>
      <w:pPr>
        <w:ind w:left="1440" w:hanging="358"/>
      </w:pPr>
      <w:rPr>
        <w:rFonts w:hint="default"/>
      </w:rPr>
    </w:lvl>
    <w:lvl w:ilvl="4" w:tplc="7A58F312">
      <w:numFmt w:val="bullet"/>
      <w:lvlText w:val="•"/>
      <w:lvlJc w:val="left"/>
      <w:pPr>
        <w:ind w:left="2568" w:hanging="358"/>
      </w:pPr>
      <w:rPr>
        <w:rFonts w:hint="default"/>
      </w:rPr>
    </w:lvl>
    <w:lvl w:ilvl="5" w:tplc="BC5EE376">
      <w:numFmt w:val="bullet"/>
      <w:lvlText w:val="•"/>
      <w:lvlJc w:val="left"/>
      <w:pPr>
        <w:ind w:left="3696" w:hanging="358"/>
      </w:pPr>
      <w:rPr>
        <w:rFonts w:hint="default"/>
      </w:rPr>
    </w:lvl>
    <w:lvl w:ilvl="6" w:tplc="CA9C42F4">
      <w:numFmt w:val="bullet"/>
      <w:lvlText w:val="•"/>
      <w:lvlJc w:val="left"/>
      <w:pPr>
        <w:ind w:left="4825" w:hanging="358"/>
      </w:pPr>
      <w:rPr>
        <w:rFonts w:hint="default"/>
      </w:rPr>
    </w:lvl>
    <w:lvl w:ilvl="7" w:tplc="0F4C5AF8">
      <w:numFmt w:val="bullet"/>
      <w:lvlText w:val="•"/>
      <w:lvlJc w:val="left"/>
      <w:pPr>
        <w:ind w:left="5953" w:hanging="358"/>
      </w:pPr>
      <w:rPr>
        <w:rFonts w:hint="default"/>
      </w:rPr>
    </w:lvl>
    <w:lvl w:ilvl="8" w:tplc="662876B8">
      <w:numFmt w:val="bullet"/>
      <w:lvlText w:val="•"/>
      <w:lvlJc w:val="left"/>
      <w:pPr>
        <w:ind w:left="7082" w:hanging="358"/>
      </w:pPr>
      <w:rPr>
        <w:rFonts w:hint="default"/>
      </w:rPr>
    </w:lvl>
  </w:abstractNum>
  <w:abstractNum w:abstractNumId="28"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105B24BE"/>
    <w:multiLevelType w:val="hybridMultilevel"/>
    <w:tmpl w:val="26F62A6E"/>
    <w:lvl w:ilvl="0" w:tplc="103E7990">
      <w:start w:val="1"/>
      <w:numFmt w:val="bullet"/>
      <w:pStyle w:val="Boxed2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11337985"/>
    <w:multiLevelType w:val="hybridMultilevel"/>
    <w:tmpl w:val="73ECA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23B2779"/>
    <w:multiLevelType w:val="hybridMultilevel"/>
    <w:tmpl w:val="11007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3960EEF"/>
    <w:multiLevelType w:val="hybridMultilevel"/>
    <w:tmpl w:val="4182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5906E0F"/>
    <w:multiLevelType w:val="multilevel"/>
    <w:tmpl w:val="0FBAB72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70A01A6"/>
    <w:multiLevelType w:val="multilevel"/>
    <w:tmpl w:val="BB4CE10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17EF6E99"/>
    <w:multiLevelType w:val="multilevel"/>
    <w:tmpl w:val="C5E44D2E"/>
    <w:numStyleLink w:val="Numbers"/>
  </w:abstractNum>
  <w:abstractNum w:abstractNumId="37" w15:restartNumberingAfterBreak="0">
    <w:nsid w:val="188676F9"/>
    <w:multiLevelType w:val="multilevel"/>
    <w:tmpl w:val="6ABABAD0"/>
    <w:lvl w:ilvl="0">
      <w:start w:val="1"/>
      <w:numFmt w:val="decimal"/>
      <w:lvlText w:val="%1"/>
      <w:lvlJc w:val="left"/>
      <w:pPr>
        <w:ind w:left="1024" w:hanging="721"/>
      </w:pPr>
      <w:rPr>
        <w:rFonts w:hint="default"/>
      </w:rPr>
    </w:lvl>
    <w:lvl w:ilvl="1">
      <w:start w:val="1"/>
      <w:numFmt w:val="decimal"/>
      <w:lvlText w:val="%1.%2"/>
      <w:lvlJc w:val="left"/>
      <w:pPr>
        <w:ind w:left="304" w:hanging="721"/>
      </w:pPr>
      <w:rPr>
        <w:rFonts w:ascii="Cambria" w:eastAsia="Cambria" w:hAnsi="Cambria" w:cs="Cambria" w:hint="default"/>
        <w:w w:val="100"/>
        <w:sz w:val="22"/>
        <w:szCs w:val="22"/>
      </w:rPr>
    </w:lvl>
    <w:lvl w:ilvl="2">
      <w:numFmt w:val="bullet"/>
      <w:lvlText w:val="•"/>
      <w:lvlJc w:val="left"/>
      <w:pPr>
        <w:ind w:left="1944" w:hanging="721"/>
      </w:pPr>
      <w:rPr>
        <w:rFonts w:hint="default"/>
      </w:rPr>
    </w:lvl>
    <w:lvl w:ilvl="3">
      <w:numFmt w:val="bullet"/>
      <w:lvlText w:val="•"/>
      <w:lvlJc w:val="left"/>
      <w:pPr>
        <w:ind w:left="2868" w:hanging="721"/>
      </w:pPr>
      <w:rPr>
        <w:rFonts w:hint="default"/>
      </w:rPr>
    </w:lvl>
    <w:lvl w:ilvl="4">
      <w:numFmt w:val="bullet"/>
      <w:lvlText w:val="•"/>
      <w:lvlJc w:val="left"/>
      <w:pPr>
        <w:ind w:left="3793" w:hanging="721"/>
      </w:pPr>
      <w:rPr>
        <w:rFonts w:hint="default"/>
      </w:rPr>
    </w:lvl>
    <w:lvl w:ilvl="5">
      <w:numFmt w:val="bullet"/>
      <w:lvlText w:val="•"/>
      <w:lvlJc w:val="left"/>
      <w:pPr>
        <w:ind w:left="4717" w:hanging="721"/>
      </w:pPr>
      <w:rPr>
        <w:rFonts w:hint="default"/>
      </w:rPr>
    </w:lvl>
    <w:lvl w:ilvl="6">
      <w:numFmt w:val="bullet"/>
      <w:lvlText w:val="•"/>
      <w:lvlJc w:val="left"/>
      <w:pPr>
        <w:ind w:left="5641" w:hanging="721"/>
      </w:pPr>
      <w:rPr>
        <w:rFonts w:hint="default"/>
      </w:rPr>
    </w:lvl>
    <w:lvl w:ilvl="7">
      <w:numFmt w:val="bullet"/>
      <w:lvlText w:val="•"/>
      <w:lvlJc w:val="left"/>
      <w:pPr>
        <w:ind w:left="6566" w:hanging="721"/>
      </w:pPr>
      <w:rPr>
        <w:rFonts w:hint="default"/>
      </w:rPr>
    </w:lvl>
    <w:lvl w:ilvl="8">
      <w:numFmt w:val="bullet"/>
      <w:lvlText w:val="•"/>
      <w:lvlJc w:val="left"/>
      <w:pPr>
        <w:ind w:left="7490" w:hanging="721"/>
      </w:pPr>
      <w:rPr>
        <w:rFonts w:hint="default"/>
      </w:rPr>
    </w:lvl>
  </w:abstractNum>
  <w:abstractNum w:abstractNumId="38" w15:restartNumberingAfterBreak="0">
    <w:nsid w:val="18CB60FA"/>
    <w:multiLevelType w:val="hybridMultilevel"/>
    <w:tmpl w:val="2872155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9" w15:restartNumberingAfterBreak="0">
    <w:nsid w:val="1AAA2B37"/>
    <w:multiLevelType w:val="hybridMultilevel"/>
    <w:tmpl w:val="25AC9DF4"/>
    <w:lvl w:ilvl="0" w:tplc="0C090001">
      <w:start w:val="1"/>
      <w:numFmt w:val="bullet"/>
      <w:lvlText w:val=""/>
      <w:lvlJc w:val="left"/>
      <w:pPr>
        <w:ind w:left="4647" w:hanging="360"/>
      </w:pPr>
      <w:rPr>
        <w:rFonts w:ascii="Symbol" w:hAnsi="Symbol" w:hint="default"/>
      </w:rPr>
    </w:lvl>
    <w:lvl w:ilvl="1" w:tplc="0C090003">
      <w:start w:val="1"/>
      <w:numFmt w:val="bullet"/>
      <w:lvlText w:val="o"/>
      <w:lvlJc w:val="left"/>
      <w:pPr>
        <w:ind w:left="5367" w:hanging="360"/>
      </w:pPr>
      <w:rPr>
        <w:rFonts w:ascii="Courier New" w:hAnsi="Courier New" w:cs="Courier New" w:hint="default"/>
      </w:rPr>
    </w:lvl>
    <w:lvl w:ilvl="2" w:tplc="0C090005" w:tentative="1">
      <w:start w:val="1"/>
      <w:numFmt w:val="bullet"/>
      <w:lvlText w:val=""/>
      <w:lvlJc w:val="left"/>
      <w:pPr>
        <w:ind w:left="6087" w:hanging="360"/>
      </w:pPr>
      <w:rPr>
        <w:rFonts w:ascii="Wingdings" w:hAnsi="Wingdings" w:hint="default"/>
      </w:rPr>
    </w:lvl>
    <w:lvl w:ilvl="3" w:tplc="0C090001" w:tentative="1">
      <w:start w:val="1"/>
      <w:numFmt w:val="bullet"/>
      <w:lvlText w:val=""/>
      <w:lvlJc w:val="left"/>
      <w:pPr>
        <w:ind w:left="6807" w:hanging="360"/>
      </w:pPr>
      <w:rPr>
        <w:rFonts w:ascii="Symbol" w:hAnsi="Symbol" w:hint="default"/>
      </w:rPr>
    </w:lvl>
    <w:lvl w:ilvl="4" w:tplc="0C090003" w:tentative="1">
      <w:start w:val="1"/>
      <w:numFmt w:val="bullet"/>
      <w:lvlText w:val="o"/>
      <w:lvlJc w:val="left"/>
      <w:pPr>
        <w:ind w:left="7527" w:hanging="360"/>
      </w:pPr>
      <w:rPr>
        <w:rFonts w:ascii="Courier New" w:hAnsi="Courier New" w:cs="Courier New" w:hint="default"/>
      </w:rPr>
    </w:lvl>
    <w:lvl w:ilvl="5" w:tplc="0C090005" w:tentative="1">
      <w:start w:val="1"/>
      <w:numFmt w:val="bullet"/>
      <w:lvlText w:val=""/>
      <w:lvlJc w:val="left"/>
      <w:pPr>
        <w:ind w:left="8247" w:hanging="360"/>
      </w:pPr>
      <w:rPr>
        <w:rFonts w:ascii="Wingdings" w:hAnsi="Wingdings" w:hint="default"/>
      </w:rPr>
    </w:lvl>
    <w:lvl w:ilvl="6" w:tplc="0C090001" w:tentative="1">
      <w:start w:val="1"/>
      <w:numFmt w:val="bullet"/>
      <w:lvlText w:val=""/>
      <w:lvlJc w:val="left"/>
      <w:pPr>
        <w:ind w:left="8967" w:hanging="360"/>
      </w:pPr>
      <w:rPr>
        <w:rFonts w:ascii="Symbol" w:hAnsi="Symbol" w:hint="default"/>
      </w:rPr>
    </w:lvl>
    <w:lvl w:ilvl="7" w:tplc="0C090003" w:tentative="1">
      <w:start w:val="1"/>
      <w:numFmt w:val="bullet"/>
      <w:lvlText w:val="o"/>
      <w:lvlJc w:val="left"/>
      <w:pPr>
        <w:ind w:left="9687" w:hanging="360"/>
      </w:pPr>
      <w:rPr>
        <w:rFonts w:ascii="Courier New" w:hAnsi="Courier New" w:cs="Courier New" w:hint="default"/>
      </w:rPr>
    </w:lvl>
    <w:lvl w:ilvl="8" w:tplc="0C090005" w:tentative="1">
      <w:start w:val="1"/>
      <w:numFmt w:val="bullet"/>
      <w:lvlText w:val=""/>
      <w:lvlJc w:val="left"/>
      <w:pPr>
        <w:ind w:left="10407" w:hanging="360"/>
      </w:pPr>
      <w:rPr>
        <w:rFonts w:ascii="Wingdings" w:hAnsi="Wingdings" w:hint="default"/>
      </w:rPr>
    </w:lvl>
  </w:abstractNum>
  <w:abstractNum w:abstractNumId="40" w15:restartNumberingAfterBreak="0">
    <w:nsid w:val="1CEC323F"/>
    <w:multiLevelType w:val="hybridMultilevel"/>
    <w:tmpl w:val="AE6C1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EC350DE"/>
    <w:multiLevelType w:val="multilevel"/>
    <w:tmpl w:val="887C7146"/>
    <w:lvl w:ilvl="0">
      <w:start w:val="1"/>
      <w:numFmt w:val="decimal"/>
      <w:pStyle w:val="OutlineNumbered1"/>
      <w:lvlText w:val="%1."/>
      <w:lvlJc w:val="left"/>
      <w:pPr>
        <w:tabs>
          <w:tab w:val="num" w:pos="425"/>
        </w:tabs>
        <w:ind w:left="425" w:hanging="425"/>
      </w:pPr>
    </w:lvl>
    <w:lvl w:ilvl="1">
      <w:start w:val="1"/>
      <w:numFmt w:val="decimal"/>
      <w:pStyle w:val="OutlineNumbered2"/>
      <w:lvlText w:val="%1.%2."/>
      <w:lvlJc w:val="left"/>
      <w:pPr>
        <w:tabs>
          <w:tab w:val="num" w:pos="850"/>
        </w:tabs>
        <w:ind w:left="850" w:hanging="425"/>
      </w:pPr>
    </w:lvl>
    <w:lvl w:ilvl="2">
      <w:start w:val="1"/>
      <w:numFmt w:val="decimal"/>
      <w:pStyle w:val="OutlineNumbered3"/>
      <w:lvlText w:val="%1.%2.%3."/>
      <w:lvlJc w:val="left"/>
      <w:pPr>
        <w:tabs>
          <w:tab w:val="num" w:pos="1275"/>
        </w:tabs>
        <w:ind w:left="1275"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F355E81"/>
    <w:multiLevelType w:val="hybridMultilevel"/>
    <w:tmpl w:val="695EC7F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205643EC"/>
    <w:multiLevelType w:val="hybridMultilevel"/>
    <w:tmpl w:val="FE06DD08"/>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4558D75E">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4" w15:restartNumberingAfterBreak="0">
    <w:nsid w:val="230812EB"/>
    <w:multiLevelType w:val="hybridMultilevel"/>
    <w:tmpl w:val="D8BEA89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5" w15:restartNumberingAfterBreak="0">
    <w:nsid w:val="237743A4"/>
    <w:multiLevelType w:val="hybridMultilevel"/>
    <w:tmpl w:val="4AE245B2"/>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23C91B62"/>
    <w:multiLevelType w:val="hybridMultilevel"/>
    <w:tmpl w:val="7B5AC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4F87310"/>
    <w:multiLevelType w:val="hybridMultilevel"/>
    <w:tmpl w:val="C20E293E"/>
    <w:lvl w:ilvl="0" w:tplc="B2D046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6776BDC"/>
    <w:multiLevelType w:val="hybridMultilevel"/>
    <w:tmpl w:val="FCF637F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7A47565"/>
    <w:multiLevelType w:val="hybridMultilevel"/>
    <w:tmpl w:val="AB0A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4214C9"/>
    <w:multiLevelType w:val="multilevel"/>
    <w:tmpl w:val="15BC10E0"/>
    <w:styleLink w:val="Bullets"/>
    <w:lvl w:ilvl="0">
      <w:start w:val="1"/>
      <w:numFmt w:val="bullet"/>
      <w:lvlText w:val="•"/>
      <w:lvlJc w:val="left"/>
      <w:pPr>
        <w:tabs>
          <w:tab w:val="num" w:pos="284"/>
        </w:tabs>
        <w:ind w:left="284" w:hanging="284"/>
      </w:pPr>
      <w:rPr>
        <w:rFonts w:ascii="Cambria" w:hAnsi="Cambria" w:hint="default"/>
        <w:color w:val="5BC6E8"/>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2" w15:restartNumberingAfterBreak="0">
    <w:nsid w:val="2B8246E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B9B159F"/>
    <w:multiLevelType w:val="multilevel"/>
    <w:tmpl w:val="5C8A92C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529"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4" w15:restartNumberingAfterBreak="0">
    <w:nsid w:val="2BF350C3"/>
    <w:multiLevelType w:val="hybridMultilevel"/>
    <w:tmpl w:val="53682D52"/>
    <w:lvl w:ilvl="0" w:tplc="299836E4">
      <w:start w:val="1"/>
      <w:numFmt w:val="bullet"/>
      <w:pStyle w:val="Repor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DC803A7"/>
    <w:multiLevelType w:val="hybridMultilevel"/>
    <w:tmpl w:val="8128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DFE327B"/>
    <w:multiLevelType w:val="hybridMultilevel"/>
    <w:tmpl w:val="4F88A1B8"/>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E25035F"/>
    <w:multiLevelType w:val="hybridMultilevel"/>
    <w:tmpl w:val="E654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E647757"/>
    <w:multiLevelType w:val="hybridMultilevel"/>
    <w:tmpl w:val="44FC0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EAA6B6B"/>
    <w:multiLevelType w:val="hybridMultilevel"/>
    <w:tmpl w:val="3912F07A"/>
    <w:lvl w:ilvl="0" w:tplc="07B05118">
      <w:start w:val="1"/>
      <w:numFmt w:val="bullet"/>
      <w:pStyle w:val="Reports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F406BB9"/>
    <w:multiLevelType w:val="hybridMultilevel"/>
    <w:tmpl w:val="EB5CE2B6"/>
    <w:lvl w:ilvl="0" w:tplc="267A5820">
      <w:start w:val="1"/>
      <w:numFmt w:val="bullet"/>
      <w:pStyle w:val="Reports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F440B3C"/>
    <w:multiLevelType w:val="multilevel"/>
    <w:tmpl w:val="878C6CD0"/>
    <w:lvl w:ilvl="0">
      <w:start w:val="1"/>
      <w:numFmt w:val="decimal"/>
      <w:lvlText w:val="%1."/>
      <w:lvlJc w:val="left"/>
      <w:pPr>
        <w:ind w:left="720" w:hanging="720"/>
      </w:pPr>
      <w:rPr>
        <w:rFonts w:hint="default"/>
        <w:color w:val="005A77"/>
        <w:sz w:val="48"/>
        <w:szCs w:val="48"/>
      </w:rPr>
    </w:lvl>
    <w:lvl w:ilvl="1">
      <w:start w:val="1"/>
      <w:numFmt w:val="decimal"/>
      <w:isLgl/>
      <w:lvlText w:val="%1.%2"/>
      <w:lvlJc w:val="left"/>
      <w:pPr>
        <w:ind w:left="9226" w:hanging="720"/>
      </w:pPr>
      <w:rPr>
        <w:rFonts w:hint="default"/>
        <w:sz w:val="36"/>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F85342A"/>
    <w:multiLevelType w:val="hybridMultilevel"/>
    <w:tmpl w:val="E6D88E1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00569AE"/>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4" w15:restartNumberingAfterBreak="0">
    <w:nsid w:val="3058571A"/>
    <w:multiLevelType w:val="hybridMultilevel"/>
    <w:tmpl w:val="7EB08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0A42F10"/>
    <w:multiLevelType w:val="hybridMultilevel"/>
    <w:tmpl w:val="74DC9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0CF259A"/>
    <w:multiLevelType w:val="hybridMultilevel"/>
    <w:tmpl w:val="88DC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1C51D87"/>
    <w:multiLevelType w:val="hybridMultilevel"/>
    <w:tmpl w:val="11A08FB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6092995"/>
    <w:multiLevelType w:val="hybridMultilevel"/>
    <w:tmpl w:val="2AC07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710316B"/>
    <w:multiLevelType w:val="hybridMultilevel"/>
    <w:tmpl w:val="E52A13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1" w15:restartNumberingAfterBreak="0">
    <w:nsid w:val="3BCA7F5C"/>
    <w:multiLevelType w:val="multilevel"/>
    <w:tmpl w:val="80A851DA"/>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2" w15:restartNumberingAfterBreak="0">
    <w:nsid w:val="3F55604F"/>
    <w:multiLevelType w:val="multilevel"/>
    <w:tmpl w:val="D45C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019337A"/>
    <w:multiLevelType w:val="multilevel"/>
    <w:tmpl w:val="C5E44D2E"/>
    <w:numStyleLink w:val="Numbers"/>
  </w:abstractNum>
  <w:abstractNum w:abstractNumId="74" w15:restartNumberingAfterBreak="0">
    <w:nsid w:val="40787B0F"/>
    <w:multiLevelType w:val="hybridMultilevel"/>
    <w:tmpl w:val="66F2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0E603B8"/>
    <w:multiLevelType w:val="hybridMultilevel"/>
    <w:tmpl w:val="D1A68E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1C862E5"/>
    <w:multiLevelType w:val="hybridMultilevel"/>
    <w:tmpl w:val="5D223A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DD537E"/>
    <w:multiLevelType w:val="multilevel"/>
    <w:tmpl w:val="C5E44D2E"/>
    <w:numStyleLink w:val="Numbers"/>
  </w:abstractNum>
  <w:abstractNum w:abstractNumId="78" w15:restartNumberingAfterBreak="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79" w15:restartNumberingAfterBreak="0">
    <w:nsid w:val="44BE7FFB"/>
    <w:multiLevelType w:val="hybridMultilevel"/>
    <w:tmpl w:val="13061374"/>
    <w:lvl w:ilvl="0" w:tplc="F29022CA">
      <w:start w:val="1"/>
      <w:numFmt w:val="decimal"/>
      <w:lvlText w:val="%1."/>
      <w:lvlJc w:val="left"/>
      <w:pPr>
        <w:ind w:left="360" w:hanging="360"/>
      </w:pPr>
      <w:rPr>
        <w:rFonts w:ascii="Arial" w:hAnsi="Aria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45121419"/>
    <w:multiLevelType w:val="hybridMultilevel"/>
    <w:tmpl w:val="7576973E"/>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81" w15:restartNumberingAfterBreak="0">
    <w:nsid w:val="45545F34"/>
    <w:multiLevelType w:val="hybridMultilevel"/>
    <w:tmpl w:val="26CCC948"/>
    <w:lvl w:ilvl="0" w:tplc="7DF6C4AA">
      <w:start w:val="1"/>
      <w:numFmt w:val="bullet"/>
      <w:lvlText w:val="–"/>
      <w:lvlJc w:val="left"/>
      <w:pPr>
        <w:ind w:left="720" w:hanging="360"/>
      </w:pPr>
      <w:rPr>
        <w:rFonts w:ascii="Arial" w:eastAsia="Arial" w:hAnsi="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67072FB"/>
    <w:multiLevelType w:val="hybridMultilevel"/>
    <w:tmpl w:val="3BEC49B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47B36A90"/>
    <w:multiLevelType w:val="hybridMultilevel"/>
    <w:tmpl w:val="AC52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95F18D6"/>
    <w:multiLevelType w:val="hybridMultilevel"/>
    <w:tmpl w:val="EC5E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D52CA8"/>
    <w:multiLevelType w:val="hybridMultilevel"/>
    <w:tmpl w:val="A52C16DC"/>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86" w15:restartNumberingAfterBreak="0">
    <w:nsid w:val="4BCC1AB9"/>
    <w:multiLevelType w:val="hybridMultilevel"/>
    <w:tmpl w:val="B59A47C6"/>
    <w:lvl w:ilvl="0" w:tplc="FD0A00A8">
      <w:start w:val="3"/>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4C97124E"/>
    <w:multiLevelType w:val="hybridMultilevel"/>
    <w:tmpl w:val="AB964362"/>
    <w:lvl w:ilvl="0" w:tplc="84727AC4">
      <w:start w:val="1"/>
      <w:numFmt w:val="bullet"/>
      <w:pStyle w:val="TableText-Normal-DotPoin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88" w15:restartNumberingAfterBreak="0">
    <w:nsid w:val="4D27258B"/>
    <w:multiLevelType w:val="hybridMultilevel"/>
    <w:tmpl w:val="E6E45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D876A51"/>
    <w:multiLevelType w:val="hybridMultilevel"/>
    <w:tmpl w:val="D2CC638E"/>
    <w:lvl w:ilvl="0" w:tplc="752CB78A">
      <w:start w:val="2"/>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DED393F"/>
    <w:multiLevelType w:val="hybridMultilevel"/>
    <w:tmpl w:val="760C43A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F1523F7"/>
    <w:multiLevelType w:val="multilevel"/>
    <w:tmpl w:val="C5E44D2E"/>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92" w15:restartNumberingAfterBreak="0">
    <w:nsid w:val="52320A56"/>
    <w:multiLevelType w:val="hybridMultilevel"/>
    <w:tmpl w:val="4DF2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2E60DCF"/>
    <w:multiLevelType w:val="multilevel"/>
    <w:tmpl w:val="FD5AFA9C"/>
    <w:lvl w:ilvl="0">
      <w:start w:val="1"/>
      <w:numFmt w:val="decimal"/>
      <w:lvlText w:val="%1."/>
      <w:lvlJc w:val="left"/>
      <w:pPr>
        <w:ind w:left="360" w:hanging="360"/>
      </w:pPr>
      <w:rPr>
        <w:rFonts w:hint="default"/>
        <w:color w:val="005A77"/>
        <w:sz w:val="48"/>
        <w:szCs w:val="4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3871F66"/>
    <w:multiLevelType w:val="hybridMultilevel"/>
    <w:tmpl w:val="88549D4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547836B9"/>
    <w:multiLevelType w:val="hybridMultilevel"/>
    <w:tmpl w:val="AD725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4BD1F72"/>
    <w:multiLevelType w:val="hybridMultilevel"/>
    <w:tmpl w:val="13E20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62105CF"/>
    <w:multiLevelType w:val="hybridMultilevel"/>
    <w:tmpl w:val="2EF273D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562F0562"/>
    <w:multiLevelType w:val="hybridMultilevel"/>
    <w:tmpl w:val="270E9EB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66A726B"/>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0" w15:restartNumberingAfterBreak="0">
    <w:nsid w:val="56A0751B"/>
    <w:multiLevelType w:val="hybridMultilevel"/>
    <w:tmpl w:val="A574D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6BC2D5C"/>
    <w:multiLevelType w:val="hybridMultilevel"/>
    <w:tmpl w:val="C1928B5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58F87BB6"/>
    <w:multiLevelType w:val="hybridMultilevel"/>
    <w:tmpl w:val="808E2EE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4" w15:restartNumberingAfterBreak="0">
    <w:nsid w:val="59765A6B"/>
    <w:multiLevelType w:val="hybridMultilevel"/>
    <w:tmpl w:val="2E18B0B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5" w15:restartNumberingAfterBreak="0">
    <w:nsid w:val="5B29014B"/>
    <w:multiLevelType w:val="hybridMultilevel"/>
    <w:tmpl w:val="C1CADDE4"/>
    <w:lvl w:ilvl="0" w:tplc="5FBAD848">
      <w:start w:val="2"/>
      <w:numFmt w:val="upperLetter"/>
      <w:lvlText w:val="(%1)"/>
      <w:lvlJc w:val="left"/>
      <w:pPr>
        <w:ind w:left="1384" w:hanging="360"/>
      </w:pPr>
      <w:rPr>
        <w:rFonts w:hint="default"/>
      </w:rPr>
    </w:lvl>
    <w:lvl w:ilvl="1" w:tplc="0C090019" w:tentative="1">
      <w:start w:val="1"/>
      <w:numFmt w:val="lowerLetter"/>
      <w:lvlText w:val="%2."/>
      <w:lvlJc w:val="left"/>
      <w:pPr>
        <w:ind w:left="2104" w:hanging="360"/>
      </w:pPr>
    </w:lvl>
    <w:lvl w:ilvl="2" w:tplc="0C09001B" w:tentative="1">
      <w:start w:val="1"/>
      <w:numFmt w:val="lowerRoman"/>
      <w:lvlText w:val="%3."/>
      <w:lvlJc w:val="right"/>
      <w:pPr>
        <w:ind w:left="2824" w:hanging="180"/>
      </w:pPr>
    </w:lvl>
    <w:lvl w:ilvl="3" w:tplc="0C09000F" w:tentative="1">
      <w:start w:val="1"/>
      <w:numFmt w:val="decimal"/>
      <w:lvlText w:val="%4."/>
      <w:lvlJc w:val="left"/>
      <w:pPr>
        <w:ind w:left="3544" w:hanging="360"/>
      </w:pPr>
    </w:lvl>
    <w:lvl w:ilvl="4" w:tplc="0C090019" w:tentative="1">
      <w:start w:val="1"/>
      <w:numFmt w:val="lowerLetter"/>
      <w:lvlText w:val="%5."/>
      <w:lvlJc w:val="left"/>
      <w:pPr>
        <w:ind w:left="4264" w:hanging="360"/>
      </w:pPr>
    </w:lvl>
    <w:lvl w:ilvl="5" w:tplc="0C09001B" w:tentative="1">
      <w:start w:val="1"/>
      <w:numFmt w:val="lowerRoman"/>
      <w:lvlText w:val="%6."/>
      <w:lvlJc w:val="right"/>
      <w:pPr>
        <w:ind w:left="4984" w:hanging="180"/>
      </w:pPr>
    </w:lvl>
    <w:lvl w:ilvl="6" w:tplc="0C09000F" w:tentative="1">
      <w:start w:val="1"/>
      <w:numFmt w:val="decimal"/>
      <w:lvlText w:val="%7."/>
      <w:lvlJc w:val="left"/>
      <w:pPr>
        <w:ind w:left="5704" w:hanging="360"/>
      </w:pPr>
    </w:lvl>
    <w:lvl w:ilvl="7" w:tplc="0C090019" w:tentative="1">
      <w:start w:val="1"/>
      <w:numFmt w:val="lowerLetter"/>
      <w:lvlText w:val="%8."/>
      <w:lvlJc w:val="left"/>
      <w:pPr>
        <w:ind w:left="6424" w:hanging="360"/>
      </w:pPr>
    </w:lvl>
    <w:lvl w:ilvl="8" w:tplc="0C09001B" w:tentative="1">
      <w:start w:val="1"/>
      <w:numFmt w:val="lowerRoman"/>
      <w:lvlText w:val="%9."/>
      <w:lvlJc w:val="right"/>
      <w:pPr>
        <w:ind w:left="7144" w:hanging="180"/>
      </w:pPr>
    </w:lvl>
  </w:abstractNum>
  <w:abstractNum w:abstractNumId="106" w15:restartNumberingAfterBreak="0">
    <w:nsid w:val="5BA053F2"/>
    <w:multiLevelType w:val="hybridMultilevel"/>
    <w:tmpl w:val="B3B46F80"/>
    <w:lvl w:ilvl="0" w:tplc="DD50C99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BF51BB2"/>
    <w:multiLevelType w:val="hybridMultilevel"/>
    <w:tmpl w:val="0E4A89E2"/>
    <w:lvl w:ilvl="0" w:tplc="A04ABCAE">
      <w:start w:val="1"/>
      <w:numFmt w:val="bullet"/>
      <w:lvlText w:val=""/>
      <w:lvlJc w:val="left"/>
      <w:pPr>
        <w:ind w:left="720" w:hanging="360"/>
      </w:pPr>
      <w:rPr>
        <w:rFonts w:ascii="Wingdings" w:hAnsi="Wingdings" w:hint="default"/>
      </w:rPr>
    </w:lvl>
    <w:lvl w:ilvl="1" w:tplc="0C090005">
      <w:start w:val="1"/>
      <w:numFmt w:val="bullet"/>
      <w:pStyle w:val="Bullet3"/>
      <w:lvlText w:val=""/>
      <w:lvlJc w:val="left"/>
      <w:pPr>
        <w:ind w:left="1440" w:hanging="360"/>
      </w:pPr>
      <w:rPr>
        <w:rFonts w:ascii="Wingdings" w:hAnsi="Wingdings" w:hint="default"/>
        <w:w w:val="100"/>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9" w15:restartNumberingAfterBreak="0">
    <w:nsid w:val="5E6874D5"/>
    <w:multiLevelType w:val="hybridMultilevel"/>
    <w:tmpl w:val="4592749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5FB97BCA"/>
    <w:multiLevelType w:val="multilevel"/>
    <w:tmpl w:val="402AEC22"/>
    <w:lvl w:ilvl="0">
      <w:start w:val="1"/>
      <w:numFmt w:val="decimal"/>
      <w:lvlText w:val="%1."/>
      <w:lvlJc w:val="left"/>
      <w:pPr>
        <w:ind w:left="284" w:hanging="284"/>
      </w:pPr>
      <w:rPr>
        <w:rFonts w:hint="default"/>
      </w:rPr>
    </w:lvl>
    <w:lvl w:ilvl="1">
      <w:start w:val="1"/>
      <w:numFmt w:val="decimal"/>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1" w15:restartNumberingAfterBreak="0">
    <w:nsid w:val="61FE229C"/>
    <w:multiLevelType w:val="hybridMultilevel"/>
    <w:tmpl w:val="D778C070"/>
    <w:lvl w:ilvl="0" w:tplc="1894534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A43A37"/>
    <w:multiLevelType w:val="hybridMultilevel"/>
    <w:tmpl w:val="FD86AB96"/>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13" w15:restartNumberingAfterBreak="0">
    <w:nsid w:val="659302CF"/>
    <w:multiLevelType w:val="multilevel"/>
    <w:tmpl w:val="C5E44D2E"/>
    <w:numStyleLink w:val="Numbers"/>
  </w:abstractNum>
  <w:abstractNum w:abstractNumId="114" w15:restartNumberingAfterBreak="0">
    <w:nsid w:val="66AE754E"/>
    <w:multiLevelType w:val="hybridMultilevel"/>
    <w:tmpl w:val="03ECE8E8"/>
    <w:lvl w:ilvl="0" w:tplc="B4522852">
      <w:start w:val="1"/>
      <w:numFmt w:val="bullet"/>
      <w:pStyle w:val="Bullet2"/>
      <w:lvlText w:val="­"/>
      <w:lvlJc w:val="left"/>
      <w:pPr>
        <w:ind w:left="720" w:hanging="360"/>
      </w:pPr>
      <w:rPr>
        <w:rFonts w:ascii="Courier New" w:hAnsi="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6C610B0"/>
    <w:multiLevelType w:val="hybridMultilevel"/>
    <w:tmpl w:val="A3684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79D4805"/>
    <w:multiLevelType w:val="hybridMultilevel"/>
    <w:tmpl w:val="44304AD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7" w15:restartNumberingAfterBreak="0">
    <w:nsid w:val="688E5B45"/>
    <w:multiLevelType w:val="hybridMultilevel"/>
    <w:tmpl w:val="C7C21240"/>
    <w:lvl w:ilvl="0" w:tplc="5A980F64">
      <w:start w:val="1"/>
      <w:numFmt w:val="lowerLetter"/>
      <w:lvlText w:val="(%1)"/>
      <w:lvlJc w:val="left"/>
      <w:pPr>
        <w:ind w:left="456" w:hanging="360"/>
      </w:pPr>
      <w:rPr>
        <w:rFonts w:hint="default"/>
      </w:rPr>
    </w:lvl>
    <w:lvl w:ilvl="1" w:tplc="0C090019" w:tentative="1">
      <w:start w:val="1"/>
      <w:numFmt w:val="lowerLetter"/>
      <w:lvlText w:val="%2."/>
      <w:lvlJc w:val="left"/>
      <w:pPr>
        <w:ind w:left="1176" w:hanging="360"/>
      </w:pPr>
    </w:lvl>
    <w:lvl w:ilvl="2" w:tplc="0C09001B" w:tentative="1">
      <w:start w:val="1"/>
      <w:numFmt w:val="lowerRoman"/>
      <w:lvlText w:val="%3."/>
      <w:lvlJc w:val="right"/>
      <w:pPr>
        <w:ind w:left="1896" w:hanging="180"/>
      </w:pPr>
    </w:lvl>
    <w:lvl w:ilvl="3" w:tplc="0C09000F" w:tentative="1">
      <w:start w:val="1"/>
      <w:numFmt w:val="decimal"/>
      <w:lvlText w:val="%4."/>
      <w:lvlJc w:val="left"/>
      <w:pPr>
        <w:ind w:left="2616" w:hanging="360"/>
      </w:pPr>
    </w:lvl>
    <w:lvl w:ilvl="4" w:tplc="0C090019" w:tentative="1">
      <w:start w:val="1"/>
      <w:numFmt w:val="lowerLetter"/>
      <w:lvlText w:val="%5."/>
      <w:lvlJc w:val="left"/>
      <w:pPr>
        <w:ind w:left="3336" w:hanging="360"/>
      </w:pPr>
    </w:lvl>
    <w:lvl w:ilvl="5" w:tplc="0C09001B" w:tentative="1">
      <w:start w:val="1"/>
      <w:numFmt w:val="lowerRoman"/>
      <w:lvlText w:val="%6."/>
      <w:lvlJc w:val="right"/>
      <w:pPr>
        <w:ind w:left="4056" w:hanging="180"/>
      </w:pPr>
    </w:lvl>
    <w:lvl w:ilvl="6" w:tplc="0C09000F" w:tentative="1">
      <w:start w:val="1"/>
      <w:numFmt w:val="decimal"/>
      <w:lvlText w:val="%7."/>
      <w:lvlJc w:val="left"/>
      <w:pPr>
        <w:ind w:left="4776" w:hanging="360"/>
      </w:pPr>
    </w:lvl>
    <w:lvl w:ilvl="7" w:tplc="0C090019" w:tentative="1">
      <w:start w:val="1"/>
      <w:numFmt w:val="lowerLetter"/>
      <w:lvlText w:val="%8."/>
      <w:lvlJc w:val="left"/>
      <w:pPr>
        <w:ind w:left="5496" w:hanging="360"/>
      </w:pPr>
    </w:lvl>
    <w:lvl w:ilvl="8" w:tplc="0C09001B" w:tentative="1">
      <w:start w:val="1"/>
      <w:numFmt w:val="lowerRoman"/>
      <w:lvlText w:val="%9."/>
      <w:lvlJc w:val="right"/>
      <w:pPr>
        <w:ind w:left="6216" w:hanging="180"/>
      </w:pPr>
    </w:lvl>
  </w:abstractNum>
  <w:abstractNum w:abstractNumId="118" w15:restartNumberingAfterBreak="0">
    <w:nsid w:val="691B6B7E"/>
    <w:multiLevelType w:val="multilevel"/>
    <w:tmpl w:val="8D8CC79E"/>
    <w:lvl w:ilvl="0">
      <w:start w:val="1"/>
      <w:numFmt w:val="decimal"/>
      <w:lvlText w:val="%1."/>
      <w:lvlJc w:val="left"/>
      <w:pPr>
        <w:ind w:left="871" w:hanging="567"/>
      </w:pPr>
      <w:rPr>
        <w:rFonts w:ascii="Arial" w:eastAsia="Arial" w:hAnsi="Arial" w:cs="Arial" w:hint="default"/>
        <w:color w:val="005A77"/>
        <w:spacing w:val="-11"/>
        <w:w w:val="100"/>
        <w:sz w:val="48"/>
        <w:szCs w:val="48"/>
      </w:rPr>
    </w:lvl>
    <w:lvl w:ilvl="1">
      <w:start w:val="1"/>
      <w:numFmt w:val="decimal"/>
      <w:lvlText w:val="%1.%2"/>
      <w:lvlJc w:val="left"/>
      <w:pPr>
        <w:ind w:left="1041" w:hanging="737"/>
      </w:pPr>
      <w:rPr>
        <w:rFonts w:hint="default"/>
        <w:b/>
        <w:bCs/>
        <w:spacing w:val="-8"/>
        <w:w w:val="99"/>
      </w:rPr>
    </w:lvl>
    <w:lvl w:ilvl="2">
      <w:numFmt w:val="bullet"/>
      <w:lvlText w:val=""/>
      <w:lvlJc w:val="left"/>
      <w:pPr>
        <w:ind w:left="1024" w:hanging="737"/>
      </w:pPr>
      <w:rPr>
        <w:rFonts w:ascii="Symbol" w:eastAsia="Symbol" w:hAnsi="Symbol" w:cs="Symbol" w:hint="default"/>
        <w:w w:val="100"/>
        <w:sz w:val="22"/>
        <w:szCs w:val="22"/>
      </w:rPr>
    </w:lvl>
    <w:lvl w:ilvl="3">
      <w:numFmt w:val="bullet"/>
      <w:lvlText w:val="•"/>
      <w:lvlJc w:val="left"/>
      <w:pPr>
        <w:ind w:left="2077" w:hanging="737"/>
      </w:pPr>
      <w:rPr>
        <w:rFonts w:hint="default"/>
      </w:rPr>
    </w:lvl>
    <w:lvl w:ilvl="4">
      <w:numFmt w:val="bullet"/>
      <w:lvlText w:val="•"/>
      <w:lvlJc w:val="left"/>
      <w:pPr>
        <w:ind w:left="3114" w:hanging="737"/>
      </w:pPr>
      <w:rPr>
        <w:rFonts w:hint="default"/>
      </w:rPr>
    </w:lvl>
    <w:lvl w:ilvl="5">
      <w:numFmt w:val="bullet"/>
      <w:lvlText w:val="•"/>
      <w:lvlJc w:val="left"/>
      <w:pPr>
        <w:ind w:left="4152" w:hanging="737"/>
      </w:pPr>
      <w:rPr>
        <w:rFonts w:hint="default"/>
      </w:rPr>
    </w:lvl>
    <w:lvl w:ilvl="6">
      <w:numFmt w:val="bullet"/>
      <w:lvlText w:val="•"/>
      <w:lvlJc w:val="left"/>
      <w:pPr>
        <w:ind w:left="5189" w:hanging="737"/>
      </w:pPr>
      <w:rPr>
        <w:rFonts w:hint="default"/>
      </w:rPr>
    </w:lvl>
    <w:lvl w:ilvl="7">
      <w:numFmt w:val="bullet"/>
      <w:lvlText w:val="•"/>
      <w:lvlJc w:val="left"/>
      <w:pPr>
        <w:ind w:left="6227" w:hanging="737"/>
      </w:pPr>
      <w:rPr>
        <w:rFonts w:hint="default"/>
      </w:rPr>
    </w:lvl>
    <w:lvl w:ilvl="8">
      <w:numFmt w:val="bullet"/>
      <w:lvlText w:val="•"/>
      <w:lvlJc w:val="left"/>
      <w:pPr>
        <w:ind w:left="7264" w:hanging="737"/>
      </w:pPr>
      <w:rPr>
        <w:rFonts w:hint="default"/>
      </w:rPr>
    </w:lvl>
  </w:abstractNum>
  <w:abstractNum w:abstractNumId="119" w15:restartNumberingAfterBreak="0">
    <w:nsid w:val="6AAA3F72"/>
    <w:multiLevelType w:val="hybridMultilevel"/>
    <w:tmpl w:val="8A4C2324"/>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20" w15:restartNumberingAfterBreak="0">
    <w:nsid w:val="6B167D3A"/>
    <w:multiLevelType w:val="hybridMultilevel"/>
    <w:tmpl w:val="E81E54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B875DD2"/>
    <w:multiLevelType w:val="hybridMultilevel"/>
    <w:tmpl w:val="05BC657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22" w15:restartNumberingAfterBreak="0">
    <w:nsid w:val="6C6A60AC"/>
    <w:multiLevelType w:val="hybridMultilevel"/>
    <w:tmpl w:val="C4CC81F4"/>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23" w15:restartNumberingAfterBreak="0">
    <w:nsid w:val="6D1879F6"/>
    <w:multiLevelType w:val="multilevel"/>
    <w:tmpl w:val="279E3C3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1FA5281"/>
    <w:multiLevelType w:val="multilevel"/>
    <w:tmpl w:val="52FE3B94"/>
    <w:lvl w:ilvl="0">
      <w:start w:val="1"/>
      <w:numFmt w:val="decimal"/>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C6E8"/>
      </w:rPr>
    </w:lvl>
    <w:lvl w:ilvl="6">
      <w:start w:val="1"/>
      <w:numFmt w:val="bullet"/>
      <w:lvlText w:val="•"/>
      <w:lvlJc w:val="left"/>
      <w:pPr>
        <w:tabs>
          <w:tab w:val="num" w:pos="437"/>
        </w:tabs>
        <w:ind w:left="437" w:hanging="171"/>
      </w:pPr>
      <w:rPr>
        <w:rFonts w:ascii="Cambria" w:hAnsi="Cambria" w:hint="default"/>
        <w:color w:val="5BC6E8"/>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5"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6" w15:restartNumberingAfterBreak="0">
    <w:nsid w:val="74A00188"/>
    <w:multiLevelType w:val="hybridMultilevel"/>
    <w:tmpl w:val="D3806354"/>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27" w15:restartNumberingAfterBreak="0">
    <w:nsid w:val="74CB6D6B"/>
    <w:multiLevelType w:val="hybridMultilevel"/>
    <w:tmpl w:val="C17655BC"/>
    <w:lvl w:ilvl="0" w:tplc="986856A2">
      <w:start w:val="1"/>
      <w:numFmt w:val="decimal"/>
      <w:pStyle w:val="Numbered"/>
      <w:lvlText w:val="%1."/>
      <w:lvlJc w:val="left"/>
      <w:pPr>
        <w:ind w:left="360" w:hanging="360"/>
      </w:pPr>
      <w:rPr>
        <w:rFonts w:ascii="Calibri" w:hAnsi="Calibri" w:cs="Calibri" w:hint="default"/>
        <w:color w:val="auto"/>
        <w:sz w:val="22"/>
        <w:szCs w:val="22"/>
      </w:rPr>
    </w:lvl>
    <w:lvl w:ilvl="1" w:tplc="0C090019">
      <w:start w:val="1"/>
      <w:numFmt w:val="lowerLetter"/>
      <w:lvlText w:val="%2."/>
      <w:lvlJc w:val="left"/>
      <w:pPr>
        <w:ind w:left="-6008" w:hanging="360"/>
      </w:pPr>
    </w:lvl>
    <w:lvl w:ilvl="2" w:tplc="0C09001B" w:tentative="1">
      <w:start w:val="1"/>
      <w:numFmt w:val="lowerRoman"/>
      <w:lvlText w:val="%3."/>
      <w:lvlJc w:val="right"/>
      <w:pPr>
        <w:ind w:left="-5288" w:hanging="180"/>
      </w:pPr>
    </w:lvl>
    <w:lvl w:ilvl="3" w:tplc="0C09000F" w:tentative="1">
      <w:start w:val="1"/>
      <w:numFmt w:val="decimal"/>
      <w:lvlText w:val="%4."/>
      <w:lvlJc w:val="left"/>
      <w:pPr>
        <w:ind w:left="-4568" w:hanging="360"/>
      </w:pPr>
    </w:lvl>
    <w:lvl w:ilvl="4" w:tplc="0C090019" w:tentative="1">
      <w:start w:val="1"/>
      <w:numFmt w:val="lowerLetter"/>
      <w:lvlText w:val="%5."/>
      <w:lvlJc w:val="left"/>
      <w:pPr>
        <w:ind w:left="-3848" w:hanging="360"/>
      </w:pPr>
    </w:lvl>
    <w:lvl w:ilvl="5" w:tplc="0C09001B" w:tentative="1">
      <w:start w:val="1"/>
      <w:numFmt w:val="lowerRoman"/>
      <w:lvlText w:val="%6."/>
      <w:lvlJc w:val="right"/>
      <w:pPr>
        <w:ind w:left="-3128" w:hanging="180"/>
      </w:pPr>
    </w:lvl>
    <w:lvl w:ilvl="6" w:tplc="0C09000F" w:tentative="1">
      <w:start w:val="1"/>
      <w:numFmt w:val="decimal"/>
      <w:lvlText w:val="%7."/>
      <w:lvlJc w:val="left"/>
      <w:pPr>
        <w:ind w:left="-2408" w:hanging="360"/>
      </w:pPr>
    </w:lvl>
    <w:lvl w:ilvl="7" w:tplc="0C090019" w:tentative="1">
      <w:start w:val="1"/>
      <w:numFmt w:val="lowerLetter"/>
      <w:lvlText w:val="%8."/>
      <w:lvlJc w:val="left"/>
      <w:pPr>
        <w:ind w:left="-1688" w:hanging="360"/>
      </w:pPr>
    </w:lvl>
    <w:lvl w:ilvl="8" w:tplc="0C09001B" w:tentative="1">
      <w:start w:val="1"/>
      <w:numFmt w:val="lowerRoman"/>
      <w:lvlText w:val="%9."/>
      <w:lvlJc w:val="right"/>
      <w:pPr>
        <w:ind w:left="-968" w:hanging="180"/>
      </w:pPr>
    </w:lvl>
  </w:abstractNum>
  <w:abstractNum w:abstractNumId="128" w15:restartNumberingAfterBreak="0">
    <w:nsid w:val="75F05A6A"/>
    <w:multiLevelType w:val="hybridMultilevel"/>
    <w:tmpl w:val="B1B4F0B8"/>
    <w:lvl w:ilvl="0" w:tplc="556C94FA">
      <w:start w:val="1"/>
      <w:numFmt w:val="lowerLetter"/>
      <w:pStyle w:val="LetteredList"/>
      <w:lvlText w:val="%1."/>
      <w:lvlJc w:val="lef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9" w15:restartNumberingAfterBreak="0">
    <w:nsid w:val="760D2D3D"/>
    <w:multiLevelType w:val="hybridMultilevel"/>
    <w:tmpl w:val="640EDC6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30" w15:restartNumberingAfterBreak="0">
    <w:nsid w:val="766959BF"/>
    <w:multiLevelType w:val="multilevel"/>
    <w:tmpl w:val="C5D27C34"/>
    <w:lvl w:ilvl="0">
      <w:start w:val="1"/>
      <w:numFmt w:val="decimal"/>
      <w:lvlText w:val="%1."/>
      <w:lvlJc w:val="left"/>
      <w:pPr>
        <w:tabs>
          <w:tab w:val="num" w:pos="567"/>
        </w:tabs>
        <w:ind w:left="567" w:hanging="567"/>
      </w:pPr>
      <w:rPr>
        <w:rFonts w:hint="default"/>
      </w:rPr>
    </w:lvl>
    <w:lvl w:ilvl="1">
      <w:start w:val="1"/>
      <w:numFmt w:val="decimal"/>
      <w:lvlText w:val="2.%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31" w15:restartNumberingAfterBreak="0">
    <w:nsid w:val="78924434"/>
    <w:multiLevelType w:val="hybridMultilevel"/>
    <w:tmpl w:val="72B062F0"/>
    <w:lvl w:ilvl="0" w:tplc="0C09000F">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8CA3E2D"/>
    <w:multiLevelType w:val="hybridMultilevel"/>
    <w:tmpl w:val="270E9EB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7A81725F"/>
    <w:multiLevelType w:val="hybridMultilevel"/>
    <w:tmpl w:val="D4B6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B0F52C0"/>
    <w:multiLevelType w:val="hybridMultilevel"/>
    <w:tmpl w:val="92B8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C6468F4"/>
    <w:multiLevelType w:val="hybridMultilevel"/>
    <w:tmpl w:val="8A7AF19E"/>
    <w:lvl w:ilvl="0" w:tplc="E08CE728">
      <w:start w:val="1"/>
      <w:numFmt w:val="bullet"/>
      <w:pStyle w:val="ListBullet5"/>
      <w:lvlText w:val="▪"/>
      <w:lvlJc w:val="left"/>
      <w:pPr>
        <w:ind w:left="1004" w:hanging="360"/>
      </w:pPr>
      <w:rPr>
        <w:rFonts w:ascii="Arial" w:hAnsi="Arial" w:hint="default"/>
      </w:rPr>
    </w:lvl>
    <w:lvl w:ilvl="1" w:tplc="DCBCD73A">
      <w:numFmt w:val="bullet"/>
      <w:lvlText w:val="-"/>
      <w:lvlJc w:val="left"/>
      <w:pPr>
        <w:ind w:left="1724" w:hanging="360"/>
      </w:pPr>
      <w:rPr>
        <w:rFonts w:ascii="Arial" w:eastAsia="Cambria" w:hAnsi="Arial" w:cs="Arial" w:hint="default"/>
        <w:b/>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6" w15:restartNumberingAfterBreak="0">
    <w:nsid w:val="7EC22F82"/>
    <w:multiLevelType w:val="hybridMultilevel"/>
    <w:tmpl w:val="B4605D3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F0A03D7"/>
    <w:multiLevelType w:val="hybridMultilevel"/>
    <w:tmpl w:val="0F9A02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8" w15:restartNumberingAfterBreak="0">
    <w:nsid w:val="7F663B61"/>
    <w:multiLevelType w:val="hybridMultilevel"/>
    <w:tmpl w:val="93E8CB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7FDE363A"/>
    <w:multiLevelType w:val="hybridMultilevel"/>
    <w:tmpl w:val="335EEAC0"/>
    <w:lvl w:ilvl="0" w:tplc="5A980F64">
      <w:start w:val="1"/>
      <w:numFmt w:val="lowerLetter"/>
      <w:lvlText w:val="(%1)"/>
      <w:lvlJc w:val="left"/>
      <w:pPr>
        <w:ind w:left="816"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num w:numId="1">
    <w:abstractNumId w:val="125"/>
  </w:num>
  <w:num w:numId="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03"/>
  </w:num>
  <w:num w:numId="10">
    <w:abstractNumId w:val="108"/>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91"/>
  </w:num>
  <w:num w:numId="22">
    <w:abstractNumId w:val="51"/>
  </w:num>
  <w:num w:numId="23">
    <w:abstractNumId w:val="124"/>
  </w:num>
  <w:num w:numId="24">
    <w:abstractNumId w:val="44"/>
  </w:num>
  <w:num w:numId="25">
    <w:abstractNumId w:val="24"/>
  </w:num>
  <w:num w:numId="26">
    <w:abstractNumId w:val="46"/>
  </w:num>
  <w:num w:numId="27">
    <w:abstractNumId w:val="117"/>
  </w:num>
  <w:num w:numId="28">
    <w:abstractNumId w:val="78"/>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52"/>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9"/>
    <w:lvlOverride w:ilvl="0">
      <w:startOverride w:val="1"/>
    </w:lvlOverride>
  </w:num>
  <w:num w:numId="43">
    <w:abstractNumId w:val="55"/>
  </w:num>
  <w:num w:numId="44">
    <w:abstractNumId w:val="23"/>
  </w:num>
  <w:num w:numId="45">
    <w:abstractNumId w:val="64"/>
  </w:num>
  <w:num w:numId="46">
    <w:abstractNumId w:val="83"/>
  </w:num>
  <w:num w:numId="47">
    <w:abstractNumId w:val="49"/>
  </w:num>
  <w:num w:numId="48">
    <w:abstractNumId w:val="13"/>
  </w:num>
  <w:num w:numId="49">
    <w:abstractNumId w:val="11"/>
  </w:num>
  <w:num w:numId="50">
    <w:abstractNumId w:val="122"/>
  </w:num>
  <w:num w:numId="51">
    <w:abstractNumId w:val="118"/>
  </w:num>
  <w:num w:numId="52">
    <w:abstractNumId w:val="37"/>
  </w:num>
  <w:num w:numId="53">
    <w:abstractNumId w:val="105"/>
  </w:num>
  <w:num w:numId="54">
    <w:abstractNumId w:val="27"/>
  </w:num>
  <w:num w:numId="55">
    <w:abstractNumId w:val="57"/>
  </w:num>
  <w:num w:numId="56">
    <w:abstractNumId w:val="16"/>
  </w:num>
  <w:num w:numId="57">
    <w:abstractNumId w:val="92"/>
  </w:num>
  <w:num w:numId="58">
    <w:abstractNumId w:val="116"/>
  </w:num>
  <w:num w:numId="59">
    <w:abstractNumId w:val="20"/>
  </w:num>
  <w:num w:numId="60">
    <w:abstractNumId w:val="68"/>
  </w:num>
  <w:num w:numId="61">
    <w:abstractNumId w:val="133"/>
  </w:num>
  <w:num w:numId="62">
    <w:abstractNumId w:val="32"/>
  </w:num>
  <w:num w:numId="63">
    <w:abstractNumId w:val="123"/>
  </w:num>
  <w:num w:numId="64">
    <w:abstractNumId w:val="34"/>
  </w:num>
  <w:num w:numId="65">
    <w:abstractNumId w:val="115"/>
  </w:num>
  <w:num w:numId="66">
    <w:abstractNumId w:val="50"/>
  </w:num>
  <w:num w:numId="67">
    <w:abstractNumId w:val="81"/>
  </w:num>
  <w:num w:numId="68">
    <w:abstractNumId w:val="73"/>
  </w:num>
  <w:num w:numId="69">
    <w:abstractNumId w:val="77"/>
  </w:num>
  <w:num w:numId="70">
    <w:abstractNumId w:val="36"/>
  </w:num>
  <w:num w:numId="71">
    <w:abstractNumId w:val="113"/>
    <w:lvlOverride w:ilvl="1">
      <w:lvl w:ilvl="1">
        <w:start w:val="1"/>
        <w:numFmt w:val="decimal"/>
        <w:lvlText w:val="%1.%2"/>
        <w:lvlJc w:val="left"/>
        <w:pPr>
          <w:tabs>
            <w:tab w:val="num" w:pos="737"/>
          </w:tabs>
          <w:ind w:left="737" w:hanging="737"/>
        </w:pPr>
        <w:rPr>
          <w:rFonts w:hint="default"/>
        </w:rPr>
      </w:lvl>
    </w:lvlOverride>
  </w:num>
  <w:num w:numId="72">
    <w:abstractNumId w:val="72"/>
  </w:num>
  <w:num w:numId="73">
    <w:abstractNumId w:val="93"/>
  </w:num>
  <w:num w:numId="74">
    <w:abstractNumId w:val="130"/>
  </w:num>
  <w:num w:numId="75">
    <w:abstractNumId w:val="85"/>
  </w:num>
  <w:num w:numId="76">
    <w:abstractNumId w:val="112"/>
  </w:num>
  <w:num w:numId="77">
    <w:abstractNumId w:val="80"/>
  </w:num>
  <w:num w:numId="78">
    <w:abstractNumId w:val="119"/>
  </w:num>
  <w:num w:numId="79">
    <w:abstractNumId w:val="86"/>
  </w:num>
  <w:num w:numId="80">
    <w:abstractNumId w:val="86"/>
  </w:num>
  <w:num w:numId="81">
    <w:abstractNumId w:val="86"/>
  </w:num>
  <w:num w:numId="82">
    <w:abstractNumId w:val="86"/>
  </w:num>
  <w:num w:numId="83">
    <w:abstractNumId w:val="86"/>
  </w:num>
  <w:num w:numId="84">
    <w:abstractNumId w:val="86"/>
  </w:num>
  <w:num w:numId="85">
    <w:abstractNumId w:val="86"/>
  </w:num>
  <w:num w:numId="86">
    <w:abstractNumId w:val="86"/>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num>
  <w:num w:numId="89">
    <w:abstractNumId w:val="110"/>
  </w:num>
  <w:num w:numId="90">
    <w:abstractNumId w:val="107"/>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0"/>
  </w:num>
  <w:num w:numId="105">
    <w:abstractNumId w:val="139"/>
  </w:num>
  <w:num w:numId="106">
    <w:abstractNumId w:val="43"/>
  </w:num>
  <w:num w:numId="107">
    <w:abstractNumId w:val="31"/>
  </w:num>
  <w:num w:numId="108">
    <w:abstractNumId w:val="93"/>
  </w:num>
  <w:num w:numId="109">
    <w:abstractNumId w:val="93"/>
  </w:num>
  <w:num w:numId="110">
    <w:abstractNumId w:val="39"/>
  </w:num>
  <w:num w:numId="111">
    <w:abstractNumId w:val="10"/>
  </w:num>
  <w:num w:numId="112">
    <w:abstractNumId w:val="137"/>
  </w:num>
  <w:num w:numId="113">
    <w:abstractNumId w:val="74"/>
  </w:num>
  <w:num w:numId="114">
    <w:abstractNumId w:val="21"/>
  </w:num>
  <w:num w:numId="115">
    <w:abstractNumId w:val="47"/>
  </w:num>
  <w:num w:numId="116">
    <w:abstractNumId w:val="47"/>
    <w:lvlOverride w:ilvl="0">
      <w:startOverride w:val="1"/>
    </w:lvlOverride>
  </w:num>
  <w:num w:numId="117">
    <w:abstractNumId w:val="93"/>
  </w:num>
  <w:num w:numId="118">
    <w:abstractNumId w:val="93"/>
  </w:num>
  <w:num w:numId="119">
    <w:abstractNumId w:val="10"/>
  </w:num>
  <w:num w:numId="120">
    <w:abstractNumId w:val="10"/>
  </w:num>
  <w:num w:numId="1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93"/>
  </w:num>
  <w:num w:numId="124">
    <w:abstractNumId w:val="96"/>
  </w:num>
  <w:num w:numId="125">
    <w:abstractNumId w:val="61"/>
  </w:num>
  <w:num w:numId="126">
    <w:abstractNumId w:val="40"/>
  </w:num>
  <w:num w:numId="127">
    <w:abstractNumId w:val="18"/>
  </w:num>
  <w:num w:numId="128">
    <w:abstractNumId w:val="58"/>
  </w:num>
  <w:num w:numId="129">
    <w:abstractNumId w:val="120"/>
  </w:num>
  <w:num w:numId="130">
    <w:abstractNumId w:val="113"/>
  </w:num>
  <w:num w:numId="131">
    <w:abstractNumId w:val="113"/>
  </w:num>
  <w:num w:numId="132">
    <w:abstractNumId w:val="113"/>
  </w:num>
  <w:num w:numId="133">
    <w:abstractNumId w:val="113"/>
  </w:num>
  <w:num w:numId="134">
    <w:abstractNumId w:val="113"/>
  </w:num>
  <w:num w:numId="135">
    <w:abstractNumId w:val="113"/>
  </w:num>
  <w:num w:numId="136">
    <w:abstractNumId w:val="113"/>
  </w:num>
  <w:num w:numId="137">
    <w:abstractNumId w:val="113"/>
  </w:num>
  <w:num w:numId="138">
    <w:abstractNumId w:val="113"/>
  </w:num>
  <w:num w:numId="139">
    <w:abstractNumId w:val="113"/>
  </w:num>
  <w:num w:numId="140">
    <w:abstractNumId w:val="113"/>
  </w:num>
  <w:num w:numId="141">
    <w:abstractNumId w:val="113"/>
  </w:num>
  <w:num w:numId="142">
    <w:abstractNumId w:val="113"/>
  </w:num>
  <w:num w:numId="143">
    <w:abstractNumId w:val="113"/>
  </w:num>
  <w:num w:numId="144">
    <w:abstractNumId w:val="113"/>
  </w:num>
  <w:num w:numId="145">
    <w:abstractNumId w:val="113"/>
  </w:num>
  <w:num w:numId="146">
    <w:abstractNumId w:val="113"/>
  </w:num>
  <w:num w:numId="147">
    <w:abstractNumId w:val="113"/>
  </w:num>
  <w:num w:numId="148">
    <w:abstractNumId w:val="113"/>
  </w:num>
  <w:num w:numId="149">
    <w:abstractNumId w:val="113"/>
  </w:num>
  <w:num w:numId="150">
    <w:abstractNumId w:val="113"/>
  </w:num>
  <w:num w:numId="151">
    <w:abstractNumId w:val="113"/>
  </w:num>
  <w:num w:numId="152">
    <w:abstractNumId w:val="113"/>
  </w:num>
  <w:num w:numId="1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3"/>
  </w:num>
  <w:num w:numId="162">
    <w:abstractNumId w:val="17"/>
  </w:num>
  <w:num w:numId="163">
    <w:abstractNumId w:val="25"/>
  </w:num>
  <w:num w:numId="164">
    <w:abstractNumId w:val="126"/>
  </w:num>
  <w:num w:numId="165">
    <w:abstractNumId w:val="87"/>
  </w:num>
  <w:num w:numId="166">
    <w:abstractNumId w:val="75"/>
  </w:num>
  <w:num w:numId="167">
    <w:abstractNumId w:val="53"/>
  </w:num>
  <w:num w:numId="168">
    <w:abstractNumId w:val="53"/>
  </w:num>
  <w:num w:numId="169">
    <w:abstractNumId w:val="53"/>
  </w:num>
  <w:num w:numId="170">
    <w:abstractNumId w:val="53"/>
  </w:num>
  <w:num w:numId="171">
    <w:abstractNumId w:val="53"/>
  </w:num>
  <w:num w:numId="172">
    <w:abstractNumId w:val="53"/>
    <w:lvlOverride w:ilvl="1">
      <w:lvl w:ilvl="1">
        <w:start w:val="1"/>
        <w:numFmt w:val="decimal"/>
        <w:pStyle w:val="Heading2Numbered"/>
        <w:lvlText w:val="%1.%2"/>
        <w:lvlJc w:val="left"/>
        <w:pPr>
          <w:ind w:left="5104" w:hanging="567"/>
        </w:pPr>
        <w:rPr>
          <w:rFonts w:hint="default"/>
          <w:i w:val="0"/>
          <w:color w:val="auto"/>
        </w:rPr>
      </w:lvl>
    </w:lvlOverride>
    <w:lvlOverride w:ilvl="6">
      <w:lvl w:ilvl="6">
        <w:start w:val="1"/>
        <w:numFmt w:val="decimal"/>
        <w:lvlText w:val="%7."/>
        <w:lvlJc w:val="left"/>
        <w:pPr>
          <w:ind w:left="502" w:hanging="360"/>
        </w:pPr>
        <w:rPr>
          <w:rFonts w:hint="default"/>
          <w:i w:val="0"/>
        </w:rPr>
      </w:lvl>
    </w:lvlOverride>
  </w:num>
  <w:num w:numId="173">
    <w:abstractNumId w:val="53"/>
  </w:num>
  <w:num w:numId="174">
    <w:abstractNumId w:val="30"/>
  </w:num>
  <w:num w:numId="175">
    <w:abstractNumId w:val="110"/>
  </w:num>
  <w:num w:numId="176">
    <w:abstractNumId w:val="84"/>
  </w:num>
  <w:num w:numId="177">
    <w:abstractNumId w:val="106"/>
  </w:num>
  <w:num w:numId="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1"/>
  </w:num>
  <w:num w:numId="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
  </w:num>
  <w:num w:numId="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0"/>
  </w:num>
  <w:num w:numId="195">
    <w:abstractNumId w:val="10"/>
  </w:num>
  <w:num w:numId="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5"/>
  </w:num>
  <w:num w:numId="198">
    <w:abstractNumId w:val="99"/>
  </w:num>
  <w:num w:numId="199">
    <w:abstractNumId w:val="63"/>
  </w:num>
  <w:num w:numId="200">
    <w:abstractNumId w:val="12"/>
  </w:num>
  <w:num w:numId="201">
    <w:abstractNumId w:val="22"/>
  </w:num>
  <w:num w:numId="202">
    <w:abstractNumId w:val="71"/>
  </w:num>
  <w:num w:numId="203">
    <w:abstractNumId w:val="15"/>
  </w:num>
  <w:num w:numId="2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1"/>
  </w:num>
  <w:num w:numId="206">
    <w:abstractNumId w:val="131"/>
  </w:num>
  <w:num w:numId="207">
    <w:abstractNumId w:val="131"/>
    <w:lvlOverride w:ilvl="0">
      <w:startOverride w:val="1"/>
    </w:lvlOverride>
  </w:num>
  <w:num w:numId="208">
    <w:abstractNumId w:val="131"/>
  </w:num>
  <w:num w:numId="209">
    <w:abstractNumId w:val="131"/>
  </w:num>
  <w:num w:numId="210">
    <w:abstractNumId w:val="131"/>
  </w:num>
  <w:num w:numId="211">
    <w:abstractNumId w:val="131"/>
  </w:num>
  <w:num w:numId="212">
    <w:abstractNumId w:val="131"/>
  </w:num>
  <w:num w:numId="213">
    <w:abstractNumId w:val="131"/>
  </w:num>
  <w:num w:numId="214">
    <w:abstractNumId w:val="131"/>
  </w:num>
  <w:num w:numId="215">
    <w:abstractNumId w:val="131"/>
  </w:num>
  <w:num w:numId="216">
    <w:abstractNumId w:val="131"/>
  </w:num>
  <w:num w:numId="217">
    <w:abstractNumId w:val="131"/>
  </w:num>
  <w:num w:numId="218">
    <w:abstractNumId w:val="131"/>
  </w:num>
  <w:num w:numId="219">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20">
    <w:abstractNumId w:val="131"/>
    <w:lvlOverride w:ilvl="0">
      <w:startOverride w:val="1"/>
    </w:lvlOverride>
  </w:num>
  <w:num w:numId="221">
    <w:abstractNumId w:val="66"/>
  </w:num>
  <w:num w:numId="222">
    <w:abstractNumId w:val="38"/>
  </w:num>
  <w:num w:numId="223">
    <w:abstractNumId w:val="131"/>
  </w:num>
  <w:num w:numId="224">
    <w:abstractNumId w:val="88"/>
  </w:num>
  <w:num w:numId="225">
    <w:abstractNumId w:val="131"/>
  </w:num>
  <w:num w:numId="226">
    <w:abstractNumId w:val="131"/>
  </w:num>
  <w:num w:numId="227">
    <w:abstractNumId w:val="62"/>
  </w:num>
  <w:num w:numId="228">
    <w:abstractNumId w:val="10"/>
  </w:num>
  <w:num w:numId="229">
    <w:abstractNumId w:val="102"/>
  </w:num>
  <w:num w:numId="230">
    <w:abstractNumId w:val="67"/>
  </w:num>
  <w:num w:numId="231">
    <w:abstractNumId w:val="97"/>
  </w:num>
  <w:num w:numId="232">
    <w:abstractNumId w:val="109"/>
  </w:num>
  <w:num w:numId="233">
    <w:abstractNumId w:val="101"/>
  </w:num>
  <w:num w:numId="234">
    <w:abstractNumId w:val="45"/>
  </w:num>
  <w:num w:numId="235">
    <w:abstractNumId w:val="56"/>
  </w:num>
  <w:num w:numId="236">
    <w:abstractNumId w:val="48"/>
  </w:num>
  <w:num w:numId="237">
    <w:abstractNumId w:val="82"/>
  </w:num>
  <w:num w:numId="238">
    <w:abstractNumId w:val="132"/>
  </w:num>
  <w:num w:numId="239">
    <w:abstractNumId w:val="127"/>
  </w:num>
  <w:num w:numId="240">
    <w:abstractNumId w:val="90"/>
  </w:num>
  <w:num w:numId="241">
    <w:abstractNumId w:val="104"/>
  </w:num>
  <w:num w:numId="242">
    <w:abstractNumId w:val="134"/>
  </w:num>
  <w:num w:numId="243">
    <w:abstractNumId w:val="131"/>
    <w:lvlOverride w:ilvl="0">
      <w:startOverride w:val="1"/>
    </w:lvlOverride>
  </w:num>
  <w:num w:numId="244">
    <w:abstractNumId w:val="131"/>
    <w:lvlOverride w:ilvl="0">
      <w:startOverride w:val="1"/>
    </w:lvlOverride>
  </w:num>
  <w:num w:numId="245">
    <w:abstractNumId w:val="131"/>
    <w:lvlOverride w:ilvl="0">
      <w:startOverride w:val="1"/>
    </w:lvlOverride>
  </w:num>
  <w:num w:numId="246">
    <w:abstractNumId w:val="131"/>
    <w:lvlOverride w:ilvl="0">
      <w:startOverride w:val="1"/>
    </w:lvlOverride>
  </w:num>
  <w:num w:numId="247">
    <w:abstractNumId w:val="94"/>
  </w:num>
  <w:num w:numId="248">
    <w:abstractNumId w:val="128"/>
  </w:num>
  <w:num w:numId="249">
    <w:abstractNumId w:val="128"/>
    <w:lvlOverride w:ilvl="0">
      <w:startOverride w:val="1"/>
    </w:lvlOverride>
  </w:num>
  <w:num w:numId="250">
    <w:abstractNumId w:val="128"/>
    <w:lvlOverride w:ilvl="0">
      <w:startOverride w:val="1"/>
    </w:lvlOverride>
  </w:num>
  <w:num w:numId="251">
    <w:abstractNumId w:val="79"/>
  </w:num>
  <w:num w:numId="252">
    <w:abstractNumId w:val="127"/>
  </w:num>
  <w:num w:numId="253">
    <w:abstractNumId w:val="128"/>
    <w:lvlOverride w:ilvl="0">
      <w:startOverride w:val="1"/>
    </w:lvlOverride>
  </w:num>
  <w:num w:numId="254">
    <w:abstractNumId w:val="87"/>
  </w:num>
  <w:num w:numId="255">
    <w:abstractNumId w:val="42"/>
  </w:num>
  <w:num w:numId="256">
    <w:abstractNumId w:val="29"/>
  </w:num>
  <w:num w:numId="257">
    <w:abstractNumId w:val="59"/>
  </w:num>
  <w:num w:numId="258">
    <w:abstractNumId w:val="111"/>
  </w:num>
  <w:num w:numId="259">
    <w:abstractNumId w:val="0"/>
  </w:num>
  <w:num w:numId="260">
    <w:abstractNumId w:val="87"/>
  </w:num>
  <w:num w:numId="261">
    <w:abstractNumId w:val="127"/>
  </w:num>
  <w:num w:numId="262">
    <w:abstractNumId w:val="95"/>
  </w:num>
  <w:num w:numId="263">
    <w:abstractNumId w:val="65"/>
  </w:num>
  <w:num w:numId="264">
    <w:abstractNumId w:val="127"/>
    <w:lvlOverride w:ilvl="0">
      <w:startOverride w:val="1"/>
    </w:lvlOverride>
  </w:num>
  <w:num w:numId="265">
    <w:abstractNumId w:val="127"/>
    <w:lvlOverride w:ilvl="0">
      <w:startOverride w:val="1"/>
    </w:lvlOverride>
  </w:num>
  <w:num w:numId="266">
    <w:abstractNumId w:val="53"/>
    <w:lvlOverride w:ilvl="1">
      <w:lvl w:ilvl="1">
        <w:start w:val="1"/>
        <w:numFmt w:val="decimal"/>
        <w:pStyle w:val="Heading2Numbered"/>
        <w:lvlText w:val="%1.%2"/>
        <w:lvlJc w:val="left"/>
        <w:pPr>
          <w:ind w:left="709" w:hanging="567"/>
        </w:pPr>
        <w:rPr>
          <w:rFonts w:hint="default"/>
          <w:i w:val="0"/>
          <w:color w:val="auto"/>
        </w:rPr>
      </w:lvl>
    </w:lvlOverride>
    <w:lvlOverride w:ilvl="6">
      <w:lvl w:ilvl="6">
        <w:start w:val="1"/>
        <w:numFmt w:val="decimal"/>
        <w:lvlText w:val="%7."/>
        <w:lvlJc w:val="left"/>
        <w:pPr>
          <w:ind w:left="502" w:hanging="360"/>
        </w:pPr>
        <w:rPr>
          <w:rFonts w:hint="default"/>
          <w:i w:val="0"/>
        </w:rPr>
      </w:lvl>
    </w:lvlOverride>
  </w:num>
  <w:num w:numId="267">
    <w:abstractNumId w:val="53"/>
    <w:lvlOverride w:ilvl="1">
      <w:lvl w:ilvl="1">
        <w:start w:val="1"/>
        <w:numFmt w:val="decimal"/>
        <w:pStyle w:val="Heading2Numbered"/>
        <w:lvlText w:val="%1.%2"/>
        <w:lvlJc w:val="left"/>
        <w:pPr>
          <w:ind w:left="709" w:hanging="567"/>
        </w:pPr>
        <w:rPr>
          <w:rFonts w:hint="default"/>
          <w:i w:val="0"/>
          <w:color w:val="auto"/>
        </w:rPr>
      </w:lvl>
    </w:lvlOverride>
    <w:lvlOverride w:ilvl="6">
      <w:lvl w:ilvl="6">
        <w:start w:val="1"/>
        <w:numFmt w:val="decimal"/>
        <w:lvlText w:val="%7."/>
        <w:lvlJc w:val="left"/>
        <w:pPr>
          <w:ind w:left="502" w:hanging="360"/>
        </w:pPr>
        <w:rPr>
          <w:rFonts w:hint="default"/>
          <w:i w:val="0"/>
        </w:rPr>
      </w:lvl>
    </w:lvlOverride>
  </w:num>
  <w:num w:numId="268">
    <w:abstractNumId w:val="69"/>
  </w:num>
  <w:num w:numId="269">
    <w:abstractNumId w:val="138"/>
  </w:num>
  <w:num w:numId="270">
    <w:abstractNumId w:val="89"/>
  </w:num>
  <w:num w:numId="271">
    <w:abstractNumId w:val="98"/>
  </w:num>
  <w:num w:numId="272">
    <w:abstractNumId w:val="129"/>
  </w:num>
  <w:num w:numId="273">
    <w:abstractNumId w:val="135"/>
  </w:num>
  <w:num w:numId="274">
    <w:abstractNumId w:val="59"/>
  </w:num>
  <w:num w:numId="275">
    <w:abstractNumId w:val="59"/>
  </w:num>
  <w:num w:numId="276">
    <w:abstractNumId w:val="136"/>
  </w:num>
  <w:num w:numId="277">
    <w:abstractNumId w:val="76"/>
  </w:num>
  <w:num w:numId="278">
    <w:abstractNumId w:val="19"/>
  </w:num>
  <w:num w:numId="279">
    <w:abstractNumId w:val="70"/>
  </w:num>
  <w:num w:numId="280">
    <w:abstractNumId w:val="70"/>
    <w:lvlOverride w:ilvl="0">
      <w:startOverride w:val="1"/>
    </w:lvlOverride>
  </w:num>
  <w:num w:numId="281">
    <w:abstractNumId w:val="54"/>
  </w:num>
  <w:num w:numId="282">
    <w:abstractNumId w:val="127"/>
  </w:num>
  <w:num w:numId="283">
    <w:abstractNumId w:val="54"/>
  </w:num>
  <w:num w:numId="284">
    <w:abstractNumId w:val="54"/>
  </w:num>
  <w:num w:numId="285">
    <w:abstractNumId w:val="54"/>
  </w:num>
  <w:num w:numId="286">
    <w:abstractNumId w:val="128"/>
  </w:num>
  <w:num w:numId="287">
    <w:abstractNumId w:val="128"/>
    <w:lvlOverride w:ilvl="0">
      <w:startOverride w:val="1"/>
    </w:lvlOverride>
  </w:num>
  <w:num w:numId="288">
    <w:abstractNumId w:val="127"/>
  </w:num>
  <w:num w:numId="289">
    <w:abstractNumId w:val="127"/>
  </w:num>
  <w:num w:numId="290">
    <w:abstractNumId w:val="107"/>
  </w:num>
  <w:num w:numId="291">
    <w:abstractNumId w:val="107"/>
  </w:num>
  <w:num w:numId="292">
    <w:abstractNumId w:val="127"/>
    <w:lvlOverride w:ilvl="0">
      <w:startOverride w:val="1"/>
    </w:lvlOverride>
  </w:num>
  <w:num w:numId="293">
    <w:abstractNumId w:val="127"/>
  </w:num>
  <w:num w:numId="294">
    <w:abstractNumId w:val="127"/>
    <w:lvlOverride w:ilvl="0">
      <w:startOverride w:val="1"/>
    </w:lvlOverride>
  </w:num>
  <w:num w:numId="295">
    <w:abstractNumId w:val="111"/>
  </w:num>
  <w:num w:numId="296">
    <w:abstractNumId w:val="127"/>
  </w:num>
  <w:num w:numId="297">
    <w:abstractNumId w:val="127"/>
    <w:lvlOverride w:ilvl="0">
      <w:startOverride w:val="1"/>
    </w:lvlOverride>
  </w:num>
  <w:num w:numId="298">
    <w:abstractNumId w:val="128"/>
    <w:lvlOverride w:ilvl="0">
      <w:startOverride w:val="1"/>
    </w:lvlOverride>
  </w:num>
  <w:num w:numId="299">
    <w:abstractNumId w:val="128"/>
    <w:lvlOverride w:ilvl="0">
      <w:startOverride w:val="1"/>
    </w:lvlOverride>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E09"/>
    <w:rsid w:val="00001EE6"/>
    <w:rsid w:val="00002586"/>
    <w:rsid w:val="000027EC"/>
    <w:rsid w:val="000031B3"/>
    <w:rsid w:val="00003A8D"/>
    <w:rsid w:val="000041E1"/>
    <w:rsid w:val="000049E9"/>
    <w:rsid w:val="00004D73"/>
    <w:rsid w:val="00004FF0"/>
    <w:rsid w:val="00005F3B"/>
    <w:rsid w:val="000069A6"/>
    <w:rsid w:val="00007C7E"/>
    <w:rsid w:val="000103CA"/>
    <w:rsid w:val="00010501"/>
    <w:rsid w:val="00010D51"/>
    <w:rsid w:val="000128B4"/>
    <w:rsid w:val="00013CB8"/>
    <w:rsid w:val="00014DCE"/>
    <w:rsid w:val="00015144"/>
    <w:rsid w:val="00015F15"/>
    <w:rsid w:val="00016E16"/>
    <w:rsid w:val="00020486"/>
    <w:rsid w:val="00020498"/>
    <w:rsid w:val="0002085E"/>
    <w:rsid w:val="000213E3"/>
    <w:rsid w:val="0002365E"/>
    <w:rsid w:val="00024B8C"/>
    <w:rsid w:val="00025F88"/>
    <w:rsid w:val="00026044"/>
    <w:rsid w:val="00026975"/>
    <w:rsid w:val="00026F3C"/>
    <w:rsid w:val="00027573"/>
    <w:rsid w:val="000277A4"/>
    <w:rsid w:val="0002782F"/>
    <w:rsid w:val="00027BB8"/>
    <w:rsid w:val="000305A5"/>
    <w:rsid w:val="0003152E"/>
    <w:rsid w:val="00032260"/>
    <w:rsid w:val="00032B6F"/>
    <w:rsid w:val="0003349E"/>
    <w:rsid w:val="00033997"/>
    <w:rsid w:val="00033A88"/>
    <w:rsid w:val="00033BE0"/>
    <w:rsid w:val="00034271"/>
    <w:rsid w:val="00034744"/>
    <w:rsid w:val="00035D04"/>
    <w:rsid w:val="00037182"/>
    <w:rsid w:val="00040893"/>
    <w:rsid w:val="00040D3D"/>
    <w:rsid w:val="00042418"/>
    <w:rsid w:val="00044180"/>
    <w:rsid w:val="000444D2"/>
    <w:rsid w:val="00044547"/>
    <w:rsid w:val="000457F9"/>
    <w:rsid w:val="0004584F"/>
    <w:rsid w:val="00047316"/>
    <w:rsid w:val="0004756E"/>
    <w:rsid w:val="00047731"/>
    <w:rsid w:val="00047DED"/>
    <w:rsid w:val="00050C5F"/>
    <w:rsid w:val="00052ECD"/>
    <w:rsid w:val="00053CAA"/>
    <w:rsid w:val="000544A6"/>
    <w:rsid w:val="000549E2"/>
    <w:rsid w:val="00054E4D"/>
    <w:rsid w:val="000551CE"/>
    <w:rsid w:val="00055337"/>
    <w:rsid w:val="00055A39"/>
    <w:rsid w:val="00055D8C"/>
    <w:rsid w:val="00056101"/>
    <w:rsid w:val="000561B4"/>
    <w:rsid w:val="00056CAE"/>
    <w:rsid w:val="000574BC"/>
    <w:rsid w:val="00060073"/>
    <w:rsid w:val="000603C7"/>
    <w:rsid w:val="000619C0"/>
    <w:rsid w:val="0006237C"/>
    <w:rsid w:val="00063C83"/>
    <w:rsid w:val="000642A9"/>
    <w:rsid w:val="0006469E"/>
    <w:rsid w:val="000651CC"/>
    <w:rsid w:val="000652E1"/>
    <w:rsid w:val="00065820"/>
    <w:rsid w:val="000662C5"/>
    <w:rsid w:val="00066966"/>
    <w:rsid w:val="000675C0"/>
    <w:rsid w:val="000711B1"/>
    <w:rsid w:val="00071B5B"/>
    <w:rsid w:val="00071D4D"/>
    <w:rsid w:val="00071DD0"/>
    <w:rsid w:val="00072CE9"/>
    <w:rsid w:val="000733FF"/>
    <w:rsid w:val="00073FAC"/>
    <w:rsid w:val="00073FB6"/>
    <w:rsid w:val="00074C68"/>
    <w:rsid w:val="0007613A"/>
    <w:rsid w:val="000769D0"/>
    <w:rsid w:val="0007756E"/>
    <w:rsid w:val="00077D03"/>
    <w:rsid w:val="000813D3"/>
    <w:rsid w:val="000829F4"/>
    <w:rsid w:val="00082DA2"/>
    <w:rsid w:val="0008306A"/>
    <w:rsid w:val="00083627"/>
    <w:rsid w:val="000836CB"/>
    <w:rsid w:val="00083B3C"/>
    <w:rsid w:val="00084E2F"/>
    <w:rsid w:val="00085230"/>
    <w:rsid w:val="00085825"/>
    <w:rsid w:val="0008587A"/>
    <w:rsid w:val="000874D1"/>
    <w:rsid w:val="00087771"/>
    <w:rsid w:val="00087818"/>
    <w:rsid w:val="00087A25"/>
    <w:rsid w:val="00087EE7"/>
    <w:rsid w:val="0009021D"/>
    <w:rsid w:val="000903B6"/>
    <w:rsid w:val="00090962"/>
    <w:rsid w:val="000912BF"/>
    <w:rsid w:val="000918B2"/>
    <w:rsid w:val="000925CA"/>
    <w:rsid w:val="00094ED2"/>
    <w:rsid w:val="00095958"/>
    <w:rsid w:val="00095B8A"/>
    <w:rsid w:val="00097A05"/>
    <w:rsid w:val="000A0A1E"/>
    <w:rsid w:val="000A1BC8"/>
    <w:rsid w:val="000A2F6E"/>
    <w:rsid w:val="000A3255"/>
    <w:rsid w:val="000A4089"/>
    <w:rsid w:val="000A4B30"/>
    <w:rsid w:val="000A53AF"/>
    <w:rsid w:val="000A57E8"/>
    <w:rsid w:val="000A6800"/>
    <w:rsid w:val="000A6A8B"/>
    <w:rsid w:val="000A72A5"/>
    <w:rsid w:val="000A77B9"/>
    <w:rsid w:val="000A7A2B"/>
    <w:rsid w:val="000A7DEC"/>
    <w:rsid w:val="000B16FC"/>
    <w:rsid w:val="000B1B52"/>
    <w:rsid w:val="000B21AC"/>
    <w:rsid w:val="000B28EB"/>
    <w:rsid w:val="000B4CED"/>
    <w:rsid w:val="000B5B88"/>
    <w:rsid w:val="000B634F"/>
    <w:rsid w:val="000B6EC8"/>
    <w:rsid w:val="000B7659"/>
    <w:rsid w:val="000B7C09"/>
    <w:rsid w:val="000C1D71"/>
    <w:rsid w:val="000C2A48"/>
    <w:rsid w:val="000C302A"/>
    <w:rsid w:val="000C33B6"/>
    <w:rsid w:val="000C346C"/>
    <w:rsid w:val="000C395D"/>
    <w:rsid w:val="000C3D1F"/>
    <w:rsid w:val="000C3D7C"/>
    <w:rsid w:val="000C42A6"/>
    <w:rsid w:val="000C5235"/>
    <w:rsid w:val="000C53A8"/>
    <w:rsid w:val="000C5F75"/>
    <w:rsid w:val="000C7A01"/>
    <w:rsid w:val="000D04F3"/>
    <w:rsid w:val="000D0820"/>
    <w:rsid w:val="000D0C38"/>
    <w:rsid w:val="000D2200"/>
    <w:rsid w:val="000D2A59"/>
    <w:rsid w:val="000D3875"/>
    <w:rsid w:val="000D3D6D"/>
    <w:rsid w:val="000D4EE5"/>
    <w:rsid w:val="000D5628"/>
    <w:rsid w:val="000D5E51"/>
    <w:rsid w:val="000D60B1"/>
    <w:rsid w:val="000D6117"/>
    <w:rsid w:val="000D7933"/>
    <w:rsid w:val="000D7CBF"/>
    <w:rsid w:val="000D7F15"/>
    <w:rsid w:val="000E0572"/>
    <w:rsid w:val="000E261E"/>
    <w:rsid w:val="000E3774"/>
    <w:rsid w:val="000E3921"/>
    <w:rsid w:val="000E3A4B"/>
    <w:rsid w:val="000E4D82"/>
    <w:rsid w:val="000E5302"/>
    <w:rsid w:val="000E59BC"/>
    <w:rsid w:val="000E5BA8"/>
    <w:rsid w:val="000E5DA9"/>
    <w:rsid w:val="000E692C"/>
    <w:rsid w:val="000E69EB"/>
    <w:rsid w:val="000E6D69"/>
    <w:rsid w:val="000E77EC"/>
    <w:rsid w:val="000E7921"/>
    <w:rsid w:val="000E7D46"/>
    <w:rsid w:val="000F041B"/>
    <w:rsid w:val="000F0482"/>
    <w:rsid w:val="000F0D6A"/>
    <w:rsid w:val="000F17BE"/>
    <w:rsid w:val="000F1A93"/>
    <w:rsid w:val="000F2A6B"/>
    <w:rsid w:val="000F4DA7"/>
    <w:rsid w:val="000F5722"/>
    <w:rsid w:val="000F58A2"/>
    <w:rsid w:val="000F5F46"/>
    <w:rsid w:val="000F626C"/>
    <w:rsid w:val="000F7131"/>
    <w:rsid w:val="0010198F"/>
    <w:rsid w:val="00102F5B"/>
    <w:rsid w:val="0010338E"/>
    <w:rsid w:val="00103C5C"/>
    <w:rsid w:val="00103DC7"/>
    <w:rsid w:val="00104E63"/>
    <w:rsid w:val="00105E8A"/>
    <w:rsid w:val="0011020C"/>
    <w:rsid w:val="001106C6"/>
    <w:rsid w:val="001112CD"/>
    <w:rsid w:val="0011219F"/>
    <w:rsid w:val="001123F1"/>
    <w:rsid w:val="0011247C"/>
    <w:rsid w:val="00112EEE"/>
    <w:rsid w:val="00113389"/>
    <w:rsid w:val="001134C1"/>
    <w:rsid w:val="00114108"/>
    <w:rsid w:val="001150D4"/>
    <w:rsid w:val="001160A7"/>
    <w:rsid w:val="00117EF6"/>
    <w:rsid w:val="0012169B"/>
    <w:rsid w:val="0012172E"/>
    <w:rsid w:val="0012183E"/>
    <w:rsid w:val="001223F5"/>
    <w:rsid w:val="0012362E"/>
    <w:rsid w:val="001236C7"/>
    <w:rsid w:val="001236FB"/>
    <w:rsid w:val="00123B3F"/>
    <w:rsid w:val="00124B02"/>
    <w:rsid w:val="00127076"/>
    <w:rsid w:val="001300FC"/>
    <w:rsid w:val="00130E2A"/>
    <w:rsid w:val="0013119E"/>
    <w:rsid w:val="001311DF"/>
    <w:rsid w:val="001315D0"/>
    <w:rsid w:val="00132014"/>
    <w:rsid w:val="001321B8"/>
    <w:rsid w:val="00133272"/>
    <w:rsid w:val="00134D34"/>
    <w:rsid w:val="00136530"/>
    <w:rsid w:val="00136682"/>
    <w:rsid w:val="00136F8A"/>
    <w:rsid w:val="001377F0"/>
    <w:rsid w:val="00137BC2"/>
    <w:rsid w:val="001400C6"/>
    <w:rsid w:val="0014140F"/>
    <w:rsid w:val="00141972"/>
    <w:rsid w:val="00141D0F"/>
    <w:rsid w:val="00142276"/>
    <w:rsid w:val="00143207"/>
    <w:rsid w:val="001433B2"/>
    <w:rsid w:val="00145659"/>
    <w:rsid w:val="001459A2"/>
    <w:rsid w:val="00145E47"/>
    <w:rsid w:val="00146531"/>
    <w:rsid w:val="0014717F"/>
    <w:rsid w:val="0014765A"/>
    <w:rsid w:val="0014772E"/>
    <w:rsid w:val="00147C25"/>
    <w:rsid w:val="001501A8"/>
    <w:rsid w:val="00150391"/>
    <w:rsid w:val="00150473"/>
    <w:rsid w:val="00151003"/>
    <w:rsid w:val="00151BE2"/>
    <w:rsid w:val="00151FCD"/>
    <w:rsid w:val="00153BB3"/>
    <w:rsid w:val="00153C02"/>
    <w:rsid w:val="001541EA"/>
    <w:rsid w:val="001542D2"/>
    <w:rsid w:val="00154BA2"/>
    <w:rsid w:val="00154CB1"/>
    <w:rsid w:val="00155B83"/>
    <w:rsid w:val="00156C1B"/>
    <w:rsid w:val="00156F55"/>
    <w:rsid w:val="0015783F"/>
    <w:rsid w:val="00157D1C"/>
    <w:rsid w:val="00157FD8"/>
    <w:rsid w:val="001607C5"/>
    <w:rsid w:val="00160815"/>
    <w:rsid w:val="00160E84"/>
    <w:rsid w:val="00160EE4"/>
    <w:rsid w:val="001612A4"/>
    <w:rsid w:val="00161369"/>
    <w:rsid w:val="001614E3"/>
    <w:rsid w:val="00161A00"/>
    <w:rsid w:val="00162117"/>
    <w:rsid w:val="001624AD"/>
    <w:rsid w:val="0016286B"/>
    <w:rsid w:val="00162A21"/>
    <w:rsid w:val="00163095"/>
    <w:rsid w:val="00164D9D"/>
    <w:rsid w:val="001654B8"/>
    <w:rsid w:val="001676A8"/>
    <w:rsid w:val="0017088C"/>
    <w:rsid w:val="00171243"/>
    <w:rsid w:val="001713A1"/>
    <w:rsid w:val="00171829"/>
    <w:rsid w:val="00171AAB"/>
    <w:rsid w:val="001728FF"/>
    <w:rsid w:val="0017331E"/>
    <w:rsid w:val="0017521A"/>
    <w:rsid w:val="001754FC"/>
    <w:rsid w:val="00175B01"/>
    <w:rsid w:val="00175EB8"/>
    <w:rsid w:val="00177909"/>
    <w:rsid w:val="00180259"/>
    <w:rsid w:val="0018067E"/>
    <w:rsid w:val="001807A9"/>
    <w:rsid w:val="00181598"/>
    <w:rsid w:val="00184F40"/>
    <w:rsid w:val="001851B2"/>
    <w:rsid w:val="001864F0"/>
    <w:rsid w:val="00191C36"/>
    <w:rsid w:val="001923C9"/>
    <w:rsid w:val="0019339F"/>
    <w:rsid w:val="001938CA"/>
    <w:rsid w:val="001943BB"/>
    <w:rsid w:val="00194C9E"/>
    <w:rsid w:val="001954FB"/>
    <w:rsid w:val="00197B62"/>
    <w:rsid w:val="00197D34"/>
    <w:rsid w:val="00197D38"/>
    <w:rsid w:val="001A163D"/>
    <w:rsid w:val="001A324D"/>
    <w:rsid w:val="001A40A4"/>
    <w:rsid w:val="001A5C7F"/>
    <w:rsid w:val="001A6168"/>
    <w:rsid w:val="001A720C"/>
    <w:rsid w:val="001A727C"/>
    <w:rsid w:val="001A73DB"/>
    <w:rsid w:val="001A7755"/>
    <w:rsid w:val="001A7AC4"/>
    <w:rsid w:val="001B0748"/>
    <w:rsid w:val="001B1408"/>
    <w:rsid w:val="001B1E58"/>
    <w:rsid w:val="001B22F4"/>
    <w:rsid w:val="001B2B8B"/>
    <w:rsid w:val="001B4BE2"/>
    <w:rsid w:val="001B4CBC"/>
    <w:rsid w:val="001C0165"/>
    <w:rsid w:val="001C095F"/>
    <w:rsid w:val="001C0C4A"/>
    <w:rsid w:val="001C2FA8"/>
    <w:rsid w:val="001C3BD9"/>
    <w:rsid w:val="001C4CC8"/>
    <w:rsid w:val="001C614F"/>
    <w:rsid w:val="001C69C7"/>
    <w:rsid w:val="001C70F1"/>
    <w:rsid w:val="001C7F0F"/>
    <w:rsid w:val="001D16F2"/>
    <w:rsid w:val="001D2404"/>
    <w:rsid w:val="001D30A2"/>
    <w:rsid w:val="001D4C61"/>
    <w:rsid w:val="001D5761"/>
    <w:rsid w:val="001D6AB0"/>
    <w:rsid w:val="001D738F"/>
    <w:rsid w:val="001D73DE"/>
    <w:rsid w:val="001D7B93"/>
    <w:rsid w:val="001D7EB4"/>
    <w:rsid w:val="001E00E8"/>
    <w:rsid w:val="001E09E2"/>
    <w:rsid w:val="001E1DC0"/>
    <w:rsid w:val="001E27E0"/>
    <w:rsid w:val="001E417B"/>
    <w:rsid w:val="001E43CA"/>
    <w:rsid w:val="001E5187"/>
    <w:rsid w:val="001E7187"/>
    <w:rsid w:val="001E7A6E"/>
    <w:rsid w:val="001E7F11"/>
    <w:rsid w:val="001F0970"/>
    <w:rsid w:val="001F0CED"/>
    <w:rsid w:val="001F1677"/>
    <w:rsid w:val="001F1D74"/>
    <w:rsid w:val="001F233D"/>
    <w:rsid w:val="001F2D02"/>
    <w:rsid w:val="001F2F2B"/>
    <w:rsid w:val="001F391D"/>
    <w:rsid w:val="001F42DF"/>
    <w:rsid w:val="001F494D"/>
    <w:rsid w:val="001F4D72"/>
    <w:rsid w:val="001F4FB8"/>
    <w:rsid w:val="001F5996"/>
    <w:rsid w:val="001F64C5"/>
    <w:rsid w:val="001F6B5B"/>
    <w:rsid w:val="001F7463"/>
    <w:rsid w:val="002009CF"/>
    <w:rsid w:val="00200D7B"/>
    <w:rsid w:val="0020122A"/>
    <w:rsid w:val="00201EE4"/>
    <w:rsid w:val="00202406"/>
    <w:rsid w:val="0020350A"/>
    <w:rsid w:val="00204269"/>
    <w:rsid w:val="00204768"/>
    <w:rsid w:val="002078B6"/>
    <w:rsid w:val="002112E3"/>
    <w:rsid w:val="00211343"/>
    <w:rsid w:val="00212C70"/>
    <w:rsid w:val="00213C46"/>
    <w:rsid w:val="00213C76"/>
    <w:rsid w:val="00214A17"/>
    <w:rsid w:val="00214B5F"/>
    <w:rsid w:val="00214C7F"/>
    <w:rsid w:val="002150D3"/>
    <w:rsid w:val="002177AC"/>
    <w:rsid w:val="002227A6"/>
    <w:rsid w:val="00222B0D"/>
    <w:rsid w:val="002231E7"/>
    <w:rsid w:val="00223229"/>
    <w:rsid w:val="00223B9A"/>
    <w:rsid w:val="00225D11"/>
    <w:rsid w:val="00226FCC"/>
    <w:rsid w:val="00227A15"/>
    <w:rsid w:val="00230790"/>
    <w:rsid w:val="002311C5"/>
    <w:rsid w:val="002323B6"/>
    <w:rsid w:val="00233EB4"/>
    <w:rsid w:val="00233EB6"/>
    <w:rsid w:val="00234EDC"/>
    <w:rsid w:val="00236189"/>
    <w:rsid w:val="002362A7"/>
    <w:rsid w:val="00236BAE"/>
    <w:rsid w:val="00237064"/>
    <w:rsid w:val="002376FB"/>
    <w:rsid w:val="002377D9"/>
    <w:rsid w:val="00237CCD"/>
    <w:rsid w:val="002406F9"/>
    <w:rsid w:val="00240F58"/>
    <w:rsid w:val="002431FC"/>
    <w:rsid w:val="00243657"/>
    <w:rsid w:val="00244BC8"/>
    <w:rsid w:val="00245555"/>
    <w:rsid w:val="00246887"/>
    <w:rsid w:val="002503BA"/>
    <w:rsid w:val="002504A2"/>
    <w:rsid w:val="00250658"/>
    <w:rsid w:val="00250714"/>
    <w:rsid w:val="00250821"/>
    <w:rsid w:val="00251F2F"/>
    <w:rsid w:val="00252661"/>
    <w:rsid w:val="002527B4"/>
    <w:rsid w:val="002528D0"/>
    <w:rsid w:val="00253410"/>
    <w:rsid w:val="00253449"/>
    <w:rsid w:val="00253B7A"/>
    <w:rsid w:val="0025530C"/>
    <w:rsid w:val="0025566E"/>
    <w:rsid w:val="00256B10"/>
    <w:rsid w:val="00256EFC"/>
    <w:rsid w:val="00257FB6"/>
    <w:rsid w:val="002616C9"/>
    <w:rsid w:val="00261938"/>
    <w:rsid w:val="00261AB2"/>
    <w:rsid w:val="00263E79"/>
    <w:rsid w:val="002642CF"/>
    <w:rsid w:val="00265990"/>
    <w:rsid w:val="002659CC"/>
    <w:rsid w:val="002661D6"/>
    <w:rsid w:val="002667FE"/>
    <w:rsid w:val="00270823"/>
    <w:rsid w:val="00271A28"/>
    <w:rsid w:val="00271B87"/>
    <w:rsid w:val="00272C28"/>
    <w:rsid w:val="00272CCE"/>
    <w:rsid w:val="002741D3"/>
    <w:rsid w:val="00274252"/>
    <w:rsid w:val="002746C6"/>
    <w:rsid w:val="00274AAF"/>
    <w:rsid w:val="002754DF"/>
    <w:rsid w:val="00275D7F"/>
    <w:rsid w:val="00277260"/>
    <w:rsid w:val="002808B0"/>
    <w:rsid w:val="002810AF"/>
    <w:rsid w:val="00281E87"/>
    <w:rsid w:val="0028218C"/>
    <w:rsid w:val="00282468"/>
    <w:rsid w:val="00282DC6"/>
    <w:rsid w:val="00284C08"/>
    <w:rsid w:val="00284F83"/>
    <w:rsid w:val="002850A2"/>
    <w:rsid w:val="002851B4"/>
    <w:rsid w:val="00285763"/>
    <w:rsid w:val="0028602A"/>
    <w:rsid w:val="002867F0"/>
    <w:rsid w:val="002872C3"/>
    <w:rsid w:val="00287835"/>
    <w:rsid w:val="002914FA"/>
    <w:rsid w:val="00294183"/>
    <w:rsid w:val="0029449C"/>
    <w:rsid w:val="00295C79"/>
    <w:rsid w:val="002960BC"/>
    <w:rsid w:val="00296DC4"/>
    <w:rsid w:val="002A130F"/>
    <w:rsid w:val="002A2BD5"/>
    <w:rsid w:val="002A3BC2"/>
    <w:rsid w:val="002A4001"/>
    <w:rsid w:val="002A50AB"/>
    <w:rsid w:val="002B027B"/>
    <w:rsid w:val="002B0FEA"/>
    <w:rsid w:val="002B152A"/>
    <w:rsid w:val="002B27EC"/>
    <w:rsid w:val="002B2DCA"/>
    <w:rsid w:val="002B4935"/>
    <w:rsid w:val="002B4B9D"/>
    <w:rsid w:val="002B56EF"/>
    <w:rsid w:val="002B641F"/>
    <w:rsid w:val="002C09BA"/>
    <w:rsid w:val="002C1362"/>
    <w:rsid w:val="002C13A6"/>
    <w:rsid w:val="002C1779"/>
    <w:rsid w:val="002C197C"/>
    <w:rsid w:val="002C1BC1"/>
    <w:rsid w:val="002C1E1B"/>
    <w:rsid w:val="002C1FEB"/>
    <w:rsid w:val="002C218A"/>
    <w:rsid w:val="002C2697"/>
    <w:rsid w:val="002C2DB9"/>
    <w:rsid w:val="002C4956"/>
    <w:rsid w:val="002C73BC"/>
    <w:rsid w:val="002D0848"/>
    <w:rsid w:val="002D26AC"/>
    <w:rsid w:val="002D28C9"/>
    <w:rsid w:val="002D2E1F"/>
    <w:rsid w:val="002D30EE"/>
    <w:rsid w:val="002D3120"/>
    <w:rsid w:val="002D4E01"/>
    <w:rsid w:val="002D6E6F"/>
    <w:rsid w:val="002D7BF8"/>
    <w:rsid w:val="002D7CF6"/>
    <w:rsid w:val="002E0632"/>
    <w:rsid w:val="002E0D0C"/>
    <w:rsid w:val="002E1181"/>
    <w:rsid w:val="002E150F"/>
    <w:rsid w:val="002E1539"/>
    <w:rsid w:val="002E3B59"/>
    <w:rsid w:val="002E5B5D"/>
    <w:rsid w:val="002E66B1"/>
    <w:rsid w:val="002E6799"/>
    <w:rsid w:val="002E6A67"/>
    <w:rsid w:val="002E70A1"/>
    <w:rsid w:val="002F060E"/>
    <w:rsid w:val="002F0743"/>
    <w:rsid w:val="002F0879"/>
    <w:rsid w:val="002F0AF2"/>
    <w:rsid w:val="002F0DFA"/>
    <w:rsid w:val="002F1556"/>
    <w:rsid w:val="002F164F"/>
    <w:rsid w:val="002F187B"/>
    <w:rsid w:val="002F18F2"/>
    <w:rsid w:val="002F2AAB"/>
    <w:rsid w:val="002F3094"/>
    <w:rsid w:val="002F5017"/>
    <w:rsid w:val="002F5F27"/>
    <w:rsid w:val="002F6118"/>
    <w:rsid w:val="002F7BE9"/>
    <w:rsid w:val="00300209"/>
    <w:rsid w:val="00301144"/>
    <w:rsid w:val="00301442"/>
    <w:rsid w:val="0030235B"/>
    <w:rsid w:val="00302920"/>
    <w:rsid w:val="00302C01"/>
    <w:rsid w:val="00305389"/>
    <w:rsid w:val="0030599E"/>
    <w:rsid w:val="003100AF"/>
    <w:rsid w:val="003107BE"/>
    <w:rsid w:val="00311076"/>
    <w:rsid w:val="00311A41"/>
    <w:rsid w:val="00311B30"/>
    <w:rsid w:val="00311B68"/>
    <w:rsid w:val="00311BE7"/>
    <w:rsid w:val="00312453"/>
    <w:rsid w:val="00312760"/>
    <w:rsid w:val="00312D4F"/>
    <w:rsid w:val="00313809"/>
    <w:rsid w:val="0031408B"/>
    <w:rsid w:val="003141CD"/>
    <w:rsid w:val="003148B7"/>
    <w:rsid w:val="00314AE9"/>
    <w:rsid w:val="003158C3"/>
    <w:rsid w:val="00315F4E"/>
    <w:rsid w:val="00320953"/>
    <w:rsid w:val="00320B05"/>
    <w:rsid w:val="00322115"/>
    <w:rsid w:val="00322224"/>
    <w:rsid w:val="00323D64"/>
    <w:rsid w:val="00323F53"/>
    <w:rsid w:val="003249FB"/>
    <w:rsid w:val="00325AB0"/>
    <w:rsid w:val="00326AA3"/>
    <w:rsid w:val="003274CD"/>
    <w:rsid w:val="003276FB"/>
    <w:rsid w:val="00330415"/>
    <w:rsid w:val="0033084E"/>
    <w:rsid w:val="00330E0D"/>
    <w:rsid w:val="003315E9"/>
    <w:rsid w:val="00332938"/>
    <w:rsid w:val="00334C6F"/>
    <w:rsid w:val="00334F8A"/>
    <w:rsid w:val="00335B6F"/>
    <w:rsid w:val="003367A8"/>
    <w:rsid w:val="003377DA"/>
    <w:rsid w:val="00337A1A"/>
    <w:rsid w:val="00337D61"/>
    <w:rsid w:val="00337E01"/>
    <w:rsid w:val="003416C7"/>
    <w:rsid w:val="00341BA3"/>
    <w:rsid w:val="003424C3"/>
    <w:rsid w:val="003445B7"/>
    <w:rsid w:val="00345B7A"/>
    <w:rsid w:val="00346128"/>
    <w:rsid w:val="00346167"/>
    <w:rsid w:val="003473D9"/>
    <w:rsid w:val="00347499"/>
    <w:rsid w:val="0034755C"/>
    <w:rsid w:val="00347622"/>
    <w:rsid w:val="00347994"/>
    <w:rsid w:val="00347B58"/>
    <w:rsid w:val="0035119D"/>
    <w:rsid w:val="00351B52"/>
    <w:rsid w:val="003523C8"/>
    <w:rsid w:val="0035283E"/>
    <w:rsid w:val="00352DF4"/>
    <w:rsid w:val="00356C62"/>
    <w:rsid w:val="0035776D"/>
    <w:rsid w:val="00357C9B"/>
    <w:rsid w:val="00357E60"/>
    <w:rsid w:val="00357E6A"/>
    <w:rsid w:val="003600A3"/>
    <w:rsid w:val="003606E0"/>
    <w:rsid w:val="00360968"/>
    <w:rsid w:val="00362741"/>
    <w:rsid w:val="003639AC"/>
    <w:rsid w:val="00363CF2"/>
    <w:rsid w:val="003644E7"/>
    <w:rsid w:val="00364BE9"/>
    <w:rsid w:val="0036529B"/>
    <w:rsid w:val="00365EEE"/>
    <w:rsid w:val="003666ED"/>
    <w:rsid w:val="00366A75"/>
    <w:rsid w:val="00367AB2"/>
    <w:rsid w:val="00370B71"/>
    <w:rsid w:val="00371A04"/>
    <w:rsid w:val="003722B5"/>
    <w:rsid w:val="00374870"/>
    <w:rsid w:val="00374898"/>
    <w:rsid w:val="00374DC8"/>
    <w:rsid w:val="0037524E"/>
    <w:rsid w:val="00375687"/>
    <w:rsid w:val="00375C59"/>
    <w:rsid w:val="00375D68"/>
    <w:rsid w:val="00375DE7"/>
    <w:rsid w:val="003766B2"/>
    <w:rsid w:val="003779B0"/>
    <w:rsid w:val="00377D2A"/>
    <w:rsid w:val="00382E8F"/>
    <w:rsid w:val="003854D9"/>
    <w:rsid w:val="003908FF"/>
    <w:rsid w:val="003911FC"/>
    <w:rsid w:val="00391B0E"/>
    <w:rsid w:val="00392344"/>
    <w:rsid w:val="00392DAF"/>
    <w:rsid w:val="0039310C"/>
    <w:rsid w:val="00393D6A"/>
    <w:rsid w:val="003965A8"/>
    <w:rsid w:val="00396887"/>
    <w:rsid w:val="00396D5F"/>
    <w:rsid w:val="00396F99"/>
    <w:rsid w:val="003A25EF"/>
    <w:rsid w:val="003A289D"/>
    <w:rsid w:val="003A47EE"/>
    <w:rsid w:val="003A517F"/>
    <w:rsid w:val="003A7058"/>
    <w:rsid w:val="003A71C5"/>
    <w:rsid w:val="003A7E44"/>
    <w:rsid w:val="003B15B4"/>
    <w:rsid w:val="003B3079"/>
    <w:rsid w:val="003B3DEC"/>
    <w:rsid w:val="003B402B"/>
    <w:rsid w:val="003B42E0"/>
    <w:rsid w:val="003B453D"/>
    <w:rsid w:val="003B47B3"/>
    <w:rsid w:val="003B4F12"/>
    <w:rsid w:val="003B52E6"/>
    <w:rsid w:val="003B62F5"/>
    <w:rsid w:val="003B779D"/>
    <w:rsid w:val="003B7D2A"/>
    <w:rsid w:val="003B7F30"/>
    <w:rsid w:val="003C0B9E"/>
    <w:rsid w:val="003C0E5E"/>
    <w:rsid w:val="003C1A4C"/>
    <w:rsid w:val="003C2572"/>
    <w:rsid w:val="003C2C71"/>
    <w:rsid w:val="003C2DB0"/>
    <w:rsid w:val="003C5A90"/>
    <w:rsid w:val="003C60DA"/>
    <w:rsid w:val="003C681B"/>
    <w:rsid w:val="003C692B"/>
    <w:rsid w:val="003C748C"/>
    <w:rsid w:val="003C7591"/>
    <w:rsid w:val="003C7595"/>
    <w:rsid w:val="003C7CF0"/>
    <w:rsid w:val="003D070A"/>
    <w:rsid w:val="003D0E98"/>
    <w:rsid w:val="003D1B46"/>
    <w:rsid w:val="003D2C33"/>
    <w:rsid w:val="003D2E2A"/>
    <w:rsid w:val="003D2E67"/>
    <w:rsid w:val="003D30D7"/>
    <w:rsid w:val="003D3E80"/>
    <w:rsid w:val="003D418D"/>
    <w:rsid w:val="003D5356"/>
    <w:rsid w:val="003D66F9"/>
    <w:rsid w:val="003D68EB"/>
    <w:rsid w:val="003D6BD8"/>
    <w:rsid w:val="003D755D"/>
    <w:rsid w:val="003D79EF"/>
    <w:rsid w:val="003E05CE"/>
    <w:rsid w:val="003E1099"/>
    <w:rsid w:val="003E15EA"/>
    <w:rsid w:val="003E26AD"/>
    <w:rsid w:val="003E3C9D"/>
    <w:rsid w:val="003E3E2E"/>
    <w:rsid w:val="003E7982"/>
    <w:rsid w:val="003E79EE"/>
    <w:rsid w:val="003F0643"/>
    <w:rsid w:val="003F1D73"/>
    <w:rsid w:val="003F3356"/>
    <w:rsid w:val="003F48C3"/>
    <w:rsid w:val="003F53E4"/>
    <w:rsid w:val="003F5F22"/>
    <w:rsid w:val="003F7499"/>
    <w:rsid w:val="003F7F2E"/>
    <w:rsid w:val="00401943"/>
    <w:rsid w:val="00401DFC"/>
    <w:rsid w:val="0040306D"/>
    <w:rsid w:val="00403A22"/>
    <w:rsid w:val="00403D7E"/>
    <w:rsid w:val="00404233"/>
    <w:rsid w:val="004052AF"/>
    <w:rsid w:val="004061B1"/>
    <w:rsid w:val="00406ADB"/>
    <w:rsid w:val="0040713F"/>
    <w:rsid w:val="00407169"/>
    <w:rsid w:val="00410748"/>
    <w:rsid w:val="00411378"/>
    <w:rsid w:val="00411F6B"/>
    <w:rsid w:val="00414E22"/>
    <w:rsid w:val="00416320"/>
    <w:rsid w:val="0042010D"/>
    <w:rsid w:val="0042016D"/>
    <w:rsid w:val="0042108E"/>
    <w:rsid w:val="004215DD"/>
    <w:rsid w:val="00423F31"/>
    <w:rsid w:val="00425289"/>
    <w:rsid w:val="00425834"/>
    <w:rsid w:val="00426296"/>
    <w:rsid w:val="0042668E"/>
    <w:rsid w:val="00426931"/>
    <w:rsid w:val="00426BA4"/>
    <w:rsid w:val="00427A89"/>
    <w:rsid w:val="00427E88"/>
    <w:rsid w:val="00430CAD"/>
    <w:rsid w:val="00430CF6"/>
    <w:rsid w:val="00431899"/>
    <w:rsid w:val="00433124"/>
    <w:rsid w:val="00433327"/>
    <w:rsid w:val="00433742"/>
    <w:rsid w:val="0043783B"/>
    <w:rsid w:val="004405BD"/>
    <w:rsid w:val="00441FB8"/>
    <w:rsid w:val="00442152"/>
    <w:rsid w:val="0044337D"/>
    <w:rsid w:val="00443964"/>
    <w:rsid w:val="00444045"/>
    <w:rsid w:val="00444E8C"/>
    <w:rsid w:val="00445143"/>
    <w:rsid w:val="00446ACF"/>
    <w:rsid w:val="004471B8"/>
    <w:rsid w:val="00450725"/>
    <w:rsid w:val="00451474"/>
    <w:rsid w:val="004526F6"/>
    <w:rsid w:val="0045349D"/>
    <w:rsid w:val="004543B9"/>
    <w:rsid w:val="00454729"/>
    <w:rsid w:val="0045475E"/>
    <w:rsid w:val="0045486A"/>
    <w:rsid w:val="004549A4"/>
    <w:rsid w:val="0045500F"/>
    <w:rsid w:val="00455633"/>
    <w:rsid w:val="0045663B"/>
    <w:rsid w:val="004609EB"/>
    <w:rsid w:val="00460BBF"/>
    <w:rsid w:val="00461527"/>
    <w:rsid w:val="0046190E"/>
    <w:rsid w:val="004644CD"/>
    <w:rsid w:val="004649F6"/>
    <w:rsid w:val="004656B5"/>
    <w:rsid w:val="00466C28"/>
    <w:rsid w:val="004673FC"/>
    <w:rsid w:val="00467790"/>
    <w:rsid w:val="00467E06"/>
    <w:rsid w:val="00470E22"/>
    <w:rsid w:val="004712A9"/>
    <w:rsid w:val="0047193A"/>
    <w:rsid w:val="00472232"/>
    <w:rsid w:val="00472574"/>
    <w:rsid w:val="004728A6"/>
    <w:rsid w:val="00473E84"/>
    <w:rsid w:val="004742A0"/>
    <w:rsid w:val="0047479B"/>
    <w:rsid w:val="00474FF6"/>
    <w:rsid w:val="00476156"/>
    <w:rsid w:val="00476916"/>
    <w:rsid w:val="004777A3"/>
    <w:rsid w:val="004778EA"/>
    <w:rsid w:val="004809BD"/>
    <w:rsid w:val="00481558"/>
    <w:rsid w:val="004815F3"/>
    <w:rsid w:val="0048258F"/>
    <w:rsid w:val="004832C3"/>
    <w:rsid w:val="00483DBF"/>
    <w:rsid w:val="0048460A"/>
    <w:rsid w:val="00484694"/>
    <w:rsid w:val="0048469B"/>
    <w:rsid w:val="00485460"/>
    <w:rsid w:val="004863DA"/>
    <w:rsid w:val="00486804"/>
    <w:rsid w:val="00490069"/>
    <w:rsid w:val="0049098A"/>
    <w:rsid w:val="00491498"/>
    <w:rsid w:val="00491638"/>
    <w:rsid w:val="0049169D"/>
    <w:rsid w:val="00492034"/>
    <w:rsid w:val="004929D8"/>
    <w:rsid w:val="004932F4"/>
    <w:rsid w:val="00493460"/>
    <w:rsid w:val="00493D63"/>
    <w:rsid w:val="00493ED2"/>
    <w:rsid w:val="004944B2"/>
    <w:rsid w:val="004944CE"/>
    <w:rsid w:val="00494D4E"/>
    <w:rsid w:val="0049533A"/>
    <w:rsid w:val="00495729"/>
    <w:rsid w:val="004960E4"/>
    <w:rsid w:val="00496ACF"/>
    <w:rsid w:val="00497808"/>
    <w:rsid w:val="0049781E"/>
    <w:rsid w:val="004978B4"/>
    <w:rsid w:val="00497945"/>
    <w:rsid w:val="00497E40"/>
    <w:rsid w:val="004A024B"/>
    <w:rsid w:val="004A0734"/>
    <w:rsid w:val="004A170B"/>
    <w:rsid w:val="004A1BA0"/>
    <w:rsid w:val="004A39B5"/>
    <w:rsid w:val="004A3EE8"/>
    <w:rsid w:val="004A42EE"/>
    <w:rsid w:val="004A5BAA"/>
    <w:rsid w:val="004B14D9"/>
    <w:rsid w:val="004B16BE"/>
    <w:rsid w:val="004B2C47"/>
    <w:rsid w:val="004B345F"/>
    <w:rsid w:val="004B35D0"/>
    <w:rsid w:val="004B367F"/>
    <w:rsid w:val="004B3775"/>
    <w:rsid w:val="004B394C"/>
    <w:rsid w:val="004B3AF6"/>
    <w:rsid w:val="004B4016"/>
    <w:rsid w:val="004B4224"/>
    <w:rsid w:val="004B5136"/>
    <w:rsid w:val="004B57AF"/>
    <w:rsid w:val="004B5A9E"/>
    <w:rsid w:val="004B5F4F"/>
    <w:rsid w:val="004B6162"/>
    <w:rsid w:val="004B7612"/>
    <w:rsid w:val="004B76F7"/>
    <w:rsid w:val="004B7A1B"/>
    <w:rsid w:val="004C0DE8"/>
    <w:rsid w:val="004C0E3C"/>
    <w:rsid w:val="004C1925"/>
    <w:rsid w:val="004C1C21"/>
    <w:rsid w:val="004C1DA7"/>
    <w:rsid w:val="004C1ED7"/>
    <w:rsid w:val="004C2A06"/>
    <w:rsid w:val="004C31B9"/>
    <w:rsid w:val="004C41FC"/>
    <w:rsid w:val="004C51BD"/>
    <w:rsid w:val="004C56AD"/>
    <w:rsid w:val="004C5851"/>
    <w:rsid w:val="004C5A64"/>
    <w:rsid w:val="004C77E7"/>
    <w:rsid w:val="004D0115"/>
    <w:rsid w:val="004D0F69"/>
    <w:rsid w:val="004D1504"/>
    <w:rsid w:val="004D1A3B"/>
    <w:rsid w:val="004D284E"/>
    <w:rsid w:val="004D29D4"/>
    <w:rsid w:val="004D3574"/>
    <w:rsid w:val="004D3F60"/>
    <w:rsid w:val="004D479A"/>
    <w:rsid w:val="004D4C93"/>
    <w:rsid w:val="004D5A5C"/>
    <w:rsid w:val="004D64A6"/>
    <w:rsid w:val="004D682E"/>
    <w:rsid w:val="004D761E"/>
    <w:rsid w:val="004D77BD"/>
    <w:rsid w:val="004D7856"/>
    <w:rsid w:val="004D7EA2"/>
    <w:rsid w:val="004E058F"/>
    <w:rsid w:val="004E0923"/>
    <w:rsid w:val="004E0ABC"/>
    <w:rsid w:val="004E0AFF"/>
    <w:rsid w:val="004E0FFA"/>
    <w:rsid w:val="004E2597"/>
    <w:rsid w:val="004E2865"/>
    <w:rsid w:val="004E29B4"/>
    <w:rsid w:val="004E3B87"/>
    <w:rsid w:val="004E3BA5"/>
    <w:rsid w:val="004E3C6F"/>
    <w:rsid w:val="004E4F6C"/>
    <w:rsid w:val="004E58F5"/>
    <w:rsid w:val="004E76A4"/>
    <w:rsid w:val="004E780E"/>
    <w:rsid w:val="004E7A44"/>
    <w:rsid w:val="004E7B5C"/>
    <w:rsid w:val="004F288E"/>
    <w:rsid w:val="004F3C32"/>
    <w:rsid w:val="004F4DBB"/>
    <w:rsid w:val="004F7071"/>
    <w:rsid w:val="004F790D"/>
    <w:rsid w:val="00500246"/>
    <w:rsid w:val="005021F0"/>
    <w:rsid w:val="0050273A"/>
    <w:rsid w:val="00507A76"/>
    <w:rsid w:val="00510921"/>
    <w:rsid w:val="00510AD3"/>
    <w:rsid w:val="00511313"/>
    <w:rsid w:val="00511DF0"/>
    <w:rsid w:val="00512B1D"/>
    <w:rsid w:val="00513348"/>
    <w:rsid w:val="005142F3"/>
    <w:rsid w:val="00515380"/>
    <w:rsid w:val="00515787"/>
    <w:rsid w:val="00515F48"/>
    <w:rsid w:val="00515FA2"/>
    <w:rsid w:val="005171AB"/>
    <w:rsid w:val="005223D5"/>
    <w:rsid w:val="00522E47"/>
    <w:rsid w:val="0052694E"/>
    <w:rsid w:val="005277D0"/>
    <w:rsid w:val="00527B86"/>
    <w:rsid w:val="00530060"/>
    <w:rsid w:val="00530565"/>
    <w:rsid w:val="00530CED"/>
    <w:rsid w:val="00531849"/>
    <w:rsid w:val="005326B3"/>
    <w:rsid w:val="00532B3E"/>
    <w:rsid w:val="00532C1F"/>
    <w:rsid w:val="00533B5D"/>
    <w:rsid w:val="00533BE8"/>
    <w:rsid w:val="005363D1"/>
    <w:rsid w:val="005369BC"/>
    <w:rsid w:val="00536E93"/>
    <w:rsid w:val="005379D4"/>
    <w:rsid w:val="00537A8A"/>
    <w:rsid w:val="00537F2E"/>
    <w:rsid w:val="00540DCB"/>
    <w:rsid w:val="005410B3"/>
    <w:rsid w:val="005411B7"/>
    <w:rsid w:val="00541FE5"/>
    <w:rsid w:val="00543830"/>
    <w:rsid w:val="00543B85"/>
    <w:rsid w:val="00545E5E"/>
    <w:rsid w:val="0054621D"/>
    <w:rsid w:val="00546A92"/>
    <w:rsid w:val="00547503"/>
    <w:rsid w:val="00547CFC"/>
    <w:rsid w:val="0055235A"/>
    <w:rsid w:val="005529B0"/>
    <w:rsid w:val="00552FA3"/>
    <w:rsid w:val="00553522"/>
    <w:rsid w:val="00553B02"/>
    <w:rsid w:val="00554601"/>
    <w:rsid w:val="0055527D"/>
    <w:rsid w:val="005554A4"/>
    <w:rsid w:val="00555C2A"/>
    <w:rsid w:val="0055620B"/>
    <w:rsid w:val="0055671F"/>
    <w:rsid w:val="005570E8"/>
    <w:rsid w:val="00557F46"/>
    <w:rsid w:val="00560241"/>
    <w:rsid w:val="00560F5E"/>
    <w:rsid w:val="00561307"/>
    <w:rsid w:val="0056149A"/>
    <w:rsid w:val="00562BE7"/>
    <w:rsid w:val="00563146"/>
    <w:rsid w:val="0056314B"/>
    <w:rsid w:val="00563621"/>
    <w:rsid w:val="00564C0E"/>
    <w:rsid w:val="0056640D"/>
    <w:rsid w:val="00566C02"/>
    <w:rsid w:val="00567D63"/>
    <w:rsid w:val="0057047B"/>
    <w:rsid w:val="00571333"/>
    <w:rsid w:val="00572379"/>
    <w:rsid w:val="0057288F"/>
    <w:rsid w:val="00572A22"/>
    <w:rsid w:val="005747A8"/>
    <w:rsid w:val="00574BAF"/>
    <w:rsid w:val="00576566"/>
    <w:rsid w:val="00577C1F"/>
    <w:rsid w:val="00577D9C"/>
    <w:rsid w:val="00577E79"/>
    <w:rsid w:val="00577EB6"/>
    <w:rsid w:val="00580008"/>
    <w:rsid w:val="0058087A"/>
    <w:rsid w:val="00580DAE"/>
    <w:rsid w:val="00580F20"/>
    <w:rsid w:val="005815B0"/>
    <w:rsid w:val="005819F3"/>
    <w:rsid w:val="005825C7"/>
    <w:rsid w:val="00582DF0"/>
    <w:rsid w:val="00583302"/>
    <w:rsid w:val="005836EB"/>
    <w:rsid w:val="00584B66"/>
    <w:rsid w:val="00585B70"/>
    <w:rsid w:val="00586E4C"/>
    <w:rsid w:val="0058705C"/>
    <w:rsid w:val="00587772"/>
    <w:rsid w:val="00590388"/>
    <w:rsid w:val="005904D2"/>
    <w:rsid w:val="0059137E"/>
    <w:rsid w:val="00591FAF"/>
    <w:rsid w:val="00592E14"/>
    <w:rsid w:val="00593723"/>
    <w:rsid w:val="00593C5B"/>
    <w:rsid w:val="005942C9"/>
    <w:rsid w:val="00594DF7"/>
    <w:rsid w:val="0059544C"/>
    <w:rsid w:val="005955E4"/>
    <w:rsid w:val="00595D6E"/>
    <w:rsid w:val="00595DB3"/>
    <w:rsid w:val="00596D2E"/>
    <w:rsid w:val="005970EA"/>
    <w:rsid w:val="005A092B"/>
    <w:rsid w:val="005A0C9C"/>
    <w:rsid w:val="005A1496"/>
    <w:rsid w:val="005A3471"/>
    <w:rsid w:val="005A364E"/>
    <w:rsid w:val="005A4099"/>
    <w:rsid w:val="005A4334"/>
    <w:rsid w:val="005A4BDA"/>
    <w:rsid w:val="005A5513"/>
    <w:rsid w:val="005A6613"/>
    <w:rsid w:val="005B0D06"/>
    <w:rsid w:val="005B2724"/>
    <w:rsid w:val="005B2ECC"/>
    <w:rsid w:val="005B357F"/>
    <w:rsid w:val="005B3582"/>
    <w:rsid w:val="005B4269"/>
    <w:rsid w:val="005B451C"/>
    <w:rsid w:val="005B4FC5"/>
    <w:rsid w:val="005B56C7"/>
    <w:rsid w:val="005B5A94"/>
    <w:rsid w:val="005B7708"/>
    <w:rsid w:val="005B7DEE"/>
    <w:rsid w:val="005C0A22"/>
    <w:rsid w:val="005C19B7"/>
    <w:rsid w:val="005C278D"/>
    <w:rsid w:val="005C37F0"/>
    <w:rsid w:val="005C3ABA"/>
    <w:rsid w:val="005C3C4F"/>
    <w:rsid w:val="005C4A47"/>
    <w:rsid w:val="005C535D"/>
    <w:rsid w:val="005C5D07"/>
    <w:rsid w:val="005C63D7"/>
    <w:rsid w:val="005C661E"/>
    <w:rsid w:val="005D04D4"/>
    <w:rsid w:val="005D2092"/>
    <w:rsid w:val="005D285D"/>
    <w:rsid w:val="005D28DC"/>
    <w:rsid w:val="005D2D36"/>
    <w:rsid w:val="005D2DD1"/>
    <w:rsid w:val="005D2FEF"/>
    <w:rsid w:val="005D362B"/>
    <w:rsid w:val="005D37E2"/>
    <w:rsid w:val="005D3E0C"/>
    <w:rsid w:val="005D464E"/>
    <w:rsid w:val="005D722E"/>
    <w:rsid w:val="005D77C0"/>
    <w:rsid w:val="005E0643"/>
    <w:rsid w:val="005E1760"/>
    <w:rsid w:val="005E2332"/>
    <w:rsid w:val="005E29C1"/>
    <w:rsid w:val="005E333F"/>
    <w:rsid w:val="005F01DF"/>
    <w:rsid w:val="005F1286"/>
    <w:rsid w:val="005F1DA7"/>
    <w:rsid w:val="005F37B8"/>
    <w:rsid w:val="005F39A5"/>
    <w:rsid w:val="005F4D5C"/>
    <w:rsid w:val="005F517A"/>
    <w:rsid w:val="005F5750"/>
    <w:rsid w:val="005F590D"/>
    <w:rsid w:val="005F5F11"/>
    <w:rsid w:val="005F628C"/>
    <w:rsid w:val="005F6857"/>
    <w:rsid w:val="005F68B3"/>
    <w:rsid w:val="005F71A9"/>
    <w:rsid w:val="00602D16"/>
    <w:rsid w:val="00603360"/>
    <w:rsid w:val="006037D8"/>
    <w:rsid w:val="006039C2"/>
    <w:rsid w:val="0060490E"/>
    <w:rsid w:val="00606A84"/>
    <w:rsid w:val="006105A9"/>
    <w:rsid w:val="00611899"/>
    <w:rsid w:val="00611E25"/>
    <w:rsid w:val="00612724"/>
    <w:rsid w:val="0061337C"/>
    <w:rsid w:val="006145BB"/>
    <w:rsid w:val="0061463D"/>
    <w:rsid w:val="00614E0E"/>
    <w:rsid w:val="00614F25"/>
    <w:rsid w:val="006157F0"/>
    <w:rsid w:val="00616039"/>
    <w:rsid w:val="006160C9"/>
    <w:rsid w:val="006165CD"/>
    <w:rsid w:val="00617D5C"/>
    <w:rsid w:val="006203B3"/>
    <w:rsid w:val="0062062A"/>
    <w:rsid w:val="0062189E"/>
    <w:rsid w:val="00622136"/>
    <w:rsid w:val="00622586"/>
    <w:rsid w:val="00622AE9"/>
    <w:rsid w:val="00622BEA"/>
    <w:rsid w:val="00623BA1"/>
    <w:rsid w:val="006246D4"/>
    <w:rsid w:val="00624716"/>
    <w:rsid w:val="006248C5"/>
    <w:rsid w:val="00624C8D"/>
    <w:rsid w:val="00624CEB"/>
    <w:rsid w:val="0062612F"/>
    <w:rsid w:val="00630312"/>
    <w:rsid w:val="00630976"/>
    <w:rsid w:val="00630B0C"/>
    <w:rsid w:val="00630E90"/>
    <w:rsid w:val="006314AE"/>
    <w:rsid w:val="006332D6"/>
    <w:rsid w:val="0063372C"/>
    <w:rsid w:val="006345B9"/>
    <w:rsid w:val="006346BC"/>
    <w:rsid w:val="00636475"/>
    <w:rsid w:val="00636554"/>
    <w:rsid w:val="00636939"/>
    <w:rsid w:val="0063695C"/>
    <w:rsid w:val="00637E04"/>
    <w:rsid w:val="00640374"/>
    <w:rsid w:val="00641438"/>
    <w:rsid w:val="006418EA"/>
    <w:rsid w:val="00642D16"/>
    <w:rsid w:val="006433C9"/>
    <w:rsid w:val="0064398E"/>
    <w:rsid w:val="006444C8"/>
    <w:rsid w:val="00646EC4"/>
    <w:rsid w:val="006507E1"/>
    <w:rsid w:val="00651651"/>
    <w:rsid w:val="006518CB"/>
    <w:rsid w:val="00651C5A"/>
    <w:rsid w:val="0065254A"/>
    <w:rsid w:val="006538B1"/>
    <w:rsid w:val="0065398A"/>
    <w:rsid w:val="00653EF5"/>
    <w:rsid w:val="006541D7"/>
    <w:rsid w:val="006548E2"/>
    <w:rsid w:val="00654D2B"/>
    <w:rsid w:val="006553C5"/>
    <w:rsid w:val="00655600"/>
    <w:rsid w:val="00655A35"/>
    <w:rsid w:val="00656019"/>
    <w:rsid w:val="00656F68"/>
    <w:rsid w:val="00660604"/>
    <w:rsid w:val="00661C14"/>
    <w:rsid w:val="00662AFC"/>
    <w:rsid w:val="00662DDF"/>
    <w:rsid w:val="00663540"/>
    <w:rsid w:val="00663952"/>
    <w:rsid w:val="00663E18"/>
    <w:rsid w:val="006653B5"/>
    <w:rsid w:val="00665EAD"/>
    <w:rsid w:val="00666291"/>
    <w:rsid w:val="0066652A"/>
    <w:rsid w:val="006669B1"/>
    <w:rsid w:val="006700D4"/>
    <w:rsid w:val="006701CC"/>
    <w:rsid w:val="006702BF"/>
    <w:rsid w:val="00670A50"/>
    <w:rsid w:val="006717AB"/>
    <w:rsid w:val="006731DC"/>
    <w:rsid w:val="0067332D"/>
    <w:rsid w:val="00673397"/>
    <w:rsid w:val="0067390E"/>
    <w:rsid w:val="00673E2D"/>
    <w:rsid w:val="00674692"/>
    <w:rsid w:val="00674D12"/>
    <w:rsid w:val="00676001"/>
    <w:rsid w:val="00676137"/>
    <w:rsid w:val="006779D0"/>
    <w:rsid w:val="006807E7"/>
    <w:rsid w:val="00681C3A"/>
    <w:rsid w:val="00682167"/>
    <w:rsid w:val="00682463"/>
    <w:rsid w:val="0068424D"/>
    <w:rsid w:val="00684C96"/>
    <w:rsid w:val="006850E3"/>
    <w:rsid w:val="006876B3"/>
    <w:rsid w:val="00687A28"/>
    <w:rsid w:val="00687C98"/>
    <w:rsid w:val="00687CF7"/>
    <w:rsid w:val="0069051F"/>
    <w:rsid w:val="00692A3D"/>
    <w:rsid w:val="0069386D"/>
    <w:rsid w:val="0069397C"/>
    <w:rsid w:val="006939D5"/>
    <w:rsid w:val="00693DF4"/>
    <w:rsid w:val="006942FF"/>
    <w:rsid w:val="0069500B"/>
    <w:rsid w:val="00695332"/>
    <w:rsid w:val="0069646A"/>
    <w:rsid w:val="00696DD2"/>
    <w:rsid w:val="00697618"/>
    <w:rsid w:val="006A0E89"/>
    <w:rsid w:val="006A0F01"/>
    <w:rsid w:val="006A0F11"/>
    <w:rsid w:val="006A2848"/>
    <w:rsid w:val="006A56F0"/>
    <w:rsid w:val="006A69BF"/>
    <w:rsid w:val="006A6D2C"/>
    <w:rsid w:val="006A720D"/>
    <w:rsid w:val="006A7318"/>
    <w:rsid w:val="006B0405"/>
    <w:rsid w:val="006B0628"/>
    <w:rsid w:val="006B3E6D"/>
    <w:rsid w:val="006B5151"/>
    <w:rsid w:val="006B6B17"/>
    <w:rsid w:val="006B7963"/>
    <w:rsid w:val="006C0AD8"/>
    <w:rsid w:val="006C0AF2"/>
    <w:rsid w:val="006C0F56"/>
    <w:rsid w:val="006C1558"/>
    <w:rsid w:val="006C1DFC"/>
    <w:rsid w:val="006C2022"/>
    <w:rsid w:val="006C22B7"/>
    <w:rsid w:val="006C230C"/>
    <w:rsid w:val="006C2849"/>
    <w:rsid w:val="006C2930"/>
    <w:rsid w:val="006C2F6D"/>
    <w:rsid w:val="006C381B"/>
    <w:rsid w:val="006C42AF"/>
    <w:rsid w:val="006C4DD1"/>
    <w:rsid w:val="006C5C13"/>
    <w:rsid w:val="006C6D07"/>
    <w:rsid w:val="006C6F91"/>
    <w:rsid w:val="006C79AA"/>
    <w:rsid w:val="006C7C60"/>
    <w:rsid w:val="006D021E"/>
    <w:rsid w:val="006D03F9"/>
    <w:rsid w:val="006D1908"/>
    <w:rsid w:val="006D328A"/>
    <w:rsid w:val="006D3EF9"/>
    <w:rsid w:val="006D590B"/>
    <w:rsid w:val="006D5B40"/>
    <w:rsid w:val="006E10D6"/>
    <w:rsid w:val="006E36BB"/>
    <w:rsid w:val="006E37B7"/>
    <w:rsid w:val="006E5A47"/>
    <w:rsid w:val="006E5DBC"/>
    <w:rsid w:val="006E66C1"/>
    <w:rsid w:val="006E7F29"/>
    <w:rsid w:val="006F000D"/>
    <w:rsid w:val="006F1726"/>
    <w:rsid w:val="006F26C7"/>
    <w:rsid w:val="006F2C96"/>
    <w:rsid w:val="006F2D40"/>
    <w:rsid w:val="006F618C"/>
    <w:rsid w:val="006F73D2"/>
    <w:rsid w:val="007004B1"/>
    <w:rsid w:val="00700F9D"/>
    <w:rsid w:val="00701E93"/>
    <w:rsid w:val="00701EA2"/>
    <w:rsid w:val="0070338F"/>
    <w:rsid w:val="007039D3"/>
    <w:rsid w:val="0070542A"/>
    <w:rsid w:val="00705559"/>
    <w:rsid w:val="0070617C"/>
    <w:rsid w:val="007101C9"/>
    <w:rsid w:val="00710BF8"/>
    <w:rsid w:val="00711D8E"/>
    <w:rsid w:val="00711DD3"/>
    <w:rsid w:val="0071205F"/>
    <w:rsid w:val="00712672"/>
    <w:rsid w:val="00712BED"/>
    <w:rsid w:val="0071376E"/>
    <w:rsid w:val="0071465E"/>
    <w:rsid w:val="007147A5"/>
    <w:rsid w:val="00714A82"/>
    <w:rsid w:val="00716285"/>
    <w:rsid w:val="007173BD"/>
    <w:rsid w:val="007177F3"/>
    <w:rsid w:val="0072052F"/>
    <w:rsid w:val="00721411"/>
    <w:rsid w:val="007223A0"/>
    <w:rsid w:val="007226E8"/>
    <w:rsid w:val="00724E17"/>
    <w:rsid w:val="00725104"/>
    <w:rsid w:val="00730DB1"/>
    <w:rsid w:val="0073176B"/>
    <w:rsid w:val="007322F2"/>
    <w:rsid w:val="007323D0"/>
    <w:rsid w:val="007326A2"/>
    <w:rsid w:val="00733D89"/>
    <w:rsid w:val="0073409A"/>
    <w:rsid w:val="007346BE"/>
    <w:rsid w:val="00734D3A"/>
    <w:rsid w:val="00734E3F"/>
    <w:rsid w:val="00735F2B"/>
    <w:rsid w:val="00735FED"/>
    <w:rsid w:val="007361CC"/>
    <w:rsid w:val="007363C0"/>
    <w:rsid w:val="00736985"/>
    <w:rsid w:val="00736B4A"/>
    <w:rsid w:val="00737100"/>
    <w:rsid w:val="00737A13"/>
    <w:rsid w:val="00737E0E"/>
    <w:rsid w:val="00737EB9"/>
    <w:rsid w:val="00740055"/>
    <w:rsid w:val="00740CBC"/>
    <w:rsid w:val="00741548"/>
    <w:rsid w:val="00741C3D"/>
    <w:rsid w:val="00742082"/>
    <w:rsid w:val="00743D79"/>
    <w:rsid w:val="0074446C"/>
    <w:rsid w:val="0074521F"/>
    <w:rsid w:val="007452EC"/>
    <w:rsid w:val="007458F0"/>
    <w:rsid w:val="00745DB2"/>
    <w:rsid w:val="00746528"/>
    <w:rsid w:val="00746BD9"/>
    <w:rsid w:val="00746CB9"/>
    <w:rsid w:val="00747724"/>
    <w:rsid w:val="0074781B"/>
    <w:rsid w:val="007510FE"/>
    <w:rsid w:val="0075140A"/>
    <w:rsid w:val="007520F6"/>
    <w:rsid w:val="00752E10"/>
    <w:rsid w:val="00753D9B"/>
    <w:rsid w:val="00754464"/>
    <w:rsid w:val="00755929"/>
    <w:rsid w:val="00755A0F"/>
    <w:rsid w:val="00756077"/>
    <w:rsid w:val="00757090"/>
    <w:rsid w:val="00760733"/>
    <w:rsid w:val="00760AB2"/>
    <w:rsid w:val="00761FCC"/>
    <w:rsid w:val="00762555"/>
    <w:rsid w:val="00762F15"/>
    <w:rsid w:val="00763D1C"/>
    <w:rsid w:val="00764090"/>
    <w:rsid w:val="007659E2"/>
    <w:rsid w:val="007663B6"/>
    <w:rsid w:val="00766BCC"/>
    <w:rsid w:val="00767433"/>
    <w:rsid w:val="0076760E"/>
    <w:rsid w:val="00767AB3"/>
    <w:rsid w:val="00770C21"/>
    <w:rsid w:val="00771356"/>
    <w:rsid w:val="0077177D"/>
    <w:rsid w:val="007719BB"/>
    <w:rsid w:val="00771BA6"/>
    <w:rsid w:val="00771CD6"/>
    <w:rsid w:val="007720F6"/>
    <w:rsid w:val="00772117"/>
    <w:rsid w:val="0077213E"/>
    <w:rsid w:val="007736E1"/>
    <w:rsid w:val="00774286"/>
    <w:rsid w:val="00775024"/>
    <w:rsid w:val="0077579A"/>
    <w:rsid w:val="00775E8F"/>
    <w:rsid w:val="00775E9B"/>
    <w:rsid w:val="007760AA"/>
    <w:rsid w:val="0077642D"/>
    <w:rsid w:val="0077732B"/>
    <w:rsid w:val="0077748F"/>
    <w:rsid w:val="00777EBD"/>
    <w:rsid w:val="0078007C"/>
    <w:rsid w:val="00780A8D"/>
    <w:rsid w:val="00780FD9"/>
    <w:rsid w:val="00781345"/>
    <w:rsid w:val="00781BE3"/>
    <w:rsid w:val="00782273"/>
    <w:rsid w:val="00783F5B"/>
    <w:rsid w:val="007857D2"/>
    <w:rsid w:val="00785D70"/>
    <w:rsid w:val="00785DC4"/>
    <w:rsid w:val="00786186"/>
    <w:rsid w:val="007868A4"/>
    <w:rsid w:val="007904CF"/>
    <w:rsid w:val="00790698"/>
    <w:rsid w:val="00790A3A"/>
    <w:rsid w:val="00791201"/>
    <w:rsid w:val="0079164B"/>
    <w:rsid w:val="00792F21"/>
    <w:rsid w:val="00794481"/>
    <w:rsid w:val="00794E5E"/>
    <w:rsid w:val="00795B04"/>
    <w:rsid w:val="00795D3C"/>
    <w:rsid w:val="0079648C"/>
    <w:rsid w:val="0079651B"/>
    <w:rsid w:val="00797162"/>
    <w:rsid w:val="007A0E16"/>
    <w:rsid w:val="007A129A"/>
    <w:rsid w:val="007A1F70"/>
    <w:rsid w:val="007A3739"/>
    <w:rsid w:val="007A380C"/>
    <w:rsid w:val="007A3CCD"/>
    <w:rsid w:val="007A4247"/>
    <w:rsid w:val="007A434B"/>
    <w:rsid w:val="007A4CB6"/>
    <w:rsid w:val="007A60D1"/>
    <w:rsid w:val="007A69B6"/>
    <w:rsid w:val="007A6C51"/>
    <w:rsid w:val="007B068F"/>
    <w:rsid w:val="007B06AD"/>
    <w:rsid w:val="007B14C4"/>
    <w:rsid w:val="007B1984"/>
    <w:rsid w:val="007B19EC"/>
    <w:rsid w:val="007B25E4"/>
    <w:rsid w:val="007B392A"/>
    <w:rsid w:val="007B47FE"/>
    <w:rsid w:val="007B5115"/>
    <w:rsid w:val="007B5237"/>
    <w:rsid w:val="007B5CC5"/>
    <w:rsid w:val="007B5D59"/>
    <w:rsid w:val="007B5FC0"/>
    <w:rsid w:val="007B6200"/>
    <w:rsid w:val="007B6913"/>
    <w:rsid w:val="007B71AD"/>
    <w:rsid w:val="007B741E"/>
    <w:rsid w:val="007C010C"/>
    <w:rsid w:val="007C20B6"/>
    <w:rsid w:val="007C20EE"/>
    <w:rsid w:val="007C23DF"/>
    <w:rsid w:val="007C3058"/>
    <w:rsid w:val="007C3910"/>
    <w:rsid w:val="007C4C39"/>
    <w:rsid w:val="007C4E65"/>
    <w:rsid w:val="007C4ED3"/>
    <w:rsid w:val="007C61E8"/>
    <w:rsid w:val="007C6D56"/>
    <w:rsid w:val="007D0040"/>
    <w:rsid w:val="007D004A"/>
    <w:rsid w:val="007D05E4"/>
    <w:rsid w:val="007D0875"/>
    <w:rsid w:val="007D3E5D"/>
    <w:rsid w:val="007D50E1"/>
    <w:rsid w:val="007D545A"/>
    <w:rsid w:val="007D6822"/>
    <w:rsid w:val="007E0CE1"/>
    <w:rsid w:val="007E27FF"/>
    <w:rsid w:val="007E6381"/>
    <w:rsid w:val="007E6DB9"/>
    <w:rsid w:val="007E7170"/>
    <w:rsid w:val="007E76AF"/>
    <w:rsid w:val="007F1248"/>
    <w:rsid w:val="007F1BC8"/>
    <w:rsid w:val="007F1DF5"/>
    <w:rsid w:val="007F2B5C"/>
    <w:rsid w:val="007F4668"/>
    <w:rsid w:val="007F5204"/>
    <w:rsid w:val="0080087F"/>
    <w:rsid w:val="00801B9F"/>
    <w:rsid w:val="00801CE1"/>
    <w:rsid w:val="00802A0B"/>
    <w:rsid w:val="00803275"/>
    <w:rsid w:val="008045E1"/>
    <w:rsid w:val="00804DDD"/>
    <w:rsid w:val="00805A99"/>
    <w:rsid w:val="00805CFA"/>
    <w:rsid w:val="0080658B"/>
    <w:rsid w:val="00810021"/>
    <w:rsid w:val="00811956"/>
    <w:rsid w:val="00811FCA"/>
    <w:rsid w:val="008121BB"/>
    <w:rsid w:val="0081270D"/>
    <w:rsid w:val="00813680"/>
    <w:rsid w:val="00813E38"/>
    <w:rsid w:val="00814186"/>
    <w:rsid w:val="00814F2A"/>
    <w:rsid w:val="0081690C"/>
    <w:rsid w:val="008169D6"/>
    <w:rsid w:val="008172B9"/>
    <w:rsid w:val="0081792A"/>
    <w:rsid w:val="00817D06"/>
    <w:rsid w:val="008208BA"/>
    <w:rsid w:val="0082115C"/>
    <w:rsid w:val="008216A3"/>
    <w:rsid w:val="0082173F"/>
    <w:rsid w:val="00821C9C"/>
    <w:rsid w:val="0082221B"/>
    <w:rsid w:val="00822564"/>
    <w:rsid w:val="00823B27"/>
    <w:rsid w:val="00823E31"/>
    <w:rsid w:val="00823E68"/>
    <w:rsid w:val="0082509B"/>
    <w:rsid w:val="008263E3"/>
    <w:rsid w:val="008275E7"/>
    <w:rsid w:val="00831618"/>
    <w:rsid w:val="00832419"/>
    <w:rsid w:val="008332C7"/>
    <w:rsid w:val="0083363A"/>
    <w:rsid w:val="00834A1A"/>
    <w:rsid w:val="00834A87"/>
    <w:rsid w:val="00834A9D"/>
    <w:rsid w:val="00834C0F"/>
    <w:rsid w:val="008356A6"/>
    <w:rsid w:val="008368F2"/>
    <w:rsid w:val="008438C3"/>
    <w:rsid w:val="00843E61"/>
    <w:rsid w:val="00845790"/>
    <w:rsid w:val="00846B1F"/>
    <w:rsid w:val="00847707"/>
    <w:rsid w:val="00847E85"/>
    <w:rsid w:val="00851548"/>
    <w:rsid w:val="00851EFB"/>
    <w:rsid w:val="0085208D"/>
    <w:rsid w:val="0085419F"/>
    <w:rsid w:val="008555BE"/>
    <w:rsid w:val="0085703C"/>
    <w:rsid w:val="00857279"/>
    <w:rsid w:val="008579E7"/>
    <w:rsid w:val="00860229"/>
    <w:rsid w:val="0086054C"/>
    <w:rsid w:val="00861BB4"/>
    <w:rsid w:val="00861D0D"/>
    <w:rsid w:val="008623FE"/>
    <w:rsid w:val="00862D17"/>
    <w:rsid w:val="00863BD1"/>
    <w:rsid w:val="00866FEC"/>
    <w:rsid w:val="00867A6D"/>
    <w:rsid w:val="0087087B"/>
    <w:rsid w:val="0087146B"/>
    <w:rsid w:val="00871510"/>
    <w:rsid w:val="008718A1"/>
    <w:rsid w:val="008719B0"/>
    <w:rsid w:val="00871B76"/>
    <w:rsid w:val="00872343"/>
    <w:rsid w:val="0087279D"/>
    <w:rsid w:val="00872CB5"/>
    <w:rsid w:val="00872E60"/>
    <w:rsid w:val="00872EBF"/>
    <w:rsid w:val="008731CA"/>
    <w:rsid w:val="00873FDC"/>
    <w:rsid w:val="00874F0F"/>
    <w:rsid w:val="00875911"/>
    <w:rsid w:val="00877B45"/>
    <w:rsid w:val="0088053A"/>
    <w:rsid w:val="0088079B"/>
    <w:rsid w:val="00880B3F"/>
    <w:rsid w:val="00881C1D"/>
    <w:rsid w:val="008833A2"/>
    <w:rsid w:val="00883CC6"/>
    <w:rsid w:val="00883E63"/>
    <w:rsid w:val="00884D97"/>
    <w:rsid w:val="00885A72"/>
    <w:rsid w:val="00886B74"/>
    <w:rsid w:val="00886E58"/>
    <w:rsid w:val="00887163"/>
    <w:rsid w:val="00887A39"/>
    <w:rsid w:val="00890911"/>
    <w:rsid w:val="00890B06"/>
    <w:rsid w:val="00891079"/>
    <w:rsid w:val="008914EC"/>
    <w:rsid w:val="00891E65"/>
    <w:rsid w:val="00892302"/>
    <w:rsid w:val="00893F71"/>
    <w:rsid w:val="00895236"/>
    <w:rsid w:val="008953C8"/>
    <w:rsid w:val="00895608"/>
    <w:rsid w:val="00895F99"/>
    <w:rsid w:val="00895FC3"/>
    <w:rsid w:val="00896E91"/>
    <w:rsid w:val="0089770B"/>
    <w:rsid w:val="008A0045"/>
    <w:rsid w:val="008A1926"/>
    <w:rsid w:val="008A3568"/>
    <w:rsid w:val="008A3667"/>
    <w:rsid w:val="008A37EA"/>
    <w:rsid w:val="008A41EF"/>
    <w:rsid w:val="008A4CB3"/>
    <w:rsid w:val="008A53A6"/>
    <w:rsid w:val="008A54D7"/>
    <w:rsid w:val="008A56F3"/>
    <w:rsid w:val="008A63AD"/>
    <w:rsid w:val="008A6606"/>
    <w:rsid w:val="008A7416"/>
    <w:rsid w:val="008B029A"/>
    <w:rsid w:val="008B1699"/>
    <w:rsid w:val="008B35B8"/>
    <w:rsid w:val="008B4541"/>
    <w:rsid w:val="008B4F64"/>
    <w:rsid w:val="008B58F6"/>
    <w:rsid w:val="008B5A18"/>
    <w:rsid w:val="008B62C7"/>
    <w:rsid w:val="008B6420"/>
    <w:rsid w:val="008B6D4D"/>
    <w:rsid w:val="008B7D5D"/>
    <w:rsid w:val="008C0022"/>
    <w:rsid w:val="008C1E50"/>
    <w:rsid w:val="008C2D38"/>
    <w:rsid w:val="008C3275"/>
    <w:rsid w:val="008C43E1"/>
    <w:rsid w:val="008C5565"/>
    <w:rsid w:val="008C5A23"/>
    <w:rsid w:val="008C76E1"/>
    <w:rsid w:val="008D03E4"/>
    <w:rsid w:val="008D0434"/>
    <w:rsid w:val="008D06CA"/>
    <w:rsid w:val="008D0D17"/>
    <w:rsid w:val="008D0F6F"/>
    <w:rsid w:val="008D1BFA"/>
    <w:rsid w:val="008D2653"/>
    <w:rsid w:val="008D2853"/>
    <w:rsid w:val="008D34A7"/>
    <w:rsid w:val="008D4630"/>
    <w:rsid w:val="008D4A99"/>
    <w:rsid w:val="008D5596"/>
    <w:rsid w:val="008D5F47"/>
    <w:rsid w:val="008D6340"/>
    <w:rsid w:val="008D74F7"/>
    <w:rsid w:val="008D7A22"/>
    <w:rsid w:val="008E0676"/>
    <w:rsid w:val="008E1BDD"/>
    <w:rsid w:val="008E4508"/>
    <w:rsid w:val="008E4908"/>
    <w:rsid w:val="008E4D2C"/>
    <w:rsid w:val="008E58F2"/>
    <w:rsid w:val="008E5D8B"/>
    <w:rsid w:val="008E5F87"/>
    <w:rsid w:val="008E6110"/>
    <w:rsid w:val="008E766D"/>
    <w:rsid w:val="008F010E"/>
    <w:rsid w:val="008F24BD"/>
    <w:rsid w:val="008F2656"/>
    <w:rsid w:val="008F2BD5"/>
    <w:rsid w:val="008F2F7F"/>
    <w:rsid w:val="008F47C2"/>
    <w:rsid w:val="008F5359"/>
    <w:rsid w:val="008F5BD1"/>
    <w:rsid w:val="008F5DC1"/>
    <w:rsid w:val="008F619E"/>
    <w:rsid w:val="008F6C45"/>
    <w:rsid w:val="008F700C"/>
    <w:rsid w:val="008F72CD"/>
    <w:rsid w:val="009018BA"/>
    <w:rsid w:val="0090309A"/>
    <w:rsid w:val="00905618"/>
    <w:rsid w:val="009057DD"/>
    <w:rsid w:val="00905CB6"/>
    <w:rsid w:val="00905D4E"/>
    <w:rsid w:val="009064EE"/>
    <w:rsid w:val="00906B30"/>
    <w:rsid w:val="00907A92"/>
    <w:rsid w:val="0091039E"/>
    <w:rsid w:val="0091092C"/>
    <w:rsid w:val="00910ACC"/>
    <w:rsid w:val="009119D0"/>
    <w:rsid w:val="00911A11"/>
    <w:rsid w:val="0091258A"/>
    <w:rsid w:val="00913329"/>
    <w:rsid w:val="00913C21"/>
    <w:rsid w:val="0091496B"/>
    <w:rsid w:val="00914AD6"/>
    <w:rsid w:val="0091515A"/>
    <w:rsid w:val="009154E4"/>
    <w:rsid w:val="00915F58"/>
    <w:rsid w:val="009161E7"/>
    <w:rsid w:val="00916499"/>
    <w:rsid w:val="00916CF1"/>
    <w:rsid w:val="0092164B"/>
    <w:rsid w:val="00921A09"/>
    <w:rsid w:val="00922DA3"/>
    <w:rsid w:val="009231D1"/>
    <w:rsid w:val="009244B3"/>
    <w:rsid w:val="00925EDB"/>
    <w:rsid w:val="00926782"/>
    <w:rsid w:val="00926879"/>
    <w:rsid w:val="00926CBF"/>
    <w:rsid w:val="009273B0"/>
    <w:rsid w:val="00927D41"/>
    <w:rsid w:val="00930135"/>
    <w:rsid w:val="009317A9"/>
    <w:rsid w:val="00931F6A"/>
    <w:rsid w:val="00933E1D"/>
    <w:rsid w:val="0093476D"/>
    <w:rsid w:val="00934BCE"/>
    <w:rsid w:val="0093552B"/>
    <w:rsid w:val="00935A98"/>
    <w:rsid w:val="0093638D"/>
    <w:rsid w:val="00936490"/>
    <w:rsid w:val="0093683D"/>
    <w:rsid w:val="009371E0"/>
    <w:rsid w:val="009379A4"/>
    <w:rsid w:val="009401F9"/>
    <w:rsid w:val="0094053F"/>
    <w:rsid w:val="009405D9"/>
    <w:rsid w:val="00941296"/>
    <w:rsid w:val="009421CE"/>
    <w:rsid w:val="0094300A"/>
    <w:rsid w:val="00943149"/>
    <w:rsid w:val="00944849"/>
    <w:rsid w:val="009449F3"/>
    <w:rsid w:val="00945487"/>
    <w:rsid w:val="00945BF5"/>
    <w:rsid w:val="00945FCE"/>
    <w:rsid w:val="00946473"/>
    <w:rsid w:val="00947A4C"/>
    <w:rsid w:val="0095079B"/>
    <w:rsid w:val="00952272"/>
    <w:rsid w:val="009526CA"/>
    <w:rsid w:val="00955700"/>
    <w:rsid w:val="00955806"/>
    <w:rsid w:val="009560B2"/>
    <w:rsid w:val="009563C0"/>
    <w:rsid w:val="00956EB6"/>
    <w:rsid w:val="00957051"/>
    <w:rsid w:val="00960233"/>
    <w:rsid w:val="009603CA"/>
    <w:rsid w:val="00960812"/>
    <w:rsid w:val="00961463"/>
    <w:rsid w:val="00963D4B"/>
    <w:rsid w:val="009644B5"/>
    <w:rsid w:val="0096572D"/>
    <w:rsid w:val="00966796"/>
    <w:rsid w:val="00967D59"/>
    <w:rsid w:val="00970608"/>
    <w:rsid w:val="0097097C"/>
    <w:rsid w:val="00970E33"/>
    <w:rsid w:val="0097309F"/>
    <w:rsid w:val="0097366A"/>
    <w:rsid w:val="00973F91"/>
    <w:rsid w:val="00975593"/>
    <w:rsid w:val="00975ADF"/>
    <w:rsid w:val="00975EC9"/>
    <w:rsid w:val="00976E11"/>
    <w:rsid w:val="009772EE"/>
    <w:rsid w:val="0098225D"/>
    <w:rsid w:val="00982C4D"/>
    <w:rsid w:val="00983B60"/>
    <w:rsid w:val="00984700"/>
    <w:rsid w:val="00984C77"/>
    <w:rsid w:val="009851BE"/>
    <w:rsid w:val="009861E5"/>
    <w:rsid w:val="00987052"/>
    <w:rsid w:val="0098710C"/>
    <w:rsid w:val="009878E8"/>
    <w:rsid w:val="00987CCA"/>
    <w:rsid w:val="00990255"/>
    <w:rsid w:val="0099049E"/>
    <w:rsid w:val="00991E6B"/>
    <w:rsid w:val="00991ECE"/>
    <w:rsid w:val="00992E23"/>
    <w:rsid w:val="00993CA2"/>
    <w:rsid w:val="00994DB7"/>
    <w:rsid w:val="0099565E"/>
    <w:rsid w:val="00995AA1"/>
    <w:rsid w:val="009979D4"/>
    <w:rsid w:val="00997F58"/>
    <w:rsid w:val="009A0465"/>
    <w:rsid w:val="009A04BC"/>
    <w:rsid w:val="009A1184"/>
    <w:rsid w:val="009A1479"/>
    <w:rsid w:val="009A1DD2"/>
    <w:rsid w:val="009A1E7D"/>
    <w:rsid w:val="009A2DA7"/>
    <w:rsid w:val="009A3603"/>
    <w:rsid w:val="009A3D53"/>
    <w:rsid w:val="009A40AC"/>
    <w:rsid w:val="009A4716"/>
    <w:rsid w:val="009A547B"/>
    <w:rsid w:val="009A62C4"/>
    <w:rsid w:val="009A6410"/>
    <w:rsid w:val="009A6836"/>
    <w:rsid w:val="009A6E92"/>
    <w:rsid w:val="009B02AB"/>
    <w:rsid w:val="009B0701"/>
    <w:rsid w:val="009B1E2A"/>
    <w:rsid w:val="009B1F44"/>
    <w:rsid w:val="009B2AFD"/>
    <w:rsid w:val="009B2FA8"/>
    <w:rsid w:val="009B490C"/>
    <w:rsid w:val="009B4D3B"/>
    <w:rsid w:val="009B54F9"/>
    <w:rsid w:val="009B5DD0"/>
    <w:rsid w:val="009B6020"/>
    <w:rsid w:val="009B64EB"/>
    <w:rsid w:val="009B6B94"/>
    <w:rsid w:val="009C096D"/>
    <w:rsid w:val="009C19EF"/>
    <w:rsid w:val="009C3190"/>
    <w:rsid w:val="009C4883"/>
    <w:rsid w:val="009C64F5"/>
    <w:rsid w:val="009C768D"/>
    <w:rsid w:val="009D01E8"/>
    <w:rsid w:val="009D0BB0"/>
    <w:rsid w:val="009D132B"/>
    <w:rsid w:val="009D1835"/>
    <w:rsid w:val="009D1DC3"/>
    <w:rsid w:val="009D2D17"/>
    <w:rsid w:val="009D37D3"/>
    <w:rsid w:val="009D3DB3"/>
    <w:rsid w:val="009D4B71"/>
    <w:rsid w:val="009D4EB9"/>
    <w:rsid w:val="009D5530"/>
    <w:rsid w:val="009D5B48"/>
    <w:rsid w:val="009D6463"/>
    <w:rsid w:val="009D7407"/>
    <w:rsid w:val="009D779A"/>
    <w:rsid w:val="009E0063"/>
    <w:rsid w:val="009E0866"/>
    <w:rsid w:val="009E1A07"/>
    <w:rsid w:val="009E2406"/>
    <w:rsid w:val="009E379C"/>
    <w:rsid w:val="009E4002"/>
    <w:rsid w:val="009E6174"/>
    <w:rsid w:val="009E68F8"/>
    <w:rsid w:val="009F203F"/>
    <w:rsid w:val="009F3C94"/>
    <w:rsid w:val="009F40CE"/>
    <w:rsid w:val="009F5372"/>
    <w:rsid w:val="009F5489"/>
    <w:rsid w:val="009F6467"/>
    <w:rsid w:val="009F70D0"/>
    <w:rsid w:val="009F7495"/>
    <w:rsid w:val="00A007B3"/>
    <w:rsid w:val="00A00C50"/>
    <w:rsid w:val="00A00C68"/>
    <w:rsid w:val="00A01305"/>
    <w:rsid w:val="00A01D1B"/>
    <w:rsid w:val="00A02164"/>
    <w:rsid w:val="00A024A8"/>
    <w:rsid w:val="00A02FF0"/>
    <w:rsid w:val="00A0360B"/>
    <w:rsid w:val="00A03BEB"/>
    <w:rsid w:val="00A03D06"/>
    <w:rsid w:val="00A03E3C"/>
    <w:rsid w:val="00A03FE4"/>
    <w:rsid w:val="00A0447D"/>
    <w:rsid w:val="00A0519A"/>
    <w:rsid w:val="00A061A4"/>
    <w:rsid w:val="00A1023A"/>
    <w:rsid w:val="00A10310"/>
    <w:rsid w:val="00A1067A"/>
    <w:rsid w:val="00A10F2D"/>
    <w:rsid w:val="00A118BF"/>
    <w:rsid w:val="00A11FAD"/>
    <w:rsid w:val="00A12716"/>
    <w:rsid w:val="00A14B8B"/>
    <w:rsid w:val="00A15857"/>
    <w:rsid w:val="00A2043F"/>
    <w:rsid w:val="00A207C9"/>
    <w:rsid w:val="00A20E8E"/>
    <w:rsid w:val="00A224CD"/>
    <w:rsid w:val="00A226AB"/>
    <w:rsid w:val="00A227BD"/>
    <w:rsid w:val="00A24398"/>
    <w:rsid w:val="00A24A62"/>
    <w:rsid w:val="00A250B5"/>
    <w:rsid w:val="00A2522A"/>
    <w:rsid w:val="00A25836"/>
    <w:rsid w:val="00A261E1"/>
    <w:rsid w:val="00A26783"/>
    <w:rsid w:val="00A27AC7"/>
    <w:rsid w:val="00A27EA7"/>
    <w:rsid w:val="00A300E5"/>
    <w:rsid w:val="00A30D01"/>
    <w:rsid w:val="00A31C9F"/>
    <w:rsid w:val="00A326FB"/>
    <w:rsid w:val="00A32A89"/>
    <w:rsid w:val="00A32A8F"/>
    <w:rsid w:val="00A33069"/>
    <w:rsid w:val="00A33C81"/>
    <w:rsid w:val="00A343B2"/>
    <w:rsid w:val="00A34E57"/>
    <w:rsid w:val="00A35F06"/>
    <w:rsid w:val="00A35F39"/>
    <w:rsid w:val="00A368E7"/>
    <w:rsid w:val="00A37F73"/>
    <w:rsid w:val="00A403D6"/>
    <w:rsid w:val="00A40A6D"/>
    <w:rsid w:val="00A41B4E"/>
    <w:rsid w:val="00A42E05"/>
    <w:rsid w:val="00A434A3"/>
    <w:rsid w:val="00A438FF"/>
    <w:rsid w:val="00A44592"/>
    <w:rsid w:val="00A50C16"/>
    <w:rsid w:val="00A50C8A"/>
    <w:rsid w:val="00A522AD"/>
    <w:rsid w:val="00A530D1"/>
    <w:rsid w:val="00A53D43"/>
    <w:rsid w:val="00A55C16"/>
    <w:rsid w:val="00A57306"/>
    <w:rsid w:val="00A6141B"/>
    <w:rsid w:val="00A624B2"/>
    <w:rsid w:val="00A6251F"/>
    <w:rsid w:val="00A626DB"/>
    <w:rsid w:val="00A629D2"/>
    <w:rsid w:val="00A62F1C"/>
    <w:rsid w:val="00A63685"/>
    <w:rsid w:val="00A648C7"/>
    <w:rsid w:val="00A65AFC"/>
    <w:rsid w:val="00A667A6"/>
    <w:rsid w:val="00A66942"/>
    <w:rsid w:val="00A66A89"/>
    <w:rsid w:val="00A671CE"/>
    <w:rsid w:val="00A671DA"/>
    <w:rsid w:val="00A67550"/>
    <w:rsid w:val="00A67B33"/>
    <w:rsid w:val="00A7168C"/>
    <w:rsid w:val="00A71CA7"/>
    <w:rsid w:val="00A71DC6"/>
    <w:rsid w:val="00A731AE"/>
    <w:rsid w:val="00A732B6"/>
    <w:rsid w:val="00A73855"/>
    <w:rsid w:val="00A73D38"/>
    <w:rsid w:val="00A753A3"/>
    <w:rsid w:val="00A766C0"/>
    <w:rsid w:val="00A768A5"/>
    <w:rsid w:val="00A817B0"/>
    <w:rsid w:val="00A81B39"/>
    <w:rsid w:val="00A81E9A"/>
    <w:rsid w:val="00A83328"/>
    <w:rsid w:val="00A834F4"/>
    <w:rsid w:val="00A8355D"/>
    <w:rsid w:val="00A839B3"/>
    <w:rsid w:val="00A84927"/>
    <w:rsid w:val="00A84AC5"/>
    <w:rsid w:val="00A84F6D"/>
    <w:rsid w:val="00A85847"/>
    <w:rsid w:val="00A85DDB"/>
    <w:rsid w:val="00A86DDD"/>
    <w:rsid w:val="00A87227"/>
    <w:rsid w:val="00A87BD4"/>
    <w:rsid w:val="00A90C82"/>
    <w:rsid w:val="00A91669"/>
    <w:rsid w:val="00A91780"/>
    <w:rsid w:val="00A933EA"/>
    <w:rsid w:val="00A94D40"/>
    <w:rsid w:val="00A95784"/>
    <w:rsid w:val="00A96D21"/>
    <w:rsid w:val="00AA1037"/>
    <w:rsid w:val="00AA1B75"/>
    <w:rsid w:val="00AA1D73"/>
    <w:rsid w:val="00AA2440"/>
    <w:rsid w:val="00AA2CB0"/>
    <w:rsid w:val="00AA2CB3"/>
    <w:rsid w:val="00AA2D60"/>
    <w:rsid w:val="00AA37F7"/>
    <w:rsid w:val="00AA4CB9"/>
    <w:rsid w:val="00AA5704"/>
    <w:rsid w:val="00AA5957"/>
    <w:rsid w:val="00AA5A5E"/>
    <w:rsid w:val="00AA5A7B"/>
    <w:rsid w:val="00AA5DDA"/>
    <w:rsid w:val="00AA6B35"/>
    <w:rsid w:val="00AA7167"/>
    <w:rsid w:val="00AA76CD"/>
    <w:rsid w:val="00AA7855"/>
    <w:rsid w:val="00AA7AEF"/>
    <w:rsid w:val="00AA7C48"/>
    <w:rsid w:val="00AA7EC6"/>
    <w:rsid w:val="00AB1905"/>
    <w:rsid w:val="00AB19CF"/>
    <w:rsid w:val="00AB2003"/>
    <w:rsid w:val="00AB296E"/>
    <w:rsid w:val="00AB2D63"/>
    <w:rsid w:val="00AB30BF"/>
    <w:rsid w:val="00AB4C55"/>
    <w:rsid w:val="00AB7683"/>
    <w:rsid w:val="00AB7FE2"/>
    <w:rsid w:val="00AC05E4"/>
    <w:rsid w:val="00AC0C8A"/>
    <w:rsid w:val="00AC164A"/>
    <w:rsid w:val="00AC2799"/>
    <w:rsid w:val="00AC4B52"/>
    <w:rsid w:val="00AC53FA"/>
    <w:rsid w:val="00AC5F3C"/>
    <w:rsid w:val="00AC5F5D"/>
    <w:rsid w:val="00AC6E0F"/>
    <w:rsid w:val="00AC7A7E"/>
    <w:rsid w:val="00AD0150"/>
    <w:rsid w:val="00AD1A46"/>
    <w:rsid w:val="00AD1C4D"/>
    <w:rsid w:val="00AD28A0"/>
    <w:rsid w:val="00AD2CA6"/>
    <w:rsid w:val="00AD3532"/>
    <w:rsid w:val="00AD3B1A"/>
    <w:rsid w:val="00AD4B07"/>
    <w:rsid w:val="00AD6C9A"/>
    <w:rsid w:val="00AE025F"/>
    <w:rsid w:val="00AE0872"/>
    <w:rsid w:val="00AE0D55"/>
    <w:rsid w:val="00AE2F47"/>
    <w:rsid w:val="00AE3636"/>
    <w:rsid w:val="00AE5D3E"/>
    <w:rsid w:val="00AE63CA"/>
    <w:rsid w:val="00AE6A69"/>
    <w:rsid w:val="00AE6B81"/>
    <w:rsid w:val="00AE6CAA"/>
    <w:rsid w:val="00AE6EBC"/>
    <w:rsid w:val="00AE7FC9"/>
    <w:rsid w:val="00AF0727"/>
    <w:rsid w:val="00AF1A18"/>
    <w:rsid w:val="00AF1A4F"/>
    <w:rsid w:val="00AF2050"/>
    <w:rsid w:val="00AF3133"/>
    <w:rsid w:val="00AF5766"/>
    <w:rsid w:val="00AF6AC4"/>
    <w:rsid w:val="00AF6BAB"/>
    <w:rsid w:val="00AF7284"/>
    <w:rsid w:val="00AF7620"/>
    <w:rsid w:val="00AF7AB1"/>
    <w:rsid w:val="00B00396"/>
    <w:rsid w:val="00B01FAC"/>
    <w:rsid w:val="00B02E97"/>
    <w:rsid w:val="00B05672"/>
    <w:rsid w:val="00B06390"/>
    <w:rsid w:val="00B066EC"/>
    <w:rsid w:val="00B06B0D"/>
    <w:rsid w:val="00B10114"/>
    <w:rsid w:val="00B109CF"/>
    <w:rsid w:val="00B10AA9"/>
    <w:rsid w:val="00B1181B"/>
    <w:rsid w:val="00B13934"/>
    <w:rsid w:val="00B15A59"/>
    <w:rsid w:val="00B15F4F"/>
    <w:rsid w:val="00B1636A"/>
    <w:rsid w:val="00B16668"/>
    <w:rsid w:val="00B16BE6"/>
    <w:rsid w:val="00B16E91"/>
    <w:rsid w:val="00B1704B"/>
    <w:rsid w:val="00B17EB6"/>
    <w:rsid w:val="00B200D2"/>
    <w:rsid w:val="00B205E8"/>
    <w:rsid w:val="00B207A1"/>
    <w:rsid w:val="00B20801"/>
    <w:rsid w:val="00B20E78"/>
    <w:rsid w:val="00B22EC3"/>
    <w:rsid w:val="00B2310F"/>
    <w:rsid w:val="00B2380C"/>
    <w:rsid w:val="00B24C3D"/>
    <w:rsid w:val="00B24E30"/>
    <w:rsid w:val="00B250D3"/>
    <w:rsid w:val="00B25E9E"/>
    <w:rsid w:val="00B2742A"/>
    <w:rsid w:val="00B30721"/>
    <w:rsid w:val="00B31078"/>
    <w:rsid w:val="00B31167"/>
    <w:rsid w:val="00B3139B"/>
    <w:rsid w:val="00B319C8"/>
    <w:rsid w:val="00B31ED0"/>
    <w:rsid w:val="00B31FE4"/>
    <w:rsid w:val="00B320BF"/>
    <w:rsid w:val="00B335BF"/>
    <w:rsid w:val="00B33BB2"/>
    <w:rsid w:val="00B34C3B"/>
    <w:rsid w:val="00B35386"/>
    <w:rsid w:val="00B35431"/>
    <w:rsid w:val="00B37817"/>
    <w:rsid w:val="00B408D8"/>
    <w:rsid w:val="00B40B6A"/>
    <w:rsid w:val="00B40F1D"/>
    <w:rsid w:val="00B42725"/>
    <w:rsid w:val="00B4293E"/>
    <w:rsid w:val="00B43030"/>
    <w:rsid w:val="00B4424B"/>
    <w:rsid w:val="00B44C85"/>
    <w:rsid w:val="00B45277"/>
    <w:rsid w:val="00B45DD3"/>
    <w:rsid w:val="00B45FBA"/>
    <w:rsid w:val="00B5083E"/>
    <w:rsid w:val="00B50DCC"/>
    <w:rsid w:val="00B50DD7"/>
    <w:rsid w:val="00B50E22"/>
    <w:rsid w:val="00B51040"/>
    <w:rsid w:val="00B51C43"/>
    <w:rsid w:val="00B51CD3"/>
    <w:rsid w:val="00B52E6D"/>
    <w:rsid w:val="00B53160"/>
    <w:rsid w:val="00B536DF"/>
    <w:rsid w:val="00B54712"/>
    <w:rsid w:val="00B551F4"/>
    <w:rsid w:val="00B5535A"/>
    <w:rsid w:val="00B55D34"/>
    <w:rsid w:val="00B56367"/>
    <w:rsid w:val="00B5756A"/>
    <w:rsid w:val="00B57C52"/>
    <w:rsid w:val="00B57CBB"/>
    <w:rsid w:val="00B60352"/>
    <w:rsid w:val="00B60A22"/>
    <w:rsid w:val="00B60C2F"/>
    <w:rsid w:val="00B6148C"/>
    <w:rsid w:val="00B625B7"/>
    <w:rsid w:val="00B62EC8"/>
    <w:rsid w:val="00B63125"/>
    <w:rsid w:val="00B6312C"/>
    <w:rsid w:val="00B64C25"/>
    <w:rsid w:val="00B64D20"/>
    <w:rsid w:val="00B652BC"/>
    <w:rsid w:val="00B66E73"/>
    <w:rsid w:val="00B66FC9"/>
    <w:rsid w:val="00B674D7"/>
    <w:rsid w:val="00B7038B"/>
    <w:rsid w:val="00B70B7F"/>
    <w:rsid w:val="00B7120C"/>
    <w:rsid w:val="00B71309"/>
    <w:rsid w:val="00B71FA9"/>
    <w:rsid w:val="00B7270D"/>
    <w:rsid w:val="00B72C35"/>
    <w:rsid w:val="00B72FB3"/>
    <w:rsid w:val="00B74837"/>
    <w:rsid w:val="00B751D1"/>
    <w:rsid w:val="00B7557F"/>
    <w:rsid w:val="00B76189"/>
    <w:rsid w:val="00B76B5D"/>
    <w:rsid w:val="00B777B8"/>
    <w:rsid w:val="00B8090B"/>
    <w:rsid w:val="00B82247"/>
    <w:rsid w:val="00B822AD"/>
    <w:rsid w:val="00B82C70"/>
    <w:rsid w:val="00B83588"/>
    <w:rsid w:val="00B84896"/>
    <w:rsid w:val="00B84E62"/>
    <w:rsid w:val="00B85473"/>
    <w:rsid w:val="00B862D7"/>
    <w:rsid w:val="00B86C58"/>
    <w:rsid w:val="00B906E9"/>
    <w:rsid w:val="00B907EC"/>
    <w:rsid w:val="00B90863"/>
    <w:rsid w:val="00B9122D"/>
    <w:rsid w:val="00B92345"/>
    <w:rsid w:val="00B932FB"/>
    <w:rsid w:val="00B94A5D"/>
    <w:rsid w:val="00B95147"/>
    <w:rsid w:val="00B955DB"/>
    <w:rsid w:val="00B9628A"/>
    <w:rsid w:val="00B97391"/>
    <w:rsid w:val="00B9769E"/>
    <w:rsid w:val="00B9777D"/>
    <w:rsid w:val="00B97B84"/>
    <w:rsid w:val="00B97D40"/>
    <w:rsid w:val="00BA0046"/>
    <w:rsid w:val="00BA2416"/>
    <w:rsid w:val="00BA3D28"/>
    <w:rsid w:val="00BA44E5"/>
    <w:rsid w:val="00BA4A3D"/>
    <w:rsid w:val="00BA54CF"/>
    <w:rsid w:val="00BA57A1"/>
    <w:rsid w:val="00BA6DFB"/>
    <w:rsid w:val="00BA6F4E"/>
    <w:rsid w:val="00BA785C"/>
    <w:rsid w:val="00BA7EF7"/>
    <w:rsid w:val="00BB0042"/>
    <w:rsid w:val="00BB0775"/>
    <w:rsid w:val="00BB26C5"/>
    <w:rsid w:val="00BB2CCC"/>
    <w:rsid w:val="00BB3E5E"/>
    <w:rsid w:val="00BB3F08"/>
    <w:rsid w:val="00BB5857"/>
    <w:rsid w:val="00BB5AB3"/>
    <w:rsid w:val="00BB5B78"/>
    <w:rsid w:val="00BB6432"/>
    <w:rsid w:val="00BB6D66"/>
    <w:rsid w:val="00BC0625"/>
    <w:rsid w:val="00BC0731"/>
    <w:rsid w:val="00BC09E0"/>
    <w:rsid w:val="00BC0DB5"/>
    <w:rsid w:val="00BC18D2"/>
    <w:rsid w:val="00BC3BC8"/>
    <w:rsid w:val="00BC527A"/>
    <w:rsid w:val="00BC6A80"/>
    <w:rsid w:val="00BC76CC"/>
    <w:rsid w:val="00BC7D6A"/>
    <w:rsid w:val="00BD02A1"/>
    <w:rsid w:val="00BD10E0"/>
    <w:rsid w:val="00BD134D"/>
    <w:rsid w:val="00BD1BD3"/>
    <w:rsid w:val="00BD355E"/>
    <w:rsid w:val="00BD4B4C"/>
    <w:rsid w:val="00BD4CCE"/>
    <w:rsid w:val="00BD51B0"/>
    <w:rsid w:val="00BD5561"/>
    <w:rsid w:val="00BD560A"/>
    <w:rsid w:val="00BD57F1"/>
    <w:rsid w:val="00BD618C"/>
    <w:rsid w:val="00BD6313"/>
    <w:rsid w:val="00BE026B"/>
    <w:rsid w:val="00BE0696"/>
    <w:rsid w:val="00BE096B"/>
    <w:rsid w:val="00BE20C0"/>
    <w:rsid w:val="00BE221E"/>
    <w:rsid w:val="00BE27D0"/>
    <w:rsid w:val="00BE29A1"/>
    <w:rsid w:val="00BE2F56"/>
    <w:rsid w:val="00BE329A"/>
    <w:rsid w:val="00BE4298"/>
    <w:rsid w:val="00BE4E59"/>
    <w:rsid w:val="00BE54C7"/>
    <w:rsid w:val="00BE67BA"/>
    <w:rsid w:val="00BE75E8"/>
    <w:rsid w:val="00BE7DAC"/>
    <w:rsid w:val="00BF002E"/>
    <w:rsid w:val="00BF03F3"/>
    <w:rsid w:val="00BF16CE"/>
    <w:rsid w:val="00BF1BF6"/>
    <w:rsid w:val="00BF1CA6"/>
    <w:rsid w:val="00BF228C"/>
    <w:rsid w:val="00BF2B4B"/>
    <w:rsid w:val="00BF3BB2"/>
    <w:rsid w:val="00BF4554"/>
    <w:rsid w:val="00BF4A20"/>
    <w:rsid w:val="00BF4DE6"/>
    <w:rsid w:val="00BF6D88"/>
    <w:rsid w:val="00C01050"/>
    <w:rsid w:val="00C02B4E"/>
    <w:rsid w:val="00C03287"/>
    <w:rsid w:val="00C035DB"/>
    <w:rsid w:val="00C048FF"/>
    <w:rsid w:val="00C05BD0"/>
    <w:rsid w:val="00C05BE1"/>
    <w:rsid w:val="00C069F8"/>
    <w:rsid w:val="00C07297"/>
    <w:rsid w:val="00C07FC8"/>
    <w:rsid w:val="00C11E6E"/>
    <w:rsid w:val="00C126E5"/>
    <w:rsid w:val="00C12DE2"/>
    <w:rsid w:val="00C131E7"/>
    <w:rsid w:val="00C1336E"/>
    <w:rsid w:val="00C146FF"/>
    <w:rsid w:val="00C15CE9"/>
    <w:rsid w:val="00C1760E"/>
    <w:rsid w:val="00C17A41"/>
    <w:rsid w:val="00C17AF7"/>
    <w:rsid w:val="00C20907"/>
    <w:rsid w:val="00C22660"/>
    <w:rsid w:val="00C2266F"/>
    <w:rsid w:val="00C23619"/>
    <w:rsid w:val="00C24420"/>
    <w:rsid w:val="00C24ECF"/>
    <w:rsid w:val="00C25B7D"/>
    <w:rsid w:val="00C25CF4"/>
    <w:rsid w:val="00C26008"/>
    <w:rsid w:val="00C263A7"/>
    <w:rsid w:val="00C2649B"/>
    <w:rsid w:val="00C27A7B"/>
    <w:rsid w:val="00C27B65"/>
    <w:rsid w:val="00C27C04"/>
    <w:rsid w:val="00C3013C"/>
    <w:rsid w:val="00C30359"/>
    <w:rsid w:val="00C31380"/>
    <w:rsid w:val="00C31DF0"/>
    <w:rsid w:val="00C32EB7"/>
    <w:rsid w:val="00C3437B"/>
    <w:rsid w:val="00C34C44"/>
    <w:rsid w:val="00C35991"/>
    <w:rsid w:val="00C35ADE"/>
    <w:rsid w:val="00C35E20"/>
    <w:rsid w:val="00C36FA2"/>
    <w:rsid w:val="00C37129"/>
    <w:rsid w:val="00C37364"/>
    <w:rsid w:val="00C4022F"/>
    <w:rsid w:val="00C42321"/>
    <w:rsid w:val="00C42CDE"/>
    <w:rsid w:val="00C44BC3"/>
    <w:rsid w:val="00C454D7"/>
    <w:rsid w:val="00C4658D"/>
    <w:rsid w:val="00C46907"/>
    <w:rsid w:val="00C46962"/>
    <w:rsid w:val="00C46AA3"/>
    <w:rsid w:val="00C47485"/>
    <w:rsid w:val="00C47E1C"/>
    <w:rsid w:val="00C5070F"/>
    <w:rsid w:val="00C5084B"/>
    <w:rsid w:val="00C50BA6"/>
    <w:rsid w:val="00C50DBC"/>
    <w:rsid w:val="00C51BA2"/>
    <w:rsid w:val="00C52819"/>
    <w:rsid w:val="00C52FE8"/>
    <w:rsid w:val="00C53942"/>
    <w:rsid w:val="00C544E4"/>
    <w:rsid w:val="00C55787"/>
    <w:rsid w:val="00C56900"/>
    <w:rsid w:val="00C56C16"/>
    <w:rsid w:val="00C57487"/>
    <w:rsid w:val="00C57BDD"/>
    <w:rsid w:val="00C60095"/>
    <w:rsid w:val="00C60FA7"/>
    <w:rsid w:val="00C611D7"/>
    <w:rsid w:val="00C646AC"/>
    <w:rsid w:val="00C649B5"/>
    <w:rsid w:val="00C66263"/>
    <w:rsid w:val="00C665EF"/>
    <w:rsid w:val="00C67CB1"/>
    <w:rsid w:val="00C67E2A"/>
    <w:rsid w:val="00C715DE"/>
    <w:rsid w:val="00C71CFD"/>
    <w:rsid w:val="00C72A5A"/>
    <w:rsid w:val="00C72EFB"/>
    <w:rsid w:val="00C73B4C"/>
    <w:rsid w:val="00C73E2E"/>
    <w:rsid w:val="00C74448"/>
    <w:rsid w:val="00C7511D"/>
    <w:rsid w:val="00C75597"/>
    <w:rsid w:val="00C7582D"/>
    <w:rsid w:val="00C75ADC"/>
    <w:rsid w:val="00C75F96"/>
    <w:rsid w:val="00C779C7"/>
    <w:rsid w:val="00C779E6"/>
    <w:rsid w:val="00C80192"/>
    <w:rsid w:val="00C812B6"/>
    <w:rsid w:val="00C81B61"/>
    <w:rsid w:val="00C824B9"/>
    <w:rsid w:val="00C83660"/>
    <w:rsid w:val="00C83A20"/>
    <w:rsid w:val="00C84C6C"/>
    <w:rsid w:val="00C85EB3"/>
    <w:rsid w:val="00C861A0"/>
    <w:rsid w:val="00C867B0"/>
    <w:rsid w:val="00C870EF"/>
    <w:rsid w:val="00C87A78"/>
    <w:rsid w:val="00C87F33"/>
    <w:rsid w:val="00C90222"/>
    <w:rsid w:val="00C9030F"/>
    <w:rsid w:val="00C903B0"/>
    <w:rsid w:val="00C90E71"/>
    <w:rsid w:val="00C90E97"/>
    <w:rsid w:val="00C913FA"/>
    <w:rsid w:val="00C92117"/>
    <w:rsid w:val="00C93FC2"/>
    <w:rsid w:val="00C94336"/>
    <w:rsid w:val="00C94A85"/>
    <w:rsid w:val="00C975E7"/>
    <w:rsid w:val="00C97A1D"/>
    <w:rsid w:val="00CA0B04"/>
    <w:rsid w:val="00CA110A"/>
    <w:rsid w:val="00CA19B9"/>
    <w:rsid w:val="00CA28EA"/>
    <w:rsid w:val="00CA3404"/>
    <w:rsid w:val="00CA3725"/>
    <w:rsid w:val="00CA37B1"/>
    <w:rsid w:val="00CA398C"/>
    <w:rsid w:val="00CA3CAF"/>
    <w:rsid w:val="00CA4271"/>
    <w:rsid w:val="00CA44DE"/>
    <w:rsid w:val="00CA6389"/>
    <w:rsid w:val="00CA66F6"/>
    <w:rsid w:val="00CA731A"/>
    <w:rsid w:val="00CB0EE0"/>
    <w:rsid w:val="00CB1535"/>
    <w:rsid w:val="00CB1959"/>
    <w:rsid w:val="00CB1BAE"/>
    <w:rsid w:val="00CB20AF"/>
    <w:rsid w:val="00CB2B04"/>
    <w:rsid w:val="00CB2C06"/>
    <w:rsid w:val="00CB2C12"/>
    <w:rsid w:val="00CB2E1E"/>
    <w:rsid w:val="00CB308C"/>
    <w:rsid w:val="00CB372F"/>
    <w:rsid w:val="00CB6496"/>
    <w:rsid w:val="00CB6D35"/>
    <w:rsid w:val="00CC0203"/>
    <w:rsid w:val="00CC0EF1"/>
    <w:rsid w:val="00CC2326"/>
    <w:rsid w:val="00CC278E"/>
    <w:rsid w:val="00CC3256"/>
    <w:rsid w:val="00CC448A"/>
    <w:rsid w:val="00CC50CC"/>
    <w:rsid w:val="00CC5564"/>
    <w:rsid w:val="00CC5AB1"/>
    <w:rsid w:val="00CC61A0"/>
    <w:rsid w:val="00CC6445"/>
    <w:rsid w:val="00CC6BB0"/>
    <w:rsid w:val="00CC6C68"/>
    <w:rsid w:val="00CC6D87"/>
    <w:rsid w:val="00CD0900"/>
    <w:rsid w:val="00CD1DD1"/>
    <w:rsid w:val="00CD38E1"/>
    <w:rsid w:val="00CD3E53"/>
    <w:rsid w:val="00CD498C"/>
    <w:rsid w:val="00CD5348"/>
    <w:rsid w:val="00CD5D5F"/>
    <w:rsid w:val="00CD5F0A"/>
    <w:rsid w:val="00CD6217"/>
    <w:rsid w:val="00CD7C8E"/>
    <w:rsid w:val="00CE02EE"/>
    <w:rsid w:val="00CE04ED"/>
    <w:rsid w:val="00CE172A"/>
    <w:rsid w:val="00CE25D4"/>
    <w:rsid w:val="00CE456E"/>
    <w:rsid w:val="00CE499F"/>
    <w:rsid w:val="00CE4E65"/>
    <w:rsid w:val="00CE4E97"/>
    <w:rsid w:val="00CF12FF"/>
    <w:rsid w:val="00CF1553"/>
    <w:rsid w:val="00CF269C"/>
    <w:rsid w:val="00CF2D10"/>
    <w:rsid w:val="00CF3858"/>
    <w:rsid w:val="00CF3AFF"/>
    <w:rsid w:val="00CF3D08"/>
    <w:rsid w:val="00CF3D84"/>
    <w:rsid w:val="00CF41D9"/>
    <w:rsid w:val="00CF4547"/>
    <w:rsid w:val="00CF47FC"/>
    <w:rsid w:val="00CF50AD"/>
    <w:rsid w:val="00CF6BE7"/>
    <w:rsid w:val="00CF6C7A"/>
    <w:rsid w:val="00CF6DF3"/>
    <w:rsid w:val="00CF7CDC"/>
    <w:rsid w:val="00D00240"/>
    <w:rsid w:val="00D006E9"/>
    <w:rsid w:val="00D008E6"/>
    <w:rsid w:val="00D018F5"/>
    <w:rsid w:val="00D0296C"/>
    <w:rsid w:val="00D02E5C"/>
    <w:rsid w:val="00D03A45"/>
    <w:rsid w:val="00D06F41"/>
    <w:rsid w:val="00D07CC2"/>
    <w:rsid w:val="00D102ED"/>
    <w:rsid w:val="00D10947"/>
    <w:rsid w:val="00D10AAF"/>
    <w:rsid w:val="00D116C6"/>
    <w:rsid w:val="00D11F64"/>
    <w:rsid w:val="00D132E4"/>
    <w:rsid w:val="00D1423C"/>
    <w:rsid w:val="00D14656"/>
    <w:rsid w:val="00D14E1A"/>
    <w:rsid w:val="00D15314"/>
    <w:rsid w:val="00D15319"/>
    <w:rsid w:val="00D157AC"/>
    <w:rsid w:val="00D1624D"/>
    <w:rsid w:val="00D16CA8"/>
    <w:rsid w:val="00D16E93"/>
    <w:rsid w:val="00D1731B"/>
    <w:rsid w:val="00D17652"/>
    <w:rsid w:val="00D176CF"/>
    <w:rsid w:val="00D17B92"/>
    <w:rsid w:val="00D17C25"/>
    <w:rsid w:val="00D17DE7"/>
    <w:rsid w:val="00D20692"/>
    <w:rsid w:val="00D22869"/>
    <w:rsid w:val="00D2417F"/>
    <w:rsid w:val="00D25BFD"/>
    <w:rsid w:val="00D260B2"/>
    <w:rsid w:val="00D263E1"/>
    <w:rsid w:val="00D27054"/>
    <w:rsid w:val="00D2735C"/>
    <w:rsid w:val="00D30B40"/>
    <w:rsid w:val="00D35D60"/>
    <w:rsid w:val="00D35F67"/>
    <w:rsid w:val="00D36E42"/>
    <w:rsid w:val="00D373D9"/>
    <w:rsid w:val="00D4043F"/>
    <w:rsid w:val="00D40745"/>
    <w:rsid w:val="00D419C8"/>
    <w:rsid w:val="00D4245E"/>
    <w:rsid w:val="00D428B6"/>
    <w:rsid w:val="00D44DBC"/>
    <w:rsid w:val="00D4524C"/>
    <w:rsid w:val="00D45389"/>
    <w:rsid w:val="00D45B38"/>
    <w:rsid w:val="00D46D82"/>
    <w:rsid w:val="00D46FFE"/>
    <w:rsid w:val="00D47BA8"/>
    <w:rsid w:val="00D50864"/>
    <w:rsid w:val="00D51CF9"/>
    <w:rsid w:val="00D5204B"/>
    <w:rsid w:val="00D52901"/>
    <w:rsid w:val="00D53304"/>
    <w:rsid w:val="00D5667D"/>
    <w:rsid w:val="00D568F4"/>
    <w:rsid w:val="00D5739D"/>
    <w:rsid w:val="00D573EB"/>
    <w:rsid w:val="00D65C76"/>
    <w:rsid w:val="00D65C98"/>
    <w:rsid w:val="00D678E9"/>
    <w:rsid w:val="00D70D14"/>
    <w:rsid w:val="00D7275E"/>
    <w:rsid w:val="00D73760"/>
    <w:rsid w:val="00D75D60"/>
    <w:rsid w:val="00D76AF8"/>
    <w:rsid w:val="00D775DB"/>
    <w:rsid w:val="00D77823"/>
    <w:rsid w:val="00D77E92"/>
    <w:rsid w:val="00D80663"/>
    <w:rsid w:val="00D81522"/>
    <w:rsid w:val="00D815CA"/>
    <w:rsid w:val="00D81AFF"/>
    <w:rsid w:val="00D81DBD"/>
    <w:rsid w:val="00D81DFB"/>
    <w:rsid w:val="00D8202F"/>
    <w:rsid w:val="00D82201"/>
    <w:rsid w:val="00D84B26"/>
    <w:rsid w:val="00D84F59"/>
    <w:rsid w:val="00D85993"/>
    <w:rsid w:val="00D86CE7"/>
    <w:rsid w:val="00D870F6"/>
    <w:rsid w:val="00D8727A"/>
    <w:rsid w:val="00D903D8"/>
    <w:rsid w:val="00D9046D"/>
    <w:rsid w:val="00D95AD1"/>
    <w:rsid w:val="00D95C0E"/>
    <w:rsid w:val="00D96C23"/>
    <w:rsid w:val="00D976AA"/>
    <w:rsid w:val="00D978EA"/>
    <w:rsid w:val="00DA160E"/>
    <w:rsid w:val="00DA25E5"/>
    <w:rsid w:val="00DA2C51"/>
    <w:rsid w:val="00DA329B"/>
    <w:rsid w:val="00DA485B"/>
    <w:rsid w:val="00DA4A69"/>
    <w:rsid w:val="00DA502E"/>
    <w:rsid w:val="00DA73DA"/>
    <w:rsid w:val="00DA7E54"/>
    <w:rsid w:val="00DB0943"/>
    <w:rsid w:val="00DB1048"/>
    <w:rsid w:val="00DB1AC6"/>
    <w:rsid w:val="00DB2DF9"/>
    <w:rsid w:val="00DB312F"/>
    <w:rsid w:val="00DB5090"/>
    <w:rsid w:val="00DB5436"/>
    <w:rsid w:val="00DB5935"/>
    <w:rsid w:val="00DB5F5A"/>
    <w:rsid w:val="00DB6424"/>
    <w:rsid w:val="00DB6CAE"/>
    <w:rsid w:val="00DB6D69"/>
    <w:rsid w:val="00DB6DDE"/>
    <w:rsid w:val="00DB70C4"/>
    <w:rsid w:val="00DB782A"/>
    <w:rsid w:val="00DC0B97"/>
    <w:rsid w:val="00DC0CD9"/>
    <w:rsid w:val="00DC2750"/>
    <w:rsid w:val="00DC2C3C"/>
    <w:rsid w:val="00DC3143"/>
    <w:rsid w:val="00DC3961"/>
    <w:rsid w:val="00DC430B"/>
    <w:rsid w:val="00DC4618"/>
    <w:rsid w:val="00DC4D1A"/>
    <w:rsid w:val="00DC508D"/>
    <w:rsid w:val="00DC6534"/>
    <w:rsid w:val="00DC66B8"/>
    <w:rsid w:val="00DC6777"/>
    <w:rsid w:val="00DC7A19"/>
    <w:rsid w:val="00DC7DE0"/>
    <w:rsid w:val="00DD132C"/>
    <w:rsid w:val="00DD3020"/>
    <w:rsid w:val="00DD311E"/>
    <w:rsid w:val="00DD32D0"/>
    <w:rsid w:val="00DD4138"/>
    <w:rsid w:val="00DD6709"/>
    <w:rsid w:val="00DD6BAF"/>
    <w:rsid w:val="00DD6FFF"/>
    <w:rsid w:val="00DD717A"/>
    <w:rsid w:val="00DD72ED"/>
    <w:rsid w:val="00DD768A"/>
    <w:rsid w:val="00DD7AAE"/>
    <w:rsid w:val="00DD7EC4"/>
    <w:rsid w:val="00DE0EBB"/>
    <w:rsid w:val="00DE2F55"/>
    <w:rsid w:val="00DE35EF"/>
    <w:rsid w:val="00DE427E"/>
    <w:rsid w:val="00DE5324"/>
    <w:rsid w:val="00DE5C35"/>
    <w:rsid w:val="00DE63E7"/>
    <w:rsid w:val="00DE6B05"/>
    <w:rsid w:val="00DE7074"/>
    <w:rsid w:val="00DE7F5E"/>
    <w:rsid w:val="00DF10D5"/>
    <w:rsid w:val="00DF1385"/>
    <w:rsid w:val="00DF1828"/>
    <w:rsid w:val="00DF25F7"/>
    <w:rsid w:val="00DF293F"/>
    <w:rsid w:val="00DF32A1"/>
    <w:rsid w:val="00DF38CB"/>
    <w:rsid w:val="00DF463D"/>
    <w:rsid w:val="00DF4B7F"/>
    <w:rsid w:val="00DF4F1E"/>
    <w:rsid w:val="00DF51F2"/>
    <w:rsid w:val="00DF5A68"/>
    <w:rsid w:val="00DF64D5"/>
    <w:rsid w:val="00DF675F"/>
    <w:rsid w:val="00DF7559"/>
    <w:rsid w:val="00DF7D78"/>
    <w:rsid w:val="00E00844"/>
    <w:rsid w:val="00E011DC"/>
    <w:rsid w:val="00E02420"/>
    <w:rsid w:val="00E02C97"/>
    <w:rsid w:val="00E032D2"/>
    <w:rsid w:val="00E0379F"/>
    <w:rsid w:val="00E041BD"/>
    <w:rsid w:val="00E05993"/>
    <w:rsid w:val="00E0607E"/>
    <w:rsid w:val="00E0687F"/>
    <w:rsid w:val="00E072AD"/>
    <w:rsid w:val="00E07A4F"/>
    <w:rsid w:val="00E07B04"/>
    <w:rsid w:val="00E100CA"/>
    <w:rsid w:val="00E10524"/>
    <w:rsid w:val="00E10C89"/>
    <w:rsid w:val="00E122F4"/>
    <w:rsid w:val="00E15D15"/>
    <w:rsid w:val="00E16297"/>
    <w:rsid w:val="00E16519"/>
    <w:rsid w:val="00E16DF7"/>
    <w:rsid w:val="00E17101"/>
    <w:rsid w:val="00E1734F"/>
    <w:rsid w:val="00E17F75"/>
    <w:rsid w:val="00E2134A"/>
    <w:rsid w:val="00E2176E"/>
    <w:rsid w:val="00E21D42"/>
    <w:rsid w:val="00E23D4B"/>
    <w:rsid w:val="00E24B91"/>
    <w:rsid w:val="00E257D4"/>
    <w:rsid w:val="00E27A9D"/>
    <w:rsid w:val="00E3053B"/>
    <w:rsid w:val="00E30C08"/>
    <w:rsid w:val="00E3115E"/>
    <w:rsid w:val="00E31683"/>
    <w:rsid w:val="00E32121"/>
    <w:rsid w:val="00E32817"/>
    <w:rsid w:val="00E33EAE"/>
    <w:rsid w:val="00E3491A"/>
    <w:rsid w:val="00E355E4"/>
    <w:rsid w:val="00E357B7"/>
    <w:rsid w:val="00E3581B"/>
    <w:rsid w:val="00E35A22"/>
    <w:rsid w:val="00E35B7E"/>
    <w:rsid w:val="00E37A38"/>
    <w:rsid w:val="00E424CA"/>
    <w:rsid w:val="00E43670"/>
    <w:rsid w:val="00E43B6E"/>
    <w:rsid w:val="00E44D53"/>
    <w:rsid w:val="00E46158"/>
    <w:rsid w:val="00E468DA"/>
    <w:rsid w:val="00E479CD"/>
    <w:rsid w:val="00E47E07"/>
    <w:rsid w:val="00E47F62"/>
    <w:rsid w:val="00E50F0E"/>
    <w:rsid w:val="00E515BF"/>
    <w:rsid w:val="00E51938"/>
    <w:rsid w:val="00E52D1E"/>
    <w:rsid w:val="00E52E5A"/>
    <w:rsid w:val="00E534DC"/>
    <w:rsid w:val="00E53800"/>
    <w:rsid w:val="00E54E71"/>
    <w:rsid w:val="00E5574C"/>
    <w:rsid w:val="00E55D4F"/>
    <w:rsid w:val="00E55E35"/>
    <w:rsid w:val="00E56918"/>
    <w:rsid w:val="00E57C3A"/>
    <w:rsid w:val="00E6081F"/>
    <w:rsid w:val="00E60DEE"/>
    <w:rsid w:val="00E6232A"/>
    <w:rsid w:val="00E62524"/>
    <w:rsid w:val="00E638FF"/>
    <w:rsid w:val="00E63D61"/>
    <w:rsid w:val="00E645C9"/>
    <w:rsid w:val="00E654A7"/>
    <w:rsid w:val="00E66432"/>
    <w:rsid w:val="00E6775E"/>
    <w:rsid w:val="00E67D07"/>
    <w:rsid w:val="00E70395"/>
    <w:rsid w:val="00E70B24"/>
    <w:rsid w:val="00E72765"/>
    <w:rsid w:val="00E73D1C"/>
    <w:rsid w:val="00E76D4F"/>
    <w:rsid w:val="00E7710D"/>
    <w:rsid w:val="00E771E6"/>
    <w:rsid w:val="00E777E2"/>
    <w:rsid w:val="00E77E51"/>
    <w:rsid w:val="00E801A6"/>
    <w:rsid w:val="00E820ED"/>
    <w:rsid w:val="00E843FF"/>
    <w:rsid w:val="00E84538"/>
    <w:rsid w:val="00E84938"/>
    <w:rsid w:val="00E86D01"/>
    <w:rsid w:val="00E86EC8"/>
    <w:rsid w:val="00E87C54"/>
    <w:rsid w:val="00E93124"/>
    <w:rsid w:val="00E93DB4"/>
    <w:rsid w:val="00E9446C"/>
    <w:rsid w:val="00E94ADE"/>
    <w:rsid w:val="00E95151"/>
    <w:rsid w:val="00E9616B"/>
    <w:rsid w:val="00E96E44"/>
    <w:rsid w:val="00E97117"/>
    <w:rsid w:val="00E972BB"/>
    <w:rsid w:val="00E97731"/>
    <w:rsid w:val="00EA04B2"/>
    <w:rsid w:val="00EA0885"/>
    <w:rsid w:val="00EA0F0C"/>
    <w:rsid w:val="00EA1831"/>
    <w:rsid w:val="00EA20F3"/>
    <w:rsid w:val="00EA2B51"/>
    <w:rsid w:val="00EA2BFF"/>
    <w:rsid w:val="00EA2C25"/>
    <w:rsid w:val="00EA3A64"/>
    <w:rsid w:val="00EA442C"/>
    <w:rsid w:val="00EA5028"/>
    <w:rsid w:val="00EA65DC"/>
    <w:rsid w:val="00EA6821"/>
    <w:rsid w:val="00EA6B3E"/>
    <w:rsid w:val="00EA76E8"/>
    <w:rsid w:val="00EA77CE"/>
    <w:rsid w:val="00EA7B1B"/>
    <w:rsid w:val="00EA7B74"/>
    <w:rsid w:val="00EB0526"/>
    <w:rsid w:val="00EB07B3"/>
    <w:rsid w:val="00EB0BFE"/>
    <w:rsid w:val="00EB1DD4"/>
    <w:rsid w:val="00EB2E04"/>
    <w:rsid w:val="00EB2F4A"/>
    <w:rsid w:val="00EB356C"/>
    <w:rsid w:val="00EB4453"/>
    <w:rsid w:val="00EB4B69"/>
    <w:rsid w:val="00EB4FDA"/>
    <w:rsid w:val="00EB72DA"/>
    <w:rsid w:val="00EB78EE"/>
    <w:rsid w:val="00EB7A03"/>
    <w:rsid w:val="00EB7C6F"/>
    <w:rsid w:val="00EC050D"/>
    <w:rsid w:val="00EC0829"/>
    <w:rsid w:val="00EC0BF8"/>
    <w:rsid w:val="00EC2567"/>
    <w:rsid w:val="00EC3AA9"/>
    <w:rsid w:val="00EC5CCC"/>
    <w:rsid w:val="00EC62D9"/>
    <w:rsid w:val="00EC6C73"/>
    <w:rsid w:val="00EC71D5"/>
    <w:rsid w:val="00ED0664"/>
    <w:rsid w:val="00ED0B88"/>
    <w:rsid w:val="00ED165A"/>
    <w:rsid w:val="00ED1C5A"/>
    <w:rsid w:val="00ED2D44"/>
    <w:rsid w:val="00ED3520"/>
    <w:rsid w:val="00ED3AC8"/>
    <w:rsid w:val="00ED43D1"/>
    <w:rsid w:val="00ED49C1"/>
    <w:rsid w:val="00ED53B0"/>
    <w:rsid w:val="00ED57F3"/>
    <w:rsid w:val="00ED598B"/>
    <w:rsid w:val="00ED6CA3"/>
    <w:rsid w:val="00ED6FA4"/>
    <w:rsid w:val="00EE1655"/>
    <w:rsid w:val="00EE1A76"/>
    <w:rsid w:val="00EE20DF"/>
    <w:rsid w:val="00EE3171"/>
    <w:rsid w:val="00EE33B1"/>
    <w:rsid w:val="00EE3AC8"/>
    <w:rsid w:val="00EE4AE2"/>
    <w:rsid w:val="00EE4EE1"/>
    <w:rsid w:val="00EE503C"/>
    <w:rsid w:val="00EE5458"/>
    <w:rsid w:val="00EE5864"/>
    <w:rsid w:val="00EE5A17"/>
    <w:rsid w:val="00EE5A28"/>
    <w:rsid w:val="00EE75C9"/>
    <w:rsid w:val="00EE7E09"/>
    <w:rsid w:val="00EF0595"/>
    <w:rsid w:val="00EF0707"/>
    <w:rsid w:val="00EF165F"/>
    <w:rsid w:val="00EF30BE"/>
    <w:rsid w:val="00EF30DB"/>
    <w:rsid w:val="00EF4574"/>
    <w:rsid w:val="00EF4FBA"/>
    <w:rsid w:val="00EF55AE"/>
    <w:rsid w:val="00EF5629"/>
    <w:rsid w:val="00EF5B10"/>
    <w:rsid w:val="00EF5C9D"/>
    <w:rsid w:val="00EF6ACB"/>
    <w:rsid w:val="00F01345"/>
    <w:rsid w:val="00F0165C"/>
    <w:rsid w:val="00F03039"/>
    <w:rsid w:val="00F045F2"/>
    <w:rsid w:val="00F04D47"/>
    <w:rsid w:val="00F04DED"/>
    <w:rsid w:val="00F04E9F"/>
    <w:rsid w:val="00F05ECA"/>
    <w:rsid w:val="00F0726B"/>
    <w:rsid w:val="00F0763F"/>
    <w:rsid w:val="00F0790E"/>
    <w:rsid w:val="00F10602"/>
    <w:rsid w:val="00F10C66"/>
    <w:rsid w:val="00F1136F"/>
    <w:rsid w:val="00F11F79"/>
    <w:rsid w:val="00F1268C"/>
    <w:rsid w:val="00F13710"/>
    <w:rsid w:val="00F14A6E"/>
    <w:rsid w:val="00F14BCB"/>
    <w:rsid w:val="00F155E4"/>
    <w:rsid w:val="00F1623A"/>
    <w:rsid w:val="00F17049"/>
    <w:rsid w:val="00F17FA6"/>
    <w:rsid w:val="00F20077"/>
    <w:rsid w:val="00F20126"/>
    <w:rsid w:val="00F20741"/>
    <w:rsid w:val="00F21522"/>
    <w:rsid w:val="00F23020"/>
    <w:rsid w:val="00F23BD6"/>
    <w:rsid w:val="00F2647E"/>
    <w:rsid w:val="00F2684E"/>
    <w:rsid w:val="00F26877"/>
    <w:rsid w:val="00F27CAB"/>
    <w:rsid w:val="00F31489"/>
    <w:rsid w:val="00F31AB0"/>
    <w:rsid w:val="00F322E0"/>
    <w:rsid w:val="00F32859"/>
    <w:rsid w:val="00F328AB"/>
    <w:rsid w:val="00F32DF9"/>
    <w:rsid w:val="00F35BAB"/>
    <w:rsid w:val="00F3663E"/>
    <w:rsid w:val="00F36CCF"/>
    <w:rsid w:val="00F36EA4"/>
    <w:rsid w:val="00F404CB"/>
    <w:rsid w:val="00F415C5"/>
    <w:rsid w:val="00F42A2E"/>
    <w:rsid w:val="00F43010"/>
    <w:rsid w:val="00F43137"/>
    <w:rsid w:val="00F43A27"/>
    <w:rsid w:val="00F43A9A"/>
    <w:rsid w:val="00F43B1E"/>
    <w:rsid w:val="00F44626"/>
    <w:rsid w:val="00F4480A"/>
    <w:rsid w:val="00F451C1"/>
    <w:rsid w:val="00F456EC"/>
    <w:rsid w:val="00F466B8"/>
    <w:rsid w:val="00F46EAD"/>
    <w:rsid w:val="00F472D8"/>
    <w:rsid w:val="00F4782A"/>
    <w:rsid w:val="00F50C7B"/>
    <w:rsid w:val="00F51195"/>
    <w:rsid w:val="00F53B86"/>
    <w:rsid w:val="00F55069"/>
    <w:rsid w:val="00F56063"/>
    <w:rsid w:val="00F564E6"/>
    <w:rsid w:val="00F56FAC"/>
    <w:rsid w:val="00F57013"/>
    <w:rsid w:val="00F6147C"/>
    <w:rsid w:val="00F61D99"/>
    <w:rsid w:val="00F62339"/>
    <w:rsid w:val="00F62D77"/>
    <w:rsid w:val="00F62D83"/>
    <w:rsid w:val="00F636FE"/>
    <w:rsid w:val="00F63F82"/>
    <w:rsid w:val="00F64209"/>
    <w:rsid w:val="00F65556"/>
    <w:rsid w:val="00F65E0B"/>
    <w:rsid w:val="00F661D5"/>
    <w:rsid w:val="00F67EC7"/>
    <w:rsid w:val="00F70346"/>
    <w:rsid w:val="00F70951"/>
    <w:rsid w:val="00F721CA"/>
    <w:rsid w:val="00F7257B"/>
    <w:rsid w:val="00F729EF"/>
    <w:rsid w:val="00F72C01"/>
    <w:rsid w:val="00F731D5"/>
    <w:rsid w:val="00F73210"/>
    <w:rsid w:val="00F74FAD"/>
    <w:rsid w:val="00F763A7"/>
    <w:rsid w:val="00F76CD9"/>
    <w:rsid w:val="00F77CAE"/>
    <w:rsid w:val="00F80EA6"/>
    <w:rsid w:val="00F811F5"/>
    <w:rsid w:val="00F81743"/>
    <w:rsid w:val="00F81990"/>
    <w:rsid w:val="00F81F6F"/>
    <w:rsid w:val="00F822F3"/>
    <w:rsid w:val="00F82E00"/>
    <w:rsid w:val="00F83095"/>
    <w:rsid w:val="00F85507"/>
    <w:rsid w:val="00F90603"/>
    <w:rsid w:val="00F91061"/>
    <w:rsid w:val="00F91621"/>
    <w:rsid w:val="00F96BB9"/>
    <w:rsid w:val="00F970CF"/>
    <w:rsid w:val="00F979EA"/>
    <w:rsid w:val="00F97CDF"/>
    <w:rsid w:val="00FA0945"/>
    <w:rsid w:val="00FA2E80"/>
    <w:rsid w:val="00FA41F2"/>
    <w:rsid w:val="00FA512B"/>
    <w:rsid w:val="00FA515F"/>
    <w:rsid w:val="00FA5F5F"/>
    <w:rsid w:val="00FA6DC7"/>
    <w:rsid w:val="00FA76C9"/>
    <w:rsid w:val="00FA7DCB"/>
    <w:rsid w:val="00FA7F4D"/>
    <w:rsid w:val="00FB041F"/>
    <w:rsid w:val="00FB0A91"/>
    <w:rsid w:val="00FB0F26"/>
    <w:rsid w:val="00FB1558"/>
    <w:rsid w:val="00FB16C1"/>
    <w:rsid w:val="00FB199D"/>
    <w:rsid w:val="00FB1AD6"/>
    <w:rsid w:val="00FB392E"/>
    <w:rsid w:val="00FB44AA"/>
    <w:rsid w:val="00FB6ABD"/>
    <w:rsid w:val="00FB6D1D"/>
    <w:rsid w:val="00FB71B6"/>
    <w:rsid w:val="00FB7211"/>
    <w:rsid w:val="00FC042C"/>
    <w:rsid w:val="00FC0A36"/>
    <w:rsid w:val="00FC0AF4"/>
    <w:rsid w:val="00FC1061"/>
    <w:rsid w:val="00FC1DDF"/>
    <w:rsid w:val="00FC2999"/>
    <w:rsid w:val="00FC3069"/>
    <w:rsid w:val="00FC320D"/>
    <w:rsid w:val="00FC3963"/>
    <w:rsid w:val="00FC3A97"/>
    <w:rsid w:val="00FC4C9C"/>
    <w:rsid w:val="00FC5A74"/>
    <w:rsid w:val="00FC5C6D"/>
    <w:rsid w:val="00FC5FF9"/>
    <w:rsid w:val="00FC7334"/>
    <w:rsid w:val="00FD0565"/>
    <w:rsid w:val="00FD0A7F"/>
    <w:rsid w:val="00FD2427"/>
    <w:rsid w:val="00FD2C64"/>
    <w:rsid w:val="00FD2D5B"/>
    <w:rsid w:val="00FD472D"/>
    <w:rsid w:val="00FD4BA3"/>
    <w:rsid w:val="00FD6035"/>
    <w:rsid w:val="00FD629C"/>
    <w:rsid w:val="00FD6F89"/>
    <w:rsid w:val="00FD7217"/>
    <w:rsid w:val="00FE068B"/>
    <w:rsid w:val="00FE0CEB"/>
    <w:rsid w:val="00FE100A"/>
    <w:rsid w:val="00FE12C4"/>
    <w:rsid w:val="00FE1A4F"/>
    <w:rsid w:val="00FE2128"/>
    <w:rsid w:val="00FE2FD9"/>
    <w:rsid w:val="00FE3983"/>
    <w:rsid w:val="00FE406D"/>
    <w:rsid w:val="00FE42E2"/>
    <w:rsid w:val="00FE449B"/>
    <w:rsid w:val="00FE5249"/>
    <w:rsid w:val="00FE534B"/>
    <w:rsid w:val="00FE5CCB"/>
    <w:rsid w:val="00FE5D3A"/>
    <w:rsid w:val="00FE67B4"/>
    <w:rsid w:val="00FE6D51"/>
    <w:rsid w:val="00FE6DEF"/>
    <w:rsid w:val="00FE7293"/>
    <w:rsid w:val="00FE767B"/>
    <w:rsid w:val="00FE797A"/>
    <w:rsid w:val="00FF0CCC"/>
    <w:rsid w:val="00FF0D42"/>
    <w:rsid w:val="00FF4DC0"/>
    <w:rsid w:val="00FF5B29"/>
    <w:rsid w:val="00FF6AF2"/>
    <w:rsid w:val="09287BC3"/>
    <w:rsid w:val="10F7DA54"/>
    <w:rsid w:val="260627E5"/>
    <w:rsid w:val="2868E674"/>
    <w:rsid w:val="2948DAA4"/>
    <w:rsid w:val="30B59CBF"/>
    <w:rsid w:val="33A2D7AF"/>
    <w:rsid w:val="3EAB873F"/>
    <w:rsid w:val="53BF0693"/>
    <w:rsid w:val="570661C0"/>
    <w:rsid w:val="57B5C53C"/>
    <w:rsid w:val="5922DC64"/>
    <w:rsid w:val="64DCD69B"/>
    <w:rsid w:val="69C5EDFC"/>
    <w:rsid w:val="6B6EE5C4"/>
    <w:rsid w:val="6E783F86"/>
    <w:rsid w:val="6F6AA0D1"/>
    <w:rsid w:val="7185AFE5"/>
    <w:rsid w:val="79687F0D"/>
    <w:rsid w:val="7B7A3FEE"/>
    <w:rsid w:val="7F14F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80A930"/>
  <w15:docId w15:val="{3AC249EA-B464-4D21-A8E9-BAC26979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A6"/>
    <w:pPr>
      <w:suppressAutoHyphens/>
      <w:spacing w:before="140" w:after="60" w:line="280" w:lineRule="atLeast"/>
    </w:pPr>
    <w:rPr>
      <w:rFonts w:ascii="Calibri" w:hAnsi="Calibri"/>
      <w:szCs w:val="28"/>
    </w:rPr>
  </w:style>
  <w:style w:type="paragraph" w:styleId="Heading1">
    <w:name w:val="heading 1"/>
    <w:basedOn w:val="Normal"/>
    <w:next w:val="Normal"/>
    <w:link w:val="Heading1Char"/>
    <w:uiPriority w:val="9"/>
    <w:qFormat/>
    <w:rsid w:val="00BC18D2"/>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rPr>
  </w:style>
  <w:style w:type="paragraph" w:styleId="Heading2">
    <w:name w:val="heading 2"/>
    <w:basedOn w:val="Heading1"/>
    <w:next w:val="Normal"/>
    <w:link w:val="Heading2Char"/>
    <w:uiPriority w:val="9"/>
    <w:unhideWhenUsed/>
    <w:rsid w:val="00BC18D2"/>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BC18D2"/>
    <w:pPr>
      <w:spacing w:line="340" w:lineRule="atLeast"/>
      <w:outlineLvl w:val="2"/>
    </w:pPr>
    <w:rPr>
      <w:bCs/>
      <w:sz w:val="30"/>
    </w:rPr>
  </w:style>
  <w:style w:type="paragraph" w:styleId="Heading4">
    <w:name w:val="heading 4"/>
    <w:basedOn w:val="Heading3"/>
    <w:next w:val="Normal"/>
    <w:link w:val="Heading4Char"/>
    <w:uiPriority w:val="9"/>
    <w:unhideWhenUsed/>
    <w:rsid w:val="006F2D40"/>
    <w:pPr>
      <w:spacing w:before="240" w:line="300" w:lineRule="atLeast"/>
      <w:outlineLvl w:val="3"/>
    </w:pPr>
    <w:rPr>
      <w:iCs/>
      <w:color w:val="125F51" w:themeColor="accent3" w:themeShade="BF"/>
      <w:sz w:val="28"/>
    </w:rPr>
  </w:style>
  <w:style w:type="paragraph" w:styleId="Heading5">
    <w:name w:val="heading 5"/>
    <w:basedOn w:val="Heading4"/>
    <w:next w:val="Normal"/>
    <w:link w:val="Heading5Char"/>
    <w:uiPriority w:val="9"/>
    <w:unhideWhenUsed/>
    <w:qFormat/>
    <w:rsid w:val="00BC18D2"/>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BC18D2"/>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BC18D2"/>
    <w:pPr>
      <w:outlineLvl w:val="6"/>
    </w:pPr>
    <w:rPr>
      <w:i w:val="0"/>
      <w:iCs w:val="0"/>
    </w:rPr>
  </w:style>
  <w:style w:type="paragraph" w:styleId="Heading8">
    <w:name w:val="heading 8"/>
    <w:basedOn w:val="Heading7"/>
    <w:next w:val="Normal"/>
    <w:link w:val="Heading8Char"/>
    <w:uiPriority w:val="9"/>
    <w:semiHidden/>
    <w:unhideWhenUsed/>
    <w:qFormat/>
    <w:rsid w:val="00BC18D2"/>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C18D2"/>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8D2"/>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BC18D2"/>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BC18D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ListBullet"/>
    <w:link w:val="Bullet1Char"/>
    <w:qFormat/>
    <w:rsid w:val="005379D4"/>
    <w:pPr>
      <w:numPr>
        <w:numId w:val="258"/>
      </w:numPr>
      <w:spacing w:before="100" w:after="100" w:line="264" w:lineRule="auto"/>
      <w:contextualSpacing w:val="0"/>
    </w:pPr>
  </w:style>
  <w:style w:type="paragraph" w:customStyle="1" w:styleId="Bullet4">
    <w:name w:val="Bullet 4"/>
    <w:basedOn w:val="BodyText"/>
    <w:qFormat/>
    <w:rsid w:val="00D2417F"/>
    <w:pPr>
      <w:numPr>
        <w:ilvl w:val="2"/>
        <w:numId w:val="162"/>
      </w:numPr>
      <w:ind w:left="1701" w:right="0" w:hanging="425"/>
    </w:pPr>
  </w:style>
  <w:style w:type="paragraph" w:customStyle="1" w:styleId="Bullet2">
    <w:name w:val="Bullet 2"/>
    <w:basedOn w:val="ListBullet"/>
    <w:qFormat/>
    <w:rsid w:val="007F4668"/>
    <w:pPr>
      <w:numPr>
        <w:numId w:val="88"/>
      </w:numPr>
      <w:spacing w:before="80" w:after="80"/>
      <w:ind w:right="272"/>
      <w:contextualSpacing w:val="0"/>
    </w:pPr>
    <w:rPr>
      <w:rFonts w:ascii="Calibri" w:hAnsi="Calibri"/>
    </w:rPr>
  </w:style>
  <w:style w:type="paragraph" w:customStyle="1" w:styleId="NumberedList1">
    <w:name w:val="Numbered List 1"/>
    <w:basedOn w:val="Normal"/>
    <w:link w:val="NumberedList1Char"/>
    <w:autoRedefine/>
    <w:qFormat/>
    <w:rsid w:val="00FE449B"/>
    <w:pPr>
      <w:widowControl w:val="0"/>
      <w:spacing w:before="80" w:after="80" w:line="240" w:lineRule="auto"/>
    </w:pPr>
    <w:rPr>
      <w:color w:val="FF0000"/>
      <w:u w:val="single"/>
    </w:rPr>
  </w:style>
  <w:style w:type="paragraph" w:customStyle="1" w:styleId="NumberedList2">
    <w:name w:val="Numbered List 2"/>
    <w:basedOn w:val="NumberedList1"/>
    <w:link w:val="NumberedList2Char"/>
    <w:qFormat/>
    <w:rsid w:val="00A87BD4"/>
    <w:pPr>
      <w:numPr>
        <w:ilvl w:val="1"/>
        <w:numId w:val="89"/>
      </w:numPr>
      <w:ind w:left="284"/>
    </w:pPr>
  </w:style>
  <w:style w:type="paragraph" w:customStyle="1" w:styleId="NumberedList3">
    <w:name w:val="Numbered List 3"/>
    <w:basedOn w:val="NumberedList2"/>
    <w:qFormat/>
    <w:rsid w:val="00576566"/>
    <w:pPr>
      <w:numPr>
        <w:ilvl w:val="2"/>
      </w:numPr>
      <w:ind w:left="964" w:hanging="397"/>
    </w:pPr>
  </w:style>
  <w:style w:type="character" w:customStyle="1" w:styleId="UnresolvedMention">
    <w:name w:val="Unresolved Mention"/>
    <w:basedOn w:val="DefaultParagraphFont"/>
    <w:uiPriority w:val="99"/>
    <w:semiHidden/>
    <w:unhideWhenUsed/>
    <w:rsid w:val="00BE4298"/>
    <w:rPr>
      <w:color w:val="605E5C"/>
      <w:shd w:val="clear" w:color="auto" w:fill="E1DFDD"/>
    </w:rPr>
  </w:style>
  <w:style w:type="paragraph" w:customStyle="1" w:styleId="Heading2Numbered">
    <w:name w:val="Heading 2 Numbered"/>
    <w:basedOn w:val="Heading2"/>
    <w:next w:val="Normal"/>
    <w:qFormat/>
    <w:rsid w:val="0006237C"/>
    <w:pPr>
      <w:numPr>
        <w:ilvl w:val="1"/>
        <w:numId w:val="172"/>
      </w:numPr>
      <w:ind w:left="851" w:hanging="851"/>
    </w:pPr>
    <w:rPr>
      <w:rFonts w:eastAsia="Times New Roman"/>
      <w:bCs/>
    </w:rPr>
  </w:style>
  <w:style w:type="paragraph" w:customStyle="1" w:styleId="Bullet3">
    <w:name w:val="Bullet 3"/>
    <w:basedOn w:val="Bullet2"/>
    <w:qFormat/>
    <w:rsid w:val="00D2417F"/>
    <w:pPr>
      <w:numPr>
        <w:ilvl w:val="1"/>
        <w:numId w:val="90"/>
      </w:numPr>
      <w:ind w:right="0"/>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outlineLvl w:val="9"/>
    </w:pPr>
    <w:rPr>
      <w:bCs w:val="0"/>
      <w:szCs w:val="32"/>
      <w:lang w:val="en-US"/>
    </w:rPr>
  </w:style>
  <w:style w:type="character" w:customStyle="1" w:styleId="Heading4Char">
    <w:name w:val="Heading 4 Char"/>
    <w:basedOn w:val="DefaultParagraphFont"/>
    <w:link w:val="Heading4"/>
    <w:uiPriority w:val="9"/>
    <w:rsid w:val="006F2D40"/>
    <w:rPr>
      <w:rFonts w:asciiTheme="majorHAnsi" w:eastAsiaTheme="majorEastAsia" w:hAnsiTheme="majorHAnsi" w:cstheme="majorBidi"/>
      <w:bCs/>
      <w:iCs/>
      <w:color w:val="125F51" w:themeColor="accent3" w:themeShade="BF"/>
      <w:sz w:val="28"/>
      <w:szCs w:val="26"/>
    </w:rPr>
  </w:style>
  <w:style w:type="paragraph" w:styleId="TOC1">
    <w:name w:val="toc 1"/>
    <w:basedOn w:val="Normal"/>
    <w:next w:val="Normal"/>
    <w:autoRedefine/>
    <w:uiPriority w:val="39"/>
    <w:unhideWhenUsed/>
    <w:qFormat/>
    <w:rsid w:val="00133272"/>
    <w:pPr>
      <w:tabs>
        <w:tab w:val="left" w:pos="567"/>
        <w:tab w:val="right" w:pos="9072"/>
      </w:tabs>
      <w:spacing w:after="180" w:line="230" w:lineRule="atLeast"/>
      <w:ind w:right="-434"/>
    </w:pPr>
    <w:rPr>
      <w:noProof/>
      <w:sz w:val="24"/>
    </w:rPr>
  </w:style>
  <w:style w:type="paragraph" w:styleId="TOC2">
    <w:name w:val="toc 2"/>
    <w:basedOn w:val="Normal"/>
    <w:next w:val="Normal"/>
    <w:autoRedefine/>
    <w:uiPriority w:val="39"/>
    <w:unhideWhenUsed/>
    <w:qFormat/>
    <w:rsid w:val="00BB5AB3"/>
    <w:pPr>
      <w:tabs>
        <w:tab w:val="left" w:pos="1100"/>
        <w:tab w:val="right" w:pos="9072"/>
      </w:tabs>
      <w:spacing w:before="100" w:after="100" w:line="230" w:lineRule="atLeast"/>
      <w:ind w:left="1134" w:hanging="567"/>
    </w:pPr>
    <w:rPr>
      <w:noProof/>
    </w:rPr>
  </w:style>
  <w:style w:type="paragraph" w:styleId="TOC3">
    <w:name w:val="toc 3"/>
    <w:basedOn w:val="Normal"/>
    <w:next w:val="Normal"/>
    <w:autoRedefine/>
    <w:uiPriority w:val="39"/>
    <w:unhideWhenUsed/>
    <w:qFormat/>
    <w:rsid w:val="00741C3D"/>
    <w:pPr>
      <w:tabs>
        <w:tab w:val="left" w:pos="851"/>
        <w:tab w:val="left" w:pos="1560"/>
        <w:tab w:val="right" w:pos="9072"/>
      </w:tabs>
      <w:spacing w:before="60" w:line="220" w:lineRule="atLeast"/>
      <w:ind w:left="1843" w:hanging="709"/>
    </w:pPr>
    <w:rPr>
      <w:noProof/>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Reports1">
    <w:name w:val="Reports 1"/>
    <w:basedOn w:val="BodyText"/>
    <w:qFormat/>
    <w:rsid w:val="00F97CDF"/>
    <w:pPr>
      <w:numPr>
        <w:numId w:val="281"/>
      </w:numPr>
      <w:ind w:left="284" w:hanging="284"/>
    </w:pPr>
    <w:rPr>
      <w:i/>
      <w:color w:val="0070C0"/>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91621"/>
    <w:rPr>
      <w:rFonts w:ascii="Arial" w:hAnsi="Arial" w:cs="MuseoSans-500"/>
      <w:color w:val="auto"/>
      <w:sz w:val="22"/>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C18D2"/>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BC18D2"/>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BC18D2"/>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BC18D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BC18D2"/>
    <w:rPr>
      <w:rFonts w:asciiTheme="majorHAnsi" w:eastAsiaTheme="majorEastAsia" w:hAnsiTheme="majorHAnsi" w:cstheme="majorBidi"/>
      <w:bCs/>
      <w:i/>
      <w:iCs/>
      <w:color w:val="272727" w:themeColor="text1" w:themeTint="D8"/>
      <w:sz w:val="21"/>
      <w:szCs w:val="21"/>
    </w:rPr>
  </w:style>
  <w:style w:type="paragraph" w:customStyle="1" w:styleId="Reports2">
    <w:name w:val="Reports 2"/>
    <w:basedOn w:val="Bullet1"/>
    <w:qFormat/>
    <w:rsid w:val="001E7A6E"/>
    <w:pPr>
      <w:numPr>
        <w:numId w:val="257"/>
      </w:numPr>
      <w:ind w:left="850" w:hanging="425"/>
    </w:pPr>
    <w:rPr>
      <w:i/>
      <w:color w:val="0070C0"/>
    </w:rPr>
  </w:style>
  <w:style w:type="paragraph" w:customStyle="1" w:styleId="Reports3">
    <w:name w:val="Reports 3"/>
    <w:basedOn w:val="Reports2"/>
    <w:qFormat/>
    <w:rsid w:val="0043783B"/>
    <w:pPr>
      <w:numPr>
        <w:numId w:val="104"/>
      </w:numPr>
      <w:ind w:left="1134" w:hanging="283"/>
    </w:pPr>
    <w:rPr>
      <w:rFonts w:ascii="Calibri" w:hAnsi="Calibri"/>
    </w:rPr>
  </w:style>
  <w:style w:type="paragraph" w:customStyle="1" w:styleId="IndentBlueText">
    <w:name w:val="Indent Blue Text"/>
    <w:basedOn w:val="ListBullet"/>
    <w:qFormat/>
    <w:rsid w:val="00117EF6"/>
    <w:pPr>
      <w:spacing w:after="120" w:line="280" w:lineRule="exact"/>
      <w:ind w:left="851" w:right="142" w:firstLine="0"/>
    </w:pPr>
    <w:rPr>
      <w:color w:val="0070C0"/>
    </w:rPr>
  </w:style>
  <w:style w:type="paragraph" w:customStyle="1" w:styleId="MeasuresExampleText">
    <w:name w:val="Measures Example Text"/>
    <w:basedOn w:val="Normal"/>
    <w:qFormat/>
    <w:rsid w:val="000C302A"/>
    <w:pPr>
      <w:spacing w:before="0" w:after="0" w:line="240" w:lineRule="auto"/>
    </w:pPr>
    <w:rPr>
      <w:rFonts w:ascii="Arial" w:eastAsia="Times New Roman" w:hAnsi="Arial" w:cs="Arial"/>
      <w:b/>
      <w:bCs/>
      <w:sz w:val="16"/>
      <w:szCs w:val="16"/>
      <w:lang w:eastAsia="en-AU"/>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PortfolioNumberingText">
    <w:name w:val="Portfolio Numbering Text"/>
    <w:basedOn w:val="Normal"/>
    <w:qFormat/>
    <w:rsid w:val="00FE534B"/>
    <w:pPr>
      <w:spacing w:before="60"/>
      <w:ind w:left="1169" w:hanging="851"/>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BodyText1">
    <w:name w:val="Body Text1"/>
    <w:link w:val="BodyText1Char"/>
    <w:semiHidden/>
    <w:rsid w:val="00FA0945"/>
    <w:pPr>
      <w:spacing w:after="113" w:line="260" w:lineRule="atLeast"/>
    </w:pPr>
    <w:rPr>
      <w:rFonts w:ascii="Cambria" w:eastAsia="Times New Roman" w:hAnsi="Cambria" w:cs="Times New Roman"/>
      <w:szCs w:val="24"/>
    </w:rPr>
  </w:style>
  <w:style w:type="numbering" w:customStyle="1" w:styleId="Bullets">
    <w:name w:val="Bullets"/>
    <w:basedOn w:val="NoList"/>
    <w:uiPriority w:val="99"/>
    <w:rsid w:val="00FA0945"/>
    <w:pPr>
      <w:numPr>
        <w:numId w:val="22"/>
      </w:numPr>
    </w:pPr>
  </w:style>
  <w:style w:type="paragraph" w:customStyle="1" w:styleId="Footertext">
    <w:name w:val="Footer text"/>
    <w:semiHidden/>
    <w:rsid w:val="00FA0945"/>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FA0945"/>
    <w:pPr>
      <w:spacing w:before="85" w:after="85" w:line="240" w:lineRule="auto"/>
    </w:pPr>
    <w:rPr>
      <w:rFonts w:ascii="Arial" w:eastAsia="Times New Roman" w:hAnsi="Arial" w:cs="Arial"/>
      <w:i/>
      <w:sz w:val="12"/>
      <w:szCs w:val="12"/>
    </w:rPr>
  </w:style>
  <w:style w:type="numbering" w:customStyle="1" w:styleId="Numbers">
    <w:name w:val="Numbers"/>
    <w:basedOn w:val="NoList"/>
    <w:rsid w:val="00FA0945"/>
    <w:pPr>
      <w:numPr>
        <w:numId w:val="21"/>
      </w:numPr>
    </w:pPr>
  </w:style>
  <w:style w:type="paragraph" w:customStyle="1" w:styleId="Tablebodytext">
    <w:name w:val="Table body text"/>
    <w:qFormat/>
    <w:rsid w:val="00FA0945"/>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FA0945"/>
    <w:pPr>
      <w:numPr>
        <w:ilvl w:val="6"/>
        <w:numId w:val="22"/>
      </w:numPr>
    </w:pPr>
  </w:style>
  <w:style w:type="paragraph" w:customStyle="1" w:styleId="Tablebullets1stindent">
    <w:name w:val="Table bullets (1st indent)"/>
    <w:basedOn w:val="Tablebodytext"/>
    <w:qFormat/>
    <w:rsid w:val="00FA0945"/>
    <w:pPr>
      <w:numPr>
        <w:ilvl w:val="5"/>
        <w:numId w:val="22"/>
      </w:numPr>
    </w:pPr>
  </w:style>
  <w:style w:type="paragraph" w:customStyle="1" w:styleId="Tablecolumnheading">
    <w:name w:val="Table column heading"/>
    <w:basedOn w:val="Tablebodytext"/>
    <w:qFormat/>
    <w:rsid w:val="00FA0945"/>
    <w:pPr>
      <w:keepNext/>
    </w:pPr>
    <w:rPr>
      <w:b/>
      <w:szCs w:val="18"/>
    </w:rPr>
  </w:style>
  <w:style w:type="paragraph" w:customStyle="1" w:styleId="Tabletitle">
    <w:name w:val="Table title"/>
    <w:next w:val="BodyText1"/>
    <w:qFormat/>
    <w:rsid w:val="00FA0945"/>
    <w:pPr>
      <w:keepNext/>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FA0945"/>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FA0945"/>
    <w:pPr>
      <w:suppressAutoHyphens w:val="0"/>
      <w:spacing w:before="0" w:after="20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FA0945"/>
    <w:rPr>
      <w:rFonts w:ascii="Tahoma" w:eastAsia="Cambria" w:hAnsi="Tahoma" w:cs="Tahoma"/>
      <w:sz w:val="16"/>
      <w:szCs w:val="16"/>
    </w:rPr>
  </w:style>
  <w:style w:type="paragraph" w:customStyle="1" w:styleId="Subtitle2">
    <w:name w:val="Subtitle 2"/>
    <w:uiPriority w:val="2"/>
    <w:semiHidden/>
    <w:rsid w:val="00FA0945"/>
    <w:pPr>
      <w:spacing w:before="200" w:after="0" w:line="240" w:lineRule="auto"/>
      <w:contextualSpacing/>
    </w:pPr>
    <w:rPr>
      <w:rFonts w:ascii="Arial" w:eastAsia="Times New Roman" w:hAnsi="Arial" w:cs="Times New Roman"/>
      <w:caps/>
      <w:color w:val="1C2735"/>
      <w:kern w:val="28"/>
      <w:szCs w:val="32"/>
    </w:rPr>
  </w:style>
  <w:style w:type="paragraph" w:styleId="Quote">
    <w:name w:val="Quote"/>
    <w:link w:val="QuoteChar"/>
    <w:qFormat/>
    <w:rsid w:val="00FA0945"/>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FA0945"/>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FA0945"/>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uiPriority w:val="1"/>
    <w:semiHidden/>
    <w:qFormat/>
    <w:rsid w:val="00FA0945"/>
    <w:rPr>
      <w:rFonts w:ascii="Arial Black" w:hAnsi="Arial Black"/>
      <w:color w:val="005A77"/>
    </w:rPr>
  </w:style>
  <w:style w:type="paragraph" w:customStyle="1" w:styleId="Notetitle">
    <w:name w:val="Note title"/>
    <w:qFormat/>
    <w:rsid w:val="00FA0945"/>
    <w:pPr>
      <w:keepNext/>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uiPriority w:val="1"/>
    <w:semiHidden/>
    <w:qFormat/>
    <w:rsid w:val="00FA0945"/>
    <w:rPr>
      <w:color w:val="1C2735"/>
      <w:lang w:val="en-AU"/>
    </w:rPr>
  </w:style>
  <w:style w:type="paragraph" w:customStyle="1" w:styleId="Boxed2Text-Bullet1">
    <w:name w:val="Boxed 2 Text - Bullet 1"/>
    <w:basedOn w:val="Boxed2Text"/>
    <w:qFormat/>
    <w:rsid w:val="00C1760E"/>
    <w:pPr>
      <w:numPr>
        <w:numId w:val="174"/>
      </w:numPr>
      <w:spacing w:before="0"/>
      <w:ind w:left="709" w:hanging="425"/>
    </w:pPr>
  </w:style>
  <w:style w:type="paragraph" w:customStyle="1" w:styleId="Boxtitle">
    <w:name w:val="Box title"/>
    <w:basedOn w:val="Normal"/>
    <w:uiPriority w:val="1"/>
    <w:unhideWhenUsed/>
    <w:rsid w:val="00846B1F"/>
    <w:pPr>
      <w:suppressAutoHyphens w:val="0"/>
      <w:spacing w:before="113" w:after="113" w:line="240" w:lineRule="atLeast"/>
    </w:pPr>
    <w:rPr>
      <w:rFonts w:ascii="Arial" w:eastAsia="Times New Roman" w:hAnsi="Arial" w:cs="Times New Roman"/>
      <w:b/>
      <w:color w:val="005A77"/>
      <w:szCs w:val="24"/>
    </w:rPr>
  </w:style>
  <w:style w:type="table" w:customStyle="1" w:styleId="DOFDplain">
    <w:name w:val="DOFD plain"/>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paragraph" w:styleId="BodyText">
    <w:name w:val="Body Text"/>
    <w:basedOn w:val="Normal"/>
    <w:link w:val="BodyTextChar"/>
    <w:uiPriority w:val="1"/>
    <w:qFormat/>
    <w:rsid w:val="0055235A"/>
    <w:pPr>
      <w:suppressAutoHyphens w:val="0"/>
      <w:spacing w:before="120" w:after="120" w:line="264" w:lineRule="auto"/>
      <w:ind w:right="272"/>
    </w:pPr>
    <w:rPr>
      <w:rFonts w:eastAsia="Cambria" w:cs="Times New Roman"/>
    </w:rPr>
  </w:style>
  <w:style w:type="character" w:customStyle="1" w:styleId="BodyTextChar">
    <w:name w:val="Body Text Char"/>
    <w:basedOn w:val="DefaultParagraphFont"/>
    <w:link w:val="BodyText"/>
    <w:uiPriority w:val="1"/>
    <w:rsid w:val="0055235A"/>
    <w:rPr>
      <w:rFonts w:eastAsia="Cambria" w:cs="Times New Roman"/>
    </w:rPr>
  </w:style>
  <w:style w:type="character" w:customStyle="1" w:styleId="BodyText1Char">
    <w:name w:val="Body Text1 Char"/>
    <w:link w:val="BodyText1"/>
    <w:semiHidden/>
    <w:rsid w:val="00FA0945"/>
    <w:rPr>
      <w:rFonts w:ascii="Cambria" w:eastAsia="Times New Roman" w:hAnsi="Cambria" w:cs="Times New Roman"/>
      <w:szCs w:val="24"/>
    </w:rPr>
  </w:style>
  <w:style w:type="character" w:styleId="CommentReference">
    <w:name w:val="annotation reference"/>
    <w:uiPriority w:val="99"/>
    <w:semiHidden/>
    <w:rsid w:val="00FA0945"/>
    <w:rPr>
      <w:sz w:val="16"/>
      <w:szCs w:val="16"/>
    </w:rPr>
  </w:style>
  <w:style w:type="paragraph" w:styleId="CommentText">
    <w:name w:val="annotation text"/>
    <w:basedOn w:val="Normal"/>
    <w:link w:val="CommentTextChar"/>
    <w:uiPriority w:val="99"/>
    <w:qFormat/>
    <w:rsid w:val="007B5237"/>
    <w:pPr>
      <w:suppressAutoHyphens w:val="0"/>
      <w:spacing w:before="0" w:after="200" w:line="240" w:lineRule="auto"/>
    </w:pPr>
    <w:rPr>
      <w:rFonts w:eastAsia="Cambria" w:cs="Times New Roman"/>
      <w:sz w:val="14"/>
      <w:szCs w:val="20"/>
    </w:rPr>
  </w:style>
  <w:style w:type="character" w:customStyle="1" w:styleId="CommentTextChar">
    <w:name w:val="Comment Text Char"/>
    <w:basedOn w:val="DefaultParagraphFont"/>
    <w:link w:val="CommentText"/>
    <w:uiPriority w:val="99"/>
    <w:rsid w:val="007B5237"/>
    <w:rPr>
      <w:rFonts w:ascii="Calibri" w:eastAsia="Cambria" w:hAnsi="Calibri" w:cs="Times New Roman"/>
      <w:sz w:val="14"/>
      <w:szCs w:val="20"/>
    </w:rPr>
  </w:style>
  <w:style w:type="paragraph" w:styleId="ListNumber">
    <w:name w:val="List Number"/>
    <w:basedOn w:val="Normal"/>
    <w:qFormat/>
    <w:rsid w:val="00FA0945"/>
    <w:pPr>
      <w:tabs>
        <w:tab w:val="num" w:pos="360"/>
      </w:tabs>
      <w:suppressAutoHyphens w:val="0"/>
      <w:spacing w:before="0" w:after="240" w:line="240" w:lineRule="auto"/>
      <w:ind w:left="360" w:hanging="360"/>
      <w:contextualSpacing/>
    </w:pPr>
    <w:rPr>
      <w:rFonts w:ascii="Cambria" w:eastAsia="Cambria" w:hAnsi="Cambria" w:cs="Times New Roman"/>
    </w:rPr>
  </w:style>
  <w:style w:type="paragraph" w:styleId="ListNumber2">
    <w:name w:val="List Number 2"/>
    <w:basedOn w:val="Normal"/>
    <w:uiPriority w:val="99"/>
    <w:rsid w:val="00FA0945"/>
    <w:pPr>
      <w:tabs>
        <w:tab w:val="num" w:pos="643"/>
      </w:tabs>
      <w:suppressAutoHyphens w:val="0"/>
      <w:spacing w:before="0" w:after="200" w:line="240" w:lineRule="auto"/>
      <w:ind w:left="643" w:hanging="360"/>
      <w:contextualSpacing/>
    </w:pPr>
    <w:rPr>
      <w:rFonts w:ascii="Cambria" w:eastAsia="Cambria" w:hAnsi="Cambria" w:cs="Times New Roman"/>
    </w:rPr>
  </w:style>
  <w:style w:type="paragraph" w:styleId="ListBullet">
    <w:name w:val="List Bullet"/>
    <w:basedOn w:val="Normal"/>
    <w:qFormat/>
    <w:rsid w:val="00E86EC8"/>
    <w:pPr>
      <w:suppressAutoHyphens w:val="0"/>
      <w:spacing w:before="0" w:after="240" w:line="240" w:lineRule="auto"/>
      <w:ind w:left="360" w:hanging="360"/>
      <w:contextualSpacing/>
    </w:pPr>
    <w:rPr>
      <w:rFonts w:ascii="Arial" w:eastAsia="Cambria" w:hAnsi="Arial" w:cs="Times New Roman"/>
    </w:rPr>
  </w:style>
  <w:style w:type="table" w:customStyle="1" w:styleId="DOFDtexttable">
    <w:name w:val="DOFD_text table"/>
    <w:basedOn w:val="TableNormal"/>
    <w:uiPriority w:val="99"/>
    <w:qFormat/>
    <w:rsid w:val="00FA0945"/>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72CE9B"/>
        <w:tcMar>
          <w:top w:w="113" w:type="dxa"/>
          <w:left w:w="0" w:type="nil"/>
          <w:bottom w:w="113" w:type="dxa"/>
          <w:right w:w="0" w:type="nil"/>
        </w:tcMar>
      </w:tcPr>
    </w:tblStylePr>
  </w:style>
  <w:style w:type="paragraph" w:styleId="EndnoteText">
    <w:name w:val="endnote text"/>
    <w:basedOn w:val="Normal"/>
    <w:link w:val="EndnoteTextChar"/>
    <w:uiPriority w:val="99"/>
    <w:semiHidden/>
    <w:rsid w:val="00FA0945"/>
    <w:pPr>
      <w:suppressAutoHyphens w:val="0"/>
      <w:spacing w:before="0" w:after="200" w:line="240" w:lineRule="auto"/>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FA0945"/>
    <w:rPr>
      <w:rFonts w:ascii="Cambria" w:eastAsia="Cambria" w:hAnsi="Cambria" w:cs="Times New Roman"/>
      <w:szCs w:val="20"/>
    </w:rPr>
  </w:style>
  <w:style w:type="character" w:styleId="EndnoteReference">
    <w:name w:val="endnote reference"/>
    <w:uiPriority w:val="99"/>
    <w:semiHidden/>
    <w:rsid w:val="00FA0945"/>
    <w:rPr>
      <w:vertAlign w:val="superscript"/>
    </w:rPr>
  </w:style>
  <w:style w:type="paragraph" w:styleId="List3">
    <w:name w:val="List 3"/>
    <w:basedOn w:val="Normal"/>
    <w:qFormat/>
    <w:rsid w:val="00846B1F"/>
    <w:pPr>
      <w:numPr>
        <w:ilvl w:val="5"/>
      </w:numPr>
      <w:suppressAutoHyphens w:val="0"/>
      <w:spacing w:before="0" w:after="0" w:line="240" w:lineRule="auto"/>
      <w:ind w:left="1135" w:hanging="284"/>
    </w:pPr>
    <w:rPr>
      <w:rFonts w:ascii="Cambria" w:eastAsia="Times New Roman" w:hAnsi="Cambria" w:cs="Times New Roman"/>
      <w:szCs w:val="24"/>
    </w:rPr>
  </w:style>
  <w:style w:type="character" w:styleId="FollowedHyperlink">
    <w:name w:val="FollowedHyperlink"/>
    <w:uiPriority w:val="99"/>
    <w:semiHidden/>
    <w:rsid w:val="00FA0945"/>
    <w:rPr>
      <w:color w:val="800080"/>
      <w:u w:val="single"/>
    </w:rPr>
  </w:style>
  <w:style w:type="paragraph" w:styleId="Revision">
    <w:name w:val="Revision"/>
    <w:hidden/>
    <w:uiPriority w:val="99"/>
    <w:semiHidden/>
    <w:rsid w:val="00FA0945"/>
    <w:pPr>
      <w:spacing w:after="0" w:line="240" w:lineRule="auto"/>
    </w:pPr>
    <w:rPr>
      <w:rFonts w:ascii="Cambria" w:eastAsia="Cambria" w:hAnsi="Cambria" w:cs="Times New Roman"/>
    </w:rPr>
  </w:style>
  <w:style w:type="numbering" w:styleId="111111">
    <w:name w:val="Outline List 2"/>
    <w:basedOn w:val="NoList"/>
    <w:semiHidden/>
    <w:unhideWhenUsed/>
    <w:rsid w:val="00FA0945"/>
    <w:pPr>
      <w:numPr>
        <w:numId w:val="33"/>
      </w:numPr>
    </w:pPr>
  </w:style>
  <w:style w:type="paragraph" w:customStyle="1" w:styleId="OutlineNumbered1">
    <w:name w:val="Outline Numbered 1"/>
    <w:basedOn w:val="Normal"/>
    <w:rsid w:val="00FA0945"/>
    <w:pPr>
      <w:numPr>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2">
    <w:name w:val="Outline Numbered 2"/>
    <w:basedOn w:val="Normal"/>
    <w:rsid w:val="00FA0945"/>
    <w:pPr>
      <w:numPr>
        <w:ilvl w:val="1"/>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3">
    <w:name w:val="Outline Numbered 3"/>
    <w:basedOn w:val="Normal"/>
    <w:rsid w:val="00FA0945"/>
    <w:pPr>
      <w:numPr>
        <w:ilvl w:val="2"/>
        <w:numId w:val="34"/>
      </w:numPr>
      <w:suppressAutoHyphens w:val="0"/>
      <w:spacing w:before="80" w:after="0" w:line="240" w:lineRule="auto"/>
    </w:pPr>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uiPriority w:val="99"/>
    <w:semiHidden/>
    <w:rsid w:val="00FA0945"/>
    <w:rPr>
      <w:b/>
      <w:bCs/>
      <w:sz w:val="20"/>
    </w:rPr>
  </w:style>
  <w:style w:type="character" w:customStyle="1" w:styleId="CommentSubjectChar">
    <w:name w:val="Comment Subject Char"/>
    <w:basedOn w:val="CommentTextChar"/>
    <w:link w:val="CommentSubject"/>
    <w:uiPriority w:val="99"/>
    <w:semiHidden/>
    <w:rsid w:val="00FA0945"/>
    <w:rPr>
      <w:rFonts w:ascii="Cambria" w:eastAsia="Cambria" w:hAnsi="Cambria" w:cs="Times New Roman"/>
      <w:b/>
      <w:bCs/>
      <w:sz w:val="20"/>
      <w:szCs w:val="20"/>
    </w:rPr>
  </w:style>
  <w:style w:type="paragraph" w:customStyle="1" w:styleId="Exampletext">
    <w:name w:val="Example text"/>
    <w:basedOn w:val="Normal"/>
    <w:link w:val="ExampletextCharChar"/>
    <w:rsid w:val="00FA0945"/>
    <w:pPr>
      <w:suppressAutoHyphens w:val="0"/>
      <w:spacing w:before="0" w:after="240" w:line="260" w:lineRule="exact"/>
      <w:jc w:val="both"/>
    </w:pPr>
    <w:rPr>
      <w:rFonts w:ascii="Book Antiqua" w:eastAsia="Times New Roman" w:hAnsi="Book Antiqua" w:cs="Times New Roman"/>
      <w:i/>
      <w:color w:val="FF0000"/>
      <w:szCs w:val="20"/>
      <w:lang w:val="x-none" w:eastAsia="x-none"/>
    </w:rPr>
  </w:style>
  <w:style w:type="character" w:customStyle="1" w:styleId="ExampletextCharChar">
    <w:name w:val="Example text Char Char"/>
    <w:link w:val="Exampletext"/>
    <w:rsid w:val="00FA0945"/>
    <w:rPr>
      <w:rFonts w:ascii="Book Antiqua" w:eastAsia="Times New Roman" w:hAnsi="Book Antiqua" w:cs="Times New Roman"/>
      <w:i/>
      <w:color w:val="FF0000"/>
      <w:sz w:val="20"/>
      <w:szCs w:val="20"/>
      <w:lang w:val="x-none" w:eastAsia="x-none"/>
    </w:rPr>
  </w:style>
  <w:style w:type="paragraph" w:customStyle="1" w:styleId="ChartandTableFootnote">
    <w:name w:val="Chart and Table Footnote"/>
    <w:basedOn w:val="Normal"/>
    <w:next w:val="Normal"/>
    <w:link w:val="ChartandTableFootnoteChar"/>
    <w:rsid w:val="00FA0945"/>
    <w:pPr>
      <w:keepNext/>
      <w:tabs>
        <w:tab w:val="left" w:pos="284"/>
      </w:tabs>
      <w:suppressAutoHyphens w:val="0"/>
      <w:spacing w:before="0" w:after="0" w:line="240" w:lineRule="auto"/>
      <w:ind w:left="284" w:hanging="284"/>
      <w:jc w:val="both"/>
    </w:pPr>
    <w:rPr>
      <w:rFonts w:ascii="Arial" w:eastAsia="Times New Roman" w:hAnsi="Arial" w:cs="Times New Roman"/>
      <w:sz w:val="16"/>
      <w:szCs w:val="20"/>
      <w:lang w:val="x-none" w:eastAsia="x-none"/>
    </w:rPr>
  </w:style>
  <w:style w:type="character" w:customStyle="1" w:styleId="ChartandTableFootnoteChar">
    <w:name w:val="Chart and Table Footnote Char"/>
    <w:link w:val="ChartandTableFootnote"/>
    <w:rsid w:val="00FA0945"/>
    <w:rPr>
      <w:rFonts w:ascii="Arial" w:eastAsia="Times New Roman" w:hAnsi="Arial" w:cs="Times New Roman"/>
      <w:sz w:val="16"/>
      <w:szCs w:val="20"/>
      <w:lang w:val="x-none" w:eastAsia="x-none"/>
    </w:rPr>
  </w:style>
  <w:style w:type="paragraph" w:styleId="ListParagraph">
    <w:name w:val="List Paragraph"/>
    <w:basedOn w:val="Normal"/>
    <w:link w:val="ListParagraphChar"/>
    <w:uiPriority w:val="34"/>
    <w:qFormat/>
    <w:rsid w:val="00B751D1"/>
    <w:pPr>
      <w:widowControl w:val="0"/>
      <w:suppressAutoHyphens w:val="0"/>
      <w:autoSpaceDE w:val="0"/>
      <w:autoSpaceDN w:val="0"/>
      <w:spacing w:before="118" w:after="0" w:line="240" w:lineRule="auto"/>
      <w:ind w:left="664" w:hanging="360"/>
    </w:pPr>
    <w:rPr>
      <w:rFonts w:ascii="Cambria" w:eastAsia="Cambria" w:hAnsi="Cambria" w:cs="Cambria"/>
      <w:lang w:val="en-US"/>
    </w:rPr>
  </w:style>
  <w:style w:type="paragraph" w:customStyle="1" w:styleId="TableParagraph">
    <w:name w:val="Table Paragraph"/>
    <w:basedOn w:val="Normal"/>
    <w:uiPriority w:val="1"/>
    <w:qFormat/>
    <w:rsid w:val="00A27EA7"/>
    <w:pPr>
      <w:widowControl w:val="0"/>
      <w:suppressAutoHyphens w:val="0"/>
      <w:autoSpaceDE w:val="0"/>
      <w:autoSpaceDN w:val="0"/>
      <w:spacing w:before="0" w:after="0" w:line="240" w:lineRule="auto"/>
    </w:pPr>
    <w:rPr>
      <w:rFonts w:ascii="Cambria" w:eastAsia="Cambria" w:hAnsi="Cambria" w:cs="Cambria"/>
      <w:lang w:val="en-US"/>
    </w:rPr>
  </w:style>
  <w:style w:type="table" w:styleId="PlainTable4">
    <w:name w:val="Plain Table 4"/>
    <w:basedOn w:val="TableNormal"/>
    <w:uiPriority w:val="44"/>
    <w:rsid w:val="00334C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BSCoverText">
    <w:name w:val="PBS Cover Text"/>
    <w:basedOn w:val="Title"/>
    <w:qFormat/>
    <w:rsid w:val="00D018F5"/>
  </w:style>
  <w:style w:type="paragraph" w:customStyle="1" w:styleId="CoverPage">
    <w:name w:val="Cover Page"/>
    <w:basedOn w:val="Normal"/>
    <w:qFormat/>
    <w:rsid w:val="00A10310"/>
    <w:pPr>
      <w:jc w:val="center"/>
    </w:pPr>
    <w:rPr>
      <w:sz w:val="44"/>
      <w:szCs w:val="40"/>
    </w:rPr>
  </w:style>
  <w:style w:type="paragraph" w:customStyle="1" w:styleId="TableText-Normal">
    <w:name w:val="Table Text - Normal"/>
    <w:basedOn w:val="BodyText"/>
    <w:qFormat/>
    <w:rsid w:val="004D0115"/>
    <w:pPr>
      <w:spacing w:before="40" w:after="40" w:line="220" w:lineRule="atLeast"/>
      <w:ind w:left="130" w:right="96"/>
    </w:pPr>
  </w:style>
  <w:style w:type="paragraph" w:customStyle="1" w:styleId="TableText-NormalIndented">
    <w:name w:val="Table Text - Normal Indented"/>
    <w:basedOn w:val="TableText-Normal"/>
    <w:qFormat/>
    <w:rsid w:val="00BD02A1"/>
    <w:pPr>
      <w:spacing w:after="60"/>
      <w:ind w:left="720"/>
    </w:pPr>
    <w:rPr>
      <w:szCs w:val="20"/>
    </w:rPr>
  </w:style>
  <w:style w:type="paragraph" w:customStyle="1" w:styleId="NormalTextRed">
    <w:name w:val="Normal Text Red"/>
    <w:basedOn w:val="Normal"/>
    <w:qFormat/>
    <w:rsid w:val="00DB6DDE"/>
    <w:rPr>
      <w:color w:val="FF0000"/>
    </w:rPr>
  </w:style>
  <w:style w:type="paragraph" w:customStyle="1" w:styleId="IndentRedText">
    <w:name w:val="Indent Red Text"/>
    <w:basedOn w:val="IndentBlueText"/>
    <w:qFormat/>
    <w:rsid w:val="00117EF6"/>
    <w:rPr>
      <w:color w:val="FF0000"/>
    </w:rPr>
  </w:style>
  <w:style w:type="paragraph" w:styleId="ListBullet2">
    <w:name w:val="List Bullet 2"/>
    <w:basedOn w:val="Normal"/>
    <w:uiPriority w:val="99"/>
    <w:unhideWhenUsed/>
    <w:rsid w:val="00052ECD"/>
    <w:pPr>
      <w:numPr>
        <w:numId w:val="12"/>
      </w:numPr>
      <w:contextualSpacing/>
    </w:pPr>
  </w:style>
  <w:style w:type="paragraph" w:customStyle="1" w:styleId="CBMSReportPath">
    <w:name w:val="CBMS Report Path"/>
    <w:basedOn w:val="Normal"/>
    <w:uiPriority w:val="1"/>
    <w:qFormat/>
    <w:rsid w:val="00052ECD"/>
    <w:pPr>
      <w:spacing w:before="240" w:after="240"/>
    </w:pPr>
    <w:rPr>
      <w:i/>
      <w:color w:val="0070C0"/>
    </w:rPr>
  </w:style>
  <w:style w:type="paragraph" w:customStyle="1" w:styleId="TableText-Small">
    <w:name w:val="Table Text - Small"/>
    <w:basedOn w:val="TableText-Normal"/>
    <w:qFormat/>
    <w:rsid w:val="00B56367"/>
    <w:rPr>
      <w:sz w:val="18"/>
      <w:szCs w:val="18"/>
    </w:rPr>
  </w:style>
  <w:style w:type="paragraph" w:customStyle="1" w:styleId="LeasingProgTableText">
    <w:name w:val="Leasing Prog Table Text"/>
    <w:basedOn w:val="Normal"/>
    <w:qFormat/>
    <w:rsid w:val="001C70F1"/>
    <w:pPr>
      <w:spacing w:before="0" w:after="0"/>
    </w:pPr>
    <w:rPr>
      <w:sz w:val="19"/>
      <w:lang w:eastAsia="en-AU"/>
    </w:rPr>
  </w:style>
  <w:style w:type="paragraph" w:customStyle="1" w:styleId="TableText-SuperSmallBold">
    <w:name w:val="Table Text - Super Small Bold"/>
    <w:basedOn w:val="TableText-Small"/>
    <w:qFormat/>
    <w:rsid w:val="00B45DD3"/>
    <w:rPr>
      <w:b/>
      <w:sz w:val="16"/>
      <w:szCs w:val="16"/>
    </w:rPr>
  </w:style>
  <w:style w:type="paragraph" w:customStyle="1" w:styleId="Bullet5">
    <w:name w:val="Bullet 5"/>
    <w:basedOn w:val="BodyText"/>
    <w:qFormat/>
    <w:rsid w:val="00D2417F"/>
    <w:pPr>
      <w:numPr>
        <w:ilvl w:val="3"/>
        <w:numId w:val="163"/>
      </w:numPr>
      <w:ind w:left="2126" w:right="0" w:hanging="425"/>
    </w:pPr>
  </w:style>
  <w:style w:type="paragraph" w:customStyle="1" w:styleId="TableText-NormalRed">
    <w:name w:val="Table Text - Normal Red"/>
    <w:basedOn w:val="NormalTextRed"/>
    <w:qFormat/>
    <w:rsid w:val="00314AE9"/>
  </w:style>
  <w:style w:type="paragraph" w:customStyle="1" w:styleId="TableText-Normal-DotPoint">
    <w:name w:val="Table Text - Normal - Dot Point"/>
    <w:basedOn w:val="TableText-Normal"/>
    <w:qFormat/>
    <w:rsid w:val="0065254A"/>
    <w:pPr>
      <w:numPr>
        <w:numId w:val="165"/>
      </w:numPr>
    </w:pPr>
  </w:style>
  <w:style w:type="paragraph" w:customStyle="1" w:styleId="IndentText1">
    <w:name w:val="Indent Text 1"/>
    <w:basedOn w:val="Bullet1"/>
    <w:qFormat/>
    <w:rsid w:val="00B200D2"/>
    <w:pPr>
      <w:numPr>
        <w:numId w:val="0"/>
      </w:numPr>
      <w:ind w:left="425"/>
    </w:pPr>
  </w:style>
  <w:style w:type="paragraph" w:customStyle="1" w:styleId="Boxed1Text">
    <w:name w:val="Boxed 1 Text"/>
    <w:basedOn w:val="Normal"/>
    <w:qFormat/>
    <w:rsid w:val="00BC18D2"/>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spacing w:before="180"/>
      <w:ind w:left="284" w:right="284"/>
    </w:pPr>
    <w:rPr>
      <w:szCs w:val="22"/>
    </w:rPr>
  </w:style>
  <w:style w:type="paragraph" w:customStyle="1" w:styleId="Boxed1Heading">
    <w:name w:val="Boxed 1 Heading"/>
    <w:basedOn w:val="Boxed1Text"/>
    <w:qFormat/>
    <w:rsid w:val="00BC18D2"/>
    <w:rPr>
      <w:b/>
      <w:sz w:val="24"/>
    </w:rPr>
  </w:style>
  <w:style w:type="paragraph" w:customStyle="1" w:styleId="Boxed2Text">
    <w:name w:val="Boxed 2 Text"/>
    <w:basedOn w:val="Boxed1Text"/>
    <w:qFormat/>
    <w:rsid w:val="00BC18D2"/>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BC18D2"/>
    <w:rPr>
      <w:b/>
      <w:sz w:val="24"/>
    </w:rPr>
  </w:style>
  <w:style w:type="paragraph" w:customStyle="1" w:styleId="Heading1Numbered">
    <w:name w:val="Heading 1 Numbered"/>
    <w:basedOn w:val="Heading1"/>
    <w:next w:val="Normal"/>
    <w:qFormat/>
    <w:rsid w:val="0006237C"/>
    <w:pPr>
      <w:numPr>
        <w:numId w:val="172"/>
      </w:numPr>
      <w:ind w:left="851" w:hanging="851"/>
    </w:pPr>
  </w:style>
  <w:style w:type="paragraph" w:customStyle="1" w:styleId="Heading3Numbered">
    <w:name w:val="Heading 3 Numbered"/>
    <w:basedOn w:val="Heading3"/>
    <w:next w:val="Normal"/>
    <w:qFormat/>
    <w:rsid w:val="0006237C"/>
    <w:pPr>
      <w:numPr>
        <w:ilvl w:val="2"/>
        <w:numId w:val="172"/>
      </w:numPr>
      <w:ind w:left="993" w:hanging="993"/>
    </w:pPr>
    <w:rPr>
      <w:szCs w:val="22"/>
    </w:rPr>
  </w:style>
  <w:style w:type="paragraph" w:customStyle="1" w:styleId="TableText-Bullets">
    <w:name w:val="Table Text - Bullets"/>
    <w:basedOn w:val="TableText"/>
    <w:rsid w:val="008A3568"/>
    <w:pPr>
      <w:numPr>
        <w:numId w:val="177"/>
      </w:numPr>
    </w:pPr>
  </w:style>
  <w:style w:type="paragraph" w:styleId="ListNumber3">
    <w:name w:val="List Number 3"/>
    <w:basedOn w:val="Normal"/>
    <w:uiPriority w:val="99"/>
    <w:unhideWhenUsed/>
    <w:rsid w:val="0074521F"/>
    <w:pPr>
      <w:numPr>
        <w:numId w:val="18"/>
      </w:numPr>
      <w:contextualSpacing/>
    </w:pPr>
  </w:style>
  <w:style w:type="paragraph" w:customStyle="1" w:styleId="TableText-Bullets-Compact">
    <w:name w:val="Table Text - Bullets - Compact"/>
    <w:basedOn w:val="TableText-Normal-DotPoint"/>
    <w:rsid w:val="00A250B5"/>
    <w:rPr>
      <w:sz w:val="18"/>
      <w:szCs w:val="18"/>
    </w:rPr>
  </w:style>
  <w:style w:type="paragraph" w:customStyle="1" w:styleId="CrossReference">
    <w:name w:val="Cross Reference"/>
    <w:basedOn w:val="Normal"/>
    <w:link w:val="CrossReferenceChar"/>
    <w:qFormat/>
    <w:rsid w:val="00244BC8"/>
    <w:rPr>
      <w:color w:val="000000" w:themeColor="text1"/>
      <w:u w:val="single" w:color="0070C0"/>
    </w:rPr>
  </w:style>
  <w:style w:type="paragraph" w:customStyle="1" w:styleId="Bullets1stindent">
    <w:name w:val="Bullets (1st indent)"/>
    <w:basedOn w:val="Normal"/>
    <w:qFormat/>
    <w:rsid w:val="000457F9"/>
    <w:pPr>
      <w:suppressAutoHyphens w:val="0"/>
      <w:spacing w:before="0" w:after="120" w:line="276" w:lineRule="auto"/>
      <w:ind w:left="360" w:hanging="360"/>
    </w:pPr>
    <w:rPr>
      <w:szCs w:val="22"/>
    </w:rPr>
  </w:style>
  <w:style w:type="paragraph" w:customStyle="1" w:styleId="Bullets2ndindent">
    <w:name w:val="Bullets (2nd indent)"/>
    <w:basedOn w:val="Normal"/>
    <w:qFormat/>
    <w:rsid w:val="000457F9"/>
    <w:pPr>
      <w:tabs>
        <w:tab w:val="num" w:pos="567"/>
      </w:tabs>
      <w:suppressAutoHyphens w:val="0"/>
      <w:spacing w:before="0" w:after="120" w:line="276" w:lineRule="auto"/>
      <w:ind w:left="567" w:hanging="283"/>
    </w:pPr>
    <w:rPr>
      <w:szCs w:val="22"/>
    </w:rPr>
  </w:style>
  <w:style w:type="paragraph" w:customStyle="1" w:styleId="Bulletslast1stindent">
    <w:name w:val="Bullets last (1st indent)"/>
    <w:basedOn w:val="Normal"/>
    <w:rsid w:val="000457F9"/>
    <w:pPr>
      <w:tabs>
        <w:tab w:val="num" w:pos="284"/>
      </w:tabs>
      <w:suppressAutoHyphens w:val="0"/>
      <w:spacing w:before="0" w:after="200" w:line="276" w:lineRule="auto"/>
      <w:ind w:left="284" w:hanging="284"/>
    </w:pPr>
    <w:rPr>
      <w:szCs w:val="22"/>
    </w:rPr>
  </w:style>
  <w:style w:type="paragraph" w:customStyle="1" w:styleId="Bulletslast2ndindent">
    <w:name w:val="Bullets last (2nd indent)"/>
    <w:basedOn w:val="Normal"/>
    <w:rsid w:val="000457F9"/>
    <w:pPr>
      <w:tabs>
        <w:tab w:val="num" w:pos="567"/>
      </w:tabs>
      <w:suppressAutoHyphens w:val="0"/>
      <w:spacing w:before="0" w:after="57" w:line="276" w:lineRule="auto"/>
      <w:ind w:left="567" w:hanging="283"/>
    </w:pPr>
    <w:rPr>
      <w:szCs w:val="22"/>
    </w:rPr>
  </w:style>
  <w:style w:type="paragraph" w:customStyle="1" w:styleId="BulletsTable1">
    <w:name w:val="Bullets Table 1"/>
    <w:basedOn w:val="Bullets1stindent"/>
    <w:qFormat/>
    <w:rsid w:val="000457F9"/>
    <w:pPr>
      <w:spacing w:after="60"/>
      <w:ind w:left="357" w:hanging="357"/>
      <w:contextualSpacing/>
    </w:pPr>
  </w:style>
  <w:style w:type="paragraph" w:customStyle="1" w:styleId="TableText-Medium">
    <w:name w:val="Table Text - Medium"/>
    <w:basedOn w:val="TableText-Normal"/>
    <w:qFormat/>
    <w:rsid w:val="0057047B"/>
    <w:pPr>
      <w:spacing w:before="60" w:after="60"/>
    </w:pPr>
    <w:rPr>
      <w:sz w:val="20"/>
      <w:szCs w:val="20"/>
    </w:rPr>
  </w:style>
  <w:style w:type="paragraph" w:customStyle="1" w:styleId="TableText-Medium-DotPoints">
    <w:name w:val="Table Text - Medium - Dot Points"/>
    <w:basedOn w:val="TableText-Normal-DotPoint"/>
    <w:qFormat/>
    <w:rsid w:val="0057047B"/>
    <w:rPr>
      <w:sz w:val="20"/>
      <w:szCs w:val="20"/>
    </w:rPr>
  </w:style>
  <w:style w:type="paragraph" w:customStyle="1" w:styleId="Default">
    <w:name w:val="Default"/>
    <w:rsid w:val="00DD311E"/>
    <w:pPr>
      <w:autoSpaceDE w:val="0"/>
      <w:autoSpaceDN w:val="0"/>
      <w:adjustRightInd w:val="0"/>
      <w:spacing w:after="0" w:line="240" w:lineRule="auto"/>
    </w:pPr>
    <w:rPr>
      <w:rFonts w:ascii="Cambria" w:hAnsi="Cambria" w:cs="Cambria"/>
      <w:color w:val="000000"/>
      <w:sz w:val="24"/>
      <w:szCs w:val="24"/>
    </w:rPr>
  </w:style>
  <w:style w:type="paragraph" w:customStyle="1" w:styleId="Numbered">
    <w:name w:val="Numbered"/>
    <w:basedOn w:val="ListParagraph"/>
    <w:qFormat/>
    <w:rsid w:val="0073409A"/>
    <w:pPr>
      <w:numPr>
        <w:numId w:val="239"/>
      </w:numPr>
      <w:spacing w:before="160"/>
    </w:pPr>
    <w:rPr>
      <w:rFonts w:ascii="Calibri" w:hAnsi="Calibri" w:cstheme="minorHAnsi"/>
      <w:lang w:val="en-AU"/>
    </w:rPr>
  </w:style>
  <w:style w:type="character" w:customStyle="1" w:styleId="ListParagraphChar">
    <w:name w:val="List Paragraph Char"/>
    <w:basedOn w:val="DefaultParagraphFont"/>
    <w:link w:val="ListParagraph"/>
    <w:uiPriority w:val="34"/>
    <w:locked/>
    <w:rsid w:val="007A0E16"/>
    <w:rPr>
      <w:rFonts w:ascii="Cambria" w:eastAsia="Cambria" w:hAnsi="Cambria" w:cs="Cambria"/>
      <w:szCs w:val="28"/>
      <w:lang w:val="en-US"/>
    </w:rPr>
  </w:style>
  <w:style w:type="paragraph" w:customStyle="1" w:styleId="ListParagraph2">
    <w:name w:val="List Paragraph 2"/>
    <w:basedOn w:val="ListParagraph"/>
    <w:qFormat/>
    <w:rsid w:val="007A0E16"/>
    <w:pPr>
      <w:widowControl/>
      <w:tabs>
        <w:tab w:val="num" w:pos="360"/>
      </w:tabs>
      <w:autoSpaceDE/>
      <w:autoSpaceDN/>
      <w:spacing w:before="0" w:after="120" w:line="22" w:lineRule="atLeast"/>
      <w:ind w:left="1111" w:hanging="357"/>
      <w:contextualSpacing/>
    </w:pPr>
    <w:rPr>
      <w:rFonts w:asciiTheme="minorHAnsi" w:eastAsiaTheme="minorHAnsi" w:hAnsiTheme="minorHAnsi" w:cstheme="minorBidi"/>
      <w:sz w:val="24"/>
      <w:szCs w:val="24"/>
      <w:lang w:val="en-AU"/>
    </w:rPr>
  </w:style>
  <w:style w:type="paragraph" w:customStyle="1" w:styleId="LetteredList">
    <w:name w:val="Lettered List"/>
    <w:basedOn w:val="ListParagraph2"/>
    <w:qFormat/>
    <w:rsid w:val="007F4668"/>
    <w:pPr>
      <w:numPr>
        <w:numId w:val="248"/>
      </w:numPr>
      <w:spacing w:before="120"/>
      <w:contextualSpacing w:val="0"/>
    </w:pPr>
    <w:rPr>
      <w:rFonts w:ascii="Calibri" w:hAnsi="Calibri"/>
      <w:sz w:val="22"/>
      <w:szCs w:val="22"/>
    </w:rPr>
  </w:style>
  <w:style w:type="paragraph" w:customStyle="1" w:styleId="Bullet">
    <w:name w:val="Bullet"/>
    <w:basedOn w:val="Normal"/>
    <w:qFormat/>
    <w:rsid w:val="00D419C8"/>
    <w:pPr>
      <w:numPr>
        <w:numId w:val="256"/>
      </w:numPr>
      <w:suppressAutoHyphens w:val="0"/>
      <w:spacing w:before="0" w:after="240" w:line="260" w:lineRule="exact"/>
      <w:jc w:val="both"/>
    </w:pPr>
    <w:rPr>
      <w:rFonts w:ascii="Book Antiqua" w:eastAsia="Times New Roman" w:hAnsi="Book Antiqua" w:cs="Times New Roman"/>
      <w:sz w:val="20"/>
      <w:szCs w:val="20"/>
      <w:lang w:val="x-none" w:eastAsia="x-none"/>
    </w:rPr>
  </w:style>
  <w:style w:type="paragraph" w:customStyle="1" w:styleId="Dash">
    <w:name w:val="Dash"/>
    <w:basedOn w:val="Normal"/>
    <w:rsid w:val="00D419C8"/>
    <w:pPr>
      <w:numPr>
        <w:ilvl w:val="1"/>
        <w:numId w:val="256"/>
      </w:numPr>
      <w:suppressAutoHyphens w:val="0"/>
      <w:spacing w:before="0" w:after="240" w:line="260" w:lineRule="exact"/>
      <w:jc w:val="both"/>
    </w:pPr>
    <w:rPr>
      <w:rFonts w:ascii="Book Antiqua" w:eastAsia="Times New Roman" w:hAnsi="Book Antiqua" w:cs="Times New Roman"/>
      <w:sz w:val="20"/>
      <w:szCs w:val="20"/>
      <w:lang w:eastAsia="en-AU"/>
    </w:rPr>
  </w:style>
  <w:style w:type="paragraph" w:customStyle="1" w:styleId="DoubleDot">
    <w:name w:val="Double Dot"/>
    <w:basedOn w:val="Normal"/>
    <w:rsid w:val="00D419C8"/>
    <w:pPr>
      <w:numPr>
        <w:ilvl w:val="2"/>
        <w:numId w:val="256"/>
      </w:numPr>
      <w:suppressAutoHyphens w:val="0"/>
      <w:spacing w:before="0" w:after="240" w:line="260" w:lineRule="exact"/>
      <w:jc w:val="both"/>
    </w:pPr>
    <w:rPr>
      <w:rFonts w:ascii="Book Antiqua" w:eastAsia="Times New Roman" w:hAnsi="Book Antiqua" w:cs="Times New Roman"/>
      <w:sz w:val="20"/>
      <w:szCs w:val="20"/>
      <w:lang w:eastAsia="en-AU"/>
    </w:rPr>
  </w:style>
  <w:style w:type="character" w:customStyle="1" w:styleId="NumberedList1Char">
    <w:name w:val="Numbered List 1 Char"/>
    <w:basedOn w:val="DefaultParagraphFont"/>
    <w:link w:val="NumberedList1"/>
    <w:rsid w:val="00922DA3"/>
    <w:rPr>
      <w:color w:val="FF0000"/>
      <w:szCs w:val="28"/>
      <w:u w:val="single"/>
    </w:rPr>
  </w:style>
  <w:style w:type="character" w:customStyle="1" w:styleId="NumberedList2Char">
    <w:name w:val="Numbered List 2 Char"/>
    <w:basedOn w:val="NumberedList1Char"/>
    <w:link w:val="NumberedList2"/>
    <w:rsid w:val="00922DA3"/>
    <w:rPr>
      <w:color w:val="FF0000"/>
      <w:szCs w:val="28"/>
      <w:u w:val="single"/>
    </w:rPr>
  </w:style>
  <w:style w:type="character" w:customStyle="1" w:styleId="CrossReferenceChar">
    <w:name w:val="Cross Reference Char"/>
    <w:basedOn w:val="NumberedList2Char"/>
    <w:link w:val="CrossReference"/>
    <w:rsid w:val="00244BC8"/>
    <w:rPr>
      <w:color w:val="000000" w:themeColor="text1"/>
      <w:szCs w:val="28"/>
      <w:u w:val="single" w:color="0070C0"/>
    </w:rPr>
  </w:style>
  <w:style w:type="paragraph" w:styleId="ListBullet5">
    <w:name w:val="List Bullet 5"/>
    <w:basedOn w:val="Normal"/>
    <w:uiPriority w:val="99"/>
    <w:unhideWhenUsed/>
    <w:rsid w:val="00090962"/>
    <w:pPr>
      <w:numPr>
        <w:numId w:val="273"/>
      </w:numPr>
      <w:contextualSpacing/>
    </w:pPr>
  </w:style>
  <w:style w:type="paragraph" w:customStyle="1" w:styleId="TableHeading">
    <w:name w:val="Table Heading"/>
    <w:basedOn w:val="Normal"/>
    <w:next w:val="Normal"/>
    <w:link w:val="TableHeadingChar"/>
    <w:rsid w:val="00611899"/>
    <w:pPr>
      <w:keepNext/>
      <w:suppressAutoHyphens w:val="0"/>
      <w:spacing w:before="0" w:after="20" w:line="240" w:lineRule="auto"/>
    </w:pPr>
    <w:rPr>
      <w:rFonts w:ascii="Arial" w:eastAsia="Times New Roman" w:hAnsi="Arial" w:cs="Times New Roman"/>
      <w:b/>
      <w:color w:val="000000"/>
      <w:sz w:val="20"/>
      <w:szCs w:val="20"/>
      <w:lang w:val="x-none" w:eastAsia="x-none"/>
    </w:rPr>
  </w:style>
  <w:style w:type="character" w:customStyle="1" w:styleId="TableHeadingChar">
    <w:name w:val="Table Heading Char"/>
    <w:link w:val="TableHeading"/>
    <w:rsid w:val="00611899"/>
    <w:rPr>
      <w:rFonts w:ascii="Arial" w:eastAsia="Times New Roman" w:hAnsi="Arial" w:cs="Times New Roman"/>
      <w:b/>
      <w:color w:val="000000"/>
      <w:sz w:val="20"/>
      <w:szCs w:val="20"/>
      <w:lang w:val="x-none" w:eastAsia="x-none"/>
    </w:rPr>
  </w:style>
  <w:style w:type="paragraph" w:customStyle="1" w:styleId="TableColumnHeadingLeft">
    <w:name w:val="Table Column Heading Left"/>
    <w:basedOn w:val="Normal"/>
    <w:next w:val="Normal"/>
    <w:rsid w:val="00611899"/>
    <w:pPr>
      <w:suppressAutoHyphens w:val="0"/>
      <w:spacing w:before="60" w:line="240" w:lineRule="auto"/>
    </w:pPr>
    <w:rPr>
      <w:rFonts w:ascii="Arial" w:eastAsia="Times New Roman" w:hAnsi="Arial" w:cs="Times New Roman"/>
      <w:b/>
      <w:sz w:val="20"/>
      <w:szCs w:val="20"/>
      <w:lang w:eastAsia="en-AU"/>
    </w:rPr>
  </w:style>
  <w:style w:type="character" w:customStyle="1" w:styleId="Bullet1Char">
    <w:name w:val="Bullet 1 Char"/>
    <w:basedOn w:val="DefaultParagraphFont"/>
    <w:link w:val="Bullet1"/>
    <w:rsid w:val="004549A4"/>
    <w:rPr>
      <w:rFonts w:ascii="Arial" w:eastAsia="Cambria" w:hAnsi="Arial" w:cs="Times New Roman"/>
      <w:szCs w:val="28"/>
    </w:rPr>
  </w:style>
  <w:style w:type="paragraph" w:customStyle="1" w:styleId="TableTextBase">
    <w:name w:val="Table Text Base"/>
    <w:basedOn w:val="Normal"/>
    <w:link w:val="TableTextBaseChar"/>
    <w:rsid w:val="00FF6AF2"/>
    <w:pPr>
      <w:suppressAutoHyphens w:val="0"/>
      <w:spacing w:before="60" w:line="240" w:lineRule="auto"/>
    </w:pPr>
    <w:rPr>
      <w:rFonts w:ascii="Arial" w:eastAsia="Times New Roman" w:hAnsi="Arial" w:cs="Times New Roman"/>
      <w:sz w:val="18"/>
      <w:szCs w:val="20"/>
      <w:lang w:eastAsia="en-AU"/>
    </w:rPr>
  </w:style>
  <w:style w:type="paragraph" w:customStyle="1" w:styleId="TableTextLeft">
    <w:name w:val="Table Text Left"/>
    <w:basedOn w:val="TableTextBase"/>
    <w:link w:val="TableTextLeftChar"/>
    <w:rsid w:val="00FF6AF2"/>
  </w:style>
  <w:style w:type="character" w:customStyle="1" w:styleId="TableTextBaseChar">
    <w:name w:val="Table Text Base Char"/>
    <w:link w:val="TableTextBase"/>
    <w:rsid w:val="00FF6AF2"/>
    <w:rPr>
      <w:rFonts w:ascii="Arial" w:eastAsia="Times New Roman" w:hAnsi="Arial" w:cs="Times New Roman"/>
      <w:sz w:val="18"/>
      <w:szCs w:val="20"/>
      <w:lang w:eastAsia="en-AU"/>
    </w:rPr>
  </w:style>
  <w:style w:type="character" w:customStyle="1" w:styleId="TableTextLeftChar">
    <w:name w:val="Table Text Left Char"/>
    <w:link w:val="TableTextLeft"/>
    <w:rsid w:val="00FF6AF2"/>
    <w:rPr>
      <w:rFonts w:ascii="Arial" w:eastAsia="Times New Roman" w:hAnsi="Arial" w:cs="Times New Roman"/>
      <w:sz w:val="18"/>
      <w:szCs w:val="20"/>
      <w:lang w:eastAsia="en-AU"/>
    </w:rPr>
  </w:style>
  <w:style w:type="paragraph" w:customStyle="1" w:styleId="ChartandTableFootnoteAlpha">
    <w:name w:val="Chart and Table Footnote Alpha"/>
    <w:basedOn w:val="Normal"/>
    <w:next w:val="Normal"/>
    <w:rsid w:val="00FF6AF2"/>
    <w:pPr>
      <w:numPr>
        <w:numId w:val="279"/>
      </w:numPr>
      <w:suppressAutoHyphens w:val="0"/>
      <w:spacing w:before="0" w:after="0" w:line="240" w:lineRule="auto"/>
      <w:jc w:val="both"/>
    </w:pPr>
    <w:rPr>
      <w:rFonts w:ascii="Arial" w:eastAsia="Times New Roman" w:hAnsi="Arial" w:cs="Times New Roman"/>
      <w:sz w:val="1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5091">
      <w:bodyDiv w:val="1"/>
      <w:marLeft w:val="0"/>
      <w:marRight w:val="0"/>
      <w:marTop w:val="0"/>
      <w:marBottom w:val="0"/>
      <w:divBdr>
        <w:top w:val="none" w:sz="0" w:space="0" w:color="auto"/>
        <w:left w:val="none" w:sz="0" w:space="0" w:color="auto"/>
        <w:bottom w:val="none" w:sz="0" w:space="0" w:color="auto"/>
        <w:right w:val="none" w:sz="0" w:space="0" w:color="auto"/>
      </w:divBdr>
    </w:div>
    <w:div w:id="141892203">
      <w:bodyDiv w:val="1"/>
      <w:marLeft w:val="0"/>
      <w:marRight w:val="0"/>
      <w:marTop w:val="0"/>
      <w:marBottom w:val="0"/>
      <w:divBdr>
        <w:top w:val="none" w:sz="0" w:space="0" w:color="auto"/>
        <w:left w:val="none" w:sz="0" w:space="0" w:color="auto"/>
        <w:bottom w:val="none" w:sz="0" w:space="0" w:color="auto"/>
        <w:right w:val="none" w:sz="0" w:space="0" w:color="auto"/>
      </w:divBdr>
    </w:div>
    <w:div w:id="175928732">
      <w:bodyDiv w:val="1"/>
      <w:marLeft w:val="0"/>
      <w:marRight w:val="0"/>
      <w:marTop w:val="0"/>
      <w:marBottom w:val="0"/>
      <w:divBdr>
        <w:top w:val="none" w:sz="0" w:space="0" w:color="auto"/>
        <w:left w:val="none" w:sz="0" w:space="0" w:color="auto"/>
        <w:bottom w:val="none" w:sz="0" w:space="0" w:color="auto"/>
        <w:right w:val="none" w:sz="0" w:space="0" w:color="auto"/>
      </w:divBdr>
    </w:div>
    <w:div w:id="238708576">
      <w:bodyDiv w:val="1"/>
      <w:marLeft w:val="0"/>
      <w:marRight w:val="0"/>
      <w:marTop w:val="0"/>
      <w:marBottom w:val="0"/>
      <w:divBdr>
        <w:top w:val="none" w:sz="0" w:space="0" w:color="auto"/>
        <w:left w:val="none" w:sz="0" w:space="0" w:color="auto"/>
        <w:bottom w:val="none" w:sz="0" w:space="0" w:color="auto"/>
        <w:right w:val="none" w:sz="0" w:space="0" w:color="auto"/>
      </w:divBdr>
    </w:div>
    <w:div w:id="795175638">
      <w:bodyDiv w:val="1"/>
      <w:marLeft w:val="0"/>
      <w:marRight w:val="0"/>
      <w:marTop w:val="0"/>
      <w:marBottom w:val="0"/>
      <w:divBdr>
        <w:top w:val="none" w:sz="0" w:space="0" w:color="auto"/>
        <w:left w:val="none" w:sz="0" w:space="0" w:color="auto"/>
        <w:bottom w:val="none" w:sz="0" w:space="0" w:color="auto"/>
        <w:right w:val="none" w:sz="0" w:space="0" w:color="auto"/>
      </w:divBdr>
    </w:div>
    <w:div w:id="928005346">
      <w:bodyDiv w:val="1"/>
      <w:marLeft w:val="0"/>
      <w:marRight w:val="0"/>
      <w:marTop w:val="0"/>
      <w:marBottom w:val="0"/>
      <w:divBdr>
        <w:top w:val="none" w:sz="0" w:space="0" w:color="auto"/>
        <w:left w:val="none" w:sz="0" w:space="0" w:color="auto"/>
        <w:bottom w:val="none" w:sz="0" w:space="0" w:color="auto"/>
        <w:right w:val="none" w:sz="0" w:space="0" w:color="auto"/>
      </w:divBdr>
    </w:div>
    <w:div w:id="1012756431">
      <w:bodyDiv w:val="1"/>
      <w:marLeft w:val="0"/>
      <w:marRight w:val="0"/>
      <w:marTop w:val="0"/>
      <w:marBottom w:val="0"/>
      <w:divBdr>
        <w:top w:val="none" w:sz="0" w:space="0" w:color="auto"/>
        <w:left w:val="none" w:sz="0" w:space="0" w:color="auto"/>
        <w:bottom w:val="none" w:sz="0" w:space="0" w:color="auto"/>
        <w:right w:val="none" w:sz="0" w:space="0" w:color="auto"/>
      </w:divBdr>
    </w:div>
    <w:div w:id="1450200152">
      <w:bodyDiv w:val="1"/>
      <w:marLeft w:val="0"/>
      <w:marRight w:val="0"/>
      <w:marTop w:val="0"/>
      <w:marBottom w:val="0"/>
      <w:divBdr>
        <w:top w:val="none" w:sz="0" w:space="0" w:color="auto"/>
        <w:left w:val="none" w:sz="0" w:space="0" w:color="auto"/>
        <w:bottom w:val="none" w:sz="0" w:space="0" w:color="auto"/>
        <w:right w:val="none" w:sz="0" w:space="0" w:color="auto"/>
      </w:divBdr>
    </w:div>
    <w:div w:id="1957784254">
      <w:bodyDiv w:val="1"/>
      <w:marLeft w:val="0"/>
      <w:marRight w:val="0"/>
      <w:marTop w:val="0"/>
      <w:marBottom w:val="0"/>
      <w:divBdr>
        <w:top w:val="none" w:sz="0" w:space="0" w:color="auto"/>
        <w:left w:val="none" w:sz="0" w:space="0" w:color="auto"/>
        <w:bottom w:val="none" w:sz="0" w:space="0" w:color="auto"/>
        <w:right w:val="none" w:sz="0" w:space="0" w:color="auto"/>
      </w:divBdr>
    </w:div>
    <w:div w:id="19670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www.data.gov.au/" TargetMode="External"/><Relationship Id="rId42" Type="http://schemas.openxmlformats.org/officeDocument/2006/relationships/hyperlink" Target="mailto:legcon.sen@aph.gov.au" TargetMode="External"/><Relationship Id="rId47" Type="http://schemas.openxmlformats.org/officeDocument/2006/relationships/hyperlink" Target="mailto:Budget_Framework@finance.gov.au" TargetMode="External"/><Relationship Id="rId63" Type="http://schemas.openxmlformats.org/officeDocument/2006/relationships/hyperlink" Target="https://www.data.gov.au/" TargetMode="External"/><Relationship Id="rId68" Type="http://schemas.openxmlformats.org/officeDocument/2006/relationships/hyperlink" Target="mailto:Budget_Framework@finance.gov.au" TargetMode="External"/><Relationship Id="rId84" Type="http://schemas.openxmlformats.org/officeDocument/2006/relationships/hyperlink" Target="https://www.aasb.gov.au/admin/file/content105/c9/AASB1055_03-13.pdf" TargetMode="External"/><Relationship Id="rId89" Type="http://schemas.openxmlformats.org/officeDocument/2006/relationships/hyperlink" Target="https://www.finance.gov.au/publications/resource-management-guides/accounting-machinery-government-changes-rmg-118" TargetMode="External"/><Relationship Id="rId112" Type="http://schemas.openxmlformats.org/officeDocument/2006/relationships/hyperlink" Target="http://www.legislation.gov.au" TargetMode="External"/><Relationship Id="rId16" Type="http://schemas.openxmlformats.org/officeDocument/2006/relationships/header" Target="header3.xml"/><Relationship Id="rId107" Type="http://schemas.openxmlformats.org/officeDocument/2006/relationships/hyperlink" Target="mailto:table.docs@aph.gov.au"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yperlink" Target="https://www.finance.gov.au/publications/resource-management-guides" TargetMode="External"/><Relationship Id="rId37" Type="http://schemas.openxmlformats.org/officeDocument/2006/relationships/hyperlink" Target="mailto:economics.sen@aph.gov.au" TargetMode="External"/><Relationship Id="rId40" Type="http://schemas.openxmlformats.org/officeDocument/2006/relationships/hyperlink" Target="mailto:fpa.sen@aph.gov.au" TargetMode="External"/><Relationship Id="rId45" Type="http://schemas.openxmlformats.org/officeDocument/2006/relationships/hyperlink" Target="https://www.dta.gov.au/help-and-advice/guides-and-tools/commonwealth-library-deposit-and-free-issue-schemes" TargetMode="External"/><Relationship Id="rId53" Type="http://schemas.openxmlformats.org/officeDocument/2006/relationships/hyperlink" Target="http://www.aph.gov.au/parliamentary_business/Dynamic_Red" TargetMode="External"/><Relationship Id="rId58" Type="http://schemas.openxmlformats.org/officeDocument/2006/relationships/hyperlink" Target="mailto:Budget_Framework@finance.gov.au" TargetMode="External"/><Relationship Id="rId66" Type="http://schemas.openxmlformats.org/officeDocument/2006/relationships/hyperlink" Target="mailto:budget_framework@finance.gov.au" TargetMode="External"/><Relationship Id="rId74" Type="http://schemas.openxmlformats.org/officeDocument/2006/relationships/hyperlink" Target="https://www.finance.gov.au/government/resource-management/list-az" TargetMode="External"/><Relationship Id="rId79" Type="http://schemas.openxmlformats.org/officeDocument/2006/relationships/hyperlink" Target="http://www.finance.gov.au/sites/default/files/2019-11/commonwealth-programmes-policy-and-approval-process.pdf" TargetMode="External"/><Relationship Id="rId87" Type="http://schemas.openxmlformats.org/officeDocument/2006/relationships/hyperlink" Target="https://www.finance.gov.au/publications/resource-management-guides/commonwealth-entities-financial-statements-guide-rmg-125" TargetMode="External"/><Relationship Id="rId102" Type="http://schemas.openxmlformats.org/officeDocument/2006/relationships/hyperlink" Target="mailto:annual.appropriations@finance.gov.au" TargetMode="External"/><Relationship Id="rId110" Type="http://schemas.openxmlformats.org/officeDocument/2006/relationships/hyperlink" Target="http://www.finance.gov.au/government/managing-commonwealth-resources/structure-australian-government-public-sector/australian-government-organisations-register"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data.gov.au/" TargetMode="External"/><Relationship Id="rId82" Type="http://schemas.openxmlformats.org/officeDocument/2006/relationships/hyperlink" Target="https://www.finance.gov.au/government/managing-commonwealth-resources/developing-good-performance-information-rmg-131" TargetMode="External"/><Relationship Id="rId90" Type="http://schemas.openxmlformats.org/officeDocument/2006/relationships/image" Target="media/image7.png"/><Relationship Id="rId95" Type="http://schemas.openxmlformats.org/officeDocument/2006/relationships/image" Target="media/image12.png"/><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yperlink" Target="mailto:budget_framework@finance.gov.au" TargetMode="External"/><Relationship Id="rId27" Type="http://schemas.openxmlformats.org/officeDocument/2006/relationships/hyperlink" Target="https://www.pmc.gov.au/resource-centre/government/ministry-list" TargetMode="External"/><Relationship Id="rId30" Type="http://schemas.openxmlformats.org/officeDocument/2006/relationships/footer" Target="footer3.xml"/><Relationship Id="rId35" Type="http://schemas.openxmlformats.org/officeDocument/2006/relationships/hyperlink" Target="mailto:Budget_Framework@finance.gov.au" TargetMode="External"/><Relationship Id="rId43" Type="http://schemas.openxmlformats.org/officeDocument/2006/relationships/hyperlink" Target="mailto:rrat.sen@aph.gov.au" TargetMode="External"/><Relationship Id="rId48" Type="http://schemas.openxmlformats.org/officeDocument/2006/relationships/hyperlink" Target="mailto:Budget_Framework@finance.gov.au" TargetMode="External"/><Relationship Id="rId56" Type="http://schemas.openxmlformats.org/officeDocument/2006/relationships/hyperlink" Target="https://www.data.gov.au/" TargetMode="External"/><Relationship Id="rId64" Type="http://schemas.openxmlformats.org/officeDocument/2006/relationships/hyperlink" Target="http://www.pmc.gov.au/resource-centre/government/tabling-guidelines" TargetMode="External"/><Relationship Id="rId69" Type="http://schemas.openxmlformats.org/officeDocument/2006/relationships/hyperlink" Target="https://www.finance.gov.au/government/managing-commonwealth-resources/structure-australian-government-public-sector" TargetMode="External"/><Relationship Id="rId77" Type="http://schemas.openxmlformats.org/officeDocument/2006/relationships/hyperlink" Target="https://www.finance.gov.au/government/managing-commonwealth-resources/reporting-performance-information-portfolio-budget-statements-rmg-129/finance-secretary-direction-8-december-2021" TargetMode="External"/><Relationship Id="rId100" Type="http://schemas.openxmlformats.org/officeDocument/2006/relationships/hyperlink" Target="mailto:budget_framework@finance.gov.au" TargetMode="External"/><Relationship Id="rId105" Type="http://schemas.openxmlformats.org/officeDocument/2006/relationships/hyperlink" Target="mailto:creativeservices@treasury.gov.au" TargetMode="External"/><Relationship Id="rId113" Type="http://schemas.openxmlformats.org/officeDocument/2006/relationships/hyperlink" Target="https://www.finance.gov.au/government/managing-commonwealth-resources/corporate-plans-commonwealth-entities-rmg-132" TargetMode="External"/><Relationship Id="rId8" Type="http://schemas.openxmlformats.org/officeDocument/2006/relationships/styles" Target="styles.xml"/><Relationship Id="rId51" Type="http://schemas.openxmlformats.org/officeDocument/2006/relationships/hyperlink" Target="https://www.stylemanual.gov.au/" TargetMode="External"/><Relationship Id="rId72" Type="http://schemas.openxmlformats.org/officeDocument/2006/relationships/hyperlink" Target="http://www.federalfinancialrelations.gov.au/sites/federalfinancialrelations.gov.au/files/2020-04/nt_remote_aboriginal_investment_np.pdf" TargetMode="External"/><Relationship Id="rId80" Type="http://schemas.openxmlformats.org/officeDocument/2006/relationships/image" Target="media/image6.png"/><Relationship Id="rId85" Type="http://schemas.openxmlformats.org/officeDocument/2006/relationships/hyperlink" Target="https://www.finance.gov.au/publications/resource-management-guides" TargetMode="External"/><Relationship Id="rId93" Type="http://schemas.openxmlformats.org/officeDocument/2006/relationships/image" Target="media/image10.png"/><Relationship Id="rId98" Type="http://schemas.openxmlformats.org/officeDocument/2006/relationships/hyperlink" Target="https://www.data.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yperlink" Target="https://www.protectivesecurity.gov.au/" TargetMode="External"/><Relationship Id="rId38" Type="http://schemas.openxmlformats.org/officeDocument/2006/relationships/hyperlink" Target="mailto:eec.sen@aph.gov.au" TargetMode="External"/><Relationship Id="rId46" Type="http://schemas.openxmlformats.org/officeDocument/2006/relationships/hyperlink" Target="http://govlink.sge.net/home.aspx" TargetMode="External"/><Relationship Id="rId59" Type="http://schemas.openxmlformats.org/officeDocument/2006/relationships/hyperlink" Target="https://data.gov.au/" TargetMode="External"/><Relationship Id="rId67" Type="http://schemas.openxmlformats.org/officeDocument/2006/relationships/hyperlink" Target="https://www.data.gov.au/" TargetMode="External"/><Relationship Id="rId103" Type="http://schemas.openxmlformats.org/officeDocument/2006/relationships/hyperlink" Target="http://www.budget.gov.au" TargetMode="External"/><Relationship Id="rId108" Type="http://schemas.openxmlformats.org/officeDocument/2006/relationships/hyperlink" Target="http://www.directory.gov.au/reports/australian-government-organisations-register" TargetMode="External"/><Relationship Id="rId20" Type="http://schemas.openxmlformats.org/officeDocument/2006/relationships/hyperlink" Target="mailto:budget_framework@finance.gov.au" TargetMode="External"/><Relationship Id="rId41" Type="http://schemas.openxmlformats.org/officeDocument/2006/relationships/hyperlink" Target="mailto:fadt.sen@aph.gov.au" TargetMode="External"/><Relationship Id="rId54" Type="http://schemas.openxmlformats.org/officeDocument/2006/relationships/hyperlink" Target="http://www.budget.gov.au" TargetMode="External"/><Relationship Id="rId62" Type="http://schemas.openxmlformats.org/officeDocument/2006/relationships/hyperlink" Target="mailto:data@digital.gov.au" TargetMode="External"/><Relationship Id="rId70" Type="http://schemas.openxmlformats.org/officeDocument/2006/relationships/hyperlink" Target="http://www.finance.gov.au/government/managing-commonwealth-resources/structure-australian-government-public-sector/pgpa-act-flipchart-list" TargetMode="External"/><Relationship Id="rId75" Type="http://schemas.openxmlformats.org/officeDocument/2006/relationships/hyperlink" Target="mailto:PGPA@finance.gov.au" TargetMode="External"/><Relationship Id="rId83" Type="http://schemas.openxmlformats.org/officeDocument/2006/relationships/hyperlink" Target="http://www.finance.gov.au/government/financial-reporting-accounting-policy/financial-reporting-commonwealth-entities" TargetMode="External"/><Relationship Id="rId88" Type="http://schemas.openxmlformats.org/officeDocument/2006/relationships/hyperlink" Target="https://www.finance.gov.au/publications/resource-management-guides/reporting-requirements-following-machinery-government-changes-rmg-119" TargetMode="External"/><Relationship Id="rId91" Type="http://schemas.openxmlformats.org/officeDocument/2006/relationships/image" Target="media/image8.png"/><Relationship Id="rId96" Type="http://schemas.openxmlformats.org/officeDocument/2006/relationships/hyperlink" Target="https://www.stylemanual.gov.au/user-needs/accessibility-and-inclusion" TargetMode="External"/><Relationship Id="rId111" Type="http://schemas.openxmlformats.org/officeDocument/2006/relationships/hyperlink" Target="http://www.finance.gov.au/government/managing-commonwealth-resources/structure-australian-government-public-sector/pgpa-act-flipchart-lis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data.gov.au/" TargetMode="External"/><Relationship Id="rId28" Type="http://schemas.openxmlformats.org/officeDocument/2006/relationships/header" Target="header6.xml"/><Relationship Id="rId36" Type="http://schemas.openxmlformats.org/officeDocument/2006/relationships/hyperlink" Target="mailto:community.affairs.sen@aph.gov.au" TargetMode="External"/><Relationship Id="rId49" Type="http://schemas.openxmlformats.org/officeDocument/2006/relationships/hyperlink" Target="mailto:budgetcommunications@treasury.gov.au" TargetMode="External"/><Relationship Id="rId57" Type="http://schemas.openxmlformats.org/officeDocument/2006/relationships/hyperlink" Target="https://www.data.gov.au/" TargetMode="External"/><Relationship Id="rId106" Type="http://schemas.openxmlformats.org/officeDocument/2006/relationships/hyperlink" Target="mailto:budget-website@treasury.gov.au" TargetMode="External"/><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eader" Target="header8.xml"/><Relationship Id="rId44" Type="http://schemas.openxmlformats.org/officeDocument/2006/relationships/hyperlink" Target="mailto:info@dta.gov.au" TargetMode="External"/><Relationship Id="rId52" Type="http://schemas.openxmlformats.org/officeDocument/2006/relationships/hyperlink" Target="mailto:budget-website@treasury.gov.au" TargetMode="External"/><Relationship Id="rId60" Type="http://schemas.openxmlformats.org/officeDocument/2006/relationships/hyperlink" Target="https://data.gov.au/" TargetMode="External"/><Relationship Id="rId65" Type="http://schemas.openxmlformats.org/officeDocument/2006/relationships/hyperlink" Target="mailto:tabling@pmc.gov.au" TargetMode="External"/><Relationship Id="rId73" Type="http://schemas.openxmlformats.org/officeDocument/2006/relationships/hyperlink" Target="https://www.finance.gov.au/publications/resource-management-guides" TargetMode="External"/><Relationship Id="rId78" Type="http://schemas.openxmlformats.org/officeDocument/2006/relationships/hyperlink" Target="http://www.finance.gov.au/sites/default/files/2019-11/outcome-statements-policy-and-approval-process_1.pdf" TargetMode="External"/><Relationship Id="rId81" Type="http://schemas.openxmlformats.org/officeDocument/2006/relationships/hyperlink" Target="https://www.finance.gov.au/publications/resource-management-guides" TargetMode="External"/><Relationship Id="rId86" Type="http://schemas.openxmlformats.org/officeDocument/2006/relationships/hyperlink" Target="https://www.apsc.gov.au/working-aps/information-aps-employment/machinery-government-mog" TargetMode="External"/><Relationship Id="rId94" Type="http://schemas.openxmlformats.org/officeDocument/2006/relationships/image" Target="media/image11.png"/><Relationship Id="rId99" Type="http://schemas.openxmlformats.org/officeDocument/2006/relationships/hyperlink" Target="https://www.data.gov.au/" TargetMode="External"/><Relationship Id="rId101" Type="http://schemas.openxmlformats.org/officeDocument/2006/relationships/hyperlink" Target="mailto:PGPA@finance.gov.au"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hyperlink" Target="mailto:ec.sen@aph.gov.au" TargetMode="External"/><Relationship Id="rId109" Type="http://schemas.openxmlformats.org/officeDocument/2006/relationships/hyperlink" Target="http://www.directory.gov.au/" TargetMode="External"/><Relationship Id="rId34" Type="http://schemas.openxmlformats.org/officeDocument/2006/relationships/hyperlink" Target="mailto:budget_framework@finance.gov.au" TargetMode="External"/><Relationship Id="rId50" Type="http://schemas.openxmlformats.org/officeDocument/2006/relationships/hyperlink" Target="http://www.budget.gov.au" TargetMode="External"/><Relationship Id="rId55" Type="http://schemas.openxmlformats.org/officeDocument/2006/relationships/hyperlink" Target="http://www.data.gov.au" TargetMode="External"/><Relationship Id="rId76" Type="http://schemas.openxmlformats.org/officeDocument/2006/relationships/hyperlink" Target="https://www.finance.gov.au/government/managing-commonwealth-resources/managing-money-property/managing-money/annual-appropriations/portfolio-budget-statements" TargetMode="External"/><Relationship Id="rId97" Type="http://schemas.openxmlformats.org/officeDocument/2006/relationships/image" Target="media/image13.emf"/><Relationship Id="rId104" Type="http://schemas.openxmlformats.org/officeDocument/2006/relationships/hyperlink" Target="mailto:budgetcommunications@treasury.gov.au" TargetMode="External"/><Relationship Id="rId7" Type="http://schemas.openxmlformats.org/officeDocument/2006/relationships/numbering" Target="numbering.xml"/><Relationship Id="rId71" Type="http://schemas.openxmlformats.org/officeDocument/2006/relationships/hyperlink" Target="http://www.finance.gov.au/government/governance/australian-government-organisations-register/australian-government-organisations-register-types-bodies" TargetMode="External"/><Relationship Id="rId92" Type="http://schemas.openxmlformats.org/officeDocument/2006/relationships/image" Target="media/image9.emf"/><Relationship Id="rId2" Type="http://schemas.openxmlformats.org/officeDocument/2006/relationships/customXml" Target="../customXml/item2.xml"/><Relationship Id="rId29"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133</Value>
    </TaxCatchAll>
    <LMName xmlns="82ff9d9b-d3fc-4aad-bc42-9949ee83b815" xsi:nil="true"/>
    <LastModDate xmlns="82ff9d9b-d3fc-4aad-bc42-9949ee83b815" xsi:nil="true"/>
    <SecClass xmlns="82ff9d9b-d3fc-4aad-bc42-9949ee83b815">OFFICIAL</SecClass>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fdd6b31f-a027-425f-adfa-a4194e98dae2">FIN33506-1658115890-276308</_dlc_DocId>
    <_dlc_DocIdUrl xmlns="fdd6b31f-a027-425f-adfa-a4194e98dae2">
      <Url>https://f1.prdmgd.finance.gov.au/sites/50033506/_layouts/15/DocIdRedir.aspx?ID=FIN33506-1658115890-276308</Url>
      <Description>FIN33506-1658115890-276308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41D55FEFC2E954F919119111D872713" ma:contentTypeVersion="99" ma:contentTypeDescription="Create a new document." ma:contentTypeScope="" ma:versionID="f05df4bf7fcb5c4072f352fc3d697e99">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E725-6E41-432E-AE60-B905C4FA59E9}">
  <ds:schemaRefs>
    <ds:schemaRef ds:uri="http://schemas.microsoft.com/sharepoint/v3/contenttype/forms"/>
  </ds:schemaRefs>
</ds:datastoreItem>
</file>

<file path=customXml/itemProps2.xml><?xml version="1.0" encoding="utf-8"?>
<ds:datastoreItem xmlns:ds="http://schemas.openxmlformats.org/officeDocument/2006/customXml" ds:itemID="{0A7FCE97-0310-4E8D-9DDC-CD861DBF1EEF}">
  <ds:schemaRefs>
    <ds:schemaRef ds:uri="Microsoft.SharePoint.Taxonomy.ContentTypeSync"/>
  </ds:schemaRefs>
</ds:datastoreItem>
</file>

<file path=customXml/itemProps3.xml><?xml version="1.0" encoding="utf-8"?>
<ds:datastoreItem xmlns:ds="http://schemas.openxmlformats.org/officeDocument/2006/customXml" ds:itemID="{D608C142-43C9-4199-8BFD-870E06446540}">
  <ds:schemaRefs>
    <ds:schemaRef ds:uri="http://purl.org/dc/dcmitype/"/>
    <ds:schemaRef ds:uri="http://schemas.openxmlformats.org/package/2006/metadata/core-properties"/>
    <ds:schemaRef ds:uri="http://purl.org/dc/elements/1.1/"/>
    <ds:schemaRef ds:uri="http://schemas.microsoft.com/office/2006/metadata/properties"/>
    <ds:schemaRef ds:uri="fdd6b31f-a027-425f-adfa-a4194e98dae2"/>
    <ds:schemaRef ds:uri="http://schemas.microsoft.com/office/2006/documentManagement/types"/>
    <ds:schemaRef ds:uri="http://purl.org/dc/terms/"/>
    <ds:schemaRef ds:uri="http://schemas.microsoft.com/office/infopath/2007/PartnerControls"/>
    <ds:schemaRef ds:uri="82ff9d9b-d3fc-4aad-bc42-9949ee83b81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3F527CA-634F-452F-9F10-3A337672C8CA}">
  <ds:schemaRefs>
    <ds:schemaRef ds:uri="http://schemas.microsoft.com/sharepoint/events"/>
  </ds:schemaRefs>
</ds:datastoreItem>
</file>

<file path=customXml/itemProps5.xml><?xml version="1.0" encoding="utf-8"?>
<ds:datastoreItem xmlns:ds="http://schemas.openxmlformats.org/officeDocument/2006/customXml" ds:itemID="{4B3568A4-9385-4F0A-8048-53061B31F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A5B8E1-E53F-4CA2-8E41-814EB986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76</Pages>
  <Words>24469</Words>
  <Characters>139474</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DS amendments Attachment A - Guide to preparing the 2022-23 Portfolio Budget Statement v8</vt:lpstr>
    </vt:vector>
  </TitlesOfParts>
  <Company/>
  <LinksUpToDate>false</LinksUpToDate>
  <CharactersWithSpaces>163616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preparing the October 2022-23 Portfolio Budget Statements</dc:title>
  <dc:subject/>
  <dc:creator>Department of Finance</dc:creator>
  <cp:keywords/>
  <dc:description/>
  <cp:lastModifiedBy>Truong, Minh</cp:lastModifiedBy>
  <cp:revision>9</cp:revision>
  <cp:lastPrinted>2022-08-17T03:09:00Z</cp:lastPrinted>
  <dcterms:created xsi:type="dcterms:W3CDTF">2022-09-20T04:25:00Z</dcterms:created>
  <dcterms:modified xsi:type="dcterms:W3CDTF">2022-09-27T01:15:00Z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0x010100B321FEA60C5BA343A52BC94EC00ABC9E0700B41D55FEFC2E954F919119111D872713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7cd70409-05a8-4454-ac45-a9147c5f153e</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