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563A" w14:textId="5147B7BE" w:rsidR="00907BFA" w:rsidRDefault="00907BFA" w:rsidP="00FA556F">
      <w:pPr>
        <w:pStyle w:val="Heading1Numbered"/>
      </w:pPr>
      <w:bookmarkStart w:id="0" w:name="Appendix1"/>
      <w:bookmarkStart w:id="1" w:name="_Toc102388629"/>
      <w:r>
        <w:t xml:space="preserve">Appendix 1 – </w:t>
      </w:r>
      <w:r w:rsidRPr="00FA556F">
        <w:t>Calculating</w:t>
      </w:r>
      <w:r>
        <w:t xml:space="preserve"> </w:t>
      </w:r>
      <w:r w:rsidR="00653C6B">
        <w:t xml:space="preserve">annual appropriation </w:t>
      </w:r>
      <w:r>
        <w:t>transfer amount</w:t>
      </w:r>
      <w:bookmarkEnd w:id="0"/>
      <w:r w:rsidR="00010AFF">
        <w:t>s</w:t>
      </w:r>
      <w:bookmarkEnd w:id="1"/>
    </w:p>
    <w:p w14:paraId="28E0C9B6" w14:textId="77777777" w:rsidR="00A11D62" w:rsidRDefault="00A11D62" w:rsidP="0063019D">
      <w:pPr>
        <w:spacing w:before="480" w:after="240"/>
        <w:rPr>
          <w:sz w:val="30"/>
          <w:szCs w:val="30"/>
        </w:rPr>
      </w:pPr>
      <w:bookmarkStart w:id="2" w:name="Appendix1Step1"/>
      <w:r w:rsidRPr="0063019D">
        <w:rPr>
          <w:sz w:val="30"/>
          <w:szCs w:val="30"/>
        </w:rPr>
        <w:t xml:space="preserve">Step 1. Calculate current year </w:t>
      </w:r>
      <w:r w:rsidR="00946082">
        <w:rPr>
          <w:sz w:val="30"/>
          <w:szCs w:val="30"/>
        </w:rPr>
        <w:t xml:space="preserve">departmental </w:t>
      </w:r>
      <w:r w:rsidRPr="0063019D">
        <w:rPr>
          <w:sz w:val="30"/>
          <w:szCs w:val="30"/>
        </w:rPr>
        <w:t>appropriation transfer</w:t>
      </w:r>
    </w:p>
    <w:bookmarkEnd w:id="2"/>
    <w:p w14:paraId="52A71659" w14:textId="11B01C3D" w:rsidR="002223BA" w:rsidRDefault="00F02B32" w:rsidP="0063019D">
      <w:r>
        <w:t>Calculate t</w:t>
      </w:r>
      <w:r w:rsidR="00907BFA" w:rsidRPr="00007CE5">
        <w:t>he</w:t>
      </w:r>
      <w:r w:rsidR="00907BFA" w:rsidRPr="00007CE5">
        <w:rPr>
          <w:b/>
        </w:rPr>
        <w:t xml:space="preserve"> </w:t>
      </w:r>
      <w:r w:rsidR="00907BFA" w:rsidRPr="00007CE5">
        <w:rPr>
          <w:bCs/>
        </w:rPr>
        <w:t>balance of the current year departmental appropriation</w:t>
      </w:r>
      <w:r w:rsidR="00907BFA" w:rsidRPr="00007CE5">
        <w:rPr>
          <w:b/>
        </w:rPr>
        <w:t xml:space="preserve"> </w:t>
      </w:r>
      <w:r w:rsidR="00907BFA" w:rsidRPr="00007CE5">
        <w:t xml:space="preserve">at </w:t>
      </w:r>
      <w:r w:rsidR="00AC5AEB">
        <w:t xml:space="preserve">the </w:t>
      </w:r>
      <w:hyperlink w:anchor="Appendix1Dateoftransfer" w:history="1">
        <w:r w:rsidR="00AC5AEB" w:rsidRPr="005E2F07">
          <w:rPr>
            <w:rStyle w:val="Hyperlink"/>
          </w:rPr>
          <w:t xml:space="preserve">date of </w:t>
        </w:r>
        <w:r w:rsidR="00907BFA" w:rsidRPr="005E2F07">
          <w:rPr>
            <w:rStyle w:val="Hyperlink"/>
          </w:rPr>
          <w:t>transfer</w:t>
        </w:r>
      </w:hyperlink>
      <w:r w:rsidR="00907BFA" w:rsidRPr="00007CE5">
        <w:t xml:space="preserve"> </w:t>
      </w:r>
      <w:r w:rsidR="006D7FC6">
        <w:t>b</w:t>
      </w:r>
      <w:r w:rsidR="002223BA">
        <w:t xml:space="preserve">y subtracting the </w:t>
      </w:r>
      <w:r w:rsidR="002223BA" w:rsidRPr="005405DF">
        <w:rPr>
          <w:bCs/>
        </w:rPr>
        <w:t xml:space="preserve">expenditure incurred by </w:t>
      </w:r>
      <w:r w:rsidR="00B17584" w:rsidRPr="005405DF">
        <w:rPr>
          <w:bCs/>
        </w:rPr>
        <w:t xml:space="preserve">the </w:t>
      </w:r>
      <w:r w:rsidR="001B308D" w:rsidRPr="00046DCA">
        <w:rPr>
          <w:bCs/>
        </w:rPr>
        <w:t>transferring</w:t>
      </w:r>
      <w:r w:rsidR="00C91BA3">
        <w:rPr>
          <w:bCs/>
        </w:rPr>
        <w:t xml:space="preserve"> </w:t>
      </w:r>
      <w:r w:rsidR="00B17584" w:rsidRPr="005405DF">
        <w:rPr>
          <w:bCs/>
        </w:rPr>
        <w:t>e</w:t>
      </w:r>
      <w:r w:rsidR="002223BA">
        <w:rPr>
          <w:bCs/>
        </w:rPr>
        <w:t>ntity to the date of transfer from the</w:t>
      </w:r>
      <w:r w:rsidR="002223BA">
        <w:t xml:space="preserve"> departmental a</w:t>
      </w:r>
      <w:r w:rsidR="002223BA" w:rsidRPr="008023D7">
        <w:t>ppropriation</w:t>
      </w:r>
      <w:r w:rsidR="00046DCA">
        <w:t xml:space="preserve"> provided </w:t>
      </w:r>
      <w:r w:rsidR="002223BA" w:rsidRPr="008023D7">
        <w:t xml:space="preserve">for </w:t>
      </w:r>
      <w:r w:rsidR="00046DCA">
        <w:t xml:space="preserve">the </w:t>
      </w:r>
      <w:r w:rsidR="002223BA" w:rsidRPr="008023D7">
        <w:t>current</w:t>
      </w:r>
      <w:r w:rsidR="00046DCA">
        <w:t xml:space="preserve"> financial</w:t>
      </w:r>
      <w:r w:rsidR="002223BA" w:rsidRPr="008023D7">
        <w:t xml:space="preserve"> year</w:t>
      </w:r>
      <w:r w:rsidR="002223BA">
        <w:t>.</w:t>
      </w:r>
      <w:r w:rsidR="00D646ED">
        <w:t xml:space="preserve"> </w:t>
      </w:r>
    </w:p>
    <w:p w14:paraId="6F112CE5" w14:textId="7CE1CB05" w:rsidR="0037216E" w:rsidRPr="0063019D" w:rsidRDefault="00243D75" w:rsidP="0063019D">
      <w:pPr>
        <w:pStyle w:val="Tabletitle"/>
      </w:pPr>
      <w:r w:rsidRPr="00946082">
        <w:rPr>
          <w:rFonts w:eastAsiaTheme="minorEastAsia"/>
        </w:rPr>
        <w:t xml:space="preserve">Current year departmental appropriation </w:t>
      </w:r>
      <w:r w:rsidR="006E3934">
        <w:rPr>
          <w:rFonts w:eastAsiaTheme="minorEastAsia"/>
        </w:rPr>
        <w:t>balance</w:t>
      </w:r>
      <w:r w:rsidR="00946082">
        <w:rPr>
          <w:rFonts w:eastAsiaTheme="minorEastAsia"/>
        </w:rPr>
        <w:t xml:space="preserve"> =</w:t>
      </w:r>
    </w:p>
    <w:tbl>
      <w:tblPr>
        <w:tblStyle w:val="TableGrid"/>
        <w:tblW w:w="0" w:type="auto"/>
        <w:tblInd w:w="-5" w:type="dxa"/>
        <w:tblBorders>
          <w:top w:val="single" w:sz="4" w:space="0" w:color="B4B5DF"/>
          <w:left w:val="single" w:sz="4" w:space="0" w:color="B4B5DF"/>
          <w:bottom w:val="single" w:sz="4" w:space="0" w:color="B4B5DF"/>
          <w:right w:val="single" w:sz="4" w:space="0" w:color="B4B5DF"/>
          <w:insideH w:val="single" w:sz="4" w:space="0" w:color="B4B5DF"/>
          <w:insideV w:val="single" w:sz="4" w:space="0" w:color="B4B5DF"/>
        </w:tblBorders>
        <w:tblLook w:val="04A0" w:firstRow="1" w:lastRow="0" w:firstColumn="1" w:lastColumn="0" w:noHBand="0" w:noVBand="1"/>
      </w:tblPr>
      <w:tblGrid>
        <w:gridCol w:w="3969"/>
        <w:gridCol w:w="1418"/>
        <w:gridCol w:w="3680"/>
      </w:tblGrid>
      <w:tr w:rsidR="00946082" w14:paraId="3006DCB4" w14:textId="77777777" w:rsidTr="0063019D">
        <w:trPr>
          <w:tblHeader/>
        </w:trPr>
        <w:tc>
          <w:tcPr>
            <w:tcW w:w="3969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  <w:vAlign w:val="center"/>
          </w:tcPr>
          <w:p w14:paraId="00F441DC" w14:textId="2E7FF6E4" w:rsidR="0037216E" w:rsidRPr="0063019D" w:rsidRDefault="0037216E" w:rsidP="00046DCA">
            <w:pPr>
              <w:pStyle w:val="TableText"/>
              <w:jc w:val="center"/>
              <w:rPr>
                <w:rFonts w:ascii="Arial" w:hAnsi="Arial" w:cs="Arial"/>
                <w:sz w:val="22"/>
              </w:rPr>
            </w:pPr>
            <w:r w:rsidRPr="0063019D">
              <w:rPr>
                <w:rFonts w:ascii="Arial" w:hAnsi="Arial" w:cs="Arial"/>
                <w:sz w:val="22"/>
              </w:rPr>
              <w:t>Departmental appropriation</w:t>
            </w:r>
            <w:r w:rsidR="00046DCA">
              <w:rPr>
                <w:rFonts w:ascii="Arial" w:hAnsi="Arial" w:cs="Arial"/>
                <w:sz w:val="22"/>
              </w:rPr>
              <w:t>s</w:t>
            </w:r>
            <w:r w:rsidRPr="0063019D">
              <w:rPr>
                <w:rFonts w:ascii="Arial" w:hAnsi="Arial" w:cs="Arial"/>
                <w:sz w:val="22"/>
              </w:rPr>
              <w:t xml:space="preserve"> </w:t>
            </w:r>
            <w:r w:rsidR="00046DCA">
              <w:rPr>
                <w:rFonts w:ascii="Arial" w:hAnsi="Arial" w:cs="Arial"/>
                <w:sz w:val="22"/>
              </w:rPr>
              <w:t xml:space="preserve">provided </w:t>
            </w:r>
            <w:r w:rsidRPr="0063019D">
              <w:rPr>
                <w:rFonts w:ascii="Arial" w:hAnsi="Arial" w:cs="Arial"/>
                <w:sz w:val="22"/>
              </w:rPr>
              <w:t>for current year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ECBAA8"/>
              <w:bottom w:val="single" w:sz="4" w:space="0" w:color="FFFFFF" w:themeColor="background1"/>
              <w:right w:val="single" w:sz="4" w:space="0" w:color="ECBAA8"/>
            </w:tcBorders>
            <w:shd w:val="clear" w:color="auto" w:fill="FFFFFF" w:themeFill="background1"/>
            <w:vAlign w:val="center"/>
          </w:tcPr>
          <w:p w14:paraId="358F415B" w14:textId="77777777" w:rsidR="0037216E" w:rsidRPr="0063019D" w:rsidRDefault="0037216E" w:rsidP="0063019D">
            <w:pPr>
              <w:pStyle w:val="TableText"/>
              <w:jc w:val="center"/>
              <w:rPr>
                <w:rFonts w:ascii="Arial" w:hAnsi="Arial" w:cs="Arial"/>
                <w:b/>
                <w:sz w:val="22"/>
              </w:rPr>
            </w:pPr>
            <w:r w:rsidRPr="0063019D">
              <w:rPr>
                <w:rFonts w:ascii="Arial" w:hAnsi="Arial" w:cs="Arial"/>
                <w:b/>
                <w:sz w:val="22"/>
              </w:rPr>
              <w:t>less</w:t>
            </w:r>
          </w:p>
        </w:tc>
        <w:tc>
          <w:tcPr>
            <w:tcW w:w="3680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</w:tcPr>
          <w:p w14:paraId="53CB0EE2" w14:textId="77777777" w:rsidR="0037216E" w:rsidRPr="0063019D" w:rsidRDefault="0037216E" w:rsidP="0063019D">
            <w:pPr>
              <w:pStyle w:val="TableText"/>
              <w:jc w:val="center"/>
              <w:rPr>
                <w:rFonts w:ascii="Arial" w:hAnsi="Arial" w:cs="Arial"/>
                <w:sz w:val="22"/>
              </w:rPr>
            </w:pPr>
            <w:r w:rsidRPr="0063019D">
              <w:rPr>
                <w:rFonts w:ascii="Arial" w:hAnsi="Arial" w:cs="Arial"/>
                <w:sz w:val="22"/>
              </w:rPr>
              <w:t xml:space="preserve">Expenditure incurred </w:t>
            </w:r>
            <w:r w:rsidR="00030613">
              <w:rPr>
                <w:rFonts w:ascii="Arial" w:hAnsi="Arial" w:cs="Arial"/>
                <w:sz w:val="22"/>
              </w:rPr>
              <w:br/>
            </w:r>
            <w:r w:rsidRPr="0063019D">
              <w:rPr>
                <w:rFonts w:ascii="Arial" w:hAnsi="Arial" w:cs="Arial"/>
                <w:sz w:val="22"/>
              </w:rPr>
              <w:t xml:space="preserve">by the transferring entity </w:t>
            </w:r>
            <w:r w:rsidR="00030613">
              <w:rPr>
                <w:rFonts w:ascii="Arial" w:hAnsi="Arial" w:cs="Arial"/>
                <w:sz w:val="22"/>
              </w:rPr>
              <w:br/>
            </w:r>
            <w:r w:rsidRPr="0063019D">
              <w:rPr>
                <w:rFonts w:ascii="Arial" w:hAnsi="Arial" w:cs="Arial"/>
                <w:sz w:val="22"/>
              </w:rPr>
              <w:t>to date of transfer</w:t>
            </w:r>
          </w:p>
        </w:tc>
      </w:tr>
    </w:tbl>
    <w:p w14:paraId="124DAEC0" w14:textId="77777777" w:rsidR="00907BFA" w:rsidRPr="00CD27D5" w:rsidRDefault="00907BFA" w:rsidP="00CD27D5">
      <w:pPr>
        <w:rPr>
          <w:b/>
        </w:rPr>
      </w:pPr>
      <w:r w:rsidRPr="00CD27D5">
        <w:rPr>
          <w:b/>
        </w:rPr>
        <w:t>Expenditure to date of transfer</w:t>
      </w:r>
    </w:p>
    <w:p w14:paraId="4935A88F" w14:textId="34D53D69" w:rsidR="00907BFA" w:rsidRPr="00197C54" w:rsidRDefault="00907BFA" w:rsidP="00907BFA">
      <w:pPr>
        <w:spacing w:before="120"/>
      </w:pPr>
      <w:r w:rsidRPr="00197C54">
        <w:t>A transferring entity’s financial system may not be capable of accurately measuring the expenditure incurred from 1</w:t>
      </w:r>
      <w:r w:rsidR="00264EDE">
        <w:t> </w:t>
      </w:r>
      <w:r w:rsidRPr="00197C54">
        <w:t xml:space="preserve">July to </w:t>
      </w:r>
      <w:hyperlink w:anchor="Appendix1Dateoftransfer" w:history="1">
        <w:r w:rsidR="00264EDE" w:rsidRPr="00264EDE">
          <w:rPr>
            <w:rStyle w:val="Hyperlink"/>
          </w:rPr>
          <w:t xml:space="preserve">the date of </w:t>
        </w:r>
        <w:r w:rsidRPr="00264EDE">
          <w:rPr>
            <w:rStyle w:val="Hyperlink"/>
          </w:rPr>
          <w:t>transfer</w:t>
        </w:r>
      </w:hyperlink>
      <w:r w:rsidRPr="00197C54">
        <w:t>. If this is the case, expenses can be used as the starting point for calculating the expenditure to date.</w:t>
      </w:r>
    </w:p>
    <w:p w14:paraId="2A904141" w14:textId="7B8444CE" w:rsidR="00907BFA" w:rsidRDefault="00C50AA6" w:rsidP="00CD27D5">
      <w:pPr>
        <w:numPr>
          <w:ilvl w:val="0"/>
          <w:numId w:val="17"/>
        </w:numPr>
        <w:suppressAutoHyphens w:val="0"/>
        <w:ind w:firstLine="0"/>
      </w:pPr>
      <w:r>
        <w:t>For example, i</w:t>
      </w:r>
      <w:r w:rsidR="00907BFA" w:rsidRPr="00197C54">
        <w:t xml:space="preserve">f expenditure is not uniform throughout the period the amount </w:t>
      </w:r>
      <w:r>
        <w:t>may be</w:t>
      </w:r>
      <w:r w:rsidR="00907BFA" w:rsidRPr="00197C54">
        <w:t xml:space="preserve"> calculated as follows:</w:t>
      </w:r>
      <w:r w:rsidR="00565D96">
        <w:br/>
      </w:r>
    </w:p>
    <w:tbl>
      <w:tblPr>
        <w:tblStyle w:val="TableGrid"/>
        <w:tblW w:w="9170" w:type="dxa"/>
        <w:tblInd w:w="-5" w:type="dxa"/>
        <w:tblBorders>
          <w:top w:val="single" w:sz="4" w:space="0" w:color="B4B5DF"/>
          <w:left w:val="single" w:sz="4" w:space="0" w:color="B4B5DF"/>
          <w:bottom w:val="single" w:sz="4" w:space="0" w:color="B4B5DF"/>
          <w:right w:val="single" w:sz="4" w:space="0" w:color="B4B5DF"/>
          <w:insideH w:val="single" w:sz="4" w:space="0" w:color="B4B5DF"/>
          <w:insideV w:val="single" w:sz="4" w:space="0" w:color="B4B5DF"/>
        </w:tblBorders>
        <w:tblLook w:val="04A0" w:firstRow="1" w:lastRow="0" w:firstColumn="1" w:lastColumn="0" w:noHBand="0" w:noVBand="1"/>
      </w:tblPr>
      <w:tblGrid>
        <w:gridCol w:w="1242"/>
        <w:gridCol w:w="645"/>
        <w:gridCol w:w="1362"/>
        <w:gridCol w:w="645"/>
        <w:gridCol w:w="1450"/>
        <w:gridCol w:w="619"/>
        <w:gridCol w:w="1287"/>
        <w:gridCol w:w="619"/>
        <w:gridCol w:w="1301"/>
      </w:tblGrid>
      <w:tr w:rsidR="003536AA" w14:paraId="29A6FC7F" w14:textId="77777777" w:rsidTr="0063019D">
        <w:trPr>
          <w:trHeight w:val="2268"/>
          <w:tblHeader/>
        </w:trPr>
        <w:tc>
          <w:tcPr>
            <w:tcW w:w="1300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  <w:vAlign w:val="center"/>
          </w:tcPr>
          <w:p w14:paraId="7B242324" w14:textId="77777777" w:rsidR="00946082" w:rsidRPr="0063019D" w:rsidRDefault="00243D75" w:rsidP="0063019D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19D">
              <w:rPr>
                <w:rFonts w:ascii="Arial" w:hAnsi="Arial" w:cs="Arial"/>
                <w:sz w:val="20"/>
                <w:szCs w:val="20"/>
              </w:rPr>
              <w:t xml:space="preserve">Total expenses from 1 July </w:t>
            </w:r>
            <w:r w:rsidRPr="0063019D">
              <w:rPr>
                <w:rFonts w:ascii="Arial" w:hAnsi="Arial" w:cs="Arial"/>
                <w:sz w:val="20"/>
                <w:szCs w:val="20"/>
              </w:rPr>
              <w:br/>
              <w:t xml:space="preserve">to the date </w:t>
            </w:r>
            <w:r w:rsidRPr="0063019D">
              <w:rPr>
                <w:rFonts w:ascii="Arial" w:hAnsi="Arial" w:cs="Arial"/>
                <w:sz w:val="20"/>
                <w:szCs w:val="20"/>
              </w:rPr>
              <w:br/>
              <w:t>of transfer</w:t>
            </w: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ECBAA8"/>
              <w:bottom w:val="single" w:sz="4" w:space="0" w:color="FFFFFF" w:themeColor="background1"/>
              <w:right w:val="single" w:sz="4" w:space="0" w:color="ECBAA8"/>
            </w:tcBorders>
            <w:vAlign w:val="center"/>
          </w:tcPr>
          <w:p w14:paraId="346515B0" w14:textId="77777777" w:rsidR="00946082" w:rsidRPr="005E2F07" w:rsidRDefault="00565D96" w:rsidP="0063019D">
            <w:pPr>
              <w:pStyle w:val="TableText"/>
              <w:jc w:val="center"/>
            </w:pPr>
            <w:r w:rsidRPr="007E2E30">
              <w:rPr>
                <w:rFonts w:ascii="Arial" w:hAnsi="Arial" w:cs="Arial"/>
                <w:b/>
                <w:sz w:val="22"/>
              </w:rPr>
              <w:t>less</w:t>
            </w:r>
          </w:p>
        </w:tc>
        <w:tc>
          <w:tcPr>
            <w:tcW w:w="1362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  <w:vAlign w:val="center"/>
          </w:tcPr>
          <w:p w14:paraId="24FDD349" w14:textId="193C59EB" w:rsidR="00946082" w:rsidRPr="005E2F07" w:rsidRDefault="00243D75" w:rsidP="0063019D">
            <w:pPr>
              <w:pStyle w:val="TableText"/>
              <w:jc w:val="center"/>
            </w:pPr>
            <w:r w:rsidRPr="0063019D">
              <w:rPr>
                <w:rFonts w:ascii="Arial" w:hAnsi="Arial" w:cs="Arial"/>
                <w:sz w:val="20"/>
                <w:szCs w:val="20"/>
              </w:rPr>
              <w:t xml:space="preserve">Non-cash expenses </w:t>
            </w:r>
            <w:r w:rsidR="00BE7F8C">
              <w:rPr>
                <w:rFonts w:ascii="Arial" w:hAnsi="Arial" w:cs="Arial"/>
                <w:sz w:val="20"/>
                <w:szCs w:val="20"/>
              </w:rPr>
              <w:t>incurred year to date</w:t>
            </w:r>
            <w:r w:rsidRPr="0063019D">
              <w:rPr>
                <w:rFonts w:ascii="Arial" w:hAnsi="Arial" w:cs="Arial"/>
                <w:sz w:val="20"/>
                <w:szCs w:val="20"/>
              </w:rPr>
              <w:br/>
              <w:t>(such as depreciation, amortisation, make good expenses)</w:t>
            </w:r>
          </w:p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ECBAA8"/>
              <w:bottom w:val="single" w:sz="4" w:space="0" w:color="FFFFFF" w:themeColor="background1"/>
              <w:right w:val="single" w:sz="4" w:space="0" w:color="ECBAA8"/>
            </w:tcBorders>
            <w:vAlign w:val="center"/>
          </w:tcPr>
          <w:p w14:paraId="389F62E6" w14:textId="77777777" w:rsidR="00946082" w:rsidRPr="005E2F07" w:rsidRDefault="00565D96" w:rsidP="0063019D">
            <w:pPr>
              <w:pStyle w:val="TableText"/>
              <w:jc w:val="center"/>
            </w:pPr>
            <w:r w:rsidRPr="007E2E30">
              <w:rPr>
                <w:rFonts w:ascii="Arial" w:hAnsi="Arial" w:cs="Arial"/>
                <w:b/>
                <w:sz w:val="22"/>
              </w:rPr>
              <w:t>less</w:t>
            </w:r>
          </w:p>
        </w:tc>
        <w:tc>
          <w:tcPr>
            <w:tcW w:w="1342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  <w:vAlign w:val="center"/>
          </w:tcPr>
          <w:p w14:paraId="55A1E10D" w14:textId="1C509A3C" w:rsidR="00946082" w:rsidRPr="005E2F07" w:rsidRDefault="00243D75" w:rsidP="00046DCA">
            <w:pPr>
              <w:pStyle w:val="TableText"/>
              <w:jc w:val="center"/>
            </w:pPr>
            <w:r w:rsidRPr="0063019D">
              <w:rPr>
                <w:rFonts w:ascii="Arial" w:hAnsi="Arial" w:cs="Arial"/>
                <w:sz w:val="20"/>
                <w:szCs w:val="20"/>
              </w:rPr>
              <w:t xml:space="preserve">Expenses recoverable from sales </w:t>
            </w:r>
            <w:r w:rsidR="00046DCA">
              <w:rPr>
                <w:rFonts w:ascii="Arial" w:hAnsi="Arial" w:cs="Arial"/>
                <w:sz w:val="20"/>
                <w:szCs w:val="20"/>
              </w:rPr>
              <w:t xml:space="preserve">or other  arrangements where amounts were retained </w:t>
            </w:r>
            <w:r w:rsidRPr="0063019D">
              <w:rPr>
                <w:rFonts w:ascii="Arial" w:hAnsi="Arial" w:cs="Arial"/>
                <w:sz w:val="20"/>
                <w:szCs w:val="20"/>
              </w:rPr>
              <w:t xml:space="preserve">under </w:t>
            </w:r>
            <w:r w:rsidRPr="0063019D">
              <w:rPr>
                <w:rFonts w:ascii="Arial" w:hAnsi="Arial" w:cs="Arial"/>
                <w:sz w:val="20"/>
                <w:szCs w:val="20"/>
              </w:rPr>
              <w:br/>
            </w:r>
            <w:r w:rsidR="00046DCA">
              <w:rPr>
                <w:rFonts w:ascii="Arial" w:hAnsi="Arial" w:cs="Arial"/>
                <w:sz w:val="20"/>
                <w:szCs w:val="20"/>
              </w:rPr>
              <w:t xml:space="preserve">section 74 of </w:t>
            </w:r>
            <w:r w:rsidRPr="0063019D">
              <w:rPr>
                <w:rFonts w:ascii="Arial" w:hAnsi="Arial" w:cs="Arial"/>
                <w:sz w:val="20"/>
                <w:szCs w:val="20"/>
              </w:rPr>
              <w:t>PGPA Act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ECBAA8"/>
              <w:bottom w:val="single" w:sz="4" w:space="0" w:color="FFFFFF" w:themeColor="background1"/>
              <w:right w:val="single" w:sz="4" w:space="0" w:color="ECBAA8"/>
            </w:tcBorders>
            <w:vAlign w:val="center"/>
          </w:tcPr>
          <w:p w14:paraId="3E43A536" w14:textId="77777777" w:rsidR="00946082" w:rsidRPr="005E2F07" w:rsidRDefault="00565D96" w:rsidP="0063019D">
            <w:pPr>
              <w:pStyle w:val="TableText"/>
              <w:jc w:val="center"/>
            </w:pPr>
            <w:r w:rsidRPr="0063019D">
              <w:rPr>
                <w:rFonts w:ascii="Arial" w:hAnsi="Arial" w:cs="Arial"/>
                <w:b/>
                <w:sz w:val="22"/>
              </w:rPr>
              <w:t>add</w:t>
            </w:r>
          </w:p>
        </w:tc>
        <w:tc>
          <w:tcPr>
            <w:tcW w:w="1322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  <w:vAlign w:val="center"/>
          </w:tcPr>
          <w:p w14:paraId="4425DB43" w14:textId="67B55BA6" w:rsidR="00946082" w:rsidRPr="005E2F07" w:rsidRDefault="00243D75" w:rsidP="003B3D1F">
            <w:pPr>
              <w:pStyle w:val="TableText"/>
              <w:jc w:val="center"/>
            </w:pPr>
            <w:r w:rsidRPr="0063019D">
              <w:rPr>
                <w:rFonts w:ascii="Arial" w:hAnsi="Arial" w:cs="Arial"/>
                <w:sz w:val="20"/>
                <w:szCs w:val="20"/>
              </w:rPr>
              <w:t xml:space="preserve">Increases </w:t>
            </w:r>
            <w:r w:rsidRPr="0063019D">
              <w:rPr>
                <w:rFonts w:ascii="Arial" w:hAnsi="Arial" w:cs="Arial"/>
                <w:sz w:val="20"/>
                <w:szCs w:val="20"/>
              </w:rPr>
              <w:br/>
              <w:t xml:space="preserve">in assets </w:t>
            </w:r>
            <w:r w:rsidRPr="0063019D">
              <w:rPr>
                <w:rFonts w:ascii="Arial" w:hAnsi="Arial" w:cs="Arial"/>
                <w:sz w:val="20"/>
                <w:szCs w:val="20"/>
              </w:rPr>
              <w:br/>
              <w:t xml:space="preserve">to date of transfer </w:t>
            </w:r>
            <w:r w:rsidRPr="0063019D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3B3D1F">
              <w:rPr>
                <w:rFonts w:ascii="Arial" w:hAnsi="Arial" w:cs="Arial"/>
                <w:sz w:val="20"/>
                <w:szCs w:val="20"/>
              </w:rPr>
              <w:t>such as</w:t>
            </w:r>
            <w:r w:rsidR="003E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19D">
              <w:rPr>
                <w:rFonts w:ascii="Arial" w:hAnsi="Arial" w:cs="Arial"/>
                <w:sz w:val="20"/>
                <w:szCs w:val="20"/>
              </w:rPr>
              <w:t>asset or investment additions)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ECBAA8"/>
              <w:bottom w:val="single" w:sz="4" w:space="0" w:color="FFFFFF" w:themeColor="background1"/>
              <w:right w:val="single" w:sz="4" w:space="0" w:color="ECBAA8"/>
            </w:tcBorders>
            <w:vAlign w:val="center"/>
          </w:tcPr>
          <w:p w14:paraId="7B598096" w14:textId="77777777" w:rsidR="00946082" w:rsidRPr="005E2F07" w:rsidRDefault="00565D96" w:rsidP="0063019D">
            <w:pPr>
              <w:pStyle w:val="TableText"/>
              <w:jc w:val="center"/>
            </w:pPr>
            <w:r w:rsidRPr="0063019D">
              <w:rPr>
                <w:rFonts w:ascii="Arial" w:hAnsi="Arial" w:cs="Arial"/>
                <w:b/>
                <w:sz w:val="22"/>
              </w:rPr>
              <w:t>add</w:t>
            </w:r>
          </w:p>
        </w:tc>
        <w:tc>
          <w:tcPr>
            <w:tcW w:w="1329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  <w:vAlign w:val="center"/>
          </w:tcPr>
          <w:p w14:paraId="33A7063C" w14:textId="77777777" w:rsidR="00946082" w:rsidRPr="0063019D" w:rsidRDefault="00243D75" w:rsidP="0063019D">
            <w:pPr>
              <w:pStyle w:val="Table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19D">
              <w:rPr>
                <w:rFonts w:ascii="Arial" w:hAnsi="Arial" w:cs="Arial"/>
                <w:sz w:val="20"/>
                <w:szCs w:val="20"/>
              </w:rPr>
              <w:t xml:space="preserve">Reductions </w:t>
            </w:r>
            <w:r w:rsidRPr="0063019D">
              <w:rPr>
                <w:rFonts w:ascii="Arial" w:hAnsi="Arial" w:cs="Arial"/>
                <w:sz w:val="20"/>
                <w:szCs w:val="20"/>
              </w:rPr>
              <w:br/>
              <w:t xml:space="preserve">in liabilities </w:t>
            </w:r>
            <w:r w:rsidRPr="0063019D">
              <w:rPr>
                <w:rFonts w:ascii="Arial" w:hAnsi="Arial" w:cs="Arial"/>
                <w:sz w:val="20"/>
                <w:szCs w:val="20"/>
              </w:rPr>
              <w:br/>
              <w:t xml:space="preserve">to the date </w:t>
            </w:r>
            <w:r w:rsidRPr="0063019D">
              <w:rPr>
                <w:rFonts w:ascii="Arial" w:hAnsi="Arial" w:cs="Arial"/>
                <w:sz w:val="20"/>
                <w:szCs w:val="20"/>
              </w:rPr>
              <w:br/>
              <w:t>of transfer</w:t>
            </w:r>
          </w:p>
        </w:tc>
      </w:tr>
    </w:tbl>
    <w:p w14:paraId="06315FAB" w14:textId="77777777" w:rsidR="00B83AB3" w:rsidRDefault="00565D96" w:rsidP="00CD27D5">
      <w:pPr>
        <w:numPr>
          <w:ilvl w:val="0"/>
          <w:numId w:val="17"/>
        </w:numPr>
        <w:suppressAutoHyphens w:val="0"/>
        <w:ind w:firstLine="0"/>
      </w:pPr>
      <w:r>
        <w:t xml:space="preserve"> </w:t>
      </w:r>
      <w:r w:rsidR="000608F8">
        <w:t>I</w:t>
      </w:r>
      <w:r w:rsidR="000608F8" w:rsidRPr="00197C54">
        <w:t>f expenditure has been incurred on an even basis</w:t>
      </w:r>
      <w:r w:rsidR="000608F8">
        <w:t>, t</w:t>
      </w:r>
      <w:r w:rsidR="00907BFA" w:rsidRPr="00197C54">
        <w:t xml:space="preserve">he </w:t>
      </w:r>
      <w:r w:rsidR="000608F8">
        <w:t xml:space="preserve">following </w:t>
      </w:r>
      <w:r w:rsidR="00907BFA" w:rsidRPr="00197C54">
        <w:t>alternative method</w:t>
      </w:r>
      <w:r w:rsidR="000608F8">
        <w:t xml:space="preserve"> </w:t>
      </w:r>
      <w:r w:rsidR="00907BFA" w:rsidRPr="00197C54">
        <w:t>can be used:</w:t>
      </w:r>
    </w:p>
    <w:p w14:paraId="2F2FDA32" w14:textId="17DA24F4" w:rsidR="00B83AB3" w:rsidRPr="003B3D1F" w:rsidRDefault="003B3D1F" w:rsidP="0063019D">
      <w:pPr>
        <w:shd w:val="clear" w:color="auto" w:fill="ECBAA8"/>
        <w:suppressAutoHyphens w:val="0"/>
        <w:ind w:left="360"/>
        <w:rPr>
          <w:rFonts w:ascii="Arial" w:hAnsi="Arial" w:cstheme="minorHAnsi"/>
          <w:bCs/>
          <w:sz w:val="16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Arial" w:hAnsi="Arial" w:cstheme="minorHAnsi"/>
            </w:rPr>
            <m:t>Departmental appropriation ×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theme="minorHAnsi"/>
                    </w:rPr>
                    <m:t>Days from 1 July to date of transfer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theme="minorHAnsi"/>
                        </w:rPr>
                      </m:ctrlPr>
                    </m:eqArrPr>
                    <m:e>
                      <m:r>
                        <m:rPr>
                          <m:nor/>
                        </m:rPr>
                        <w:rPr>
                          <w:rFonts w:ascii="Arial" w:hAnsi="Arial" w:cstheme="minorHAnsi"/>
                        </w:rPr>
                        <m:t>365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 xml:space="preserve"> </m:t>
                      </m:r>
                    </m:e>
                  </m:eqArr>
                </m:den>
              </m:f>
            </m:e>
          </m:d>
        </m:oMath>
      </m:oMathPara>
    </w:p>
    <w:p w14:paraId="0838670D" w14:textId="77777777" w:rsidR="00D646ED" w:rsidRDefault="00D646ED">
      <w:pPr>
        <w:suppressAutoHyphens w:val="0"/>
        <w:spacing w:before="0" w:after="120" w:line="4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A2DDAC0" w14:textId="3389D608" w:rsidR="00907BFA" w:rsidRPr="00CD27D5" w:rsidRDefault="00907BFA" w:rsidP="00CD27D5">
      <w:pPr>
        <w:rPr>
          <w:b/>
        </w:rPr>
      </w:pPr>
      <w:r w:rsidRPr="00CD27D5">
        <w:rPr>
          <w:b/>
        </w:rPr>
        <w:lastRenderedPageBreak/>
        <w:t xml:space="preserve">Apportioning </w:t>
      </w:r>
      <w:r w:rsidR="00FC260D" w:rsidRPr="00CD27D5">
        <w:rPr>
          <w:b/>
        </w:rPr>
        <w:t xml:space="preserve">current year </w:t>
      </w:r>
      <w:r w:rsidRPr="00CD27D5">
        <w:rPr>
          <w:b/>
        </w:rPr>
        <w:t>appropriation</w:t>
      </w:r>
      <w:r w:rsidR="00CC4020" w:rsidRPr="00CD27D5">
        <w:rPr>
          <w:b/>
        </w:rPr>
        <w:t xml:space="preserve"> </w:t>
      </w:r>
      <w:r w:rsidR="00FC260D" w:rsidRPr="00CD27D5">
        <w:rPr>
          <w:b/>
        </w:rPr>
        <w:t>balances</w:t>
      </w:r>
    </w:p>
    <w:p w14:paraId="4C2DFE52" w14:textId="696DF11E" w:rsidR="00030613" w:rsidRDefault="00907BFA" w:rsidP="0063019D">
      <w:pPr>
        <w:spacing w:before="120"/>
      </w:pPr>
      <w:r w:rsidRPr="00197C54">
        <w:t xml:space="preserve">Once the balance of the current year departmental appropriation is ascertained, it will be necessary to allocate that amount between </w:t>
      </w:r>
      <w:r w:rsidRPr="00167329">
        <w:t>the transferring</w:t>
      </w:r>
      <w:r w:rsidRPr="00197C54">
        <w:t xml:space="preserve"> and </w:t>
      </w:r>
      <w:r w:rsidR="001B308D">
        <w:t>receiving</w:t>
      </w:r>
      <w:r w:rsidRPr="00197C54">
        <w:t xml:space="preserve"> entities according to their changed functions. The amount attributable to the </w:t>
      </w:r>
      <w:r w:rsidR="001B308D">
        <w:t>receiving</w:t>
      </w:r>
      <w:r w:rsidRPr="00197C54">
        <w:t xml:space="preserve"> entity can be estimated</w:t>
      </w:r>
      <w:r w:rsidR="00E410BB">
        <w:t>, for example,</w:t>
      </w:r>
      <w:r w:rsidRPr="00197C54">
        <w:t xml:space="preserve"> as follows:</w:t>
      </w:r>
    </w:p>
    <w:p w14:paraId="31E323AE" w14:textId="39C7F433" w:rsidR="00FC0BEE" w:rsidRDefault="00030613" w:rsidP="0063019D">
      <w:pPr>
        <w:pStyle w:val="Tabletitle"/>
      </w:pPr>
      <w:r>
        <w:t>A</w:t>
      </w:r>
      <w:r w:rsidRPr="00197C54">
        <w:t xml:space="preserve">mount attributable to the </w:t>
      </w:r>
      <w:r w:rsidR="001B308D">
        <w:t>receiving</w:t>
      </w:r>
      <w:r w:rsidRPr="00197C54">
        <w:t xml:space="preserve"> entity</w:t>
      </w:r>
      <w:r>
        <w:t xml:space="preserve"> </w:t>
      </w:r>
    </w:p>
    <w:tbl>
      <w:tblPr>
        <w:tblStyle w:val="TableGrid"/>
        <w:tblW w:w="9072" w:type="dxa"/>
        <w:tblInd w:w="-5" w:type="dxa"/>
        <w:tblBorders>
          <w:top w:val="single" w:sz="4" w:space="0" w:color="B4B5DF"/>
          <w:left w:val="single" w:sz="4" w:space="0" w:color="B4B5DF"/>
          <w:bottom w:val="single" w:sz="4" w:space="0" w:color="B4B5DF"/>
          <w:right w:val="single" w:sz="4" w:space="0" w:color="B4B5DF"/>
          <w:insideH w:val="single" w:sz="4" w:space="0" w:color="B4B5DF"/>
          <w:insideV w:val="single" w:sz="4" w:space="0" w:color="B4B5DF"/>
        </w:tblBorders>
        <w:tblLook w:val="04A0" w:firstRow="1" w:lastRow="0" w:firstColumn="1" w:lastColumn="0" w:noHBand="0" w:noVBand="1"/>
      </w:tblPr>
      <w:tblGrid>
        <w:gridCol w:w="9072"/>
      </w:tblGrid>
      <w:tr w:rsidR="00495859" w:rsidRPr="0063019D" w14:paraId="2DFBC9B9" w14:textId="77777777" w:rsidTr="00CD27D5">
        <w:trPr>
          <w:tblHeader/>
        </w:trPr>
        <w:tc>
          <w:tcPr>
            <w:tcW w:w="9072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  <w:vAlign w:val="center"/>
          </w:tcPr>
          <w:p w14:paraId="3AB0DC2F" w14:textId="621FEA91" w:rsidR="00495859" w:rsidRPr="0063019D" w:rsidRDefault="00495859" w:rsidP="00D04D3F">
            <w:pPr>
              <w:pStyle w:val="Table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Balance of appropriation at date of transfer * (No. of staff transferred/Total staff of transferring entity)</w:t>
            </w:r>
          </w:p>
        </w:tc>
      </w:tr>
    </w:tbl>
    <w:p w14:paraId="76688828" w14:textId="55DFD76D" w:rsidR="007E569B" w:rsidRPr="00CD27D5" w:rsidRDefault="007E569B" w:rsidP="00CD27D5">
      <w:pPr>
        <w:pStyle w:val="Tabletitle"/>
        <w:rPr>
          <w:rFonts w:cstheme="minorHAnsi"/>
          <w:bCs/>
          <w:sz w:val="20"/>
          <w:szCs w:val="20"/>
        </w:rPr>
      </w:pPr>
    </w:p>
    <w:p w14:paraId="233C549A" w14:textId="7A46E017" w:rsidR="002518C2" w:rsidRPr="0063019D" w:rsidRDefault="002518C2" w:rsidP="008D5A9E">
      <w:pPr>
        <w:pStyle w:val="Boxed2Text"/>
        <w:shd w:val="clear" w:color="auto" w:fill="F2F2F2" w:themeFill="background1" w:themeFillShade="F2"/>
      </w:pPr>
      <w:r w:rsidRPr="0063019D">
        <w:rPr>
          <w:b/>
        </w:rPr>
        <w:t>Note:</w:t>
      </w:r>
      <w:r w:rsidR="00CC4020">
        <w:t xml:space="preserve"> </w:t>
      </w:r>
      <w:r w:rsidR="008779C4">
        <w:t>B</w:t>
      </w:r>
      <w:r w:rsidR="00CC4020">
        <w:t xml:space="preserve">oth entities will </w:t>
      </w:r>
      <w:r w:rsidR="008779C4" w:rsidRPr="00A61DC9">
        <w:t>need to</w:t>
      </w:r>
      <w:r w:rsidR="00CC4020">
        <w:t xml:space="preserve"> negotiate and apply an amended or </w:t>
      </w:r>
      <w:r w:rsidR="008779C4" w:rsidRPr="00A61DC9">
        <w:t>alternate, equitable formula</w:t>
      </w:r>
      <w:r w:rsidR="004F1A1C">
        <w:t xml:space="preserve"> </w:t>
      </w:r>
      <w:r w:rsidR="00CC4020">
        <w:t xml:space="preserve">where </w:t>
      </w:r>
      <w:r w:rsidRPr="008779C4">
        <w:t>the staffing ratios in the transferred function vary from the transferring entity’s average</w:t>
      </w:r>
      <w:r w:rsidR="008779C4" w:rsidRPr="008779C4">
        <w:t xml:space="preserve">, or </w:t>
      </w:r>
      <w:r w:rsidR="00CC4020">
        <w:t xml:space="preserve">if </w:t>
      </w:r>
      <w:r w:rsidRPr="008779C4">
        <w:t xml:space="preserve">the appropriation would be more accurately apportioned if based on capital </w:t>
      </w:r>
      <w:r w:rsidR="00412634">
        <w:t xml:space="preserve">or supplier </w:t>
      </w:r>
      <w:r w:rsidRPr="008779C4">
        <w:t>rather</w:t>
      </w:r>
      <w:r w:rsidR="008779C4" w:rsidRPr="008779C4">
        <w:t xml:space="preserve"> than labour requirements</w:t>
      </w:r>
      <w:r w:rsidRPr="008779C4">
        <w:t>.</w:t>
      </w:r>
    </w:p>
    <w:p w14:paraId="1EDF8AF0" w14:textId="24AB92C1" w:rsidR="00907BFA" w:rsidRDefault="00907BFA" w:rsidP="004B1ADF">
      <w:pPr>
        <w:spacing w:before="480" w:after="240"/>
        <w:rPr>
          <w:sz w:val="30"/>
          <w:szCs w:val="30"/>
        </w:rPr>
      </w:pPr>
      <w:bookmarkStart w:id="3" w:name="Appendix1Step3"/>
      <w:r w:rsidRPr="004B1ADF">
        <w:rPr>
          <w:sz w:val="30"/>
          <w:szCs w:val="30"/>
        </w:rPr>
        <w:t xml:space="preserve">Step </w:t>
      </w:r>
      <w:r w:rsidR="00C50AA6">
        <w:rPr>
          <w:sz w:val="30"/>
          <w:szCs w:val="30"/>
        </w:rPr>
        <w:t>2</w:t>
      </w:r>
      <w:r w:rsidRPr="004B1ADF">
        <w:rPr>
          <w:sz w:val="30"/>
          <w:szCs w:val="30"/>
        </w:rPr>
        <w:t>. Calculat</w:t>
      </w:r>
      <w:r w:rsidR="00FA556F" w:rsidRPr="004B1ADF">
        <w:rPr>
          <w:sz w:val="30"/>
          <w:szCs w:val="30"/>
        </w:rPr>
        <w:t xml:space="preserve">e </w:t>
      </w:r>
      <w:r w:rsidRPr="004B1ADF">
        <w:rPr>
          <w:sz w:val="30"/>
          <w:szCs w:val="30"/>
        </w:rPr>
        <w:t>prior year appropriation transfer</w:t>
      </w:r>
      <w:r w:rsidR="00FC260D">
        <w:rPr>
          <w:sz w:val="30"/>
          <w:szCs w:val="30"/>
        </w:rPr>
        <w:t>s</w:t>
      </w:r>
    </w:p>
    <w:bookmarkEnd w:id="3"/>
    <w:p w14:paraId="4BB519AC" w14:textId="3CC0DA78" w:rsidR="00FC260D" w:rsidRPr="00FC260D" w:rsidRDefault="00FC260D" w:rsidP="00FC260D">
      <w:pPr>
        <w:rPr>
          <w:bCs/>
        </w:rPr>
      </w:pPr>
      <w:r w:rsidRPr="00FC260D">
        <w:rPr>
          <w:bCs/>
        </w:rPr>
        <w:t xml:space="preserve">The receiving entity </w:t>
      </w:r>
      <w:r w:rsidR="00707EB4">
        <w:rPr>
          <w:bCs/>
        </w:rPr>
        <w:t>may</w:t>
      </w:r>
      <w:r w:rsidRPr="00FC260D">
        <w:rPr>
          <w:bCs/>
        </w:rPr>
        <w:t xml:space="preserve"> be entitled to unspent prior year appropriations relating to, for example, accrued employee liabilities and unspent asset funding on transferring assets. </w:t>
      </w:r>
    </w:p>
    <w:p w14:paraId="7DA6C61B" w14:textId="77777777" w:rsidR="00FC260D" w:rsidRPr="00FC260D" w:rsidRDefault="00FC260D" w:rsidP="00FC260D">
      <w:pPr>
        <w:rPr>
          <w:bCs/>
        </w:rPr>
      </w:pPr>
      <w:r w:rsidRPr="00FC260D">
        <w:rPr>
          <w:bCs/>
        </w:rPr>
        <w:t>These accrued amounts would have been appropriated for the period from 1 July 1999 (the commencement of the accrual financial framework) to 30 June of the year preceding the year of the restructure.</w:t>
      </w:r>
    </w:p>
    <w:p w14:paraId="268E8B05" w14:textId="77777777" w:rsidR="00200A91" w:rsidRPr="00200A91" w:rsidRDefault="00200A91" w:rsidP="00200A91">
      <w:pPr>
        <w:rPr>
          <w:b/>
        </w:rPr>
      </w:pPr>
      <w:r w:rsidRPr="00200A91">
        <w:rPr>
          <w:b/>
        </w:rPr>
        <w:t>Expenditure to date of transfer</w:t>
      </w:r>
    </w:p>
    <w:p w14:paraId="00E1DAC1" w14:textId="6B189F1B" w:rsidR="00AF5ABB" w:rsidRDefault="00707EB4" w:rsidP="00AF5ABB">
      <w:r>
        <w:t>P</w:t>
      </w:r>
      <w:r w:rsidR="00AF5ABB">
        <w:t>rior year appropriation</w:t>
      </w:r>
      <w:r>
        <w:t>s</w:t>
      </w:r>
      <w:r w:rsidR="00AF5ABB">
        <w:t xml:space="preserve"> </w:t>
      </w:r>
      <w:r w:rsidR="00491FB8">
        <w:t xml:space="preserve">available for </w:t>
      </w:r>
      <w:r w:rsidR="00AF5ABB">
        <w:t xml:space="preserve">transfer </w:t>
      </w:r>
      <w:r w:rsidR="00FC260D">
        <w:t xml:space="preserve">should be calculated </w:t>
      </w:r>
      <w:r w:rsidR="00AF5ABB">
        <w:t>by subt</w:t>
      </w:r>
      <w:r w:rsidR="00AC5AEB">
        <w:t>racting</w:t>
      </w:r>
      <w:r w:rsidR="00AF5ABB">
        <w:t xml:space="preserve"> </w:t>
      </w:r>
      <w:r w:rsidR="00491FB8">
        <w:t>year to date payments</w:t>
      </w:r>
      <w:r w:rsidR="006E3934">
        <w:t xml:space="preserve"> </w:t>
      </w:r>
      <w:r w:rsidR="00C17B55">
        <w:t>relating to</w:t>
      </w:r>
      <w:r w:rsidR="00C17B55" w:rsidRPr="004B1ADF">
        <w:t xml:space="preserve"> </w:t>
      </w:r>
      <w:r w:rsidR="00264EDE">
        <w:t xml:space="preserve">the </w:t>
      </w:r>
      <w:r w:rsidR="00AF5ABB" w:rsidRPr="004B1ADF">
        <w:t xml:space="preserve">prior year </w:t>
      </w:r>
      <w:r w:rsidR="00491FB8">
        <w:t xml:space="preserve">appropriation </w:t>
      </w:r>
      <w:r w:rsidR="00AF5ABB" w:rsidRPr="004B1ADF">
        <w:t xml:space="preserve">to </w:t>
      </w:r>
      <w:hyperlink w:anchor="Appendix1Dateoftransfer" w:history="1">
        <w:r w:rsidR="005D4801" w:rsidRPr="006D7FC6">
          <w:rPr>
            <w:rStyle w:val="Hyperlink"/>
          </w:rPr>
          <w:t xml:space="preserve">the </w:t>
        </w:r>
        <w:r w:rsidR="00AF5ABB" w:rsidRPr="004B1ADF">
          <w:rPr>
            <w:rStyle w:val="Hyperlink"/>
          </w:rPr>
          <w:t>date of transfer</w:t>
        </w:r>
      </w:hyperlink>
      <w:r w:rsidR="00FC260D">
        <w:t>,</w:t>
      </w:r>
      <w:r w:rsidR="002518C2">
        <w:t xml:space="preserve"> </w:t>
      </w:r>
      <w:r w:rsidR="00AF5ABB">
        <w:rPr>
          <w:bCs/>
        </w:rPr>
        <w:t xml:space="preserve">from </w:t>
      </w:r>
      <w:r w:rsidR="00AF5ABB">
        <w:t>the</w:t>
      </w:r>
      <w:r w:rsidR="005D4801">
        <w:t xml:space="preserve"> </w:t>
      </w:r>
      <w:r w:rsidR="00491FB8">
        <w:t xml:space="preserve">opening </w:t>
      </w:r>
      <w:r w:rsidR="005D4801">
        <w:t>prior year appropriation rec</w:t>
      </w:r>
      <w:r w:rsidR="00AF5ABB">
        <w:t>e</w:t>
      </w:r>
      <w:r w:rsidR="005D4801">
        <w:t>i</w:t>
      </w:r>
      <w:r w:rsidR="00AF5ABB">
        <w:t>vable</w:t>
      </w:r>
      <w:r w:rsidR="00491FB8">
        <w:t xml:space="preserve"> as at the start of the financial year</w:t>
      </w:r>
      <w:r w:rsidR="00AF5ABB">
        <w:t>.</w:t>
      </w:r>
    </w:p>
    <w:p w14:paraId="7391CF1D" w14:textId="2A9CB264" w:rsidR="00030613" w:rsidRPr="007E2E30" w:rsidRDefault="00030613" w:rsidP="00030613">
      <w:pPr>
        <w:pStyle w:val="Tabletitle"/>
        <w:rPr>
          <w:rFonts w:eastAsiaTheme="minorEastAsia"/>
          <w:lang w:val="en-AU"/>
        </w:rPr>
      </w:pPr>
      <w:r>
        <w:rPr>
          <w:rFonts w:eastAsiaTheme="minorEastAsia"/>
          <w:lang w:val="en-AU"/>
        </w:rPr>
        <w:t>P</w:t>
      </w:r>
      <w:r w:rsidRPr="00B83AB3">
        <w:rPr>
          <w:rFonts w:eastAsiaTheme="minorEastAsia"/>
          <w:lang w:val="en-AU"/>
        </w:rPr>
        <w:t>rior year appropriation</w:t>
      </w:r>
      <w:r>
        <w:rPr>
          <w:rFonts w:eastAsiaTheme="minorEastAsia"/>
          <w:lang w:val="en-AU"/>
        </w:rPr>
        <w:t xml:space="preserve"> </w:t>
      </w:r>
      <w:r w:rsidR="007C4140">
        <w:rPr>
          <w:rFonts w:eastAsiaTheme="minorEastAsia"/>
          <w:lang w:val="en-AU"/>
        </w:rPr>
        <w:t>balance</w:t>
      </w:r>
      <w:r>
        <w:rPr>
          <w:rFonts w:eastAsiaTheme="minorEastAsia"/>
        </w:rPr>
        <w:t xml:space="preserve"> =</w:t>
      </w:r>
    </w:p>
    <w:tbl>
      <w:tblPr>
        <w:tblStyle w:val="TableGrid"/>
        <w:tblW w:w="0" w:type="auto"/>
        <w:tblInd w:w="-5" w:type="dxa"/>
        <w:tblBorders>
          <w:top w:val="single" w:sz="4" w:space="0" w:color="B4B5DF"/>
          <w:left w:val="single" w:sz="4" w:space="0" w:color="B4B5DF"/>
          <w:bottom w:val="single" w:sz="4" w:space="0" w:color="B4B5DF"/>
          <w:right w:val="single" w:sz="4" w:space="0" w:color="B4B5DF"/>
          <w:insideH w:val="single" w:sz="4" w:space="0" w:color="B4B5DF"/>
          <w:insideV w:val="single" w:sz="4" w:space="0" w:color="B4B5DF"/>
        </w:tblBorders>
        <w:tblLook w:val="04A0" w:firstRow="1" w:lastRow="0" w:firstColumn="1" w:lastColumn="0" w:noHBand="0" w:noVBand="1"/>
      </w:tblPr>
      <w:tblGrid>
        <w:gridCol w:w="3969"/>
        <w:gridCol w:w="1418"/>
        <w:gridCol w:w="3680"/>
      </w:tblGrid>
      <w:tr w:rsidR="003536AA" w14:paraId="66EDD163" w14:textId="77777777" w:rsidTr="004B1ADF">
        <w:trPr>
          <w:tblHeader/>
        </w:trPr>
        <w:tc>
          <w:tcPr>
            <w:tcW w:w="3969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  <w:vAlign w:val="center"/>
          </w:tcPr>
          <w:p w14:paraId="3BC383CC" w14:textId="14C0DF02" w:rsidR="00243D75" w:rsidRPr="004B1ADF" w:rsidRDefault="00243D75" w:rsidP="004B1ADF">
            <w:pPr>
              <w:pStyle w:val="TableText"/>
              <w:jc w:val="center"/>
              <w:rPr>
                <w:rFonts w:ascii="Arial" w:hAnsi="Arial" w:cs="Arial"/>
                <w:sz w:val="22"/>
              </w:rPr>
            </w:pPr>
            <w:r w:rsidRPr="004B1ADF">
              <w:rPr>
                <w:rFonts w:ascii="Arial" w:hAnsi="Arial" w:cs="Arial"/>
                <w:sz w:val="22"/>
              </w:rPr>
              <w:t>Prior year appropriation receivable</w:t>
            </w:r>
            <w:r w:rsidR="00491FB8">
              <w:rPr>
                <w:rFonts w:ascii="Arial" w:hAnsi="Arial" w:cs="Arial"/>
                <w:sz w:val="22"/>
              </w:rPr>
              <w:t xml:space="preserve"> (opening balance)</w:t>
            </w:r>
          </w:p>
          <w:p w14:paraId="56A3FCA7" w14:textId="77777777" w:rsidR="00030613" w:rsidRPr="007E2E30" w:rsidRDefault="00030613" w:rsidP="00243D75">
            <w:pPr>
              <w:pStyle w:val="TableTex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ECBAA8"/>
              <w:bottom w:val="single" w:sz="4" w:space="0" w:color="FFFFFF" w:themeColor="background1"/>
              <w:right w:val="single" w:sz="4" w:space="0" w:color="ECBAA8"/>
            </w:tcBorders>
            <w:shd w:val="clear" w:color="auto" w:fill="FFFFFF" w:themeFill="background1"/>
            <w:vAlign w:val="center"/>
          </w:tcPr>
          <w:p w14:paraId="6C2080CF" w14:textId="77777777" w:rsidR="00030613" w:rsidRPr="007E2E30" w:rsidRDefault="00030613" w:rsidP="005E2F07">
            <w:pPr>
              <w:pStyle w:val="TableText"/>
              <w:jc w:val="center"/>
              <w:rPr>
                <w:rFonts w:ascii="Arial" w:hAnsi="Arial" w:cs="Arial"/>
                <w:b/>
                <w:sz w:val="22"/>
              </w:rPr>
            </w:pPr>
            <w:r w:rsidRPr="007E2E30">
              <w:rPr>
                <w:rFonts w:ascii="Arial" w:hAnsi="Arial" w:cs="Arial"/>
                <w:b/>
                <w:sz w:val="22"/>
              </w:rPr>
              <w:t>less</w:t>
            </w:r>
          </w:p>
        </w:tc>
        <w:tc>
          <w:tcPr>
            <w:tcW w:w="3680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</w:tcPr>
          <w:p w14:paraId="35FA85DA" w14:textId="4D59F72F" w:rsidR="00030613" w:rsidRPr="007E2E30" w:rsidRDefault="00491FB8" w:rsidP="00491FB8">
            <w:pPr>
              <w:pStyle w:val="Table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Year to date payments</w:t>
            </w:r>
            <w:r w:rsidR="00243D75" w:rsidRPr="004B1ADF">
              <w:rPr>
                <w:rFonts w:ascii="Arial" w:hAnsi="Arial" w:cs="Arial"/>
                <w:sz w:val="22"/>
              </w:rPr>
              <w:t xml:space="preserve"> </w:t>
            </w:r>
            <w:r w:rsidR="00C17B55">
              <w:rPr>
                <w:rFonts w:ascii="Arial" w:hAnsi="Arial" w:cs="Arial"/>
                <w:sz w:val="22"/>
              </w:rPr>
              <w:t xml:space="preserve">relating to </w:t>
            </w:r>
            <w:r w:rsidR="00243D75" w:rsidRPr="004B1ADF">
              <w:rPr>
                <w:rFonts w:ascii="Arial" w:hAnsi="Arial" w:cs="Arial"/>
                <w:sz w:val="22"/>
              </w:rPr>
              <w:t xml:space="preserve">prior year </w:t>
            </w:r>
            <w:r w:rsidR="006E3934">
              <w:rPr>
                <w:rFonts w:ascii="Arial" w:hAnsi="Arial" w:cs="Arial"/>
                <w:sz w:val="22"/>
              </w:rPr>
              <w:t xml:space="preserve">appropriation </w:t>
            </w:r>
            <w:r w:rsidR="00243D75" w:rsidRPr="004B1ADF">
              <w:rPr>
                <w:rFonts w:ascii="Arial" w:hAnsi="Arial" w:cs="Arial"/>
                <w:sz w:val="22"/>
              </w:rPr>
              <w:t>to the date of transfer</w:t>
            </w:r>
          </w:p>
        </w:tc>
      </w:tr>
    </w:tbl>
    <w:p w14:paraId="0B138324" w14:textId="1DD4FFDE" w:rsidR="00907BFA" w:rsidRPr="00FE2AC5" w:rsidRDefault="00907BFA" w:rsidP="00CD27D5">
      <w:pPr>
        <w:rPr>
          <w:b/>
          <w:sz w:val="26"/>
          <w:szCs w:val="26"/>
        </w:rPr>
      </w:pPr>
      <w:r w:rsidRPr="00CD27D5">
        <w:rPr>
          <w:b/>
        </w:rPr>
        <w:t>Apportioning prior year appropriation</w:t>
      </w:r>
      <w:r w:rsidR="00FC260D" w:rsidRPr="00CD27D5">
        <w:rPr>
          <w:b/>
        </w:rPr>
        <w:t xml:space="preserve"> balances</w:t>
      </w:r>
    </w:p>
    <w:p w14:paraId="069AB58D" w14:textId="77777777" w:rsidR="00030613" w:rsidRDefault="00907BFA" w:rsidP="00907BFA">
      <w:pPr>
        <w:rPr>
          <w:bCs/>
        </w:rPr>
      </w:pPr>
      <w:r w:rsidRPr="00665BE6">
        <w:rPr>
          <w:bCs/>
          <w:lang w:val="en-GB"/>
        </w:rPr>
        <w:t xml:space="preserve">As discussed at </w:t>
      </w:r>
      <w:hyperlink w:anchor="Appendix1Step1" w:history="1">
        <w:r w:rsidRPr="004B1ADF">
          <w:rPr>
            <w:rStyle w:val="Hyperlink"/>
          </w:rPr>
          <w:t>Step 1</w:t>
        </w:r>
      </w:hyperlink>
      <w:r w:rsidRPr="00665BE6">
        <w:rPr>
          <w:bCs/>
          <w:lang w:val="en-GB"/>
        </w:rPr>
        <w:t xml:space="preserve">, unless a transferring entity’s systems are capable of accurately apportioning the funds, it will be necessary to estimate that amount. </w:t>
      </w:r>
      <w:r w:rsidRPr="00665BE6">
        <w:rPr>
          <w:bCs/>
        </w:rPr>
        <w:t>For example, entities could use employee numbers transferred to allocate prior years’ appropriation receivable.</w:t>
      </w:r>
    </w:p>
    <w:p w14:paraId="0D993ADE" w14:textId="77777777" w:rsidR="00D04D3F" w:rsidRDefault="005E2F07" w:rsidP="005E2F07">
      <w:pPr>
        <w:pStyle w:val="Tabletitle"/>
        <w:rPr>
          <w:bCs/>
        </w:rPr>
      </w:pPr>
      <w:r>
        <w:rPr>
          <w:bCs/>
        </w:rPr>
        <w:lastRenderedPageBreak/>
        <w:t>P</w:t>
      </w:r>
      <w:r w:rsidRPr="00665BE6">
        <w:rPr>
          <w:bCs/>
        </w:rPr>
        <w:t>rior years’ appropriation receivable</w:t>
      </w:r>
      <w:r>
        <w:rPr>
          <w:bCs/>
        </w:rPr>
        <w:t xml:space="preserve"> </w:t>
      </w:r>
    </w:p>
    <w:tbl>
      <w:tblPr>
        <w:tblStyle w:val="TableGrid"/>
        <w:tblW w:w="9072" w:type="dxa"/>
        <w:tblInd w:w="-5" w:type="dxa"/>
        <w:tblBorders>
          <w:top w:val="single" w:sz="4" w:space="0" w:color="B4B5DF"/>
          <w:left w:val="single" w:sz="4" w:space="0" w:color="B4B5DF"/>
          <w:bottom w:val="single" w:sz="4" w:space="0" w:color="B4B5DF"/>
          <w:right w:val="single" w:sz="4" w:space="0" w:color="B4B5DF"/>
          <w:insideH w:val="single" w:sz="4" w:space="0" w:color="B4B5DF"/>
          <w:insideV w:val="single" w:sz="4" w:space="0" w:color="B4B5DF"/>
        </w:tblBorders>
        <w:tblLook w:val="04A0" w:firstRow="1" w:lastRow="0" w:firstColumn="1" w:lastColumn="0" w:noHBand="0" w:noVBand="1"/>
      </w:tblPr>
      <w:tblGrid>
        <w:gridCol w:w="9072"/>
      </w:tblGrid>
      <w:tr w:rsidR="00D04D3F" w:rsidRPr="0063019D" w14:paraId="2A6F2D3B" w14:textId="77777777" w:rsidTr="00CD27D5">
        <w:trPr>
          <w:tblHeader/>
        </w:trPr>
        <w:tc>
          <w:tcPr>
            <w:tcW w:w="9072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  <w:vAlign w:val="center"/>
          </w:tcPr>
          <w:p w14:paraId="12E30623" w14:textId="28680578" w:rsidR="00D04D3F" w:rsidRPr="0063019D" w:rsidRDefault="00D04D3F" w:rsidP="00D04D3F">
            <w:pPr>
              <w:pStyle w:val="TableTex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Prior years appropriation balance </w:t>
            </w:r>
            <w:r w:rsidR="00812A59">
              <w:rPr>
                <w:rFonts w:ascii="Arial" w:hAnsi="Arial" w:cs="Arial"/>
                <w:sz w:val="22"/>
              </w:rPr>
              <w:t xml:space="preserve">at date of transfer </w:t>
            </w:r>
            <w:r>
              <w:rPr>
                <w:rFonts w:ascii="Arial" w:hAnsi="Arial" w:cs="Arial"/>
                <w:sz w:val="22"/>
              </w:rPr>
              <w:t>* (No. of staff transferred/Total staff of transferring entity)</w:t>
            </w:r>
          </w:p>
        </w:tc>
      </w:tr>
    </w:tbl>
    <w:p w14:paraId="6FD7509E" w14:textId="5939647F" w:rsidR="005E2F07" w:rsidRPr="00845E64" w:rsidRDefault="005E2F07" w:rsidP="00CD27D5">
      <w:pPr>
        <w:pStyle w:val="Tabletitle"/>
        <w:rPr>
          <w:rFonts w:cstheme="minorHAnsi"/>
          <w:bCs/>
          <w:sz w:val="20"/>
          <w:szCs w:val="20"/>
        </w:rPr>
      </w:pPr>
    </w:p>
    <w:p w14:paraId="323CA9AC" w14:textId="176693E8" w:rsidR="00907BFA" w:rsidRPr="004F1A1C" w:rsidRDefault="00D04D3F" w:rsidP="008D5A9E">
      <w:pPr>
        <w:pStyle w:val="Boxed2Text"/>
        <w:shd w:val="clear" w:color="auto" w:fill="F2F2F2" w:themeFill="background1" w:themeFillShade="F2"/>
      </w:pPr>
      <w:r>
        <w:rPr>
          <w:b/>
        </w:rPr>
        <w:t>N</w:t>
      </w:r>
      <w:r w:rsidR="00907BFA" w:rsidRPr="004B1ADF">
        <w:rPr>
          <w:b/>
        </w:rPr>
        <w:t>ote:</w:t>
      </w:r>
      <w:r w:rsidR="00907BFA" w:rsidRPr="00A61DC9">
        <w:t xml:space="preserve"> </w:t>
      </w:r>
      <w:r w:rsidR="00CC4020" w:rsidRPr="004F1A1C">
        <w:t>Both entities will need to negotiate and apply an alternate equitable formula</w:t>
      </w:r>
      <w:r w:rsidR="004F1A1C" w:rsidRPr="004F1A1C">
        <w:t xml:space="preserve"> </w:t>
      </w:r>
      <w:r w:rsidR="00CC4020" w:rsidRPr="004F1A1C">
        <w:t xml:space="preserve">where </w:t>
      </w:r>
      <w:r w:rsidR="00907BFA" w:rsidRPr="004F1A1C">
        <w:t>the staffing ratios in the transferred function vary from the transferring entity’s average</w:t>
      </w:r>
      <w:r w:rsidR="00CC4020" w:rsidRPr="004F1A1C">
        <w:t>,</w:t>
      </w:r>
      <w:r w:rsidR="00907BFA" w:rsidRPr="004F1A1C">
        <w:t xml:space="preserve"> or </w:t>
      </w:r>
      <w:r w:rsidR="00CC4020" w:rsidRPr="004F1A1C">
        <w:t xml:space="preserve">if </w:t>
      </w:r>
      <w:r w:rsidR="00907BFA" w:rsidRPr="004F1A1C">
        <w:t xml:space="preserve">the appropriation would be more accurately apportioned if based on capital </w:t>
      </w:r>
      <w:r w:rsidR="00845E64">
        <w:t xml:space="preserve">or supplier </w:t>
      </w:r>
      <w:r w:rsidR="00907BFA" w:rsidRPr="004F1A1C">
        <w:t>rather than labour requirements.</w:t>
      </w:r>
    </w:p>
    <w:p w14:paraId="5C45F117" w14:textId="5544EB58" w:rsidR="00907BFA" w:rsidRDefault="00907BFA" w:rsidP="004B1ADF">
      <w:pPr>
        <w:spacing w:before="480" w:after="240"/>
        <w:rPr>
          <w:sz w:val="30"/>
          <w:szCs w:val="30"/>
        </w:rPr>
      </w:pPr>
      <w:bookmarkStart w:id="4" w:name="Appendix1Step4"/>
      <w:r w:rsidRPr="00FE2AC5">
        <w:rPr>
          <w:sz w:val="30"/>
          <w:szCs w:val="30"/>
        </w:rPr>
        <w:t xml:space="preserve">Step </w:t>
      </w:r>
      <w:r w:rsidR="00A47487">
        <w:rPr>
          <w:sz w:val="30"/>
          <w:szCs w:val="30"/>
        </w:rPr>
        <w:t>3</w:t>
      </w:r>
      <w:r w:rsidRPr="00FE2AC5">
        <w:rPr>
          <w:sz w:val="30"/>
          <w:szCs w:val="30"/>
        </w:rPr>
        <w:t>. Calculat</w:t>
      </w:r>
      <w:r w:rsidR="00FA556F" w:rsidRPr="00FE2AC5">
        <w:rPr>
          <w:sz w:val="30"/>
          <w:szCs w:val="30"/>
        </w:rPr>
        <w:t xml:space="preserve">e </w:t>
      </w:r>
      <w:r w:rsidRPr="00FE2AC5">
        <w:rPr>
          <w:sz w:val="30"/>
          <w:szCs w:val="30"/>
        </w:rPr>
        <w:t>total appropriation transfer</w:t>
      </w:r>
    </w:p>
    <w:bookmarkEnd w:id="4"/>
    <w:p w14:paraId="023EF5BF" w14:textId="6C161DE9" w:rsidR="00030613" w:rsidRDefault="00D66DD2" w:rsidP="00D66DD2">
      <w:r>
        <w:t>Calculate t</w:t>
      </w:r>
      <w:r w:rsidRPr="00007CE5">
        <w:t>he</w:t>
      </w:r>
      <w:r w:rsidRPr="00007CE5">
        <w:rPr>
          <w:b/>
        </w:rPr>
        <w:t xml:space="preserve"> </w:t>
      </w:r>
      <w:r>
        <w:t>total appropriation transfer by adding the</w:t>
      </w:r>
      <w:r w:rsidRPr="0030548C">
        <w:t xml:space="preserve"> </w:t>
      </w:r>
      <w:r w:rsidR="006E3934">
        <w:t>current</w:t>
      </w:r>
      <w:r w:rsidR="006E3934" w:rsidRPr="0030548C">
        <w:t xml:space="preserve"> </w:t>
      </w:r>
      <w:r w:rsidRPr="0030548C">
        <w:t>year</w:t>
      </w:r>
      <w:r>
        <w:t xml:space="preserve"> appropriation receivable [</w:t>
      </w:r>
      <w:r w:rsidR="00993743">
        <w:t xml:space="preserve">at </w:t>
      </w:r>
      <w:hyperlink w:anchor="Appendix1Step1" w:history="1">
        <w:r w:rsidRPr="00993743">
          <w:rPr>
            <w:rStyle w:val="Hyperlink"/>
          </w:rPr>
          <w:t>Step 1</w:t>
        </w:r>
      </w:hyperlink>
      <w:r>
        <w:t>] to</w:t>
      </w:r>
      <w:r w:rsidRPr="0030548C">
        <w:t xml:space="preserve"> </w:t>
      </w:r>
      <w:r>
        <w:t>the prior year appropriation</w:t>
      </w:r>
      <w:r w:rsidR="00FC260D">
        <w:t>s</w:t>
      </w:r>
      <w:r>
        <w:t xml:space="preserve"> to be transferred </w:t>
      </w:r>
      <w:r w:rsidR="00993743">
        <w:t>[at</w:t>
      </w:r>
      <w:r>
        <w:t xml:space="preserve"> </w:t>
      </w:r>
      <w:hyperlink w:anchor="Appendix1Step3" w:history="1">
        <w:r w:rsidRPr="00993743">
          <w:rPr>
            <w:rStyle w:val="Hyperlink"/>
          </w:rPr>
          <w:t xml:space="preserve">Step </w:t>
        </w:r>
      </w:hyperlink>
      <w:r w:rsidR="00FC260D">
        <w:rPr>
          <w:rStyle w:val="Hyperlink"/>
        </w:rPr>
        <w:t>2</w:t>
      </w:r>
      <w:r>
        <w:t>].</w:t>
      </w:r>
    </w:p>
    <w:p w14:paraId="44665390" w14:textId="77777777" w:rsidR="00030613" w:rsidRPr="007E2E30" w:rsidRDefault="00030613" w:rsidP="00030613">
      <w:pPr>
        <w:pStyle w:val="Tabletitle"/>
        <w:rPr>
          <w:rFonts w:eastAsiaTheme="minorEastAsia"/>
          <w:lang w:val="en-AU"/>
        </w:rPr>
      </w:pPr>
      <w:r>
        <w:rPr>
          <w:rFonts w:eastAsiaTheme="minorEastAsia"/>
          <w:lang w:val="en-AU"/>
        </w:rPr>
        <w:t xml:space="preserve">Total </w:t>
      </w:r>
      <w:r w:rsidRPr="00B83AB3">
        <w:rPr>
          <w:rFonts w:eastAsiaTheme="minorEastAsia"/>
          <w:lang w:val="en-AU"/>
        </w:rPr>
        <w:t>appropriation</w:t>
      </w:r>
      <w:r>
        <w:rPr>
          <w:rFonts w:eastAsiaTheme="minorEastAsia"/>
          <w:lang w:val="en-AU"/>
        </w:rPr>
        <w:t xml:space="preserve"> transfer</w:t>
      </w:r>
      <w:r>
        <w:rPr>
          <w:rFonts w:eastAsiaTheme="minorEastAsia"/>
        </w:rPr>
        <w:t xml:space="preserve"> =</w:t>
      </w:r>
    </w:p>
    <w:tbl>
      <w:tblPr>
        <w:tblStyle w:val="TableGrid"/>
        <w:tblW w:w="0" w:type="auto"/>
        <w:tblInd w:w="-5" w:type="dxa"/>
        <w:tblBorders>
          <w:top w:val="single" w:sz="4" w:space="0" w:color="B4B5DF"/>
          <w:left w:val="single" w:sz="4" w:space="0" w:color="B4B5DF"/>
          <w:bottom w:val="single" w:sz="4" w:space="0" w:color="B4B5DF"/>
          <w:right w:val="single" w:sz="4" w:space="0" w:color="B4B5DF"/>
          <w:insideH w:val="single" w:sz="4" w:space="0" w:color="B4B5DF"/>
          <w:insideV w:val="single" w:sz="4" w:space="0" w:color="B4B5DF"/>
        </w:tblBorders>
        <w:tblLook w:val="04A0" w:firstRow="1" w:lastRow="0" w:firstColumn="1" w:lastColumn="0" w:noHBand="0" w:noVBand="1"/>
      </w:tblPr>
      <w:tblGrid>
        <w:gridCol w:w="3969"/>
        <w:gridCol w:w="1418"/>
        <w:gridCol w:w="3680"/>
      </w:tblGrid>
      <w:tr w:rsidR="00FE2AC5" w14:paraId="69AA5014" w14:textId="77777777" w:rsidTr="004B1ADF">
        <w:trPr>
          <w:tblHeader/>
        </w:trPr>
        <w:tc>
          <w:tcPr>
            <w:tcW w:w="3969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  <w:vAlign w:val="center"/>
          </w:tcPr>
          <w:p w14:paraId="24A0977B" w14:textId="7CD012CF" w:rsidR="00030613" w:rsidRPr="007E2E30" w:rsidRDefault="00243D75" w:rsidP="005E2F07">
            <w:pPr>
              <w:pStyle w:val="TableText"/>
              <w:jc w:val="center"/>
              <w:rPr>
                <w:rFonts w:ascii="Arial" w:hAnsi="Arial" w:cs="Arial"/>
                <w:sz w:val="22"/>
              </w:rPr>
            </w:pPr>
            <w:r w:rsidRPr="004B1ADF">
              <w:rPr>
                <w:rFonts w:ascii="Arial" w:hAnsi="Arial" w:cs="Arial"/>
                <w:sz w:val="22"/>
              </w:rPr>
              <w:t>Current year a</w:t>
            </w:r>
            <w:r w:rsidR="00030613" w:rsidRPr="005E2F07">
              <w:rPr>
                <w:rFonts w:ascii="Arial" w:hAnsi="Arial" w:cs="Arial"/>
                <w:sz w:val="22"/>
              </w:rPr>
              <w:t>ppropriation</w:t>
            </w:r>
            <w:r w:rsidR="00FC260D">
              <w:rPr>
                <w:rFonts w:ascii="Arial" w:hAnsi="Arial" w:cs="Arial"/>
                <w:sz w:val="22"/>
              </w:rPr>
              <w:t>s</w:t>
            </w:r>
            <w:r w:rsidR="00030613" w:rsidRPr="005E2F07">
              <w:rPr>
                <w:rFonts w:ascii="Arial" w:hAnsi="Arial" w:cs="Arial"/>
                <w:sz w:val="22"/>
              </w:rPr>
              <w:t xml:space="preserve"> to be transferred </w:t>
            </w:r>
            <w:r w:rsidRPr="004B1ADF">
              <w:rPr>
                <w:rFonts w:ascii="Arial" w:hAnsi="Arial" w:cs="Arial"/>
                <w:sz w:val="22"/>
              </w:rPr>
              <w:t>[</w:t>
            </w:r>
            <w:hyperlink w:anchor="Appendix1Step1" w:history="1">
              <w:r w:rsidRPr="004B1ADF">
                <w:rPr>
                  <w:rStyle w:val="Hyperlink"/>
                  <w:sz w:val="22"/>
                </w:rPr>
                <w:t>Step 1</w:t>
              </w:r>
            </w:hyperlink>
            <w:r w:rsidRPr="004B1ADF">
              <w:rPr>
                <w:rFonts w:ascii="Arial" w:hAnsi="Arial" w:cs="Arial"/>
                <w:sz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ECBAA8"/>
              <w:bottom w:val="single" w:sz="4" w:space="0" w:color="FFFFFF" w:themeColor="background1"/>
              <w:right w:val="single" w:sz="4" w:space="0" w:color="ECBAA8"/>
            </w:tcBorders>
            <w:shd w:val="clear" w:color="auto" w:fill="FFFFFF" w:themeFill="background1"/>
            <w:vAlign w:val="center"/>
          </w:tcPr>
          <w:p w14:paraId="3FDFFDD6" w14:textId="77777777" w:rsidR="00030613" w:rsidRPr="007E2E30" w:rsidRDefault="002518C2" w:rsidP="005E2F07">
            <w:pPr>
              <w:pStyle w:val="TableTex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plus</w:t>
            </w:r>
          </w:p>
        </w:tc>
        <w:tc>
          <w:tcPr>
            <w:tcW w:w="3680" w:type="dxa"/>
            <w:tcBorders>
              <w:top w:val="single" w:sz="4" w:space="0" w:color="ECBAA8"/>
              <w:left w:val="single" w:sz="4" w:space="0" w:color="ECBAA8"/>
              <w:bottom w:val="single" w:sz="4" w:space="0" w:color="ECBAA8"/>
              <w:right w:val="single" w:sz="4" w:space="0" w:color="ECBAA8"/>
            </w:tcBorders>
            <w:shd w:val="clear" w:color="auto" w:fill="ECBAA8"/>
          </w:tcPr>
          <w:p w14:paraId="0F19BE68" w14:textId="27865594" w:rsidR="00030613" w:rsidRPr="007E2E30" w:rsidRDefault="00243D75">
            <w:pPr>
              <w:pStyle w:val="TableText"/>
              <w:jc w:val="center"/>
              <w:rPr>
                <w:rFonts w:ascii="Arial" w:hAnsi="Arial" w:cs="Arial"/>
                <w:sz w:val="22"/>
              </w:rPr>
            </w:pPr>
            <w:r w:rsidRPr="004B1ADF">
              <w:rPr>
                <w:rFonts w:ascii="Arial" w:hAnsi="Arial" w:cs="Arial"/>
                <w:sz w:val="22"/>
              </w:rPr>
              <w:t>Prior year a</w:t>
            </w:r>
            <w:r w:rsidR="00030613" w:rsidRPr="005E2F07">
              <w:rPr>
                <w:rFonts w:ascii="Arial" w:hAnsi="Arial" w:cs="Arial"/>
                <w:sz w:val="22"/>
              </w:rPr>
              <w:t>ppropriation</w:t>
            </w:r>
            <w:r w:rsidR="00D4270A">
              <w:rPr>
                <w:rFonts w:ascii="Arial" w:hAnsi="Arial" w:cs="Arial"/>
                <w:sz w:val="22"/>
              </w:rPr>
              <w:t>s</w:t>
            </w:r>
            <w:r w:rsidR="00030613" w:rsidRPr="005E2F07">
              <w:rPr>
                <w:rFonts w:ascii="Arial" w:hAnsi="Arial" w:cs="Arial"/>
                <w:sz w:val="22"/>
              </w:rPr>
              <w:t xml:space="preserve"> to be transferred </w:t>
            </w:r>
            <w:r w:rsidRPr="004B1ADF">
              <w:rPr>
                <w:rFonts w:ascii="Arial" w:hAnsi="Arial" w:cs="Arial"/>
                <w:sz w:val="22"/>
              </w:rPr>
              <w:t>[</w:t>
            </w:r>
            <w:hyperlink w:anchor="Appendix1Step3" w:history="1">
              <w:r w:rsidRPr="004B1ADF">
                <w:rPr>
                  <w:rStyle w:val="Hyperlink"/>
                  <w:sz w:val="22"/>
                </w:rPr>
                <w:t xml:space="preserve">Step </w:t>
              </w:r>
            </w:hyperlink>
            <w:r w:rsidR="00FC260D">
              <w:rPr>
                <w:rStyle w:val="Hyperlink"/>
                <w:sz w:val="22"/>
              </w:rPr>
              <w:t>2</w:t>
            </w:r>
            <w:r w:rsidRPr="004B1ADF">
              <w:rPr>
                <w:rFonts w:ascii="Arial" w:hAnsi="Arial" w:cs="Arial"/>
                <w:sz w:val="22"/>
              </w:rPr>
              <w:t>]</w:t>
            </w:r>
          </w:p>
        </w:tc>
      </w:tr>
    </w:tbl>
    <w:p w14:paraId="77E7545D" w14:textId="77777777" w:rsidR="00FC260D" w:rsidRDefault="00FC260D" w:rsidP="00EB35FB"/>
    <w:p w14:paraId="4B07FA0C" w14:textId="0A8921C0" w:rsidR="00917BE2" w:rsidRPr="00EE3396" w:rsidRDefault="00EB35FB" w:rsidP="00EE3396">
      <w:r>
        <w:t>Please note that any</w:t>
      </w:r>
      <w:r w:rsidRPr="00D646ED">
        <w:t xml:space="preserve"> negative balance</w:t>
      </w:r>
      <w:r>
        <w:t>s</w:t>
      </w:r>
      <w:r w:rsidRPr="00D646ED">
        <w:t xml:space="preserve"> in the </w:t>
      </w:r>
      <w:r>
        <w:t xml:space="preserve">Central Budget Management System (CBMS) </w:t>
      </w:r>
      <w:r w:rsidRPr="00D646ED">
        <w:t>appropriation balance report</w:t>
      </w:r>
      <w:r>
        <w:t xml:space="preserve"> </w:t>
      </w:r>
      <w:r w:rsidRPr="00D646ED">
        <w:t xml:space="preserve">need to be corrected before appropriation </w:t>
      </w:r>
      <w:r w:rsidR="00707EB4">
        <w:t>balances</w:t>
      </w:r>
      <w:r w:rsidRPr="00D646ED">
        <w:t xml:space="preserve"> can be transferred</w:t>
      </w:r>
      <w:r>
        <w:t>.</w:t>
      </w:r>
      <w:bookmarkStart w:id="5" w:name="_GoBack"/>
      <w:bookmarkEnd w:id="5"/>
    </w:p>
    <w:sectPr w:rsidR="00917BE2" w:rsidRPr="00EE3396" w:rsidSect="00EE339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60" w:right="1416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B0DC7" w14:textId="77777777" w:rsidR="00CA58A3" w:rsidRDefault="00CA58A3" w:rsidP="00EF4574">
      <w:pPr>
        <w:spacing w:before="0" w:after="0" w:line="240" w:lineRule="auto"/>
      </w:pPr>
      <w:r>
        <w:separator/>
      </w:r>
    </w:p>
    <w:p w14:paraId="37AC6D73" w14:textId="77777777" w:rsidR="00CA58A3" w:rsidRDefault="00CA58A3"/>
  </w:endnote>
  <w:endnote w:type="continuationSeparator" w:id="0">
    <w:p w14:paraId="41BFF86F" w14:textId="77777777" w:rsidR="00CA58A3" w:rsidRDefault="00CA58A3" w:rsidP="00EF4574">
      <w:pPr>
        <w:spacing w:before="0" w:after="0" w:line="240" w:lineRule="auto"/>
      </w:pPr>
      <w:r>
        <w:continuationSeparator/>
      </w:r>
    </w:p>
    <w:p w14:paraId="7CAA8BC5" w14:textId="77777777" w:rsidR="00CA58A3" w:rsidRDefault="00CA58A3"/>
  </w:endnote>
  <w:endnote w:type="continuationNotice" w:id="1">
    <w:p w14:paraId="45AD903F" w14:textId="77777777" w:rsidR="00CA58A3" w:rsidRDefault="00CA58A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B6C11" w14:textId="77777777" w:rsidR="00CA58A3" w:rsidRDefault="00CA58A3" w:rsidP="005B696C">
    <w:pPr>
      <w:pStyle w:val="Footer"/>
    </w:pPr>
  </w:p>
  <w:p w14:paraId="15ED84B9" w14:textId="0CD7CABA" w:rsidR="00CA58A3" w:rsidRDefault="00CA58A3" w:rsidP="005B696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CF82BF" wp14:editId="1AD79914">
              <wp:simplePos x="0" y="0"/>
              <wp:positionH relativeFrom="page">
                <wp:posOffset>6341926</wp:posOffset>
              </wp:positionH>
              <wp:positionV relativeFrom="page">
                <wp:posOffset>10076815</wp:posOffset>
              </wp:positionV>
              <wp:extent cx="324000" cy="324000"/>
              <wp:effectExtent l="0" t="0" r="19050" b="1905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3240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338615" w14:textId="77777777" w:rsidR="00CA58A3" w:rsidRDefault="00CA58A3" w:rsidP="005B696C">
                          <w:pPr>
                            <w:spacing w:before="144" w:after="48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3CF82BF" id="Oval 5" o:spid="_x0000_s1026" style="position:absolute;margin-left:499.35pt;margin-top:793.45pt;width:25.5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" fillcolor="#bddcdf [3204]" strokecolor="#1c1c1c [3215]" strokeweight=".5pt">
              <v:stroke joinstyle="miter"/>
              <v:textbox>
                <w:txbxContent>
                  <w:p w14:paraId="02338615" w14:textId="77777777" w:rsidR="00CA58A3" w:rsidRDefault="00CA58A3" w:rsidP="005B696C">
                    <w:pPr>
                      <w:spacing w:before="144" w:after="48"/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E3396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3EB0" w14:textId="77777777" w:rsidR="00CA58A3" w:rsidRDefault="00CA58A3">
    <w:pPr>
      <w:pStyle w:val="Footer"/>
    </w:pPr>
  </w:p>
  <w:p w14:paraId="3BDDB24A" w14:textId="77777777" w:rsidR="00CA58A3" w:rsidRDefault="00CA58A3" w:rsidP="000A6A8B">
    <w:pPr>
      <w:pStyle w:val="Footer"/>
      <w:jc w:val="center"/>
      <w:rPr>
        <w:rStyle w:val="Classification"/>
      </w:rPr>
    </w:pPr>
  </w:p>
  <w:p w14:paraId="430D9E3E" w14:textId="77777777" w:rsidR="00CA58A3" w:rsidRPr="000A6A8B" w:rsidRDefault="00CA58A3" w:rsidP="000A6A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A5C2" w14:textId="77777777" w:rsidR="00CA58A3" w:rsidRDefault="00CA58A3" w:rsidP="0020122A">
      <w:pPr>
        <w:pStyle w:val="FootnoteSeparator"/>
      </w:pPr>
    </w:p>
  </w:footnote>
  <w:footnote w:type="continuationSeparator" w:id="0">
    <w:p w14:paraId="39FFFCCE" w14:textId="77777777" w:rsidR="00CA58A3" w:rsidRDefault="00CA58A3" w:rsidP="00EF4574">
      <w:pPr>
        <w:spacing w:before="0" w:after="0" w:line="240" w:lineRule="auto"/>
      </w:pPr>
      <w:r>
        <w:continuationSeparator/>
      </w:r>
    </w:p>
    <w:p w14:paraId="2C924161" w14:textId="77777777" w:rsidR="00CA58A3" w:rsidRDefault="00CA58A3"/>
  </w:footnote>
  <w:footnote w:type="continuationNotice" w:id="1">
    <w:p w14:paraId="7B58FE83" w14:textId="77777777" w:rsidR="00CA58A3" w:rsidRDefault="00CA58A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D7C4" w14:textId="77777777" w:rsidR="00CA58A3" w:rsidRPr="00DB6D69" w:rsidRDefault="00CA58A3">
    <w:pPr>
      <w:pStyle w:val="Header"/>
      <w:rPr>
        <w:b/>
      </w:rPr>
    </w:pPr>
    <w:r w:rsidRPr="00DB6D69">
      <w:rPr>
        <w:b/>
      </w:rPr>
      <w:t>Department of Finance</w:t>
    </w:r>
  </w:p>
  <w:p w14:paraId="10D4412A" w14:textId="77777777" w:rsidR="00CA58A3" w:rsidRDefault="00CA58A3">
    <w:pPr>
      <w:pStyle w:val="Header"/>
    </w:pPr>
    <w:r>
      <w:t>Accounting for machinery of government changes (RMG 118)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5FAC5" w14:textId="77777777" w:rsidR="00CA58A3" w:rsidRDefault="00CA58A3" w:rsidP="000A6A8B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5C1856E0" wp14:editId="2CC9BB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40" cy="10694160"/>
          <wp:effectExtent l="0" t="0" r="381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nce_Long_Report_Ma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069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22DB4F7" wp14:editId="3E845B45">
              <wp:simplePos x="0" y="0"/>
              <wp:positionH relativeFrom="column">
                <wp:posOffset>-633730</wp:posOffset>
              </wp:positionH>
              <wp:positionV relativeFrom="paragraph">
                <wp:posOffset>2319655</wp:posOffset>
              </wp:positionV>
              <wp:extent cx="7086600" cy="3949700"/>
              <wp:effectExtent l="0" t="0" r="0" b="0"/>
              <wp:wrapNone/>
              <wp:docPr id="4" name="Isosceles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39497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0B59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6" type="#_x0000_t5" style="position:absolute;margin-left:-49.9pt;margin-top:182.65pt;width:558pt;height:31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" adj="21600" fillcolor="#92c5c5 [3205]" stroked="f" strokeweight="1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6AE4359" wp14:editId="165AB302">
              <wp:simplePos x="0" y="0"/>
              <wp:positionH relativeFrom="column">
                <wp:posOffset>-633730</wp:posOffset>
              </wp:positionH>
              <wp:positionV relativeFrom="paragraph">
                <wp:posOffset>2624455</wp:posOffset>
              </wp:positionV>
              <wp:extent cx="7086600" cy="74676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7467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1C70E" id="Rectangle 2" o:spid="_x0000_s1026" style="position:absolute;margin-left:-49.9pt;margin-top:206.65pt;width:558pt;height:58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" fillcolor="#bddcdf [3204]" stroked="f" strokeweight="1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4" behindDoc="0" locked="0" layoutInCell="1" allowOverlap="1" wp14:anchorId="30920900" wp14:editId="6D702475">
          <wp:simplePos x="0" y="0"/>
          <wp:positionH relativeFrom="page">
            <wp:posOffset>900430</wp:posOffset>
          </wp:positionH>
          <wp:positionV relativeFrom="page">
            <wp:posOffset>900430</wp:posOffset>
          </wp:positionV>
          <wp:extent cx="2350800" cy="57492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nc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57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E93"/>
    <w:multiLevelType w:val="hybridMultilevel"/>
    <w:tmpl w:val="8AFA40A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31A28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2F6B80"/>
    <w:multiLevelType w:val="multilevel"/>
    <w:tmpl w:val="56BCEC76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24E68F5"/>
    <w:multiLevelType w:val="hybridMultilevel"/>
    <w:tmpl w:val="25C6604C"/>
    <w:lvl w:ilvl="0" w:tplc="3B78E8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D02CBD6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8176B"/>
    <w:multiLevelType w:val="hybridMultilevel"/>
    <w:tmpl w:val="8D4E8DE6"/>
    <w:lvl w:ilvl="0" w:tplc="2FCC1686">
      <w:start w:val="1"/>
      <w:numFmt w:val="bullet"/>
      <w:pStyle w:val="Bullets2ndinden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2EA5"/>
    <w:multiLevelType w:val="hybridMultilevel"/>
    <w:tmpl w:val="C8A8627A"/>
    <w:lvl w:ilvl="0" w:tplc="9AC86DC0">
      <w:start w:val="1"/>
      <w:numFmt w:val="lowerRoman"/>
      <w:lvlText w:val="(%1)"/>
      <w:lvlJc w:val="left"/>
      <w:pPr>
        <w:ind w:left="1650" w:hanging="9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A4BDC"/>
    <w:multiLevelType w:val="hybridMultilevel"/>
    <w:tmpl w:val="59AEFCCA"/>
    <w:lvl w:ilvl="0" w:tplc="7CAC5678">
      <w:start w:val="1"/>
      <w:numFmt w:val="bullet"/>
      <w:pStyle w:val="Bullet2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731A282C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294214C9"/>
    <w:multiLevelType w:val="multilevel"/>
    <w:tmpl w:val="0D18962A"/>
    <w:styleLink w:val="Bullets"/>
    <w:lvl w:ilvl="0">
      <w:start w:val="1"/>
      <w:numFmt w:val="bullet"/>
      <w:pStyle w:val="FCLis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615800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615800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390A7FE3"/>
    <w:multiLevelType w:val="hybridMultilevel"/>
    <w:tmpl w:val="D4BA9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D31C8"/>
    <w:multiLevelType w:val="hybridMultilevel"/>
    <w:tmpl w:val="7E5856D8"/>
    <w:lvl w:ilvl="0" w:tplc="171A897A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7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5690C"/>
    <w:multiLevelType w:val="multilevel"/>
    <w:tmpl w:val="E37458BA"/>
    <w:lvl w:ilvl="0">
      <w:start w:val="1"/>
      <w:numFmt w:val="bullet"/>
      <w:pStyle w:val="Bullet3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4F1523F7"/>
    <w:multiLevelType w:val="multilevel"/>
    <w:tmpl w:val="2224192A"/>
    <w:styleLink w:val="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Steps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10002"/>
    <w:multiLevelType w:val="hybridMultilevel"/>
    <w:tmpl w:val="FB66234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17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5" w15:restartNumberingAfterBreak="0">
    <w:nsid w:val="5C5037DA"/>
    <w:multiLevelType w:val="hybridMultilevel"/>
    <w:tmpl w:val="CCEE5346"/>
    <w:lvl w:ilvl="0" w:tplc="724C3ADE">
      <w:start w:val="1"/>
      <w:numFmt w:val="bullet"/>
      <w:pStyle w:val="Bullets3rdinden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7" w15:restartNumberingAfterBreak="0">
    <w:nsid w:val="71FA5281"/>
    <w:multiLevelType w:val="multilevel"/>
    <w:tmpl w:val="52FE3B94"/>
    <w:lvl w:ilvl="0">
      <w:start w:val="1"/>
      <w:numFmt w:val="decimal"/>
      <w:pStyle w:val="Bullets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266"/>
        </w:tabs>
        <w:ind w:left="266" w:hanging="170"/>
      </w:pPr>
      <w:rPr>
        <w:rFonts w:ascii="Cambria" w:hAnsi="Cambria" w:hint="default"/>
        <w:color w:val="C2B000"/>
      </w:rPr>
    </w:lvl>
    <w:lvl w:ilvl="6">
      <w:start w:val="1"/>
      <w:numFmt w:val="bullet"/>
      <w:lvlText w:val="•"/>
      <w:lvlJc w:val="left"/>
      <w:pPr>
        <w:tabs>
          <w:tab w:val="num" w:pos="437"/>
        </w:tabs>
        <w:ind w:left="437" w:hanging="171"/>
      </w:pPr>
      <w:rPr>
        <w:rFonts w:ascii="Cambria" w:hAnsi="Cambria" w:hint="default"/>
        <w:color w:val="C2B00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6903A32"/>
    <w:multiLevelType w:val="multilevel"/>
    <w:tmpl w:val="A3B4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AA841CD"/>
    <w:multiLevelType w:val="hybridMultilevel"/>
    <w:tmpl w:val="716A819E"/>
    <w:lvl w:ilvl="0" w:tplc="20D86D3A">
      <w:start w:val="1"/>
      <w:numFmt w:val="bullet"/>
      <w:pStyle w:val="List1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">
    <w:abstractNumId w:val="7"/>
  </w:num>
  <w:num w:numId="4">
    <w:abstractNumId w:val="14"/>
  </w:num>
  <w:num w:numId="5">
    <w:abstractNumId w:val="16"/>
  </w:num>
  <w:num w:numId="6">
    <w:abstractNumId w:val="11"/>
  </w:num>
  <w:num w:numId="7">
    <w:abstractNumId w:val="6"/>
  </w:num>
  <w:num w:numId="8">
    <w:abstractNumId w:val="17"/>
  </w:num>
  <w:num w:numId="9">
    <w:abstractNumId w:val="9"/>
  </w:num>
  <w:num w:numId="10">
    <w:abstractNumId w:val="3"/>
  </w:num>
  <w:num w:numId="11">
    <w:abstractNumId w:val="12"/>
  </w:num>
  <w:num w:numId="12">
    <w:abstractNumId w:val="15"/>
  </w:num>
  <w:num w:numId="13">
    <w:abstractNumId w:val="1"/>
  </w:num>
  <w:num w:numId="14">
    <w:abstractNumId w:val="10"/>
  </w:num>
  <w:num w:numId="15">
    <w:abstractNumId w:val="5"/>
  </w:num>
  <w:num w:numId="16">
    <w:abstractNumId w:val="20"/>
  </w:num>
  <w:num w:numId="17">
    <w:abstractNumId w:val="2"/>
  </w:num>
  <w:num w:numId="18">
    <w:abstractNumId w:val="13"/>
  </w:num>
  <w:num w:numId="19">
    <w:abstractNumId w:val="0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</w:num>
  <w:num w:numId="25">
    <w:abstractNumId w:val="8"/>
  </w:num>
  <w:num w:numId="26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7">
    <w:abstractNumId w:val="9"/>
  </w:num>
  <w:num w:numId="28">
    <w:abstractNumId w:val="9"/>
  </w:num>
  <w:num w:numId="29">
    <w:abstractNumId w:val="4"/>
  </w:num>
  <w:num w:numId="30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1">
    <w:abstractNumId w:val="9"/>
  </w:num>
  <w:num w:numId="32">
    <w:abstractNumId w:val="9"/>
  </w:num>
  <w:num w:numId="33">
    <w:abstractNumId w:val="1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">
    <w:abstractNumId w:val="9"/>
  </w:num>
  <w:num w:numId="3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02E1"/>
    <w:rsid w:val="00001203"/>
    <w:rsid w:val="00003F3C"/>
    <w:rsid w:val="00004507"/>
    <w:rsid w:val="00005FC1"/>
    <w:rsid w:val="00006015"/>
    <w:rsid w:val="0000618F"/>
    <w:rsid w:val="000062BB"/>
    <w:rsid w:val="00010AFF"/>
    <w:rsid w:val="00017395"/>
    <w:rsid w:val="00017A8B"/>
    <w:rsid w:val="000205B7"/>
    <w:rsid w:val="00020DED"/>
    <w:rsid w:val="00024481"/>
    <w:rsid w:val="0002464A"/>
    <w:rsid w:val="00027670"/>
    <w:rsid w:val="0002782F"/>
    <w:rsid w:val="00030613"/>
    <w:rsid w:val="0003233F"/>
    <w:rsid w:val="00033AB9"/>
    <w:rsid w:val="00035B45"/>
    <w:rsid w:val="00037606"/>
    <w:rsid w:val="00046DCA"/>
    <w:rsid w:val="0005095E"/>
    <w:rsid w:val="000516A5"/>
    <w:rsid w:val="00054E4D"/>
    <w:rsid w:val="0005608E"/>
    <w:rsid w:val="00060073"/>
    <w:rsid w:val="000603C7"/>
    <w:rsid w:val="000608F8"/>
    <w:rsid w:val="000646C0"/>
    <w:rsid w:val="000646F7"/>
    <w:rsid w:val="00074576"/>
    <w:rsid w:val="00076DA8"/>
    <w:rsid w:val="000829F4"/>
    <w:rsid w:val="000841F4"/>
    <w:rsid w:val="00084750"/>
    <w:rsid w:val="000848CD"/>
    <w:rsid w:val="00094CC2"/>
    <w:rsid w:val="000965F4"/>
    <w:rsid w:val="0009746A"/>
    <w:rsid w:val="000A4B30"/>
    <w:rsid w:val="000A54D5"/>
    <w:rsid w:val="000A5FD6"/>
    <w:rsid w:val="000A6A8B"/>
    <w:rsid w:val="000B1FC9"/>
    <w:rsid w:val="000B23AA"/>
    <w:rsid w:val="000B3D1D"/>
    <w:rsid w:val="000C1C19"/>
    <w:rsid w:val="000C209B"/>
    <w:rsid w:val="000C29B9"/>
    <w:rsid w:val="000C2A48"/>
    <w:rsid w:val="000C3B7A"/>
    <w:rsid w:val="000C448C"/>
    <w:rsid w:val="000C5F75"/>
    <w:rsid w:val="000D55A4"/>
    <w:rsid w:val="000D60B1"/>
    <w:rsid w:val="000E6A51"/>
    <w:rsid w:val="000F0A73"/>
    <w:rsid w:val="000F2DAC"/>
    <w:rsid w:val="000F5A73"/>
    <w:rsid w:val="000F7E94"/>
    <w:rsid w:val="00100A37"/>
    <w:rsid w:val="00103B5C"/>
    <w:rsid w:val="001057ED"/>
    <w:rsid w:val="00106F03"/>
    <w:rsid w:val="0011089C"/>
    <w:rsid w:val="001201B4"/>
    <w:rsid w:val="00124CE7"/>
    <w:rsid w:val="001268E5"/>
    <w:rsid w:val="00126DAD"/>
    <w:rsid w:val="00131D4C"/>
    <w:rsid w:val="00132249"/>
    <w:rsid w:val="00133D47"/>
    <w:rsid w:val="001350E9"/>
    <w:rsid w:val="00136530"/>
    <w:rsid w:val="0014291C"/>
    <w:rsid w:val="001433A9"/>
    <w:rsid w:val="00145BCE"/>
    <w:rsid w:val="0014678A"/>
    <w:rsid w:val="0015074D"/>
    <w:rsid w:val="001516BE"/>
    <w:rsid w:val="00151EDC"/>
    <w:rsid w:val="001539A0"/>
    <w:rsid w:val="001541EA"/>
    <w:rsid w:val="00157C3F"/>
    <w:rsid w:val="00160A25"/>
    <w:rsid w:val="001612A4"/>
    <w:rsid w:val="00163040"/>
    <w:rsid w:val="00164DA0"/>
    <w:rsid w:val="0016728F"/>
    <w:rsid w:val="00167329"/>
    <w:rsid w:val="001736EA"/>
    <w:rsid w:val="00174938"/>
    <w:rsid w:val="00174DC5"/>
    <w:rsid w:val="001764E6"/>
    <w:rsid w:val="00180EFD"/>
    <w:rsid w:val="001840C3"/>
    <w:rsid w:val="001900C9"/>
    <w:rsid w:val="00192EF0"/>
    <w:rsid w:val="001935DA"/>
    <w:rsid w:val="00193CB9"/>
    <w:rsid w:val="00195AB7"/>
    <w:rsid w:val="001A0CA4"/>
    <w:rsid w:val="001A2DFD"/>
    <w:rsid w:val="001A3698"/>
    <w:rsid w:val="001B104E"/>
    <w:rsid w:val="001B308D"/>
    <w:rsid w:val="001B435C"/>
    <w:rsid w:val="001B6DC1"/>
    <w:rsid w:val="001B772C"/>
    <w:rsid w:val="001C118C"/>
    <w:rsid w:val="001C1751"/>
    <w:rsid w:val="001C214D"/>
    <w:rsid w:val="001C3DEA"/>
    <w:rsid w:val="001C464B"/>
    <w:rsid w:val="001C5880"/>
    <w:rsid w:val="001C6EA7"/>
    <w:rsid w:val="001C75A4"/>
    <w:rsid w:val="001C7759"/>
    <w:rsid w:val="001C7B5C"/>
    <w:rsid w:val="001D6C6F"/>
    <w:rsid w:val="001D7EB4"/>
    <w:rsid w:val="001E1200"/>
    <w:rsid w:val="001E1DC0"/>
    <w:rsid w:val="001E2069"/>
    <w:rsid w:val="001E3432"/>
    <w:rsid w:val="001E60D4"/>
    <w:rsid w:val="001E7A5E"/>
    <w:rsid w:val="001F04B6"/>
    <w:rsid w:val="001F1185"/>
    <w:rsid w:val="001F3BB6"/>
    <w:rsid w:val="001F5AB3"/>
    <w:rsid w:val="001F733C"/>
    <w:rsid w:val="001F7AA8"/>
    <w:rsid w:val="00200A91"/>
    <w:rsid w:val="0020122A"/>
    <w:rsid w:val="00202189"/>
    <w:rsid w:val="00207EE4"/>
    <w:rsid w:val="002114AE"/>
    <w:rsid w:val="002159B0"/>
    <w:rsid w:val="00216417"/>
    <w:rsid w:val="002223BA"/>
    <w:rsid w:val="00223953"/>
    <w:rsid w:val="0022443D"/>
    <w:rsid w:val="00224C74"/>
    <w:rsid w:val="002361D9"/>
    <w:rsid w:val="00236A4E"/>
    <w:rsid w:val="0024074C"/>
    <w:rsid w:val="00242D30"/>
    <w:rsid w:val="00243D75"/>
    <w:rsid w:val="00251419"/>
    <w:rsid w:val="002518C2"/>
    <w:rsid w:val="002524EF"/>
    <w:rsid w:val="002559B3"/>
    <w:rsid w:val="00256384"/>
    <w:rsid w:val="00257CCC"/>
    <w:rsid w:val="00257FAE"/>
    <w:rsid w:val="0026186D"/>
    <w:rsid w:val="00263D08"/>
    <w:rsid w:val="00264EDE"/>
    <w:rsid w:val="002676C9"/>
    <w:rsid w:val="00267BF3"/>
    <w:rsid w:val="00272B6B"/>
    <w:rsid w:val="00274A18"/>
    <w:rsid w:val="00276AA7"/>
    <w:rsid w:val="002809A5"/>
    <w:rsid w:val="00280CEF"/>
    <w:rsid w:val="00280EB9"/>
    <w:rsid w:val="0028251F"/>
    <w:rsid w:val="0028341C"/>
    <w:rsid w:val="0028602A"/>
    <w:rsid w:val="0028614F"/>
    <w:rsid w:val="002919A5"/>
    <w:rsid w:val="002921AF"/>
    <w:rsid w:val="002940EC"/>
    <w:rsid w:val="002941CC"/>
    <w:rsid w:val="002A4A8A"/>
    <w:rsid w:val="002A4FD6"/>
    <w:rsid w:val="002A5279"/>
    <w:rsid w:val="002A554E"/>
    <w:rsid w:val="002A6312"/>
    <w:rsid w:val="002B0444"/>
    <w:rsid w:val="002B253E"/>
    <w:rsid w:val="002B26AA"/>
    <w:rsid w:val="002C290A"/>
    <w:rsid w:val="002C6290"/>
    <w:rsid w:val="002D06CD"/>
    <w:rsid w:val="002D7011"/>
    <w:rsid w:val="002D7099"/>
    <w:rsid w:val="002D7560"/>
    <w:rsid w:val="002F1917"/>
    <w:rsid w:val="00301144"/>
    <w:rsid w:val="003102E9"/>
    <w:rsid w:val="003109AB"/>
    <w:rsid w:val="003120FD"/>
    <w:rsid w:val="00313B5A"/>
    <w:rsid w:val="003140C3"/>
    <w:rsid w:val="003148B7"/>
    <w:rsid w:val="003158C3"/>
    <w:rsid w:val="0031635C"/>
    <w:rsid w:val="003164C5"/>
    <w:rsid w:val="00320174"/>
    <w:rsid w:val="00321B2C"/>
    <w:rsid w:val="00322BBC"/>
    <w:rsid w:val="00323321"/>
    <w:rsid w:val="00324003"/>
    <w:rsid w:val="00324460"/>
    <w:rsid w:val="003274CD"/>
    <w:rsid w:val="0032752B"/>
    <w:rsid w:val="003277EF"/>
    <w:rsid w:val="003304D9"/>
    <w:rsid w:val="00330DD0"/>
    <w:rsid w:val="00330FD6"/>
    <w:rsid w:val="00332257"/>
    <w:rsid w:val="00333711"/>
    <w:rsid w:val="00337822"/>
    <w:rsid w:val="0034155E"/>
    <w:rsid w:val="00344994"/>
    <w:rsid w:val="003463C1"/>
    <w:rsid w:val="00350389"/>
    <w:rsid w:val="0035119D"/>
    <w:rsid w:val="003530C7"/>
    <w:rsid w:val="003536AA"/>
    <w:rsid w:val="0035645A"/>
    <w:rsid w:val="00356FF7"/>
    <w:rsid w:val="0035774B"/>
    <w:rsid w:val="00360E00"/>
    <w:rsid w:val="00362D50"/>
    <w:rsid w:val="00365C5B"/>
    <w:rsid w:val="00366DB4"/>
    <w:rsid w:val="00371AD5"/>
    <w:rsid w:val="0037216E"/>
    <w:rsid w:val="003722F4"/>
    <w:rsid w:val="00372417"/>
    <w:rsid w:val="00372521"/>
    <w:rsid w:val="00373420"/>
    <w:rsid w:val="00373BBE"/>
    <w:rsid w:val="00374B6E"/>
    <w:rsid w:val="00375A51"/>
    <w:rsid w:val="00380F99"/>
    <w:rsid w:val="003825CC"/>
    <w:rsid w:val="00384517"/>
    <w:rsid w:val="00385152"/>
    <w:rsid w:val="00387A05"/>
    <w:rsid w:val="00390B07"/>
    <w:rsid w:val="00390B6C"/>
    <w:rsid w:val="00393A89"/>
    <w:rsid w:val="003946CB"/>
    <w:rsid w:val="00396AAB"/>
    <w:rsid w:val="00396E11"/>
    <w:rsid w:val="003978AE"/>
    <w:rsid w:val="003A5512"/>
    <w:rsid w:val="003A71C5"/>
    <w:rsid w:val="003B1F3D"/>
    <w:rsid w:val="003B3D1F"/>
    <w:rsid w:val="003B4412"/>
    <w:rsid w:val="003B4CDA"/>
    <w:rsid w:val="003B4F12"/>
    <w:rsid w:val="003B68CE"/>
    <w:rsid w:val="003C0E5E"/>
    <w:rsid w:val="003C1871"/>
    <w:rsid w:val="003C4006"/>
    <w:rsid w:val="003C6942"/>
    <w:rsid w:val="003C788E"/>
    <w:rsid w:val="003C7CC1"/>
    <w:rsid w:val="003D295A"/>
    <w:rsid w:val="003D4335"/>
    <w:rsid w:val="003D6944"/>
    <w:rsid w:val="003D749C"/>
    <w:rsid w:val="003E1E60"/>
    <w:rsid w:val="003E311E"/>
    <w:rsid w:val="003E5326"/>
    <w:rsid w:val="003F1A76"/>
    <w:rsid w:val="003F3A2C"/>
    <w:rsid w:val="00401760"/>
    <w:rsid w:val="00401A0F"/>
    <w:rsid w:val="00407CB6"/>
    <w:rsid w:val="00410906"/>
    <w:rsid w:val="004121CD"/>
    <w:rsid w:val="00412634"/>
    <w:rsid w:val="00413219"/>
    <w:rsid w:val="00414A0B"/>
    <w:rsid w:val="0041590F"/>
    <w:rsid w:val="00416B47"/>
    <w:rsid w:val="00417393"/>
    <w:rsid w:val="00421ED4"/>
    <w:rsid w:val="00423F31"/>
    <w:rsid w:val="00425FDB"/>
    <w:rsid w:val="00427BEF"/>
    <w:rsid w:val="00431899"/>
    <w:rsid w:val="004320AC"/>
    <w:rsid w:val="00433715"/>
    <w:rsid w:val="0043739C"/>
    <w:rsid w:val="0044444A"/>
    <w:rsid w:val="00447720"/>
    <w:rsid w:val="00447A12"/>
    <w:rsid w:val="00447D1A"/>
    <w:rsid w:val="004540AD"/>
    <w:rsid w:val="00456676"/>
    <w:rsid w:val="00456DEC"/>
    <w:rsid w:val="0046056E"/>
    <w:rsid w:val="00462171"/>
    <w:rsid w:val="00462267"/>
    <w:rsid w:val="0046400D"/>
    <w:rsid w:val="004669EE"/>
    <w:rsid w:val="004715EA"/>
    <w:rsid w:val="004727EB"/>
    <w:rsid w:val="00472A7B"/>
    <w:rsid w:val="0047352E"/>
    <w:rsid w:val="0047380F"/>
    <w:rsid w:val="004750F2"/>
    <w:rsid w:val="00481B50"/>
    <w:rsid w:val="0048201F"/>
    <w:rsid w:val="0048297B"/>
    <w:rsid w:val="0048397B"/>
    <w:rsid w:val="00485FEA"/>
    <w:rsid w:val="00486804"/>
    <w:rsid w:val="00491FB8"/>
    <w:rsid w:val="00492043"/>
    <w:rsid w:val="00492EFA"/>
    <w:rsid w:val="004946A0"/>
    <w:rsid w:val="00495859"/>
    <w:rsid w:val="004A1693"/>
    <w:rsid w:val="004A28B7"/>
    <w:rsid w:val="004A3F79"/>
    <w:rsid w:val="004A741A"/>
    <w:rsid w:val="004B12FA"/>
    <w:rsid w:val="004B1ADF"/>
    <w:rsid w:val="004B29B8"/>
    <w:rsid w:val="004B31B0"/>
    <w:rsid w:val="004B3775"/>
    <w:rsid w:val="004B3DF6"/>
    <w:rsid w:val="004C166F"/>
    <w:rsid w:val="004C2A06"/>
    <w:rsid w:val="004C3D75"/>
    <w:rsid w:val="004C4E08"/>
    <w:rsid w:val="004C5E5E"/>
    <w:rsid w:val="004C7199"/>
    <w:rsid w:val="004D08EF"/>
    <w:rsid w:val="004D1831"/>
    <w:rsid w:val="004D4559"/>
    <w:rsid w:val="004E058F"/>
    <w:rsid w:val="004E3B87"/>
    <w:rsid w:val="004E5217"/>
    <w:rsid w:val="004E71F5"/>
    <w:rsid w:val="004F1A1C"/>
    <w:rsid w:val="004F27B7"/>
    <w:rsid w:val="004F68A6"/>
    <w:rsid w:val="0050153B"/>
    <w:rsid w:val="00505109"/>
    <w:rsid w:val="005106EC"/>
    <w:rsid w:val="00510921"/>
    <w:rsid w:val="00510AD3"/>
    <w:rsid w:val="0051199A"/>
    <w:rsid w:val="005119EC"/>
    <w:rsid w:val="00513348"/>
    <w:rsid w:val="005254FD"/>
    <w:rsid w:val="00526637"/>
    <w:rsid w:val="00527296"/>
    <w:rsid w:val="00533B5D"/>
    <w:rsid w:val="00534820"/>
    <w:rsid w:val="00536583"/>
    <w:rsid w:val="005405DF"/>
    <w:rsid w:val="0055288B"/>
    <w:rsid w:val="005554CF"/>
    <w:rsid w:val="00555595"/>
    <w:rsid w:val="00555DCB"/>
    <w:rsid w:val="00557009"/>
    <w:rsid w:val="005570E8"/>
    <w:rsid w:val="00563831"/>
    <w:rsid w:val="00565D96"/>
    <w:rsid w:val="00566CF9"/>
    <w:rsid w:val="00567A0F"/>
    <w:rsid w:val="00570B7C"/>
    <w:rsid w:val="00570CE1"/>
    <w:rsid w:val="00576A57"/>
    <w:rsid w:val="00582D93"/>
    <w:rsid w:val="0058707A"/>
    <w:rsid w:val="00593351"/>
    <w:rsid w:val="005970EA"/>
    <w:rsid w:val="005A12FA"/>
    <w:rsid w:val="005A3865"/>
    <w:rsid w:val="005A3AFF"/>
    <w:rsid w:val="005A575B"/>
    <w:rsid w:val="005A7288"/>
    <w:rsid w:val="005B0116"/>
    <w:rsid w:val="005B0C31"/>
    <w:rsid w:val="005B50D4"/>
    <w:rsid w:val="005B6243"/>
    <w:rsid w:val="005B696C"/>
    <w:rsid w:val="005B6B6E"/>
    <w:rsid w:val="005C0AC8"/>
    <w:rsid w:val="005C304D"/>
    <w:rsid w:val="005C37F0"/>
    <w:rsid w:val="005C72F0"/>
    <w:rsid w:val="005D0984"/>
    <w:rsid w:val="005D2D36"/>
    <w:rsid w:val="005D366F"/>
    <w:rsid w:val="005D3DE4"/>
    <w:rsid w:val="005D4801"/>
    <w:rsid w:val="005D6F56"/>
    <w:rsid w:val="005E0771"/>
    <w:rsid w:val="005E2B54"/>
    <w:rsid w:val="005E2F07"/>
    <w:rsid w:val="005E300F"/>
    <w:rsid w:val="005E5154"/>
    <w:rsid w:val="005E5CB9"/>
    <w:rsid w:val="005E707A"/>
    <w:rsid w:val="005F2D59"/>
    <w:rsid w:val="005F3E59"/>
    <w:rsid w:val="005F44DC"/>
    <w:rsid w:val="005F5BC9"/>
    <w:rsid w:val="006011F7"/>
    <w:rsid w:val="00606D9F"/>
    <w:rsid w:val="00607EAC"/>
    <w:rsid w:val="00610CF4"/>
    <w:rsid w:val="00615DC5"/>
    <w:rsid w:val="00616EDD"/>
    <w:rsid w:val="00622A59"/>
    <w:rsid w:val="00623BA1"/>
    <w:rsid w:val="006265C0"/>
    <w:rsid w:val="0063019D"/>
    <w:rsid w:val="006346BC"/>
    <w:rsid w:val="00634F6B"/>
    <w:rsid w:val="0063545E"/>
    <w:rsid w:val="00640F4F"/>
    <w:rsid w:val="00642602"/>
    <w:rsid w:val="00644916"/>
    <w:rsid w:val="00646A36"/>
    <w:rsid w:val="00651106"/>
    <w:rsid w:val="00653C6B"/>
    <w:rsid w:val="006579B2"/>
    <w:rsid w:val="0066050C"/>
    <w:rsid w:val="00660C4A"/>
    <w:rsid w:val="00662167"/>
    <w:rsid w:val="006638CF"/>
    <w:rsid w:val="00664709"/>
    <w:rsid w:val="00666291"/>
    <w:rsid w:val="00666383"/>
    <w:rsid w:val="0066652A"/>
    <w:rsid w:val="00670172"/>
    <w:rsid w:val="00670E0F"/>
    <w:rsid w:val="006734A8"/>
    <w:rsid w:val="0067469A"/>
    <w:rsid w:val="006768CC"/>
    <w:rsid w:val="00682167"/>
    <w:rsid w:val="00683E3F"/>
    <w:rsid w:val="00685A38"/>
    <w:rsid w:val="00685ADA"/>
    <w:rsid w:val="0068772A"/>
    <w:rsid w:val="006A1483"/>
    <w:rsid w:val="006A1AF5"/>
    <w:rsid w:val="006A1DB4"/>
    <w:rsid w:val="006A413B"/>
    <w:rsid w:val="006A4689"/>
    <w:rsid w:val="006A4AC7"/>
    <w:rsid w:val="006A6843"/>
    <w:rsid w:val="006B102F"/>
    <w:rsid w:val="006B1465"/>
    <w:rsid w:val="006B6E4A"/>
    <w:rsid w:val="006C30DD"/>
    <w:rsid w:val="006C333E"/>
    <w:rsid w:val="006C42AF"/>
    <w:rsid w:val="006C4DD1"/>
    <w:rsid w:val="006C65C2"/>
    <w:rsid w:val="006D0BB2"/>
    <w:rsid w:val="006D2181"/>
    <w:rsid w:val="006D41E0"/>
    <w:rsid w:val="006D61AD"/>
    <w:rsid w:val="006D77E2"/>
    <w:rsid w:val="006D7FC6"/>
    <w:rsid w:val="006E087F"/>
    <w:rsid w:val="006E199A"/>
    <w:rsid w:val="006E3934"/>
    <w:rsid w:val="006E4D56"/>
    <w:rsid w:val="006F07AD"/>
    <w:rsid w:val="006F0C9A"/>
    <w:rsid w:val="006F2E9D"/>
    <w:rsid w:val="006F3056"/>
    <w:rsid w:val="006F393D"/>
    <w:rsid w:val="006F3A1C"/>
    <w:rsid w:val="006F4732"/>
    <w:rsid w:val="006F47D7"/>
    <w:rsid w:val="006F59A3"/>
    <w:rsid w:val="00702B46"/>
    <w:rsid w:val="007051BB"/>
    <w:rsid w:val="007061D2"/>
    <w:rsid w:val="00707EB4"/>
    <w:rsid w:val="00710E42"/>
    <w:rsid w:val="00711C63"/>
    <w:rsid w:val="00711D8E"/>
    <w:rsid w:val="00712672"/>
    <w:rsid w:val="00714FC8"/>
    <w:rsid w:val="0071582C"/>
    <w:rsid w:val="00715B30"/>
    <w:rsid w:val="007175D6"/>
    <w:rsid w:val="00721351"/>
    <w:rsid w:val="00725820"/>
    <w:rsid w:val="00727295"/>
    <w:rsid w:val="00727C9A"/>
    <w:rsid w:val="00730D41"/>
    <w:rsid w:val="007326E7"/>
    <w:rsid w:val="00734E3F"/>
    <w:rsid w:val="00736985"/>
    <w:rsid w:val="00737A13"/>
    <w:rsid w:val="00740A34"/>
    <w:rsid w:val="00740E2C"/>
    <w:rsid w:val="007410BA"/>
    <w:rsid w:val="00741E47"/>
    <w:rsid w:val="0074242B"/>
    <w:rsid w:val="00745799"/>
    <w:rsid w:val="007503C9"/>
    <w:rsid w:val="0075273D"/>
    <w:rsid w:val="00753E0F"/>
    <w:rsid w:val="007546EA"/>
    <w:rsid w:val="007607A8"/>
    <w:rsid w:val="00760A1E"/>
    <w:rsid w:val="00760C5D"/>
    <w:rsid w:val="00763C2A"/>
    <w:rsid w:val="0076403E"/>
    <w:rsid w:val="007640DF"/>
    <w:rsid w:val="00767A65"/>
    <w:rsid w:val="00772193"/>
    <w:rsid w:val="00775176"/>
    <w:rsid w:val="007751C3"/>
    <w:rsid w:val="0078145C"/>
    <w:rsid w:val="00785579"/>
    <w:rsid w:val="00785E98"/>
    <w:rsid w:val="00790854"/>
    <w:rsid w:val="007927AC"/>
    <w:rsid w:val="00797A42"/>
    <w:rsid w:val="007A1BF6"/>
    <w:rsid w:val="007A7395"/>
    <w:rsid w:val="007A791F"/>
    <w:rsid w:val="007B6200"/>
    <w:rsid w:val="007B6324"/>
    <w:rsid w:val="007C09E8"/>
    <w:rsid w:val="007C2F35"/>
    <w:rsid w:val="007C2F8A"/>
    <w:rsid w:val="007C4140"/>
    <w:rsid w:val="007C4560"/>
    <w:rsid w:val="007D2614"/>
    <w:rsid w:val="007D497F"/>
    <w:rsid w:val="007D4D14"/>
    <w:rsid w:val="007E3D6F"/>
    <w:rsid w:val="007E569B"/>
    <w:rsid w:val="007E662D"/>
    <w:rsid w:val="007E7634"/>
    <w:rsid w:val="007F0E6B"/>
    <w:rsid w:val="007F0E86"/>
    <w:rsid w:val="007F400F"/>
    <w:rsid w:val="00800799"/>
    <w:rsid w:val="00801B9F"/>
    <w:rsid w:val="00802ACE"/>
    <w:rsid w:val="0080495C"/>
    <w:rsid w:val="00805657"/>
    <w:rsid w:val="0081126C"/>
    <w:rsid w:val="00812A09"/>
    <w:rsid w:val="00812A59"/>
    <w:rsid w:val="00814F25"/>
    <w:rsid w:val="008152E2"/>
    <w:rsid w:val="00816C1F"/>
    <w:rsid w:val="00821A9E"/>
    <w:rsid w:val="0082745D"/>
    <w:rsid w:val="00827E8D"/>
    <w:rsid w:val="00827ED2"/>
    <w:rsid w:val="00837143"/>
    <w:rsid w:val="0084135B"/>
    <w:rsid w:val="008418C3"/>
    <w:rsid w:val="008436BE"/>
    <w:rsid w:val="00844CED"/>
    <w:rsid w:val="0084520B"/>
    <w:rsid w:val="00845A15"/>
    <w:rsid w:val="00845E64"/>
    <w:rsid w:val="00851DE0"/>
    <w:rsid w:val="00852EBF"/>
    <w:rsid w:val="008549B5"/>
    <w:rsid w:val="00854C1D"/>
    <w:rsid w:val="0085614E"/>
    <w:rsid w:val="0085693F"/>
    <w:rsid w:val="00860222"/>
    <w:rsid w:val="008615F3"/>
    <w:rsid w:val="00862B5A"/>
    <w:rsid w:val="00862E88"/>
    <w:rsid w:val="0086573D"/>
    <w:rsid w:val="00870C51"/>
    <w:rsid w:val="00871504"/>
    <w:rsid w:val="00873D7E"/>
    <w:rsid w:val="008779C4"/>
    <w:rsid w:val="00880B3F"/>
    <w:rsid w:val="00882639"/>
    <w:rsid w:val="008829E2"/>
    <w:rsid w:val="00891C88"/>
    <w:rsid w:val="00891DC0"/>
    <w:rsid w:val="00895F2E"/>
    <w:rsid w:val="008A05DD"/>
    <w:rsid w:val="008A071D"/>
    <w:rsid w:val="008A07E3"/>
    <w:rsid w:val="008A7E60"/>
    <w:rsid w:val="008B0A05"/>
    <w:rsid w:val="008B1C4E"/>
    <w:rsid w:val="008B3924"/>
    <w:rsid w:val="008B51A0"/>
    <w:rsid w:val="008B5717"/>
    <w:rsid w:val="008B62C7"/>
    <w:rsid w:val="008B676B"/>
    <w:rsid w:val="008B6FD6"/>
    <w:rsid w:val="008B7F39"/>
    <w:rsid w:val="008C3542"/>
    <w:rsid w:val="008C3B0A"/>
    <w:rsid w:val="008C6820"/>
    <w:rsid w:val="008C721E"/>
    <w:rsid w:val="008D0EEA"/>
    <w:rsid w:val="008D261C"/>
    <w:rsid w:val="008D2B52"/>
    <w:rsid w:val="008D4A99"/>
    <w:rsid w:val="008D5A9E"/>
    <w:rsid w:val="008D5EE8"/>
    <w:rsid w:val="008E07D4"/>
    <w:rsid w:val="008E356C"/>
    <w:rsid w:val="008E5755"/>
    <w:rsid w:val="008E776B"/>
    <w:rsid w:val="008F0DC2"/>
    <w:rsid w:val="008F144E"/>
    <w:rsid w:val="00900C8B"/>
    <w:rsid w:val="00901064"/>
    <w:rsid w:val="009020BB"/>
    <w:rsid w:val="00902127"/>
    <w:rsid w:val="0090273F"/>
    <w:rsid w:val="00903AF5"/>
    <w:rsid w:val="0090434C"/>
    <w:rsid w:val="00906FE9"/>
    <w:rsid w:val="00907BFA"/>
    <w:rsid w:val="0091245B"/>
    <w:rsid w:val="0091274D"/>
    <w:rsid w:val="00912F4F"/>
    <w:rsid w:val="0091450F"/>
    <w:rsid w:val="00916B61"/>
    <w:rsid w:val="00917182"/>
    <w:rsid w:val="00917BE2"/>
    <w:rsid w:val="00921C79"/>
    <w:rsid w:val="0092289A"/>
    <w:rsid w:val="00926154"/>
    <w:rsid w:val="009262D4"/>
    <w:rsid w:val="00927791"/>
    <w:rsid w:val="00930049"/>
    <w:rsid w:val="009301CA"/>
    <w:rsid w:val="00930217"/>
    <w:rsid w:val="00932C48"/>
    <w:rsid w:val="00941CFB"/>
    <w:rsid w:val="009453A8"/>
    <w:rsid w:val="00946082"/>
    <w:rsid w:val="00953B34"/>
    <w:rsid w:val="00953F91"/>
    <w:rsid w:val="00955064"/>
    <w:rsid w:val="00955214"/>
    <w:rsid w:val="009561A0"/>
    <w:rsid w:val="009667D8"/>
    <w:rsid w:val="009671BA"/>
    <w:rsid w:val="00970B92"/>
    <w:rsid w:val="0097185D"/>
    <w:rsid w:val="00973903"/>
    <w:rsid w:val="009758F8"/>
    <w:rsid w:val="009763B6"/>
    <w:rsid w:val="00981A4B"/>
    <w:rsid w:val="00981B22"/>
    <w:rsid w:val="00981B79"/>
    <w:rsid w:val="009848CC"/>
    <w:rsid w:val="009855EE"/>
    <w:rsid w:val="0099232B"/>
    <w:rsid w:val="00992461"/>
    <w:rsid w:val="00993743"/>
    <w:rsid w:val="00993FCD"/>
    <w:rsid w:val="009967EF"/>
    <w:rsid w:val="0099688A"/>
    <w:rsid w:val="009A08BD"/>
    <w:rsid w:val="009A2DA7"/>
    <w:rsid w:val="009A47C6"/>
    <w:rsid w:val="009A7BCC"/>
    <w:rsid w:val="009B1A9B"/>
    <w:rsid w:val="009B38E3"/>
    <w:rsid w:val="009B4D3B"/>
    <w:rsid w:val="009B551C"/>
    <w:rsid w:val="009B5765"/>
    <w:rsid w:val="009B7655"/>
    <w:rsid w:val="009B7FA8"/>
    <w:rsid w:val="009C0789"/>
    <w:rsid w:val="009C09BC"/>
    <w:rsid w:val="009C0BC5"/>
    <w:rsid w:val="009C1C52"/>
    <w:rsid w:val="009C3084"/>
    <w:rsid w:val="009C448D"/>
    <w:rsid w:val="009D00C3"/>
    <w:rsid w:val="009D14B3"/>
    <w:rsid w:val="009D3BFE"/>
    <w:rsid w:val="009D739F"/>
    <w:rsid w:val="009D7407"/>
    <w:rsid w:val="009E0866"/>
    <w:rsid w:val="009E1AAB"/>
    <w:rsid w:val="009E2850"/>
    <w:rsid w:val="009E63C3"/>
    <w:rsid w:val="009F71C7"/>
    <w:rsid w:val="009F7A66"/>
    <w:rsid w:val="00A03408"/>
    <w:rsid w:val="00A061B9"/>
    <w:rsid w:val="00A07721"/>
    <w:rsid w:val="00A11D62"/>
    <w:rsid w:val="00A120E1"/>
    <w:rsid w:val="00A14FF9"/>
    <w:rsid w:val="00A1777A"/>
    <w:rsid w:val="00A20872"/>
    <w:rsid w:val="00A20E8E"/>
    <w:rsid w:val="00A227C0"/>
    <w:rsid w:val="00A24A62"/>
    <w:rsid w:val="00A2685C"/>
    <w:rsid w:val="00A313EC"/>
    <w:rsid w:val="00A31C9F"/>
    <w:rsid w:val="00A332C9"/>
    <w:rsid w:val="00A3437B"/>
    <w:rsid w:val="00A34AD0"/>
    <w:rsid w:val="00A34EDC"/>
    <w:rsid w:val="00A47487"/>
    <w:rsid w:val="00A5698D"/>
    <w:rsid w:val="00A56EEA"/>
    <w:rsid w:val="00A57A9E"/>
    <w:rsid w:val="00A61DC9"/>
    <w:rsid w:val="00A661B1"/>
    <w:rsid w:val="00A6759B"/>
    <w:rsid w:val="00A70023"/>
    <w:rsid w:val="00A705D4"/>
    <w:rsid w:val="00A72A08"/>
    <w:rsid w:val="00A72B47"/>
    <w:rsid w:val="00A76D1E"/>
    <w:rsid w:val="00A809BD"/>
    <w:rsid w:val="00A82B42"/>
    <w:rsid w:val="00A83A14"/>
    <w:rsid w:val="00A84B0D"/>
    <w:rsid w:val="00A8508E"/>
    <w:rsid w:val="00A860DC"/>
    <w:rsid w:val="00A868E8"/>
    <w:rsid w:val="00A90398"/>
    <w:rsid w:val="00A91451"/>
    <w:rsid w:val="00A92D13"/>
    <w:rsid w:val="00A95BA3"/>
    <w:rsid w:val="00AA3E9C"/>
    <w:rsid w:val="00AA6C63"/>
    <w:rsid w:val="00AB19CF"/>
    <w:rsid w:val="00AB38B8"/>
    <w:rsid w:val="00AB6E4A"/>
    <w:rsid w:val="00AC164A"/>
    <w:rsid w:val="00AC20D4"/>
    <w:rsid w:val="00AC5AEB"/>
    <w:rsid w:val="00AD07F4"/>
    <w:rsid w:val="00AD0E6D"/>
    <w:rsid w:val="00AD13C3"/>
    <w:rsid w:val="00AD680F"/>
    <w:rsid w:val="00AD69AD"/>
    <w:rsid w:val="00AD71FE"/>
    <w:rsid w:val="00AE4762"/>
    <w:rsid w:val="00AE4D33"/>
    <w:rsid w:val="00AF2050"/>
    <w:rsid w:val="00AF425A"/>
    <w:rsid w:val="00AF5ABB"/>
    <w:rsid w:val="00AF5BED"/>
    <w:rsid w:val="00AF6D1A"/>
    <w:rsid w:val="00AF7087"/>
    <w:rsid w:val="00AF7EDE"/>
    <w:rsid w:val="00B00CE9"/>
    <w:rsid w:val="00B01179"/>
    <w:rsid w:val="00B0338E"/>
    <w:rsid w:val="00B071BF"/>
    <w:rsid w:val="00B0755A"/>
    <w:rsid w:val="00B07A05"/>
    <w:rsid w:val="00B130B3"/>
    <w:rsid w:val="00B13B6E"/>
    <w:rsid w:val="00B1577F"/>
    <w:rsid w:val="00B17584"/>
    <w:rsid w:val="00B17D5A"/>
    <w:rsid w:val="00B24543"/>
    <w:rsid w:val="00B2676B"/>
    <w:rsid w:val="00B329B6"/>
    <w:rsid w:val="00B32F99"/>
    <w:rsid w:val="00B34BDB"/>
    <w:rsid w:val="00B46820"/>
    <w:rsid w:val="00B51476"/>
    <w:rsid w:val="00B535B4"/>
    <w:rsid w:val="00B55A9E"/>
    <w:rsid w:val="00B674E1"/>
    <w:rsid w:val="00B71F86"/>
    <w:rsid w:val="00B75555"/>
    <w:rsid w:val="00B7568D"/>
    <w:rsid w:val="00B77849"/>
    <w:rsid w:val="00B83AB3"/>
    <w:rsid w:val="00B83E9F"/>
    <w:rsid w:val="00B901B9"/>
    <w:rsid w:val="00B92D9F"/>
    <w:rsid w:val="00B93F9A"/>
    <w:rsid w:val="00BA2AB0"/>
    <w:rsid w:val="00BA6FA7"/>
    <w:rsid w:val="00BA7C45"/>
    <w:rsid w:val="00BB1A3D"/>
    <w:rsid w:val="00BB26C5"/>
    <w:rsid w:val="00BB5814"/>
    <w:rsid w:val="00BC05C2"/>
    <w:rsid w:val="00BC0C63"/>
    <w:rsid w:val="00BC1034"/>
    <w:rsid w:val="00BD1926"/>
    <w:rsid w:val="00BD2D1F"/>
    <w:rsid w:val="00BD32B7"/>
    <w:rsid w:val="00BD364A"/>
    <w:rsid w:val="00BE2535"/>
    <w:rsid w:val="00BE4555"/>
    <w:rsid w:val="00BE48F4"/>
    <w:rsid w:val="00BE7F8C"/>
    <w:rsid w:val="00BF27FC"/>
    <w:rsid w:val="00BF3BA2"/>
    <w:rsid w:val="00BF4DE6"/>
    <w:rsid w:val="00BF6958"/>
    <w:rsid w:val="00C03100"/>
    <w:rsid w:val="00C04038"/>
    <w:rsid w:val="00C040F8"/>
    <w:rsid w:val="00C043BD"/>
    <w:rsid w:val="00C04ABA"/>
    <w:rsid w:val="00C05887"/>
    <w:rsid w:val="00C0792A"/>
    <w:rsid w:val="00C13AB0"/>
    <w:rsid w:val="00C15529"/>
    <w:rsid w:val="00C15CE8"/>
    <w:rsid w:val="00C17B55"/>
    <w:rsid w:val="00C17C91"/>
    <w:rsid w:val="00C22C5C"/>
    <w:rsid w:val="00C231BD"/>
    <w:rsid w:val="00C26390"/>
    <w:rsid w:val="00C2775A"/>
    <w:rsid w:val="00C30746"/>
    <w:rsid w:val="00C33A6D"/>
    <w:rsid w:val="00C3720A"/>
    <w:rsid w:val="00C373BC"/>
    <w:rsid w:val="00C42CDE"/>
    <w:rsid w:val="00C43F2B"/>
    <w:rsid w:val="00C4578C"/>
    <w:rsid w:val="00C50AA6"/>
    <w:rsid w:val="00C56FBA"/>
    <w:rsid w:val="00C570BA"/>
    <w:rsid w:val="00C575FC"/>
    <w:rsid w:val="00C576E2"/>
    <w:rsid w:val="00C60DA1"/>
    <w:rsid w:val="00C61A15"/>
    <w:rsid w:val="00C6295F"/>
    <w:rsid w:val="00C6347E"/>
    <w:rsid w:val="00C650D3"/>
    <w:rsid w:val="00C66AEC"/>
    <w:rsid w:val="00C746C8"/>
    <w:rsid w:val="00C7588E"/>
    <w:rsid w:val="00C76AC1"/>
    <w:rsid w:val="00C81087"/>
    <w:rsid w:val="00C85FAB"/>
    <w:rsid w:val="00C87A54"/>
    <w:rsid w:val="00C9035A"/>
    <w:rsid w:val="00C9165C"/>
    <w:rsid w:val="00C916B4"/>
    <w:rsid w:val="00C91BA3"/>
    <w:rsid w:val="00C934F6"/>
    <w:rsid w:val="00C94B5B"/>
    <w:rsid w:val="00CA1B45"/>
    <w:rsid w:val="00CA37B1"/>
    <w:rsid w:val="00CA45E9"/>
    <w:rsid w:val="00CA537C"/>
    <w:rsid w:val="00CA58A3"/>
    <w:rsid w:val="00CA7227"/>
    <w:rsid w:val="00CB1959"/>
    <w:rsid w:val="00CB3C40"/>
    <w:rsid w:val="00CB48B3"/>
    <w:rsid w:val="00CB5ED0"/>
    <w:rsid w:val="00CC1D75"/>
    <w:rsid w:val="00CC2D28"/>
    <w:rsid w:val="00CC2E0A"/>
    <w:rsid w:val="00CC4020"/>
    <w:rsid w:val="00CC4B58"/>
    <w:rsid w:val="00CC763B"/>
    <w:rsid w:val="00CC7CAA"/>
    <w:rsid w:val="00CD085F"/>
    <w:rsid w:val="00CD1CD2"/>
    <w:rsid w:val="00CD27D5"/>
    <w:rsid w:val="00CD57ED"/>
    <w:rsid w:val="00CD7ACB"/>
    <w:rsid w:val="00CD7E34"/>
    <w:rsid w:val="00CE5724"/>
    <w:rsid w:val="00CF072F"/>
    <w:rsid w:val="00CF1A95"/>
    <w:rsid w:val="00CF3314"/>
    <w:rsid w:val="00CF68EB"/>
    <w:rsid w:val="00CF6B40"/>
    <w:rsid w:val="00D00A52"/>
    <w:rsid w:val="00D0296C"/>
    <w:rsid w:val="00D04D3F"/>
    <w:rsid w:val="00D05313"/>
    <w:rsid w:val="00D1013C"/>
    <w:rsid w:val="00D10364"/>
    <w:rsid w:val="00D110F0"/>
    <w:rsid w:val="00D119A8"/>
    <w:rsid w:val="00D1275A"/>
    <w:rsid w:val="00D1488E"/>
    <w:rsid w:val="00D169BA"/>
    <w:rsid w:val="00D16E16"/>
    <w:rsid w:val="00D17EC6"/>
    <w:rsid w:val="00D2144D"/>
    <w:rsid w:val="00D22869"/>
    <w:rsid w:val="00D258BB"/>
    <w:rsid w:val="00D316D2"/>
    <w:rsid w:val="00D353DC"/>
    <w:rsid w:val="00D362C1"/>
    <w:rsid w:val="00D4159E"/>
    <w:rsid w:val="00D4270A"/>
    <w:rsid w:val="00D44231"/>
    <w:rsid w:val="00D46BF0"/>
    <w:rsid w:val="00D46D82"/>
    <w:rsid w:val="00D508BE"/>
    <w:rsid w:val="00D562B9"/>
    <w:rsid w:val="00D61521"/>
    <w:rsid w:val="00D646ED"/>
    <w:rsid w:val="00D66DD2"/>
    <w:rsid w:val="00D71430"/>
    <w:rsid w:val="00D722F6"/>
    <w:rsid w:val="00D72661"/>
    <w:rsid w:val="00D7284E"/>
    <w:rsid w:val="00D7288F"/>
    <w:rsid w:val="00D74657"/>
    <w:rsid w:val="00D776CD"/>
    <w:rsid w:val="00D84106"/>
    <w:rsid w:val="00D864F0"/>
    <w:rsid w:val="00D86F3D"/>
    <w:rsid w:val="00D90104"/>
    <w:rsid w:val="00D92DCE"/>
    <w:rsid w:val="00D93202"/>
    <w:rsid w:val="00D96133"/>
    <w:rsid w:val="00D9695E"/>
    <w:rsid w:val="00DA1BE1"/>
    <w:rsid w:val="00DA47FE"/>
    <w:rsid w:val="00DA5FAA"/>
    <w:rsid w:val="00DB1585"/>
    <w:rsid w:val="00DB2584"/>
    <w:rsid w:val="00DB3939"/>
    <w:rsid w:val="00DB3F04"/>
    <w:rsid w:val="00DB5CCC"/>
    <w:rsid w:val="00DB6D69"/>
    <w:rsid w:val="00DC2B5A"/>
    <w:rsid w:val="00DC430B"/>
    <w:rsid w:val="00DD1B7A"/>
    <w:rsid w:val="00DD61B1"/>
    <w:rsid w:val="00DE1076"/>
    <w:rsid w:val="00DE1183"/>
    <w:rsid w:val="00DE2641"/>
    <w:rsid w:val="00DE434A"/>
    <w:rsid w:val="00DE7546"/>
    <w:rsid w:val="00DF25F7"/>
    <w:rsid w:val="00DF4110"/>
    <w:rsid w:val="00E01E9C"/>
    <w:rsid w:val="00E02371"/>
    <w:rsid w:val="00E05137"/>
    <w:rsid w:val="00E0611F"/>
    <w:rsid w:val="00E06D03"/>
    <w:rsid w:val="00E10214"/>
    <w:rsid w:val="00E1057F"/>
    <w:rsid w:val="00E15069"/>
    <w:rsid w:val="00E15AF7"/>
    <w:rsid w:val="00E16F05"/>
    <w:rsid w:val="00E357B7"/>
    <w:rsid w:val="00E3708F"/>
    <w:rsid w:val="00E40D77"/>
    <w:rsid w:val="00E410BB"/>
    <w:rsid w:val="00E43DB7"/>
    <w:rsid w:val="00E4676E"/>
    <w:rsid w:val="00E51C40"/>
    <w:rsid w:val="00E53800"/>
    <w:rsid w:val="00E5772A"/>
    <w:rsid w:val="00E57FB7"/>
    <w:rsid w:val="00E6044C"/>
    <w:rsid w:val="00E6081F"/>
    <w:rsid w:val="00E60A81"/>
    <w:rsid w:val="00E60FC8"/>
    <w:rsid w:val="00E6422F"/>
    <w:rsid w:val="00E7335D"/>
    <w:rsid w:val="00E84518"/>
    <w:rsid w:val="00E8471B"/>
    <w:rsid w:val="00E878A5"/>
    <w:rsid w:val="00EA04B2"/>
    <w:rsid w:val="00EA1E81"/>
    <w:rsid w:val="00EA20F3"/>
    <w:rsid w:val="00EA41CD"/>
    <w:rsid w:val="00EA6FE3"/>
    <w:rsid w:val="00EB35FB"/>
    <w:rsid w:val="00EB66F9"/>
    <w:rsid w:val="00EB6B1D"/>
    <w:rsid w:val="00EC000E"/>
    <w:rsid w:val="00EC5A23"/>
    <w:rsid w:val="00EC6B28"/>
    <w:rsid w:val="00EC7F63"/>
    <w:rsid w:val="00ED0C06"/>
    <w:rsid w:val="00ED1067"/>
    <w:rsid w:val="00ED43D1"/>
    <w:rsid w:val="00ED63F6"/>
    <w:rsid w:val="00ED7D27"/>
    <w:rsid w:val="00EE2B99"/>
    <w:rsid w:val="00EE3396"/>
    <w:rsid w:val="00EE4EE1"/>
    <w:rsid w:val="00EF1E14"/>
    <w:rsid w:val="00EF4574"/>
    <w:rsid w:val="00EF467C"/>
    <w:rsid w:val="00EF47A2"/>
    <w:rsid w:val="00EF52DE"/>
    <w:rsid w:val="00EF591B"/>
    <w:rsid w:val="00EF624A"/>
    <w:rsid w:val="00F01793"/>
    <w:rsid w:val="00F02B32"/>
    <w:rsid w:val="00F07E3D"/>
    <w:rsid w:val="00F11DD1"/>
    <w:rsid w:val="00F139C9"/>
    <w:rsid w:val="00F179B5"/>
    <w:rsid w:val="00F2018F"/>
    <w:rsid w:val="00F22DC5"/>
    <w:rsid w:val="00F26660"/>
    <w:rsid w:val="00F2684E"/>
    <w:rsid w:val="00F30034"/>
    <w:rsid w:val="00F3316E"/>
    <w:rsid w:val="00F41CD4"/>
    <w:rsid w:val="00F42B3A"/>
    <w:rsid w:val="00F44E06"/>
    <w:rsid w:val="00F457A1"/>
    <w:rsid w:val="00F50409"/>
    <w:rsid w:val="00F50CDC"/>
    <w:rsid w:val="00F51144"/>
    <w:rsid w:val="00F511C0"/>
    <w:rsid w:val="00F54267"/>
    <w:rsid w:val="00F5466F"/>
    <w:rsid w:val="00F56796"/>
    <w:rsid w:val="00F57BCA"/>
    <w:rsid w:val="00F6103D"/>
    <w:rsid w:val="00F62860"/>
    <w:rsid w:val="00F63973"/>
    <w:rsid w:val="00F64C2F"/>
    <w:rsid w:val="00F666D4"/>
    <w:rsid w:val="00F706D1"/>
    <w:rsid w:val="00F7254F"/>
    <w:rsid w:val="00F729EF"/>
    <w:rsid w:val="00F77CAE"/>
    <w:rsid w:val="00F80913"/>
    <w:rsid w:val="00F83FF3"/>
    <w:rsid w:val="00F842FE"/>
    <w:rsid w:val="00F8520E"/>
    <w:rsid w:val="00F85B10"/>
    <w:rsid w:val="00F863ED"/>
    <w:rsid w:val="00F908CD"/>
    <w:rsid w:val="00F96BB9"/>
    <w:rsid w:val="00FA21F9"/>
    <w:rsid w:val="00FA306C"/>
    <w:rsid w:val="00FA455F"/>
    <w:rsid w:val="00FA5100"/>
    <w:rsid w:val="00FA556F"/>
    <w:rsid w:val="00FB3882"/>
    <w:rsid w:val="00FB44AA"/>
    <w:rsid w:val="00FC0BEE"/>
    <w:rsid w:val="00FC260D"/>
    <w:rsid w:val="00FC3112"/>
    <w:rsid w:val="00FC6CD7"/>
    <w:rsid w:val="00FC6CFD"/>
    <w:rsid w:val="00FC7846"/>
    <w:rsid w:val="00FD3338"/>
    <w:rsid w:val="00FD7C4E"/>
    <w:rsid w:val="00FE0E4D"/>
    <w:rsid w:val="00FE1DFD"/>
    <w:rsid w:val="00FE2AC5"/>
    <w:rsid w:val="00FE5A73"/>
    <w:rsid w:val="00FE681E"/>
    <w:rsid w:val="00FE6D51"/>
    <w:rsid w:val="00FE715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2ADDAA1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59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D110F0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FA556F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23BA1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0F0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FA556F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B6D69"/>
    <w:pPr>
      <w:keepNext w:val="0"/>
      <w:spacing w:before="8400" w:line="480" w:lineRule="atLeast"/>
      <w:jc w:val="righ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D69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2"/>
    <w:qFormat/>
    <w:rsid w:val="00DB6D69"/>
    <w:pPr>
      <w:numPr>
        <w:ilvl w:val="1"/>
      </w:numPr>
      <w:spacing w:before="36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D69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Bullets1stindentlast"/>
    <w:qFormat/>
    <w:rsid w:val="002A5279"/>
    <w:pPr>
      <w:spacing w:before="180" w:after="60" w:line="280" w:lineRule="atLeast"/>
    </w:pPr>
    <w:rPr>
      <w:rFonts w:cstheme="minorHAnsi"/>
      <w:bCs/>
      <w:lang w:val="en-GB"/>
    </w:rPr>
  </w:style>
  <w:style w:type="paragraph" w:customStyle="1" w:styleId="Bullet2">
    <w:name w:val="Bullet 2"/>
    <w:basedOn w:val="ListParagraph"/>
    <w:qFormat/>
    <w:rsid w:val="002A5279"/>
    <w:pPr>
      <w:numPr>
        <w:numId w:val="15"/>
      </w:numPr>
      <w:suppressAutoHyphens/>
      <w:spacing w:before="180" w:after="60" w:line="280" w:lineRule="atLeast"/>
      <w:ind w:left="1276" w:hanging="283"/>
    </w:pPr>
    <w:rPr>
      <w:rFonts w:asciiTheme="minorHAnsi" w:eastAsiaTheme="minorHAnsi" w:hAnsiTheme="minorHAnsi" w:cstheme="minorBidi"/>
    </w:rPr>
  </w:style>
  <w:style w:type="paragraph" w:customStyle="1" w:styleId="Bullet3">
    <w:name w:val="Bullet 3"/>
    <w:basedOn w:val="NumberedList1"/>
    <w:qFormat/>
    <w:rsid w:val="00F8520E"/>
    <w:pPr>
      <w:numPr>
        <w:numId w:val="14"/>
      </w:numPr>
      <w:ind w:left="1985"/>
    </w:pPr>
  </w:style>
  <w:style w:type="paragraph" w:customStyle="1" w:styleId="NumberedList1">
    <w:name w:val="Numbered List 1"/>
    <w:basedOn w:val="Normal"/>
    <w:link w:val="NumberedList1Char"/>
    <w:qFormat/>
    <w:rsid w:val="0028341C"/>
    <w:pPr>
      <w:numPr>
        <w:numId w:val="2"/>
      </w:numPr>
    </w:pPr>
  </w:style>
  <w:style w:type="paragraph" w:customStyle="1" w:styleId="NumberedList2">
    <w:name w:val="Numbered List 2"/>
    <w:basedOn w:val="NumberedList1"/>
    <w:qFormat/>
    <w:rsid w:val="0046056E"/>
    <w:pPr>
      <w:numPr>
        <w:ilvl w:val="1"/>
      </w:numPr>
      <w:spacing w:before="120"/>
      <w:ind w:left="851"/>
    </w:pPr>
  </w:style>
  <w:style w:type="paragraph" w:customStyle="1" w:styleId="NumberedList3">
    <w:name w:val="Numbered List 3"/>
    <w:basedOn w:val="NumberedList2"/>
    <w:qFormat/>
    <w:rsid w:val="00FB44AA"/>
    <w:pPr>
      <w:numPr>
        <w:ilvl w:val="2"/>
      </w:numPr>
      <w:ind w:left="851"/>
    </w:pPr>
  </w:style>
  <w:style w:type="paragraph" w:customStyle="1" w:styleId="Heading1Numbered">
    <w:name w:val="Heading 1 Numbered"/>
    <w:basedOn w:val="Heading1"/>
    <w:next w:val="Normal"/>
    <w:qFormat/>
    <w:rsid w:val="00D110F0"/>
    <w:pPr>
      <w:shd w:val="clear" w:color="auto" w:fill="BDDCDF" w:themeFill="accent1"/>
    </w:pPr>
  </w:style>
  <w:style w:type="paragraph" w:customStyle="1" w:styleId="Heading2Numbered">
    <w:name w:val="Heading 2 Numbered"/>
    <w:basedOn w:val="Heading3"/>
    <w:next w:val="Normal"/>
    <w:qFormat/>
    <w:rsid w:val="00F863ED"/>
    <w:rPr>
      <w:sz w:val="34"/>
      <w:szCs w:val="34"/>
    </w:rPr>
  </w:style>
  <w:style w:type="paragraph" w:customStyle="1" w:styleId="Heading3Numbered">
    <w:name w:val="Heading 3 Numbered"/>
    <w:basedOn w:val="Heading3"/>
    <w:next w:val="Normal"/>
    <w:qFormat/>
    <w:rsid w:val="001D7EB4"/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13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B6E4A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46056E"/>
    <w:pPr>
      <w:tabs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qFormat/>
    <w:rsid w:val="001F5AB3"/>
    <w:rPr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486804"/>
    <w:rPr>
      <w:rFonts w:asciiTheme="majorHAnsi" w:eastAsiaTheme="majorEastAsia" w:hAnsiTheme="majorHAnsi" w:cstheme="majorBidi"/>
      <w:bCs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link w:val="Boxed1TextChar"/>
    <w:qFormat/>
    <w:rsid w:val="00486804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link w:val="Boxed2TextChar"/>
    <w:qFormat/>
    <w:rsid w:val="000C2A48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qFormat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customStyle="1" w:styleId="Afterbox">
    <w:name w:val="After box"/>
    <w:next w:val="BodyText1"/>
    <w:semiHidden/>
    <w:qFormat/>
    <w:rsid w:val="00396E11"/>
    <w:pPr>
      <w:spacing w:after="57" w:line="113" w:lineRule="exact"/>
    </w:pPr>
    <w:rPr>
      <w:rFonts w:ascii="Cambria" w:eastAsia="Times New Roman" w:hAnsi="Cambria" w:cs="Times New Roman"/>
      <w:sz w:val="2"/>
      <w:szCs w:val="24"/>
    </w:rPr>
  </w:style>
  <w:style w:type="paragraph" w:customStyle="1" w:styleId="Bodytextbeforebullets">
    <w:name w:val="Body text (before bullets)"/>
    <w:basedOn w:val="BodyText1"/>
    <w:semiHidden/>
    <w:rsid w:val="00396E11"/>
    <w:pPr>
      <w:spacing w:after="57"/>
    </w:pPr>
  </w:style>
  <w:style w:type="paragraph" w:customStyle="1" w:styleId="BodyText1">
    <w:name w:val="Body Text1"/>
    <w:link w:val="BodyText1Char"/>
    <w:semiHidden/>
    <w:rsid w:val="00396E11"/>
    <w:pPr>
      <w:spacing w:after="113" w:line="260" w:lineRule="atLeast"/>
    </w:pPr>
    <w:rPr>
      <w:rFonts w:ascii="Cambria" w:eastAsia="Times New Roman" w:hAnsi="Cambria" w:cs="Times New Roman"/>
      <w:szCs w:val="24"/>
    </w:rPr>
  </w:style>
  <w:style w:type="paragraph" w:customStyle="1" w:styleId="Bullets1stindent">
    <w:name w:val="Bullets (1st indent)"/>
    <w:basedOn w:val="BodyText1"/>
    <w:link w:val="Bullets1stindentChar"/>
    <w:semiHidden/>
    <w:rsid w:val="002676C9"/>
    <w:pPr>
      <w:numPr>
        <w:numId w:val="9"/>
      </w:numPr>
      <w:spacing w:after="120" w:line="240" w:lineRule="auto"/>
    </w:pPr>
    <w:rPr>
      <w:rFonts w:asciiTheme="minorHAnsi" w:eastAsiaTheme="minorHAnsi" w:hAnsiTheme="minorHAnsi" w:cstheme="minorBidi"/>
      <w:szCs w:val="22"/>
    </w:rPr>
  </w:style>
  <w:style w:type="paragraph" w:customStyle="1" w:styleId="Bullets2ndindent">
    <w:name w:val="Bullets (2nd indent)"/>
    <w:basedOn w:val="Bullets1stindent"/>
    <w:semiHidden/>
    <w:rsid w:val="00396E11"/>
    <w:pPr>
      <w:numPr>
        <w:numId w:val="10"/>
      </w:numPr>
      <w:tabs>
        <w:tab w:val="right" w:pos="794"/>
      </w:tabs>
      <w:spacing w:after="60"/>
    </w:pPr>
    <w:rPr>
      <w:rFonts w:asciiTheme="majorHAnsi" w:hAnsiTheme="majorHAnsi"/>
    </w:rPr>
  </w:style>
  <w:style w:type="numbering" w:customStyle="1" w:styleId="Bullets">
    <w:name w:val="Bullets"/>
    <w:basedOn w:val="NoList"/>
    <w:uiPriority w:val="99"/>
    <w:rsid w:val="00396E11"/>
    <w:pPr>
      <w:numPr>
        <w:numId w:val="7"/>
      </w:numPr>
    </w:pPr>
  </w:style>
  <w:style w:type="paragraph" w:customStyle="1" w:styleId="Figuretitle">
    <w:name w:val="Figure title"/>
    <w:next w:val="BodyText1"/>
    <w:qFormat/>
    <w:rsid w:val="00396E11"/>
    <w:pPr>
      <w:keepNext/>
      <w:keepLines/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Footertext">
    <w:name w:val="Footer text"/>
    <w:semiHidden/>
    <w:rsid w:val="00396E11"/>
    <w:pPr>
      <w:framePr w:hSpace="181" w:wrap="around" w:vAnchor="text" w:hAnchor="page" w:x="11228" w:y="1"/>
      <w:spacing w:after="0" w:line="200" w:lineRule="atLeast"/>
      <w:ind w:right="113"/>
      <w:suppressOverlap/>
    </w:pPr>
    <w:rPr>
      <w:rFonts w:ascii="Arial" w:eastAsia="Times New Roman" w:hAnsi="Arial" w:cs="Arial"/>
      <w:sz w:val="16"/>
      <w:szCs w:val="24"/>
    </w:rPr>
  </w:style>
  <w:style w:type="paragraph" w:customStyle="1" w:styleId="Sourcenotetext">
    <w:name w:val="Source/note text"/>
    <w:qFormat/>
    <w:rsid w:val="00396E11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paragraph" w:customStyle="1" w:styleId="Bulletslast1stindent">
    <w:name w:val="Bullets last (1st indent)"/>
    <w:basedOn w:val="BodyText1"/>
    <w:semiHidden/>
    <w:rsid w:val="00396E11"/>
    <w:pPr>
      <w:numPr>
        <w:ilvl w:val="2"/>
        <w:numId w:val="7"/>
      </w:numPr>
      <w:tabs>
        <w:tab w:val="clear" w:pos="284"/>
      </w:tabs>
      <w:ind w:left="852"/>
    </w:pPr>
  </w:style>
  <w:style w:type="numbering" w:customStyle="1" w:styleId="Numbers">
    <w:name w:val="Numbers"/>
    <w:basedOn w:val="NoList"/>
    <w:rsid w:val="00396E11"/>
    <w:pPr>
      <w:numPr>
        <w:numId w:val="6"/>
      </w:numPr>
    </w:pPr>
  </w:style>
  <w:style w:type="paragraph" w:customStyle="1" w:styleId="Bulletslast2ndindent">
    <w:name w:val="Bullets last (2nd indent)"/>
    <w:basedOn w:val="BodyText1"/>
    <w:semiHidden/>
    <w:rsid w:val="00396E11"/>
    <w:pPr>
      <w:numPr>
        <w:ilvl w:val="3"/>
        <w:numId w:val="7"/>
      </w:numPr>
      <w:tabs>
        <w:tab w:val="clear" w:pos="567"/>
      </w:tabs>
      <w:ind w:left="568" w:hanging="284"/>
    </w:pPr>
  </w:style>
  <w:style w:type="paragraph" w:customStyle="1" w:styleId="Tablebodytext">
    <w:name w:val="Table body text"/>
    <w:qFormat/>
    <w:rsid w:val="00396E11"/>
    <w:pPr>
      <w:spacing w:before="57" w:after="57" w:line="240" w:lineRule="auto"/>
      <w:ind w:left="96" w:right="96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396E11"/>
    <w:pPr>
      <w:numPr>
        <w:ilvl w:val="6"/>
        <w:numId w:val="7"/>
      </w:numPr>
    </w:pPr>
  </w:style>
  <w:style w:type="paragraph" w:customStyle="1" w:styleId="Tablebullets1stindent">
    <w:name w:val="Table bullets (1st indent)"/>
    <w:basedOn w:val="Tablebodytext"/>
    <w:qFormat/>
    <w:rsid w:val="00396E11"/>
    <w:pPr>
      <w:numPr>
        <w:ilvl w:val="5"/>
        <w:numId w:val="7"/>
      </w:numPr>
    </w:pPr>
  </w:style>
  <w:style w:type="paragraph" w:customStyle="1" w:styleId="Tablecolumnheading">
    <w:name w:val="Table column heading"/>
    <w:basedOn w:val="Tablebodytext"/>
    <w:qFormat/>
    <w:rsid w:val="00396E11"/>
    <w:pPr>
      <w:keepNext/>
    </w:pPr>
    <w:rPr>
      <w:b/>
      <w:szCs w:val="18"/>
    </w:rPr>
  </w:style>
  <w:style w:type="paragraph" w:customStyle="1" w:styleId="Title2">
    <w:name w:val="Title 2"/>
    <w:basedOn w:val="Title"/>
    <w:uiPriority w:val="2"/>
    <w:semiHidden/>
    <w:rsid w:val="00396E11"/>
    <w:pPr>
      <w:keepLines w:val="0"/>
      <w:pBdr>
        <w:bottom w:val="single" w:sz="8" w:space="4" w:color="C2B000"/>
      </w:pBdr>
      <w:suppressAutoHyphens w:val="0"/>
      <w:spacing w:before="200" w:after="300" w:line="260" w:lineRule="atLeast"/>
      <w:jc w:val="left"/>
      <w:outlineLvl w:val="9"/>
    </w:pPr>
    <w:rPr>
      <w:rFonts w:ascii="Arial" w:eastAsia="MS Gothic" w:hAnsi="Arial" w:cs="Times New Roman"/>
      <w:bCs w:val="0"/>
      <w:color w:val="615800"/>
      <w:spacing w:val="5"/>
      <w:sz w:val="52"/>
    </w:rPr>
  </w:style>
  <w:style w:type="paragraph" w:customStyle="1" w:styleId="Tabletitle">
    <w:name w:val="Table title"/>
    <w:next w:val="BodyText1"/>
    <w:qFormat/>
    <w:rsid w:val="00396E11"/>
    <w:pPr>
      <w:keepNext/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Simpletableheading">
    <w:name w:val="Simple table heading"/>
    <w:next w:val="BodyText1"/>
    <w:uiPriority w:val="1"/>
    <w:rsid w:val="00396E11"/>
    <w:pPr>
      <w:spacing w:after="0" w:line="240" w:lineRule="atLeast"/>
    </w:pPr>
    <w:rPr>
      <w:rFonts w:ascii="Arial" w:eastAsia="Times New Roman" w:hAnsi="Arial" w:cs="Times New Roman"/>
      <w:b/>
      <w:color w:val="37424A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6E11"/>
    <w:pPr>
      <w:suppressAutoHyphens w:val="0"/>
      <w:spacing w:before="200" w:after="0" w:line="260" w:lineRule="atLeast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11"/>
    <w:rPr>
      <w:rFonts w:ascii="Tahoma" w:eastAsia="Cambria" w:hAnsi="Tahoma" w:cs="Tahoma"/>
      <w:sz w:val="16"/>
      <w:szCs w:val="16"/>
    </w:rPr>
  </w:style>
  <w:style w:type="paragraph" w:customStyle="1" w:styleId="Subtitle2">
    <w:name w:val="Subtitle 2"/>
    <w:uiPriority w:val="2"/>
    <w:semiHidden/>
    <w:rsid w:val="00396E11"/>
    <w:pPr>
      <w:spacing w:before="200" w:after="0" w:line="240" w:lineRule="auto"/>
      <w:contextualSpacing/>
    </w:pPr>
    <w:rPr>
      <w:rFonts w:ascii="Arial" w:eastAsia="Times New Roman" w:hAnsi="Arial" w:cs="Times New Roman"/>
      <w:caps/>
      <w:color w:val="1C2735"/>
      <w:kern w:val="28"/>
      <w:szCs w:val="32"/>
    </w:rPr>
  </w:style>
  <w:style w:type="character" w:customStyle="1" w:styleId="Blue">
    <w:name w:val="Blue"/>
    <w:basedOn w:val="DefaultParagraphFont"/>
    <w:semiHidden/>
    <w:qFormat/>
    <w:rsid w:val="00396E11"/>
    <w:rPr>
      <w:color w:val="C2B000"/>
    </w:rPr>
  </w:style>
  <w:style w:type="paragraph" w:customStyle="1" w:styleId="Boxtext">
    <w:name w:val="Box text"/>
    <w:basedOn w:val="Tablebodytext"/>
    <w:uiPriority w:val="1"/>
    <w:unhideWhenUsed/>
    <w:rsid w:val="00396E11"/>
    <w:pPr>
      <w:spacing w:before="113" w:after="113" w:line="240" w:lineRule="atLeast"/>
      <w:ind w:left="0" w:right="0"/>
    </w:pPr>
    <w:rPr>
      <w:color w:val="37424A"/>
    </w:rPr>
  </w:style>
  <w:style w:type="paragraph" w:styleId="Quote">
    <w:name w:val="Quote"/>
    <w:link w:val="QuoteChar"/>
    <w:qFormat/>
    <w:rsid w:val="00396E11"/>
    <w:pPr>
      <w:spacing w:before="170" w:after="170" w:line="240" w:lineRule="auto"/>
      <w:ind w:left="284" w:right="284"/>
    </w:pPr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character" w:customStyle="1" w:styleId="QuoteChar">
    <w:name w:val="Quote Char"/>
    <w:basedOn w:val="DefaultParagraphFont"/>
    <w:link w:val="Quote"/>
    <w:rsid w:val="00396E11"/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table" w:customStyle="1" w:styleId="DOFDwithheader">
    <w:name w:val="DOFD with header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396E11"/>
    <w:rPr>
      <w:rFonts w:ascii="Arial Black" w:hAnsi="Arial Black"/>
      <w:color w:val="005A77"/>
      <w:sz w:val="18"/>
      <w:szCs w:val="18"/>
    </w:rPr>
  </w:style>
  <w:style w:type="paragraph" w:customStyle="1" w:styleId="Chapternumber">
    <w:name w:val="Chapter number"/>
    <w:rsid w:val="00396E11"/>
    <w:pPr>
      <w:spacing w:after="0" w:line="940" w:lineRule="exact"/>
      <w:jc w:val="center"/>
    </w:pPr>
    <w:rPr>
      <w:rFonts w:ascii="Arial" w:eastAsia="Times New Roman" w:hAnsi="Arial" w:cs="Arial"/>
      <w:b/>
      <w:color w:val="A7B4BE"/>
      <w:sz w:val="94"/>
      <w:szCs w:val="94"/>
    </w:rPr>
  </w:style>
  <w:style w:type="paragraph" w:customStyle="1" w:styleId="Boxheading">
    <w:name w:val="Box heading"/>
    <w:basedOn w:val="Simpletableheading"/>
    <w:uiPriority w:val="1"/>
    <w:unhideWhenUsed/>
    <w:rsid w:val="00396E11"/>
    <w:pPr>
      <w:spacing w:before="113" w:after="113"/>
    </w:pPr>
    <w:rPr>
      <w:color w:val="005A77"/>
    </w:rPr>
  </w:style>
  <w:style w:type="paragraph" w:customStyle="1" w:styleId="Notetitle">
    <w:name w:val="Note title"/>
    <w:link w:val="NotetitleChar"/>
    <w:qFormat/>
    <w:rsid w:val="00396E11"/>
    <w:pPr>
      <w:keepNext/>
      <w:spacing w:before="340" w:after="170" w:line="240" w:lineRule="auto"/>
    </w:pPr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Black">
    <w:name w:val="Black"/>
    <w:basedOn w:val="DefaultParagraphFont"/>
    <w:uiPriority w:val="1"/>
    <w:semiHidden/>
    <w:qFormat/>
    <w:rsid w:val="00396E11"/>
    <w:rPr>
      <w:color w:val="1C2735"/>
      <w:lang w:val="en-AU"/>
    </w:rPr>
  </w:style>
  <w:style w:type="paragraph" w:customStyle="1" w:styleId="Numberedpara1stindent">
    <w:name w:val="Numbered para (1st indent)"/>
    <w:basedOn w:val="ListParagraph"/>
    <w:qFormat/>
    <w:rsid w:val="00396E11"/>
    <w:pPr>
      <w:numPr>
        <w:ilvl w:val="1"/>
      </w:numPr>
      <w:spacing w:before="120"/>
      <w:ind w:left="924" w:hanging="357"/>
    </w:pPr>
  </w:style>
  <w:style w:type="paragraph" w:customStyle="1" w:styleId="Numberedpara2ndindent">
    <w:name w:val="Numbered para (2nd indent)"/>
    <w:basedOn w:val="BodyText1"/>
    <w:rsid w:val="00396E11"/>
    <w:pPr>
      <w:spacing w:after="0" w:line="240" w:lineRule="auto"/>
    </w:pPr>
  </w:style>
  <w:style w:type="paragraph" w:customStyle="1" w:styleId="Numberedpara3rdindent">
    <w:name w:val="Numbered para (3rd indent)"/>
    <w:basedOn w:val="BodyText1"/>
    <w:rsid w:val="00396E11"/>
    <w:pPr>
      <w:spacing w:before="120" w:after="0" w:line="240" w:lineRule="auto"/>
      <w:ind w:left="1644" w:hanging="720"/>
    </w:pPr>
  </w:style>
  <w:style w:type="paragraph" w:customStyle="1" w:styleId="Heading2nonumbers">
    <w:name w:val="Heading 2 (no numbers)"/>
    <w:basedOn w:val="Normal"/>
    <w:next w:val="BodyText1"/>
    <w:qFormat/>
    <w:rsid w:val="00396E11"/>
    <w:pPr>
      <w:keepNext/>
      <w:pBdr>
        <w:top w:val="single" w:sz="4" w:space="1" w:color="293137"/>
        <w:left w:val="single" w:sz="4" w:space="4" w:color="293137"/>
        <w:bottom w:val="single" w:sz="4" w:space="1" w:color="293137"/>
        <w:right w:val="single" w:sz="4" w:space="4" w:color="293137"/>
      </w:pBdr>
      <w:shd w:val="clear" w:color="auto" w:fill="293137"/>
      <w:suppressAutoHyphens w:val="0"/>
      <w:spacing w:before="360" w:after="120" w:line="260" w:lineRule="exact"/>
      <w:outlineLvl w:val="1"/>
    </w:pPr>
    <w:rPr>
      <w:rFonts w:ascii="Arial" w:eastAsia="Times New Roman" w:hAnsi="Arial" w:cs="Times New Roman"/>
      <w:b/>
      <w:spacing w:val="-6"/>
      <w:sz w:val="26"/>
      <w:szCs w:val="26"/>
    </w:rPr>
  </w:style>
  <w:style w:type="paragraph" w:customStyle="1" w:styleId="Heading3nonumbers">
    <w:name w:val="Heading 3 (no numbers)"/>
    <w:basedOn w:val="Heading3"/>
    <w:next w:val="BodyText1"/>
    <w:qFormat/>
    <w:rsid w:val="00396E11"/>
    <w:pPr>
      <w:suppressAutoHyphens w:val="0"/>
      <w:spacing w:before="240" w:line="260" w:lineRule="atLeast"/>
      <w:contextualSpacing w:val="0"/>
    </w:pPr>
    <w:rPr>
      <w:rFonts w:ascii="Arial" w:eastAsia="Times New Roman" w:hAnsi="Arial" w:cs="Times New Roman"/>
      <w:b/>
      <w:bCs w:val="0"/>
      <w:color w:val="005A77"/>
      <w:spacing w:val="-6"/>
      <w:sz w:val="22"/>
    </w:rPr>
  </w:style>
  <w:style w:type="paragraph" w:customStyle="1" w:styleId="Heading4nonumbers">
    <w:name w:val="Heading 4 (no numbers)"/>
    <w:basedOn w:val="Heading4"/>
    <w:next w:val="BodyText1"/>
    <w:link w:val="Heading4nonumbersChar"/>
    <w:qFormat/>
    <w:rsid w:val="00396E11"/>
    <w:pPr>
      <w:keepLines w:val="0"/>
      <w:suppressAutoHyphens w:val="0"/>
      <w:spacing w:before="360" w:line="260" w:lineRule="exact"/>
      <w:contextualSpacing w:val="0"/>
    </w:pPr>
    <w:rPr>
      <w:rFonts w:ascii="Arial" w:eastAsia="Times New Roman" w:hAnsi="Arial" w:cs="Times New Roman"/>
      <w:b/>
      <w:bCs w:val="0"/>
      <w:iCs w:val="0"/>
      <w:spacing w:val="-6"/>
    </w:rPr>
  </w:style>
  <w:style w:type="character" w:customStyle="1" w:styleId="Heading4nonumbersChar">
    <w:name w:val="Heading 4 (no numbers) Char"/>
    <w:basedOn w:val="Heading4Char"/>
    <w:link w:val="Heading4nonumbers"/>
    <w:rsid w:val="00396E11"/>
    <w:rPr>
      <w:rFonts w:ascii="Arial" w:eastAsia="Times New Roman" w:hAnsi="Arial" w:cs="Times New Roman"/>
      <w:b/>
      <w:bCs w:val="0"/>
      <w:iCs w:val="0"/>
      <w:color w:val="1C1C1C" w:themeColor="text2"/>
      <w:spacing w:val="-6"/>
      <w:sz w:val="26"/>
      <w:szCs w:val="26"/>
    </w:rPr>
  </w:style>
  <w:style w:type="paragraph" w:customStyle="1" w:styleId="Boxtitle">
    <w:name w:val="Box title"/>
    <w:basedOn w:val="Boxheading"/>
    <w:uiPriority w:val="1"/>
    <w:unhideWhenUsed/>
    <w:rsid w:val="00396E11"/>
  </w:style>
  <w:style w:type="table" w:customStyle="1" w:styleId="DOFDplain">
    <w:name w:val="DOFD plain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StyleRowBandSize w:val="1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shd w:val="clear" w:color="auto" w:fill="DDF3FA"/>
      </w:tcPr>
    </w:tblStylePr>
  </w:style>
  <w:style w:type="paragraph" w:styleId="BodyText">
    <w:name w:val="Body Text"/>
    <w:basedOn w:val="Normal"/>
    <w:link w:val="BodyTextChar"/>
    <w:qFormat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character" w:customStyle="1" w:styleId="BodyTextChar">
    <w:name w:val="Body Text Char"/>
    <w:basedOn w:val="DefaultParagraphFont"/>
    <w:link w:val="BodyText"/>
    <w:rsid w:val="00396E11"/>
    <w:rPr>
      <w:rFonts w:ascii="Cambria" w:eastAsia="Cambria" w:hAnsi="Cambria" w:cs="Times New Roman"/>
    </w:rPr>
  </w:style>
  <w:style w:type="paragraph" w:customStyle="1" w:styleId="Bulletsnumbers">
    <w:name w:val="Bullets (numbers)"/>
    <w:basedOn w:val="Bullets1stindent"/>
    <w:link w:val="BulletsnumbersChar"/>
    <w:semiHidden/>
    <w:rsid w:val="00396E11"/>
    <w:pPr>
      <w:numPr>
        <w:numId w:val="8"/>
      </w:numPr>
    </w:pPr>
    <w:rPr>
      <w:lang w:val="en-US"/>
    </w:rPr>
  </w:style>
  <w:style w:type="character" w:customStyle="1" w:styleId="BodyText1Char">
    <w:name w:val="Body Text1 Char"/>
    <w:basedOn w:val="DefaultParagraphFont"/>
    <w:link w:val="BodyText1"/>
    <w:semiHidden/>
    <w:rsid w:val="00396E11"/>
    <w:rPr>
      <w:rFonts w:ascii="Cambria" w:eastAsia="Times New Roman" w:hAnsi="Cambria" w:cs="Times New Roman"/>
      <w:szCs w:val="24"/>
    </w:rPr>
  </w:style>
  <w:style w:type="character" w:customStyle="1" w:styleId="Bullets1stindentChar">
    <w:name w:val="Bullets (1st indent) Char"/>
    <w:basedOn w:val="BodyText1Char"/>
    <w:link w:val="Bullets1stindent"/>
    <w:semiHidden/>
    <w:rsid w:val="002676C9"/>
    <w:rPr>
      <w:rFonts w:ascii="Cambria" w:eastAsia="Times New Roman" w:hAnsi="Cambria" w:cs="Times New Roman"/>
      <w:szCs w:val="24"/>
    </w:rPr>
  </w:style>
  <w:style w:type="character" w:customStyle="1" w:styleId="BulletsnumbersChar">
    <w:name w:val="Bullets (numbers) Char"/>
    <w:basedOn w:val="Bullets1stindentChar"/>
    <w:link w:val="Bulletsnumbers"/>
    <w:semiHidden/>
    <w:rsid w:val="00396E11"/>
    <w:rPr>
      <w:rFonts w:ascii="Cambria" w:eastAsia="Times New Roman" w:hAnsi="Cambria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96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E11"/>
    <w:rPr>
      <w:rFonts w:ascii="Cambria" w:eastAsia="Cambria" w:hAnsi="Cambria" w:cs="Times New Roman"/>
      <w:szCs w:val="20"/>
    </w:rPr>
  </w:style>
  <w:style w:type="paragraph" w:styleId="ListNumber">
    <w:name w:val="List Number"/>
    <w:basedOn w:val="Normal"/>
    <w:qFormat/>
    <w:rsid w:val="00396E11"/>
    <w:pPr>
      <w:tabs>
        <w:tab w:val="num" w:pos="360"/>
      </w:tabs>
      <w:suppressAutoHyphens w:val="0"/>
      <w:spacing w:before="200" w:after="240" w:line="260" w:lineRule="atLeast"/>
      <w:ind w:left="357" w:hanging="357"/>
      <w:contextualSpacing/>
    </w:pPr>
    <w:rPr>
      <w:rFonts w:ascii="Cambria" w:eastAsia="Cambria" w:hAnsi="Cambria" w:cs="Times New Roman"/>
    </w:rPr>
  </w:style>
  <w:style w:type="paragraph" w:styleId="ListNumber2">
    <w:name w:val="List Number 2"/>
    <w:basedOn w:val="Normal"/>
    <w:rsid w:val="00396E11"/>
    <w:pPr>
      <w:tabs>
        <w:tab w:val="num" w:pos="643"/>
      </w:tabs>
      <w:suppressAutoHyphens w:val="0"/>
      <w:spacing w:before="200" w:after="0" w:line="260" w:lineRule="atLeast"/>
      <w:ind w:left="643" w:hanging="360"/>
      <w:contextualSpacing/>
    </w:pPr>
    <w:rPr>
      <w:rFonts w:ascii="Cambria" w:eastAsia="Cambria" w:hAnsi="Cambria" w:cs="Times New Roman"/>
    </w:rPr>
  </w:style>
  <w:style w:type="paragraph" w:styleId="ListBullet">
    <w:name w:val="List Bullet"/>
    <w:basedOn w:val="Normal"/>
    <w:qFormat/>
    <w:rsid w:val="00396E11"/>
    <w:pPr>
      <w:suppressAutoHyphens w:val="0"/>
      <w:spacing w:before="200" w:after="240" w:line="260" w:lineRule="atLeast"/>
      <w:ind w:left="360" w:hanging="360"/>
      <w:contextualSpacing/>
    </w:pPr>
    <w:rPr>
      <w:rFonts w:ascii="Cambria" w:eastAsia="Cambria" w:hAnsi="Cambria" w:cs="Times New Roman"/>
    </w:rPr>
  </w:style>
  <w:style w:type="table" w:customStyle="1" w:styleId="DOFDtexttable">
    <w:name w:val="DOFD_text table"/>
    <w:basedOn w:val="TableNormal"/>
    <w:uiPriority w:val="99"/>
    <w:qFormat/>
    <w:rsid w:val="00396E11"/>
    <w:pPr>
      <w:spacing w:before="57" w:after="0" w:line="240" w:lineRule="auto"/>
    </w:pPr>
    <w:rPr>
      <w:rFonts w:ascii="Cambria" w:eastAsia="Times New Roman" w:hAnsi="Cambria" w:cs="Times New Roman"/>
      <w:sz w:val="20"/>
      <w:szCs w:val="20"/>
      <w:lang w:eastAsia="en-AU"/>
    </w:rPr>
    <w:tblPr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7B1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6E11"/>
    <w:rPr>
      <w:rFonts w:ascii="Cambria" w:eastAsia="Cambria" w:hAnsi="Cambria"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rsid w:val="00396E11"/>
    <w:rPr>
      <w:vertAlign w:val="superscript"/>
    </w:rPr>
  </w:style>
  <w:style w:type="paragraph" w:styleId="List">
    <w:name w:val="List"/>
    <w:basedOn w:val="List3"/>
    <w:qFormat/>
    <w:rsid w:val="001A2DFD"/>
    <w:pPr>
      <w:ind w:left="720"/>
    </w:pPr>
    <w:rPr>
      <w:rFonts w:asciiTheme="majorHAnsi" w:hAnsiTheme="majorHAnsi" w:cstheme="majorHAnsi"/>
      <w:b/>
      <w:sz w:val="24"/>
    </w:rPr>
  </w:style>
  <w:style w:type="paragraph" w:styleId="List2">
    <w:name w:val="List 2"/>
    <w:basedOn w:val="Numberedpara2ndindent"/>
    <w:qFormat/>
    <w:rsid w:val="00396E11"/>
  </w:style>
  <w:style w:type="paragraph" w:styleId="List3">
    <w:name w:val="List 3"/>
    <w:basedOn w:val="Numberedpara3rdindent"/>
    <w:qFormat/>
    <w:rsid w:val="00396E11"/>
  </w:style>
  <w:style w:type="numbering" w:customStyle="1" w:styleId="Numbers1">
    <w:name w:val="Numbers1"/>
    <w:basedOn w:val="NoList"/>
    <w:rsid w:val="00396E11"/>
  </w:style>
  <w:style w:type="paragraph" w:customStyle="1" w:styleId="NumberedParagraph">
    <w:name w:val="Numbered Paragraph"/>
    <w:basedOn w:val="Numberedpara1stindent"/>
    <w:qFormat/>
    <w:rsid w:val="00396E11"/>
    <w:pPr>
      <w:numPr>
        <w:numId w:val="0"/>
      </w:numPr>
      <w:tabs>
        <w:tab w:val="num" w:pos="360"/>
      </w:tabs>
      <w:spacing w:after="120"/>
      <w:ind w:left="360" w:hanging="360"/>
    </w:pPr>
    <w:rPr>
      <w:bCs/>
      <w:color w:val="000000"/>
    </w:rPr>
  </w:style>
  <w:style w:type="paragraph" w:styleId="ListParagraph">
    <w:name w:val="List Paragraph"/>
    <w:aliases w:val="NFP GP Bulleted List,List Paragraph1,Recommendation,List Paragraph11,1 heading,Bullet Point,Bullet point,Bullet points,Bulleted Para,Content descriptions,FooterText,L,NAST Quote,Paragraphe de liste1,bullet point list,numbered,列出段落,列出段落1"/>
    <w:basedOn w:val="Normal"/>
    <w:link w:val="ListParagraphChar"/>
    <w:uiPriority w:val="34"/>
    <w:qFormat/>
    <w:rsid w:val="00396E11"/>
    <w:pPr>
      <w:numPr>
        <w:numId w:val="1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character" w:styleId="FollowedHyperlink">
    <w:name w:val="FollowedHyperlink"/>
    <w:basedOn w:val="DefaultParagraphFont"/>
    <w:uiPriority w:val="99"/>
    <w:semiHidden/>
    <w:rsid w:val="00396E11"/>
    <w:rPr>
      <w:color w:val="954F72" w:themeColor="followedHyperlink"/>
      <w:u w:val="single"/>
    </w:rPr>
  </w:style>
  <w:style w:type="paragraph" w:styleId="NormalIndent">
    <w:name w:val="Normal Indent"/>
    <w:basedOn w:val="Normal"/>
    <w:uiPriority w:val="99"/>
    <w:semiHidden/>
    <w:rsid w:val="00396E11"/>
    <w:pPr>
      <w:suppressAutoHyphens w:val="0"/>
      <w:spacing w:before="200" w:after="0" w:line="260" w:lineRule="atLeast"/>
      <w:ind w:left="720"/>
    </w:pPr>
    <w:rPr>
      <w:rFonts w:ascii="Cambria" w:eastAsia="Cambria" w:hAnsi="Cambria" w:cs="Times New Roman"/>
    </w:rPr>
  </w:style>
  <w:style w:type="paragraph" w:customStyle="1" w:styleId="Boxnumberedparaindent1">
    <w:name w:val="Box numbered para indent 1"/>
    <w:basedOn w:val="NormalIndent"/>
    <w:rsid w:val="00396E11"/>
    <w:pPr>
      <w:tabs>
        <w:tab w:val="left" w:pos="284"/>
        <w:tab w:val="left" w:pos="1281"/>
        <w:tab w:val="left" w:pos="1418"/>
      </w:tabs>
    </w:pPr>
    <w:rPr>
      <w:lang w:eastAsia="en-AU"/>
    </w:rPr>
  </w:style>
  <w:style w:type="paragraph" w:styleId="NoSpacing">
    <w:name w:val="No Spacing"/>
    <w:link w:val="NoSpacingChar"/>
    <w:uiPriority w:val="1"/>
    <w:qFormat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Bullets3rdindent">
    <w:name w:val="Bullets (3rd indent)"/>
    <w:basedOn w:val="Bullets2ndindent"/>
    <w:rsid w:val="00396E11"/>
    <w:pPr>
      <w:numPr>
        <w:numId w:val="12"/>
      </w:numPr>
      <w:tabs>
        <w:tab w:val="right" w:pos="1191"/>
      </w:tabs>
      <w:ind w:left="1701" w:hanging="425"/>
    </w:pPr>
    <w:rPr>
      <w:rFonts w:ascii="Cambria" w:hAnsi="Cambria"/>
    </w:rPr>
  </w:style>
  <w:style w:type="paragraph" w:customStyle="1" w:styleId="Bullets1stindentlast">
    <w:name w:val="Bullets (1st indent) last"/>
    <w:basedOn w:val="Bullets1stindent"/>
    <w:rsid w:val="00396E11"/>
    <w:pPr>
      <w:spacing w:before="120" w:after="0" w:line="260" w:lineRule="atLeast"/>
    </w:pPr>
  </w:style>
  <w:style w:type="paragraph" w:customStyle="1" w:styleId="Bulletintro">
    <w:name w:val="Bullet intro"/>
    <w:basedOn w:val="Normal"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396E11"/>
    <w:pPr>
      <w:suppressAutoHyphens w:val="0"/>
      <w:spacing w:before="200" w:after="0" w:line="260" w:lineRule="atLeast"/>
      <w:ind w:left="220" w:hanging="220"/>
    </w:pPr>
    <w:rPr>
      <w:rFonts w:ascii="Cambria" w:eastAsia="Cambria" w:hAnsi="Cambria" w:cs="Times New Roman"/>
    </w:rPr>
  </w:style>
  <w:style w:type="paragraph" w:customStyle="1" w:styleId="BodyText2">
    <w:name w:val="Body Text2"/>
    <w:basedOn w:val="Normal"/>
    <w:qFormat/>
    <w:rsid w:val="00396E11"/>
    <w:pPr>
      <w:suppressAutoHyphens w:val="0"/>
      <w:spacing w:before="120" w:after="0" w:line="260" w:lineRule="atLeas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11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11"/>
    <w:rPr>
      <w:rFonts w:ascii="Cambria" w:eastAsia="Cambria" w:hAnsi="Cambria" w:cs="Times New Roman"/>
      <w:b/>
      <w:bCs/>
      <w:sz w:val="20"/>
      <w:szCs w:val="20"/>
    </w:rPr>
  </w:style>
  <w:style w:type="paragraph" w:customStyle="1" w:styleId="FCList">
    <w:name w:val="FC_List"/>
    <w:basedOn w:val="Header"/>
    <w:uiPriority w:val="99"/>
    <w:rsid w:val="00396E11"/>
    <w:pPr>
      <w:numPr>
        <w:numId w:val="7"/>
      </w:numPr>
      <w:tabs>
        <w:tab w:val="clear" w:pos="4513"/>
        <w:tab w:val="clear" w:pos="9026"/>
      </w:tabs>
      <w:suppressAutoHyphens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1">
    <w:name w:val="Default_Text_1"/>
    <w:basedOn w:val="Normal"/>
    <w:link w:val="DefaultText1Char"/>
    <w:qFormat/>
    <w:rsid w:val="00396E11"/>
    <w:pPr>
      <w:suppressAutoHyphens w:val="0"/>
      <w:autoSpaceDE w:val="0"/>
      <w:autoSpaceDN w:val="0"/>
      <w:adjustRightInd w:val="0"/>
      <w:spacing w:before="60" w:after="180" w:line="240" w:lineRule="auto"/>
    </w:pPr>
    <w:rPr>
      <w:rFonts w:ascii="Arial" w:eastAsia="Times New Roman" w:hAnsi="Arial" w:cs="Times-Roman"/>
      <w:color w:val="FFFFFF" w:themeColor="background1"/>
      <w:kern w:val="32"/>
      <w:sz w:val="48"/>
      <w:szCs w:val="32"/>
      <w:lang w:val="en-US"/>
    </w:rPr>
  </w:style>
  <w:style w:type="character" w:customStyle="1" w:styleId="DefaultText1Char">
    <w:name w:val="Default_Text_1 Char"/>
    <w:basedOn w:val="Heading1Char"/>
    <w:link w:val="DefaultText1"/>
    <w:rsid w:val="00396E11"/>
    <w:rPr>
      <w:rFonts w:ascii="Arial" w:eastAsia="Times New Roman" w:hAnsi="Arial" w:cs="Times-Roman"/>
      <w:bCs w:val="0"/>
      <w:color w:val="FFFFFF" w:themeColor="background1"/>
      <w:kern w:val="32"/>
      <w:sz w:val="48"/>
      <w:szCs w:val="32"/>
      <w:lang w:val="en-US"/>
    </w:rPr>
  </w:style>
  <w:style w:type="paragraph" w:styleId="Revision">
    <w:name w:val="Revision"/>
    <w:hidden/>
    <w:uiPriority w:val="99"/>
    <w:semiHidden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6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68E8"/>
    <w:rPr>
      <w:sz w:val="16"/>
      <w:szCs w:val="16"/>
    </w:rPr>
  </w:style>
  <w:style w:type="paragraph" w:customStyle="1" w:styleId="Single">
    <w:name w:val="Single"/>
    <w:basedOn w:val="Normal"/>
    <w:rsid w:val="00A868E8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xed-casestudy">
    <w:name w:val="Boxed - case study"/>
    <w:basedOn w:val="Boxed2Text"/>
    <w:next w:val="Boxed-casestudybullet"/>
    <w:link w:val="Boxed-casestudyChar"/>
    <w:rsid w:val="00903AF5"/>
    <w:pPr>
      <w:shd w:val="clear" w:color="auto" w:fill="65DDF5"/>
    </w:pPr>
  </w:style>
  <w:style w:type="paragraph" w:customStyle="1" w:styleId="Boxed-casestudybullet">
    <w:name w:val="Boxed - case study bullet"/>
    <w:basedOn w:val="Normal"/>
    <w:link w:val="Boxed-casestudybulletChar"/>
    <w:rsid w:val="006F4732"/>
    <w:pPr>
      <w:shd w:val="clear" w:color="auto" w:fill="65DDF5"/>
      <w:contextualSpacing/>
    </w:pPr>
  </w:style>
  <w:style w:type="character" w:customStyle="1" w:styleId="Boxed1TextChar">
    <w:name w:val="Boxed 1 Text Char"/>
    <w:basedOn w:val="DefaultParagraphFont"/>
    <w:link w:val="Boxed1Text"/>
    <w:rsid w:val="00903AF5"/>
    <w:rPr>
      <w:shd w:val="clear" w:color="auto" w:fill="F1F8F8" w:themeFill="accent1" w:themeFillTint="33"/>
    </w:rPr>
  </w:style>
  <w:style w:type="character" w:customStyle="1" w:styleId="Boxed2TextChar">
    <w:name w:val="Boxed 2 Text Char"/>
    <w:basedOn w:val="Boxed1TextChar"/>
    <w:link w:val="Boxed2Text"/>
    <w:rsid w:val="00903AF5"/>
    <w:rPr>
      <w:shd w:val="clear" w:color="auto" w:fill="BDDCDF" w:themeFill="accent1"/>
    </w:rPr>
  </w:style>
  <w:style w:type="character" w:customStyle="1" w:styleId="Boxed-casestudyChar">
    <w:name w:val="Boxed - case study Char"/>
    <w:basedOn w:val="Boxed2TextChar"/>
    <w:link w:val="Boxed-casestudy"/>
    <w:rsid w:val="00903AF5"/>
    <w:rPr>
      <w:shd w:val="clear" w:color="auto" w:fill="65DDF5"/>
    </w:rPr>
  </w:style>
  <w:style w:type="character" w:customStyle="1" w:styleId="Boxed-casestudybulletChar">
    <w:name w:val="Boxed - case study bullet Char"/>
    <w:basedOn w:val="Boxed-casestudyChar"/>
    <w:link w:val="Boxed-casestudybullet"/>
    <w:rsid w:val="006F4732"/>
    <w:rPr>
      <w:shd w:val="clear" w:color="auto" w:fill="65DDF5"/>
    </w:rPr>
  </w:style>
  <w:style w:type="paragraph" w:styleId="HTMLAddress">
    <w:name w:val="HTML Address"/>
    <w:basedOn w:val="Normal"/>
    <w:link w:val="HTMLAddressChar"/>
    <w:uiPriority w:val="99"/>
    <w:unhideWhenUsed/>
    <w:rsid w:val="00CF072F"/>
    <w:pPr>
      <w:spacing w:before="0" w:after="0" w:line="240" w:lineRule="auto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F072F"/>
    <w:rPr>
      <w:rFonts w:eastAsia="SimSun"/>
      <w:i/>
      <w:iCs/>
    </w:rPr>
  </w:style>
  <w:style w:type="character" w:customStyle="1" w:styleId="ListParagraphChar">
    <w:name w:val="List Paragraph Char"/>
    <w:aliases w:val="NFP GP Bulleted List Char,List Paragraph1 Char,Recommendation Char,List Paragraph11 Char,1 heading Char,Bullet Point Char,Bullet point Char,Bullet points Char,Bulleted Para Char,Content descriptions Char,FooterText Char,L Char"/>
    <w:basedOn w:val="DefaultParagraphFont"/>
    <w:link w:val="ListParagraph"/>
    <w:uiPriority w:val="34"/>
    <w:rsid w:val="00CF072F"/>
    <w:rPr>
      <w:rFonts w:ascii="Cambria" w:eastAsia="Cambria" w:hAnsi="Cambria" w:cs="Times New Roman"/>
    </w:rPr>
  </w:style>
  <w:style w:type="character" w:customStyle="1" w:styleId="NumberedList1Char">
    <w:name w:val="Numbered List 1 Char"/>
    <w:basedOn w:val="DefaultParagraphFont"/>
    <w:link w:val="NumberedList1"/>
    <w:rsid w:val="0028341C"/>
  </w:style>
  <w:style w:type="paragraph" w:customStyle="1" w:styleId="List1">
    <w:name w:val="List1"/>
    <w:basedOn w:val="ListParagraph"/>
    <w:qFormat/>
    <w:rsid w:val="0091450F"/>
    <w:pPr>
      <w:numPr>
        <w:numId w:val="16"/>
      </w:numPr>
      <w:spacing w:before="120" w:after="120" w:line="240" w:lineRule="auto"/>
      <w:contextualSpacing/>
    </w:pPr>
    <w:rPr>
      <w:rFonts w:asciiTheme="minorHAnsi" w:eastAsia="Times New Roman" w:hAnsiTheme="minorHAnsi" w:cstheme="minorHAnsi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145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2">
    <w:name w:val="List Table 3 Accent 2"/>
    <w:basedOn w:val="TableNormal"/>
    <w:uiPriority w:val="48"/>
    <w:rsid w:val="008F144E"/>
    <w:pPr>
      <w:spacing w:after="0" w:line="240" w:lineRule="auto"/>
    </w:pPr>
    <w:tblPr>
      <w:tblStyleRowBandSize w:val="1"/>
      <w:tblStyleColBandSize w:val="1"/>
      <w:tblBorders>
        <w:top w:val="single" w:sz="4" w:space="0" w:color="92C5C5" w:themeColor="accent2"/>
        <w:left w:val="single" w:sz="4" w:space="0" w:color="92C5C5" w:themeColor="accent2"/>
        <w:bottom w:val="single" w:sz="4" w:space="0" w:color="92C5C5" w:themeColor="accent2"/>
        <w:right w:val="single" w:sz="4" w:space="0" w:color="92C5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5C5" w:themeFill="accent2"/>
      </w:tcPr>
    </w:tblStylePr>
    <w:tblStylePr w:type="lastRow">
      <w:rPr>
        <w:b/>
        <w:bCs/>
      </w:rPr>
      <w:tblPr/>
      <w:tcPr>
        <w:tcBorders>
          <w:top w:val="double" w:sz="4" w:space="0" w:color="92C5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5C5" w:themeColor="accent2"/>
          <w:right w:val="single" w:sz="4" w:space="0" w:color="92C5C5" w:themeColor="accent2"/>
        </w:tcBorders>
      </w:tcPr>
    </w:tblStylePr>
    <w:tblStylePr w:type="band1Horz">
      <w:tblPr/>
      <w:tcPr>
        <w:tcBorders>
          <w:top w:val="single" w:sz="4" w:space="0" w:color="92C5C5" w:themeColor="accent2"/>
          <w:bottom w:val="single" w:sz="4" w:space="0" w:color="92C5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5C5" w:themeColor="accent2"/>
          <w:left w:val="nil"/>
        </w:tcBorders>
      </w:tcPr>
    </w:tblStylePr>
    <w:tblStylePr w:type="swCell">
      <w:tblPr/>
      <w:tcPr>
        <w:tcBorders>
          <w:top w:val="double" w:sz="4" w:space="0" w:color="92C5C5" w:themeColor="accent2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CC1D75"/>
    <w:pPr>
      <w:spacing w:after="0" w:line="240" w:lineRule="auto"/>
    </w:pPr>
    <w:tblPr>
      <w:tblStyleRowBandSize w:val="1"/>
      <w:tblStyleColBandSize w:val="1"/>
      <w:tblBorders>
        <w:top w:val="single" w:sz="4" w:space="0" w:color="E4F0F2" w:themeColor="accent1" w:themeTint="66"/>
        <w:left w:val="single" w:sz="4" w:space="0" w:color="E4F0F2" w:themeColor="accent1" w:themeTint="66"/>
        <w:bottom w:val="single" w:sz="4" w:space="0" w:color="E4F0F2" w:themeColor="accent1" w:themeTint="66"/>
        <w:right w:val="single" w:sz="4" w:space="0" w:color="E4F0F2" w:themeColor="accent1" w:themeTint="66"/>
        <w:insideH w:val="single" w:sz="4" w:space="0" w:color="E4F0F2" w:themeColor="accent1" w:themeTint="66"/>
        <w:insideV w:val="single" w:sz="4" w:space="0" w:color="E4F0F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9E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9E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7051BB"/>
    <w:pPr>
      <w:spacing w:after="0" w:line="240" w:lineRule="auto"/>
    </w:pPr>
    <w:tblPr>
      <w:tblStyleRowBandSize w:val="1"/>
      <w:tblStyleColBandSize w:val="1"/>
      <w:tblBorders>
        <w:top w:val="single" w:sz="4" w:space="0" w:color="BDDCDC" w:themeColor="accent2" w:themeTint="99"/>
        <w:left w:val="single" w:sz="4" w:space="0" w:color="BDDCDC" w:themeColor="accent2" w:themeTint="99"/>
        <w:bottom w:val="single" w:sz="4" w:space="0" w:color="BDDCDC" w:themeColor="accent2" w:themeTint="99"/>
        <w:right w:val="single" w:sz="4" w:space="0" w:color="BDDCDC" w:themeColor="accent2" w:themeTint="99"/>
        <w:insideH w:val="single" w:sz="4" w:space="0" w:color="BDDCDC" w:themeColor="accent2" w:themeTint="99"/>
        <w:insideV w:val="single" w:sz="4" w:space="0" w:color="BDDC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5C5" w:themeColor="accent2"/>
          <w:left w:val="single" w:sz="4" w:space="0" w:color="92C5C5" w:themeColor="accent2"/>
          <w:bottom w:val="single" w:sz="4" w:space="0" w:color="92C5C5" w:themeColor="accent2"/>
          <w:right w:val="single" w:sz="4" w:space="0" w:color="92C5C5" w:themeColor="accent2"/>
          <w:insideH w:val="nil"/>
          <w:insideV w:val="nil"/>
        </w:tcBorders>
        <w:shd w:val="clear" w:color="auto" w:fill="92C5C5" w:themeFill="accent2"/>
      </w:tcPr>
    </w:tblStylePr>
    <w:tblStylePr w:type="lastRow">
      <w:rPr>
        <w:b/>
        <w:bCs/>
      </w:rPr>
      <w:tblPr/>
      <w:tcPr>
        <w:tcBorders>
          <w:top w:val="double" w:sz="4" w:space="0" w:color="92C5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3" w:themeFill="accent2" w:themeFillTint="33"/>
      </w:tcPr>
    </w:tblStylePr>
    <w:tblStylePr w:type="band1Horz">
      <w:tblPr/>
      <w:tcPr>
        <w:shd w:val="clear" w:color="auto" w:fill="E9F3F3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B93F9A"/>
    <w:pPr>
      <w:spacing w:after="0" w:line="240" w:lineRule="auto"/>
    </w:pPr>
    <w:tblPr>
      <w:tblStyleRowBandSize w:val="1"/>
      <w:tblStyleColBandSize w:val="1"/>
      <w:tblBorders>
        <w:top w:val="single" w:sz="4" w:space="0" w:color="D3E7E7" w:themeColor="accent2" w:themeTint="66"/>
        <w:left w:val="single" w:sz="4" w:space="0" w:color="D3E7E7" w:themeColor="accent2" w:themeTint="66"/>
        <w:bottom w:val="single" w:sz="4" w:space="0" w:color="D3E7E7" w:themeColor="accent2" w:themeTint="66"/>
        <w:right w:val="single" w:sz="4" w:space="0" w:color="D3E7E7" w:themeColor="accent2" w:themeTint="66"/>
        <w:insideH w:val="single" w:sz="4" w:space="0" w:color="D3E7E7" w:themeColor="accent2" w:themeTint="66"/>
        <w:insideV w:val="single" w:sz="4" w:space="0" w:color="D3E7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DDC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DC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1">
    <w:name w:val="New 1"/>
    <w:basedOn w:val="Heading1Numbered"/>
    <w:link w:val="New1Char"/>
    <w:qFormat/>
    <w:rsid w:val="00AA6C63"/>
    <w:pPr>
      <w:ind w:left="502" w:hanging="502"/>
    </w:pPr>
  </w:style>
  <w:style w:type="character" w:customStyle="1" w:styleId="New1Char">
    <w:name w:val="New 1 Char"/>
    <w:basedOn w:val="DefaultParagraphFont"/>
    <w:link w:val="New1"/>
    <w:rsid w:val="00AA6C63"/>
    <w:rPr>
      <w:rFonts w:asciiTheme="majorHAnsi" w:eastAsiaTheme="majorEastAsia" w:hAnsiTheme="majorHAnsi" w:cstheme="majorBidi"/>
      <w:bCs/>
      <w:color w:val="1C1C1C" w:themeColor="text2"/>
      <w:sz w:val="40"/>
      <w:szCs w:val="28"/>
      <w:shd w:val="clear" w:color="auto" w:fill="BDDCDF" w:themeFill="accent1"/>
    </w:rPr>
  </w:style>
  <w:style w:type="paragraph" w:customStyle="1" w:styleId="Steps">
    <w:name w:val="Steps"/>
    <w:basedOn w:val="Notetitle"/>
    <w:link w:val="StepsChar"/>
    <w:rsid w:val="00FA556F"/>
    <w:pPr>
      <w:numPr>
        <w:ilvl w:val="7"/>
        <w:numId w:val="6"/>
      </w:numPr>
    </w:pPr>
  </w:style>
  <w:style w:type="character" w:customStyle="1" w:styleId="NotetitleChar">
    <w:name w:val="Note title Char"/>
    <w:basedOn w:val="DefaultParagraphFont"/>
    <w:link w:val="Notetitle"/>
    <w:rsid w:val="00FA556F"/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StepsChar">
    <w:name w:val="Steps Char"/>
    <w:basedOn w:val="NotetitleChar"/>
    <w:link w:val="Steps"/>
    <w:rsid w:val="00FA556F"/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styleId="HTMLVariable">
    <w:name w:val="HTML Variable"/>
    <w:basedOn w:val="DefaultParagraphFont"/>
    <w:uiPriority w:val="99"/>
    <w:unhideWhenUsed/>
    <w:rsid w:val="007C09E8"/>
    <w:rPr>
      <w:i/>
      <w:iCs/>
    </w:rPr>
  </w:style>
  <w:style w:type="table" w:styleId="GridTable5Dark-Accent1">
    <w:name w:val="Grid Table 5 Dark Accent 1"/>
    <w:basedOn w:val="TableNormal"/>
    <w:uiPriority w:val="50"/>
    <w:rsid w:val="008B0A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DCD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DCD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DCD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DCDF" w:themeFill="accent1"/>
      </w:tcPr>
    </w:tblStylePr>
    <w:tblStylePr w:type="band1Vert">
      <w:tblPr/>
      <w:tcPr>
        <w:shd w:val="clear" w:color="auto" w:fill="E4F0F2" w:themeFill="accent1" w:themeFillTint="66"/>
      </w:tcPr>
    </w:tblStylePr>
    <w:tblStylePr w:type="band1Horz">
      <w:tblPr/>
      <w:tcPr>
        <w:shd w:val="clear" w:color="auto" w:fill="E4F0F2" w:themeFill="accent1" w:themeFillTint="6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E3396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9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5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2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097">
              <w:marLeft w:val="1125"/>
              <w:marRight w:val="1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90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84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3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4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7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9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2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79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04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94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2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4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92C5C5"/>
      </a:accent2>
      <a:accent3>
        <a:srgbClr val="19806D"/>
      </a:accent3>
      <a:accent4>
        <a:srgbClr val="C94A2C"/>
      </a:accent4>
      <a:accent5>
        <a:srgbClr val="645493"/>
      </a:accent5>
      <a:accent6>
        <a:srgbClr val="E8B6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A081167BBC6DC4ABF111D5C0340450F" ma:contentTypeVersion="99" ma:contentTypeDescription="Create a new document." ma:contentTypeScope="" ma:versionID="ce3152a7dae9aed56f2dbf824386202c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fdd6b31f-a027-425f-adfa-a4194e98dae2" targetNamespace="http://schemas.microsoft.com/office/2006/metadata/properties" ma:root="true" ma:fieldsID="0368a387c6d7cf58ef0ae5949a84b49d" ns1:_="" ns2:_="" ns3:_="">
    <xsd:import namespace="http://schemas.microsoft.com/sharepoint/v3"/>
    <xsd:import namespace="82ff9d9b-d3fc-4aad-bc42-9949ee83b815"/>
    <xsd:import namespace="fdd6b31f-a027-425f-adfa-a4194e98dae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4d5b23f8-0019-49b4-80dc-328231206719}" ma:internalName="TaxCatchAll" ma:showField="CatchAllData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4d5b23f8-0019-49b4-80dc-328231206719}" ma:internalName="TaxCatchAllLabel" ma:readOnly="true" ma:showField="CatchAllDataLabel" ma:web="fdd6b31f-a027-425f-adfa-a4194e98d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b31f-a027-425f-adfa-a4194e98dae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FW and Capability Support</TermName>
          <TermId xmlns="http://schemas.microsoft.com/office/infopath/2007/PartnerControls">17de058c-12f7-44f2-8e7d-03ff49305e52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fdd6b31f-a027-425f-adfa-a4194e98dae2">FIN33506-77069739-39661</_dlc_DocId>
    <_dlc_DocIdUrl xmlns="fdd6b31f-a027-425f-adfa-a4194e98dae2">
      <Url>https://f1.prdmgd.finance.gov.au/sites/50033506/_layouts/15/DocIdRedir.aspx?ID=FIN33506-77069739-39661</Url>
      <Description>FIN33506-77069739-39661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DAC7-ED1F-4266-BBE8-4838ED367F1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87A2D43-0B88-4A2F-AFED-CF9CB1AB1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fdd6b31f-a027-425f-adfa-a4194e98d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3F6AA-227F-42D2-994A-D5B64C8DF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6FDCB-72EA-44A9-B60C-7E38016B9DF9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fdd6b31f-a027-425f-adfa-a4194e98dae2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82ff9d9b-d3fc-4aad-bc42-9949ee83b81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6C360CE-712B-464E-A9DA-5AA221EC14E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F39BC4A-3A2F-4C04-9210-AF4A4D7C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Rogers, Stephanie</cp:lastModifiedBy>
  <cp:revision>4</cp:revision>
  <cp:lastPrinted>2019-05-07T05:12:00Z</cp:lastPrinted>
  <dcterms:created xsi:type="dcterms:W3CDTF">2022-05-11T07:12:00Z</dcterms:created>
  <dcterms:modified xsi:type="dcterms:W3CDTF">2022-05-12T00:00:00Z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0x010100B321FEA60C5BA343A52BC94EC00ABC9E07002A081167BBC6DC4ABF111D5C0340450F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1;#Accounting FW and Capability Support|17de058c-12f7-44f2-8e7d-03ff49305e52</vt:lpwstr>
  </property>
  <property fmtid="{D5CDD505-2E9C-101B-9397-08002B2CF9AE}" pid="8" name="_dlc_DocIdItemGuid">
    <vt:lpwstr>66e51e30-74ed-402b-bb48-1434d3ef59b7</vt:lpwstr>
  </property>
</Properties>
</file>