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06B49" w14:textId="77777777" w:rsidR="00B44792" w:rsidRDefault="00BC7DB4" w:rsidP="00B44792">
      <w:pPr>
        <w:pStyle w:val="Title"/>
        <w:rPr>
          <w:b/>
        </w:rPr>
      </w:pPr>
      <w:bookmarkStart w:id="0" w:name="_GoBack"/>
      <w:r>
        <w:t xml:space="preserve">Example: </w:t>
      </w:r>
      <w:r w:rsidR="00A84981" w:rsidRPr="00A84981">
        <w:t>Financial statement assertions</w:t>
      </w:r>
    </w:p>
    <w:bookmarkEnd w:id="0"/>
    <w:p w14:paraId="15106B4A" w14:textId="77777777" w:rsidR="00FD7F41" w:rsidRPr="00C70B26" w:rsidRDefault="00FD7F41" w:rsidP="00FD7F41">
      <w:pPr>
        <w:pStyle w:val="Boxed2Heading"/>
        <w:rPr>
          <w:b w:val="0"/>
          <w:sz w:val="30"/>
          <w:szCs w:val="30"/>
        </w:rPr>
      </w:pPr>
      <w:r w:rsidRPr="00C70B26">
        <w:rPr>
          <w:b w:val="0"/>
          <w:sz w:val="30"/>
          <w:szCs w:val="30"/>
        </w:rPr>
        <w:t>Foreword</w:t>
      </w:r>
    </w:p>
    <w:p w14:paraId="15106B4B" w14:textId="77777777" w:rsidR="003A5D50" w:rsidRDefault="00A84981" w:rsidP="00A84981">
      <w:pPr>
        <w:pStyle w:val="Boxed2Text"/>
      </w:pPr>
      <w:r>
        <w:t xml:space="preserve">The following is a summary of assertions regarding the recognition, measurement, presentation and disclosure of the various elements of the financial statements. </w:t>
      </w:r>
    </w:p>
    <w:p w14:paraId="15106B4C" w14:textId="77777777" w:rsidR="00A84981" w:rsidRDefault="00A84981" w:rsidP="00A84981">
      <w:pPr>
        <w:pStyle w:val="Boxed2Text"/>
      </w:pPr>
      <w:r>
        <w:t>In representing that, the financial statements have been prepared in accordance with the applicable financial reporting framework, management and those charged with governance implicitly or explicitly make these assertions.</w:t>
      </w:r>
    </w:p>
    <w:p w14:paraId="15106B4D" w14:textId="77777777" w:rsidR="00B44792" w:rsidRDefault="00A84981" w:rsidP="00A84981">
      <w:pPr>
        <w:pStyle w:val="Boxed2Text"/>
      </w:pPr>
      <w:r>
        <w:t>Management and those charged with governance rely on the entity’s internal control</w:t>
      </w:r>
      <w:r w:rsidR="00FF7C53">
        <w:t>s</w:t>
      </w:r>
      <w:r>
        <w:t xml:space="preserve"> and specific advice from the CFO and other senior managers on the integrity of entity processes to be satisfied that these assertions </w:t>
      </w:r>
      <w:r w:rsidR="00FF7C53">
        <w:t xml:space="preserve">are valid </w:t>
      </w:r>
      <w:r>
        <w:t>in the preparation of the entity’s financial statements.</w:t>
      </w:r>
    </w:p>
    <w:p w14:paraId="15106B4E" w14:textId="77777777" w:rsidR="00A84981" w:rsidRPr="00EA7E7F" w:rsidRDefault="00A84981" w:rsidP="00A84981">
      <w:pPr>
        <w:pStyle w:val="Heading5"/>
        <w:rPr>
          <w:b/>
          <w:i w:val="0"/>
          <w:color w:val="000000" w:themeColor="text1"/>
          <w:szCs w:val="22"/>
        </w:rPr>
      </w:pPr>
      <w:r w:rsidRPr="00EA7E7F">
        <w:rPr>
          <w:b/>
          <w:i w:val="0"/>
          <w:color w:val="000000" w:themeColor="text1"/>
          <w:szCs w:val="22"/>
        </w:rPr>
        <w:t>Assertions in relation to classes of transactions and events for the period under audit:</w:t>
      </w:r>
    </w:p>
    <w:tbl>
      <w:tblPr>
        <w:tblW w:w="9200" w:type="dxa"/>
        <w:tblLook w:val="04A0" w:firstRow="1" w:lastRow="0" w:firstColumn="1" w:lastColumn="0" w:noHBand="0" w:noVBand="1"/>
        <w:tblCaption w:val="Assertions in relation to classes of transactions and events for the period under audit:"/>
        <w:tblDescription w:val="List of assertions and their desciptions in relation to classes of transactions and events for the period under audit:"/>
      </w:tblPr>
      <w:tblGrid>
        <w:gridCol w:w="1740"/>
        <w:gridCol w:w="7460"/>
      </w:tblGrid>
      <w:tr w:rsidR="00A84981" w:rsidRPr="00A84981" w14:paraId="15106B51" w14:textId="77777777" w:rsidTr="00A84981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noWrap/>
            <w:vAlign w:val="center"/>
            <w:hideMark/>
          </w:tcPr>
          <w:p w14:paraId="15106B4F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Assertion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vAlign w:val="center"/>
            <w:hideMark/>
          </w:tcPr>
          <w:p w14:paraId="15106B50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Description</w:t>
            </w:r>
          </w:p>
        </w:tc>
      </w:tr>
      <w:tr w:rsidR="00A84981" w:rsidRPr="00A84981" w14:paraId="15106B54" w14:textId="77777777" w:rsidTr="00A84981">
        <w:trPr>
          <w:trHeight w:val="5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52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Occurrence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53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Transactions and events that have been recorded have occurred and pertain to the entity.</w:t>
            </w:r>
          </w:p>
        </w:tc>
      </w:tr>
      <w:tr w:rsidR="00A84981" w:rsidRPr="00A84981" w14:paraId="15106B57" w14:textId="77777777" w:rsidTr="00A84981">
        <w:trPr>
          <w:trHeight w:val="31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55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Completeness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56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All transactions and events that should have been recorded have been recorded.</w:t>
            </w:r>
          </w:p>
        </w:tc>
      </w:tr>
      <w:tr w:rsidR="00A84981" w:rsidRPr="00A84981" w14:paraId="15106B5A" w14:textId="77777777" w:rsidTr="00A84981">
        <w:trPr>
          <w:trHeight w:val="5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58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Accuracy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59" w14:textId="77777777" w:rsidR="00A84981" w:rsidRPr="00A84981" w:rsidRDefault="00A84981" w:rsidP="0040182E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Amounts and other data relating to recorded transactions and events have been recorded appropriately.</w:t>
            </w:r>
          </w:p>
        </w:tc>
      </w:tr>
      <w:tr w:rsidR="00A84981" w:rsidRPr="00A84981" w14:paraId="15106B5D" w14:textId="77777777" w:rsidTr="00A84981">
        <w:trPr>
          <w:trHeight w:val="31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5B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w w:val="105"/>
                <w:sz w:val="18"/>
                <w:lang w:val="en-US" w:eastAsia="en-AU"/>
              </w:rPr>
              <w:t>Cut-off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5C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Transactions and events have been recorded in the correct accounting period.</w:t>
            </w:r>
          </w:p>
        </w:tc>
      </w:tr>
      <w:tr w:rsidR="00A84981" w:rsidRPr="00A84981" w14:paraId="15106B60" w14:textId="77777777" w:rsidTr="00A84981">
        <w:trPr>
          <w:trHeight w:val="31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5E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Classification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5F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Transactions and events have been recorded in the proper accounts.</w:t>
            </w:r>
          </w:p>
        </w:tc>
      </w:tr>
      <w:tr w:rsidR="00A84981" w:rsidRPr="00A84981" w14:paraId="15106B63" w14:textId="77777777" w:rsidTr="00A84981">
        <w:trPr>
          <w:trHeight w:val="51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61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Compliance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62" w14:textId="1BCF211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Transactions and events have been carried out in accordance with applicable laws, regulations or other authority (relevant to public sector entities)</w:t>
            </w:r>
            <w:r w:rsidR="00663651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</w:tr>
    </w:tbl>
    <w:p w14:paraId="15106B64" w14:textId="77777777" w:rsidR="00A84981" w:rsidRPr="00EA7E7F" w:rsidRDefault="00A84981" w:rsidP="00A84981">
      <w:pPr>
        <w:pStyle w:val="Heading5"/>
        <w:rPr>
          <w:b/>
          <w:i w:val="0"/>
          <w:color w:val="000000" w:themeColor="text1"/>
          <w:szCs w:val="22"/>
        </w:rPr>
      </w:pPr>
      <w:r w:rsidRPr="00EA7E7F">
        <w:rPr>
          <w:b/>
          <w:i w:val="0"/>
          <w:color w:val="000000" w:themeColor="text1"/>
          <w:szCs w:val="22"/>
        </w:rPr>
        <w:t>Assertions in relation to account balances at period end:</w:t>
      </w:r>
    </w:p>
    <w:tbl>
      <w:tblPr>
        <w:tblW w:w="9200" w:type="dxa"/>
        <w:tblLook w:val="04A0" w:firstRow="1" w:lastRow="0" w:firstColumn="1" w:lastColumn="0" w:noHBand="0" w:noVBand="1"/>
        <w:tblCaption w:val="Assertions in relation to account balances at period end"/>
        <w:tblDescription w:val="List of assertions and their descriptions in relation to account balances at period end"/>
      </w:tblPr>
      <w:tblGrid>
        <w:gridCol w:w="1740"/>
        <w:gridCol w:w="7460"/>
      </w:tblGrid>
      <w:tr w:rsidR="00A84981" w:rsidRPr="00A84981" w14:paraId="15106B67" w14:textId="77777777" w:rsidTr="00A84981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noWrap/>
            <w:vAlign w:val="center"/>
            <w:hideMark/>
          </w:tcPr>
          <w:p w14:paraId="15106B65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Assertion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vAlign w:val="center"/>
            <w:hideMark/>
          </w:tcPr>
          <w:p w14:paraId="15106B66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Description</w:t>
            </w:r>
          </w:p>
        </w:tc>
      </w:tr>
      <w:tr w:rsidR="00A84981" w:rsidRPr="00A84981" w14:paraId="15106B6A" w14:textId="77777777" w:rsidTr="00A84981">
        <w:trPr>
          <w:trHeight w:val="31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68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Existence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69" w14:textId="77777777" w:rsidR="00A84981" w:rsidRPr="00A84981" w:rsidRDefault="00E33BB4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val="en-US" w:eastAsia="en-AU"/>
              </w:rPr>
              <w:t>Assets, liabilities</w:t>
            </w:r>
            <w:r w:rsidR="00A84981"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 xml:space="preserve"> and equity interests exist.</w:t>
            </w:r>
          </w:p>
        </w:tc>
      </w:tr>
      <w:tr w:rsidR="00A84981" w:rsidRPr="00A84981" w14:paraId="15106B6D" w14:textId="77777777" w:rsidTr="00A84981">
        <w:trPr>
          <w:trHeight w:val="5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6B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Rights and obligations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6C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The entity holds or controls the rights to assets, and liabilities are the obligations of the entity.</w:t>
            </w:r>
          </w:p>
        </w:tc>
      </w:tr>
      <w:tr w:rsidR="00A84981" w:rsidRPr="00A84981" w14:paraId="15106B70" w14:textId="77777777" w:rsidTr="00A84981">
        <w:trPr>
          <w:trHeight w:val="5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6E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Completeness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6F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All assets, liabilities and equity interests that should have been recorded have been recorded.</w:t>
            </w:r>
          </w:p>
        </w:tc>
      </w:tr>
      <w:tr w:rsidR="00A84981" w:rsidRPr="00A84981" w14:paraId="15106B73" w14:textId="77777777" w:rsidTr="00A84981">
        <w:trPr>
          <w:trHeight w:val="76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71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Valuation and allocation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72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Assets, liabilities, and equity interests are included in the financial report at appropriate amounts and any resulting valuation or allocation adjustments are appropriately recorded.</w:t>
            </w:r>
          </w:p>
        </w:tc>
      </w:tr>
    </w:tbl>
    <w:p w14:paraId="15106B74" w14:textId="77777777" w:rsidR="00A84981" w:rsidRDefault="00A84981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Cs/>
          <w:i/>
          <w:iCs/>
          <w:color w:val="77B6BD" w:themeColor="accent1" w:themeShade="BF"/>
          <w:szCs w:val="26"/>
        </w:rPr>
      </w:pPr>
      <w:r>
        <w:br w:type="page"/>
      </w:r>
    </w:p>
    <w:p w14:paraId="15106B75" w14:textId="77777777" w:rsidR="00A84981" w:rsidRPr="00EA7E7F" w:rsidRDefault="00A84981" w:rsidP="00A84981">
      <w:pPr>
        <w:pStyle w:val="Heading5"/>
        <w:rPr>
          <w:b/>
          <w:i w:val="0"/>
          <w:color w:val="000000" w:themeColor="text1"/>
          <w:szCs w:val="22"/>
        </w:rPr>
      </w:pPr>
      <w:r w:rsidRPr="00EA7E7F">
        <w:rPr>
          <w:b/>
          <w:i w:val="0"/>
          <w:color w:val="000000" w:themeColor="text1"/>
          <w:szCs w:val="22"/>
        </w:rPr>
        <w:t>Assertions in relation to presentation and disclosure:</w:t>
      </w:r>
    </w:p>
    <w:tbl>
      <w:tblPr>
        <w:tblW w:w="9200" w:type="dxa"/>
        <w:tblLook w:val="04A0" w:firstRow="1" w:lastRow="0" w:firstColumn="1" w:lastColumn="0" w:noHBand="0" w:noVBand="1"/>
        <w:tblCaption w:val="Assertions in relation to presentation and disclosure"/>
        <w:tblDescription w:val="List of assertions and their description in relation to presentation and disclosure"/>
      </w:tblPr>
      <w:tblGrid>
        <w:gridCol w:w="1740"/>
        <w:gridCol w:w="7460"/>
      </w:tblGrid>
      <w:tr w:rsidR="00A84981" w:rsidRPr="00A84981" w14:paraId="15106B78" w14:textId="77777777" w:rsidTr="00A84981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noWrap/>
            <w:vAlign w:val="center"/>
            <w:hideMark/>
          </w:tcPr>
          <w:p w14:paraId="15106B76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Assertion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vAlign w:val="center"/>
            <w:hideMark/>
          </w:tcPr>
          <w:p w14:paraId="15106B77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Description</w:t>
            </w:r>
          </w:p>
        </w:tc>
      </w:tr>
      <w:tr w:rsidR="00A84981" w:rsidRPr="00A84981" w14:paraId="15106B7B" w14:textId="77777777" w:rsidTr="00A84981">
        <w:trPr>
          <w:trHeight w:val="73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79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Occurrence and rights and obligations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7A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Disclosed events, transactions, and other matters have occurred and pertain to the entity.</w:t>
            </w:r>
          </w:p>
        </w:tc>
      </w:tr>
      <w:tr w:rsidR="00A84981" w:rsidRPr="00A84981" w14:paraId="15106B7E" w14:textId="77777777" w:rsidTr="00A84981">
        <w:trPr>
          <w:trHeight w:val="5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7C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Completeness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7D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All disclosures that should have been included in the financial report have been included.</w:t>
            </w:r>
          </w:p>
        </w:tc>
      </w:tr>
      <w:tr w:rsidR="00A84981" w:rsidRPr="00A84981" w14:paraId="15106B81" w14:textId="77777777" w:rsidTr="00A84981">
        <w:trPr>
          <w:trHeight w:val="5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7F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Classification and understandability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80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Financial information is appropriately presented and described, and disclosures are clearly expressed.</w:t>
            </w:r>
          </w:p>
        </w:tc>
      </w:tr>
      <w:tr w:rsidR="00A84981" w:rsidRPr="00A84981" w14:paraId="15106B84" w14:textId="77777777" w:rsidTr="00A84981">
        <w:trPr>
          <w:trHeight w:val="48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15106B82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849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Accuracy and valuation</w:t>
            </w:r>
          </w:p>
        </w:tc>
        <w:tc>
          <w:tcPr>
            <w:tcW w:w="746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15106B83" w14:textId="77777777" w:rsidR="00A84981" w:rsidRPr="00A84981" w:rsidRDefault="00A84981" w:rsidP="00A8498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84981">
              <w:rPr>
                <w:rFonts w:ascii="Arial" w:eastAsia="Times New Roman" w:hAnsi="Arial" w:cs="Arial"/>
                <w:sz w:val="20"/>
                <w:lang w:val="en-US" w:eastAsia="en-AU"/>
              </w:rPr>
              <w:t>Financial and other information are disclosed fairly and at appropriate amounts.</w:t>
            </w:r>
          </w:p>
        </w:tc>
      </w:tr>
    </w:tbl>
    <w:p w14:paraId="15106B85" w14:textId="77777777" w:rsidR="00A84981" w:rsidRPr="003A5D50" w:rsidRDefault="00A84981" w:rsidP="003A5D50">
      <w:pPr>
        <w:spacing w:line="271" w:lineRule="auto"/>
        <w:ind w:right="1423"/>
        <w:rPr>
          <w:i/>
          <w:sz w:val="17"/>
        </w:rPr>
      </w:pPr>
      <w:r>
        <w:rPr>
          <w:sz w:val="17"/>
        </w:rPr>
        <w:t xml:space="preserve">Source: Adapted from the Australian Auditing Standard ASA 315 </w:t>
      </w:r>
      <w:r>
        <w:rPr>
          <w:i/>
          <w:sz w:val="17"/>
        </w:rPr>
        <w:t>Identifying and Assessing the Risks of Material Misstatement through Understanding the Entity and its Environment.</w:t>
      </w:r>
    </w:p>
    <w:sectPr w:rsidR="00A84981" w:rsidRPr="003A5D50" w:rsidSect="003D6E64">
      <w:headerReference w:type="default" r:id="rId13"/>
      <w:type w:val="continuous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06B88" w14:textId="77777777" w:rsidR="006B209A" w:rsidRDefault="006B209A" w:rsidP="00EF4574">
      <w:pPr>
        <w:spacing w:before="0" w:after="0" w:line="240" w:lineRule="auto"/>
      </w:pPr>
      <w:r>
        <w:separator/>
      </w:r>
    </w:p>
  </w:endnote>
  <w:endnote w:type="continuationSeparator" w:id="0">
    <w:p w14:paraId="15106B89" w14:textId="77777777" w:rsidR="006B209A" w:rsidRDefault="006B209A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6B86" w14:textId="77777777" w:rsidR="006B209A" w:rsidRDefault="006B209A" w:rsidP="0020122A">
      <w:pPr>
        <w:pStyle w:val="FootnoteSeparator"/>
      </w:pPr>
    </w:p>
  </w:footnote>
  <w:footnote w:type="continuationSeparator" w:id="0">
    <w:p w14:paraId="15106B87" w14:textId="77777777" w:rsidR="006B209A" w:rsidRDefault="006B209A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06B8B" w14:textId="77777777" w:rsidR="00BC7DB4" w:rsidRPr="0090743D" w:rsidRDefault="00BC7DB4" w:rsidP="00BC7DB4">
    <w:pPr>
      <w:pStyle w:val="Header"/>
      <w:rPr>
        <w:szCs w:val="14"/>
      </w:rPr>
    </w:pPr>
    <w:r>
      <w:tab/>
    </w:r>
    <w:r>
      <w:tab/>
    </w:r>
    <w:r w:rsidRPr="0090743D">
      <w:rPr>
        <w:szCs w:val="14"/>
      </w:rPr>
      <w:t>Department of Finance</w:t>
    </w:r>
    <w:r w:rsidRPr="0090743D">
      <w:rPr>
        <w:szCs w:val="14"/>
      </w:rPr>
      <w:tab/>
    </w:r>
    <w:r w:rsidRPr="0090743D">
      <w:rPr>
        <w:szCs w:val="14"/>
      </w:rPr>
      <w:tab/>
      <w:t xml:space="preserve">Financial Statements Better Practice Guide </w:t>
    </w:r>
  </w:p>
  <w:p w14:paraId="15106B8C" w14:textId="77777777" w:rsidR="00BC7DB4" w:rsidRDefault="00BC7DB4">
    <w:pPr>
      <w:pStyle w:val="Header"/>
    </w:pPr>
    <w:r w:rsidRPr="0090743D">
      <w:rPr>
        <w:szCs w:val="14"/>
      </w:rPr>
      <w:tab/>
    </w:r>
    <w:r w:rsidRPr="0090743D">
      <w:rPr>
        <w:szCs w:val="14"/>
      </w:rPr>
      <w:tab/>
    </w:r>
    <w:r w:rsidRPr="00BC7DB4">
      <w:rPr>
        <w:szCs w:val="14"/>
      </w:rPr>
      <w:t>Example: Financial statement assertions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C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2A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61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A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2B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3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8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4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36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3282518C"/>
    <w:multiLevelType w:val="hybridMultilevel"/>
    <w:tmpl w:val="C0C874DE"/>
    <w:lvl w:ilvl="0" w:tplc="8594F0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30A09"/>
    <w:multiLevelType w:val="hybridMultilevel"/>
    <w:tmpl w:val="7AD24C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0F57C3"/>
    <w:multiLevelType w:val="hybridMultilevel"/>
    <w:tmpl w:val="372ACE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6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5"/>
  </w:num>
  <w:num w:numId="35">
    <w:abstractNumId w:val="17"/>
  </w:num>
  <w:num w:numId="36">
    <w:abstractNumId w:val="14"/>
  </w:num>
  <w:num w:numId="37">
    <w:abstractNumId w:val="13"/>
  </w:num>
  <w:num w:numId="38">
    <w:abstractNumId w:val="18"/>
  </w:num>
  <w:num w:numId="39">
    <w:abstractNumId w:val="1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21B85"/>
    <w:rsid w:val="0002782F"/>
    <w:rsid w:val="00054E4D"/>
    <w:rsid w:val="00060073"/>
    <w:rsid w:val="000A4B30"/>
    <w:rsid w:val="000A6A8B"/>
    <w:rsid w:val="000C2A48"/>
    <w:rsid w:val="000D60B1"/>
    <w:rsid w:val="001541EA"/>
    <w:rsid w:val="001612A4"/>
    <w:rsid w:val="001973D5"/>
    <w:rsid w:val="001E1DC0"/>
    <w:rsid w:val="001E3C60"/>
    <w:rsid w:val="0020122A"/>
    <w:rsid w:val="0028602A"/>
    <w:rsid w:val="00301144"/>
    <w:rsid w:val="003148B7"/>
    <w:rsid w:val="003158C3"/>
    <w:rsid w:val="003273BE"/>
    <w:rsid w:val="003274CD"/>
    <w:rsid w:val="0035119D"/>
    <w:rsid w:val="0039715A"/>
    <w:rsid w:val="003A5D50"/>
    <w:rsid w:val="003B4F12"/>
    <w:rsid w:val="003D6E64"/>
    <w:rsid w:val="0040182E"/>
    <w:rsid w:val="00423F31"/>
    <w:rsid w:val="00431899"/>
    <w:rsid w:val="00486804"/>
    <w:rsid w:val="004B3775"/>
    <w:rsid w:val="004E058F"/>
    <w:rsid w:val="004E3B87"/>
    <w:rsid w:val="00510921"/>
    <w:rsid w:val="00510AD3"/>
    <w:rsid w:val="00513348"/>
    <w:rsid w:val="00533B5D"/>
    <w:rsid w:val="005506BA"/>
    <w:rsid w:val="005970EA"/>
    <w:rsid w:val="005A6C78"/>
    <w:rsid w:val="005C37F0"/>
    <w:rsid w:val="005E25FB"/>
    <w:rsid w:val="005E45E3"/>
    <w:rsid w:val="00623BA1"/>
    <w:rsid w:val="006346BC"/>
    <w:rsid w:val="00663651"/>
    <w:rsid w:val="0066652A"/>
    <w:rsid w:val="0068028B"/>
    <w:rsid w:val="00682167"/>
    <w:rsid w:val="006B209A"/>
    <w:rsid w:val="006C42AF"/>
    <w:rsid w:val="006C4DD1"/>
    <w:rsid w:val="00711D8E"/>
    <w:rsid w:val="00712672"/>
    <w:rsid w:val="00734E3F"/>
    <w:rsid w:val="00736985"/>
    <w:rsid w:val="00755721"/>
    <w:rsid w:val="007B6200"/>
    <w:rsid w:val="007D134E"/>
    <w:rsid w:val="007E38E8"/>
    <w:rsid w:val="00801B9F"/>
    <w:rsid w:val="00802117"/>
    <w:rsid w:val="00880B3F"/>
    <w:rsid w:val="008F00AC"/>
    <w:rsid w:val="00906FE7"/>
    <w:rsid w:val="009222BC"/>
    <w:rsid w:val="009B4D3B"/>
    <w:rsid w:val="009B53C8"/>
    <w:rsid w:val="009B5E3F"/>
    <w:rsid w:val="009D7407"/>
    <w:rsid w:val="009E0866"/>
    <w:rsid w:val="00A24A62"/>
    <w:rsid w:val="00A31C9F"/>
    <w:rsid w:val="00A76378"/>
    <w:rsid w:val="00A84981"/>
    <w:rsid w:val="00AC164A"/>
    <w:rsid w:val="00AF2050"/>
    <w:rsid w:val="00B00E2A"/>
    <w:rsid w:val="00B44792"/>
    <w:rsid w:val="00BB26C5"/>
    <w:rsid w:val="00BC7DB4"/>
    <w:rsid w:val="00BF4DE6"/>
    <w:rsid w:val="00C42CDE"/>
    <w:rsid w:val="00C70B26"/>
    <w:rsid w:val="00C7334F"/>
    <w:rsid w:val="00CA37B1"/>
    <w:rsid w:val="00CB1959"/>
    <w:rsid w:val="00D0296C"/>
    <w:rsid w:val="00D76E1A"/>
    <w:rsid w:val="00DB35A3"/>
    <w:rsid w:val="00DB6D69"/>
    <w:rsid w:val="00DC430B"/>
    <w:rsid w:val="00E24DAC"/>
    <w:rsid w:val="00E25FBA"/>
    <w:rsid w:val="00E33BB4"/>
    <w:rsid w:val="00E357B7"/>
    <w:rsid w:val="00E53800"/>
    <w:rsid w:val="00E6081F"/>
    <w:rsid w:val="00EA04B2"/>
    <w:rsid w:val="00EA20F3"/>
    <w:rsid w:val="00EA7E7F"/>
    <w:rsid w:val="00ED43D1"/>
    <w:rsid w:val="00EE4EE1"/>
    <w:rsid w:val="00EF4574"/>
    <w:rsid w:val="00F0219E"/>
    <w:rsid w:val="00F2684E"/>
    <w:rsid w:val="00F33736"/>
    <w:rsid w:val="00F729EF"/>
    <w:rsid w:val="00F77CAE"/>
    <w:rsid w:val="00F96BB9"/>
    <w:rsid w:val="00FD7F41"/>
    <w:rsid w:val="00FE6D51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5106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85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3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paragraph" w:styleId="ListParagraph">
    <w:name w:val="List Paragraph"/>
    <w:basedOn w:val="Normal"/>
    <w:uiPriority w:val="34"/>
    <w:qFormat/>
    <w:rsid w:val="0075572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84981"/>
    <w:pPr>
      <w:widowControl w:val="0"/>
      <w:suppressAutoHyphens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4981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fdd6b31f-a027-425f-adfa-a4194e98dae2">FIN33506-77069739-39644</_dlc_DocId>
    <_dlc_DocIdUrl xmlns="fdd6b31f-a027-425f-adfa-a4194e98dae2">
      <Url>https://f1.prdmgd.finance.gov.au/sites/50033506/_layouts/15/DocIdRedir.aspx?ID=FIN33506-77069739-39644</Url>
      <Description>FIN33506-77069739-39644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A081167BBC6DC4ABF111D5C0340450F" ma:contentTypeVersion="99" ma:contentTypeDescription="Create a new document." ma:contentTypeScope="" ma:versionID="ce3152a7dae9aed56f2dbf824386202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fdd6b31f-a027-425f-adfa-a4194e98dae2" targetNamespace="http://schemas.microsoft.com/office/2006/metadata/properties" ma:root="true" ma:fieldsID="0368a387c6d7cf58ef0ae5949a84b49d" ns1:_="" ns2:_="" ns3:_="">
    <xsd:import namespace="http://schemas.microsoft.com/sharepoint/v3"/>
    <xsd:import namespace="82ff9d9b-d3fc-4aad-bc42-9949ee83b815"/>
    <xsd:import namespace="fdd6b31f-a027-425f-adfa-a4194e98dae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d5b23f8-0019-49b4-80dc-328231206719}" ma:internalName="TaxCatchAll" ma:showField="CatchAllData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d5b23f8-0019-49b4-80dc-328231206719}" ma:internalName="TaxCatchAllLabel" ma:readOnly="true" ma:showField="CatchAllDataLabel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b31f-a027-425f-adfa-a4194e98dae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0D57-4664-4772-B136-576AE1D7AF1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d6b31f-a027-425f-adfa-a4194e98dae2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197BF7-FA35-4D95-AEBF-6ABCEF0D4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E2140-FFFE-43B2-BE67-8572855665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C659C0-7674-4A67-ABC3-F5BE0AD1647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0AA0AD1-109B-44F7-8CBF-BB564D95B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fdd6b31f-a027-425f-adfa-a4194e98d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947CD7-F167-45E1-AC2C-563A566F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Example: Financial statement assertions</dc:title>
  <dc:subject/>
  <dc:creator/>
  <cp:keywords/>
  <dc:description/>
  <cp:lastModifiedBy/>
  <cp:revision>1</cp:revision>
  <dcterms:created xsi:type="dcterms:W3CDTF">2022-02-02T04:58:00Z</dcterms:created>
  <dcterms:modified xsi:type="dcterms:W3CDTF">2022-03-31T02:53:00Z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0x010100B321FEA60C5BA343A52BC94EC00ABC9E07002A081167BBC6DC4ABF111D5C0340450F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1;#Accounting FW and Capability Support|17de058c-12f7-44f2-8e7d-03ff49305e52</vt:lpwstr>
  </property>
  <property fmtid="{D5CDD505-2E9C-101B-9397-08002B2CF9AE}" pid="8" name="_dlc_DocIdItemGuid">
    <vt:lpwstr>1354b5c8-03ae-47db-8131-f799586d93c0</vt:lpwstr>
  </property>
</Properties>
</file>