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FABC1" w14:textId="77777777" w:rsidR="00472799" w:rsidRPr="00472799" w:rsidRDefault="00A542E8" w:rsidP="00C71D65">
      <w:pPr>
        <w:pStyle w:val="NormalIndented"/>
        <w:ind w:left="0"/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52"/>
        </w:rPr>
      </w:pPr>
      <w:bookmarkStart w:id="0" w:name="_GoBack"/>
      <w:r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52"/>
        </w:rPr>
        <w:t>Checklist</w:t>
      </w:r>
      <w:r w:rsidR="008B2B3D"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52"/>
        </w:rPr>
        <w:t xml:space="preserve">: </w:t>
      </w:r>
      <w:r w:rsidR="00472799" w:rsidRPr="00472799"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52"/>
        </w:rPr>
        <w:t>Chief Financial Officer</w:t>
      </w:r>
      <w:r>
        <w:rPr>
          <w:rFonts w:asciiTheme="majorHAnsi" w:eastAsiaTheme="majorEastAsia" w:hAnsiTheme="majorHAnsi" w:cstheme="majorBidi"/>
          <w:bCs/>
          <w:color w:val="1C1C1C" w:themeColor="text2"/>
          <w:kern w:val="28"/>
          <w:sz w:val="40"/>
          <w:szCs w:val="52"/>
        </w:rPr>
        <w:t xml:space="preserve"> assurance</w:t>
      </w:r>
    </w:p>
    <w:bookmarkEnd w:id="0"/>
    <w:p w14:paraId="5A5FABC2" w14:textId="77777777" w:rsidR="00472799" w:rsidRPr="00FF46A6" w:rsidRDefault="00472799" w:rsidP="00472799">
      <w:pPr>
        <w:pStyle w:val="Boxed2Heading"/>
        <w:rPr>
          <w:b w:val="0"/>
          <w:sz w:val="30"/>
          <w:szCs w:val="30"/>
        </w:rPr>
      </w:pPr>
      <w:r w:rsidRPr="00FF46A6">
        <w:rPr>
          <w:b w:val="0"/>
          <w:sz w:val="30"/>
          <w:szCs w:val="30"/>
        </w:rPr>
        <w:t>Foreword</w:t>
      </w:r>
    </w:p>
    <w:p w14:paraId="5A5FABC3" w14:textId="77777777" w:rsidR="00472799" w:rsidRPr="00472799" w:rsidRDefault="00472799" w:rsidP="00472799">
      <w:pPr>
        <w:pStyle w:val="Boxed2Text"/>
      </w:pPr>
      <w:r w:rsidRPr="00472799">
        <w:t>The Chief Financial Officer (CFO) of an entity generally has primary responsibility for the preparation of the financial statements a</w:t>
      </w:r>
      <w:r w:rsidR="00C71D65">
        <w:t>nd is a co-signatory, with the accountable a</w:t>
      </w:r>
      <w:r w:rsidR="00FF46A6">
        <w:t>uthority, to</w:t>
      </w:r>
      <w:r w:rsidRPr="00472799">
        <w:t xml:space="preserve"> the financial statements. </w:t>
      </w:r>
      <w:r w:rsidR="00FF46A6">
        <w:t xml:space="preserve">It is therefore appropriate that the CFO </w:t>
      </w:r>
      <w:r w:rsidRPr="00472799">
        <w:t>ensure</w:t>
      </w:r>
      <w:r w:rsidR="00FF46A6">
        <w:t xml:space="preserve">s that necessary processes have been </w:t>
      </w:r>
      <w:r w:rsidRPr="00472799">
        <w:t>conducted and that the financial statements present fairly in accordance with the financial reporting framework.</w:t>
      </w:r>
    </w:p>
    <w:p w14:paraId="5A5FABC4" w14:textId="77777777" w:rsidR="00472799" w:rsidRPr="00472799" w:rsidRDefault="00FF46A6" w:rsidP="00472799">
      <w:pPr>
        <w:pStyle w:val="Boxed2Text"/>
      </w:pPr>
      <w:r>
        <w:t xml:space="preserve">The following checklist is provided as a </w:t>
      </w:r>
      <w:r w:rsidR="00472799" w:rsidRPr="00472799">
        <w:t>tool in considering a range of issues relating to the preparation of an entity’s financial statements</w:t>
      </w:r>
      <w:r w:rsidR="00B21322">
        <w:t>. It</w:t>
      </w:r>
      <w:r>
        <w:t xml:space="preserve"> </w:t>
      </w:r>
      <w:r w:rsidR="00472799" w:rsidRPr="00472799">
        <w:t>may assist the CFO in discharging his/her responsibilities</w:t>
      </w:r>
      <w:r w:rsidR="00CD629D">
        <w:t>. F</w:t>
      </w:r>
      <w:r w:rsidR="00B21322">
        <w:t>urther</w:t>
      </w:r>
      <w:r w:rsidR="009F61A8">
        <w:t>,</w:t>
      </w:r>
      <w:r w:rsidR="00B21322">
        <w:t xml:space="preserve"> it may </w:t>
      </w:r>
      <w:r w:rsidR="00472799" w:rsidRPr="00472799">
        <w:t>form the basis</w:t>
      </w:r>
      <w:r>
        <w:t xml:space="preserve"> for</w:t>
      </w:r>
      <w:r w:rsidR="00C71D65">
        <w:t xml:space="preserve"> providing assurance to the audit committee and the accountable a</w:t>
      </w:r>
      <w:r w:rsidR="00472799" w:rsidRPr="00472799">
        <w:t>uthority in preparing the financial statements that all relevant matters have been considered.</w:t>
      </w:r>
    </w:p>
    <w:p w14:paraId="5A5FABC5" w14:textId="77777777" w:rsidR="00FF46A6" w:rsidRDefault="00472799" w:rsidP="00472799">
      <w:pPr>
        <w:pStyle w:val="Boxed2Text"/>
      </w:pPr>
      <w:r w:rsidRPr="00472799">
        <w:t>The checklist does not necessarily cover all possible issues or questions and should be tailored to reflect the particular circumstances o</w:t>
      </w:r>
      <w:r w:rsidR="00FF46A6">
        <w:t xml:space="preserve">f each entity. </w:t>
      </w:r>
    </w:p>
    <w:p w14:paraId="5A5FABC6" w14:textId="71CBE585" w:rsidR="00FF46A6" w:rsidRDefault="00FF46A6" w:rsidP="00472799">
      <w:pPr>
        <w:pStyle w:val="Boxed2Text"/>
      </w:pPr>
      <w:r>
        <w:t xml:space="preserve">It also should </w:t>
      </w:r>
      <w:r w:rsidR="00472799" w:rsidRPr="00472799">
        <w:t>be tailored to reflect, where applicable, the line</w:t>
      </w:r>
      <w:r>
        <w:t>s</w:t>
      </w:r>
      <w:r w:rsidR="00472799" w:rsidRPr="00472799">
        <w:t xml:space="preserve"> of responsibility and reporting structure of the entity, and the relationship the CFO has with other key officers involved in the preparation of the financial</w:t>
      </w:r>
      <w:r>
        <w:t xml:space="preserve"> statements. This includes the </w:t>
      </w:r>
      <w:r w:rsidR="002A14C8">
        <w:t>financial statements team</w:t>
      </w:r>
      <w:r>
        <w:t xml:space="preserve"> and </w:t>
      </w:r>
      <w:r w:rsidR="00472799" w:rsidRPr="00472799">
        <w:t xml:space="preserve">business managers who may contribute to the financial statements. </w:t>
      </w:r>
    </w:p>
    <w:p w14:paraId="5A5FABC7" w14:textId="77777777" w:rsidR="00472799" w:rsidRPr="00472799" w:rsidRDefault="00472799" w:rsidP="00472799">
      <w:pPr>
        <w:pStyle w:val="Boxed2Text"/>
      </w:pPr>
      <w:r w:rsidRPr="00472799">
        <w:t>It may also be appropriate for certain sections or questions of the checklist to be completed by other people within the entity.</w:t>
      </w:r>
    </w:p>
    <w:p w14:paraId="5A5FABC8" w14:textId="77777777" w:rsidR="00472799" w:rsidRPr="00472799" w:rsidRDefault="00472799" w:rsidP="00472799">
      <w:pPr>
        <w:pStyle w:val="Boxed2Text"/>
      </w:pPr>
      <w:r w:rsidRPr="00472799">
        <w:t>The checklist is structured in three stages:</w:t>
      </w:r>
    </w:p>
    <w:p w14:paraId="5A5FABC9" w14:textId="77777777" w:rsidR="00472799" w:rsidRPr="00472799" w:rsidRDefault="00C71D65" w:rsidP="00472799">
      <w:pPr>
        <w:pStyle w:val="Boxed2Text"/>
      </w:pPr>
      <w:r w:rsidRPr="00FF46A6">
        <w:rPr>
          <w:b/>
        </w:rPr>
        <w:t>Stage 1:</w:t>
      </w:r>
      <w:r>
        <w:t xml:space="preserve"> </w:t>
      </w:r>
      <w:r w:rsidR="00FF46A6">
        <w:t>C</w:t>
      </w:r>
      <w:r w:rsidR="00472799" w:rsidRPr="00472799">
        <w:t>overs the plannin</w:t>
      </w:r>
      <w:r w:rsidR="00FF46A6">
        <w:t>g phase (for entities with the financial year ending at</w:t>
      </w:r>
      <w:r w:rsidR="00FF46A6">
        <w:br/>
      </w:r>
      <w:r w:rsidR="00472799" w:rsidRPr="00472799">
        <w:t>30 June</w:t>
      </w:r>
      <w:r w:rsidR="00FF46A6">
        <w:t>,</w:t>
      </w:r>
      <w:r w:rsidR="00472799" w:rsidRPr="00472799">
        <w:t xml:space="preserve"> this would usually be September to April)</w:t>
      </w:r>
    </w:p>
    <w:p w14:paraId="5A5FABCA" w14:textId="77777777" w:rsidR="00925706" w:rsidRDefault="00472799" w:rsidP="00472799">
      <w:pPr>
        <w:pStyle w:val="Boxed2Text"/>
      </w:pPr>
      <w:r w:rsidRPr="00FF46A6">
        <w:rPr>
          <w:b/>
        </w:rPr>
        <w:t>Stage 2</w:t>
      </w:r>
      <w:r w:rsidR="00C71D65" w:rsidRPr="00FF46A6">
        <w:rPr>
          <w:b/>
        </w:rPr>
        <w:t>:</w:t>
      </w:r>
      <w:r w:rsidR="00C71D65">
        <w:t xml:space="preserve"> </w:t>
      </w:r>
      <w:r w:rsidR="00FF46A6">
        <w:t>C</w:t>
      </w:r>
      <w:r w:rsidRPr="00472799">
        <w:t xml:space="preserve">overs the preparation phase (May to June), and </w:t>
      </w:r>
    </w:p>
    <w:p w14:paraId="5A5FABCB" w14:textId="77777777" w:rsidR="00472799" w:rsidRDefault="00C71D65" w:rsidP="00472799">
      <w:pPr>
        <w:pStyle w:val="Boxed2Text"/>
      </w:pPr>
      <w:r w:rsidRPr="00FF46A6">
        <w:rPr>
          <w:b/>
        </w:rPr>
        <w:t>Stage 3:</w:t>
      </w:r>
      <w:r>
        <w:t xml:space="preserve"> </w:t>
      </w:r>
      <w:r w:rsidR="00FF46A6">
        <w:t>C</w:t>
      </w:r>
      <w:r w:rsidR="00472799" w:rsidRPr="00472799">
        <w:t>overs the production phase (July to September).</w:t>
      </w:r>
    </w:p>
    <w:p w14:paraId="5A5FABCC" w14:textId="77777777" w:rsidR="008B2B3D" w:rsidRDefault="008B2B3D">
      <w:pPr>
        <w:suppressAutoHyphens w:val="0"/>
        <w:spacing w:before="0" w:after="120" w:line="440" w:lineRule="atLeast"/>
      </w:pPr>
      <w:r>
        <w:br w:type="page"/>
      </w:r>
    </w:p>
    <w:p w14:paraId="5A5FABCD" w14:textId="77777777" w:rsidR="00472799" w:rsidRDefault="008B2B3D" w:rsidP="008B2B3D">
      <w:pPr>
        <w:pStyle w:val="Heading2"/>
      </w:pPr>
      <w:r w:rsidRPr="008B2B3D">
        <w:t>Chief Financial Officer assurance</w:t>
      </w:r>
      <w:r>
        <w:t xml:space="preserve"> checklist</w:t>
      </w:r>
    </w:p>
    <w:tbl>
      <w:tblPr>
        <w:tblW w:w="8874" w:type="dxa"/>
        <w:tblLook w:val="0480" w:firstRow="0" w:lastRow="0" w:firstColumn="1" w:lastColumn="0" w:noHBand="0" w:noVBand="1"/>
      </w:tblPr>
      <w:tblGrid>
        <w:gridCol w:w="7680"/>
        <w:gridCol w:w="1194"/>
      </w:tblGrid>
      <w:tr w:rsidR="00CB32DB" w:rsidRPr="00CB32DB" w14:paraId="5A5FABD0" w14:textId="77777777" w:rsidTr="00C71D65">
        <w:trPr>
          <w:trHeight w:val="525"/>
          <w:tblHeader/>
        </w:trPr>
        <w:tc>
          <w:tcPr>
            <w:tcW w:w="7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noWrap/>
            <w:vAlign w:val="center"/>
            <w:hideMark/>
          </w:tcPr>
          <w:p w14:paraId="5A5FABCE" w14:textId="77777777" w:rsidR="00CB32DB" w:rsidRPr="00CB32DB" w:rsidRDefault="00FF46A6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CFO</w:t>
            </w:r>
            <w:r w:rsidR="00C71D65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 xml:space="preserve"> checklist i</w:t>
            </w:r>
            <w:r w:rsidR="00CB32DB" w:rsidRPr="00CB32DB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tem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C1C1C"/>
            <w:vAlign w:val="center"/>
            <w:hideMark/>
          </w:tcPr>
          <w:p w14:paraId="5A5FABC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b/>
                <w:bCs/>
                <w:color w:val="FFFFFF"/>
                <w:sz w:val="20"/>
                <w:lang w:val="en-US" w:eastAsia="en-AU"/>
              </w:rPr>
              <w:t>Actioned? (Yes/No)</w:t>
            </w:r>
          </w:p>
        </w:tc>
      </w:tr>
      <w:tr w:rsidR="00CB32DB" w:rsidRPr="00CB32DB" w14:paraId="5A5FABD3" w14:textId="77777777" w:rsidTr="00C71D65">
        <w:trPr>
          <w:trHeight w:val="31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5A5FABD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CB32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Planning Phase (September to  March)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5A5FABD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CB32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B32DB" w:rsidRPr="00CB32DB" w14:paraId="5A5FABD6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D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ANAO and internal audit findings from previous year and ensure appropriate corrective action has been taken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D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D9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D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the previous year’s financial statement preparation process and identify opportunities for improvement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D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DC" w14:textId="77777777" w:rsidTr="00C71D65">
        <w:trPr>
          <w:trHeight w:val="78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D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relevant ANAO audit reports and Better Practice Guides and Finance Resource Management Guides for suggestions for improved practice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D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DF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D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the ANAO Audit Strategy Document for the year and identify any implications of their approach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D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E2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E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and assess the risks to the completion of the financial statements, whether from fraud or error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E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E5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E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changes in the entity’s operations or environment that may affect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E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E8" w14:textId="77777777" w:rsidTr="00C71D65">
        <w:trPr>
          <w:trHeight w:val="78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E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Examples: new transactions, ceasing transactions, asset types or restructures; fluctuations in asset prices, exchange rates or discount rates.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E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EB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E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changes in accounting standards and the FRR that may affect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E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EE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E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Set materiality level for the financial statements (overall and for specific items)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E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F1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E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Suggestion: specific levels may be set for executive remuneration and/or appropriations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F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F4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F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Decide how to address significant risks of material misstatement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F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F7" w14:textId="77777777" w:rsidTr="00C71D65">
        <w:trPr>
          <w:trHeight w:val="103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F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list of entities the entity is involved with (subsidiaries, associates, joint ventures and unconsolidated structured entities) and determine appropriate accounting treatment for each (consolidated, equity accounting, disclosure)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F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FA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F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thresholds (e.g. for capitalising PPE and intangibles)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F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BFD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F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line items with a high risk of major variation from budget and document key assumptions underpinning the budgets for each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F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00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BF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Decide on the strategy for valuing assets and disclosing fair value information; instruct valuers or internal staff accordingly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BF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03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0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Decide whether to seek an exemption from any requirements of the FRR and discuss with Finance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0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06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0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existing accounting policies and methodologies for accounting estimates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0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09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07" w14:textId="77777777" w:rsidR="00CB32DB" w:rsidRPr="00CB32DB" w:rsidRDefault="00CB32DB" w:rsidP="001F1010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opportunities to remove unnecessary disclosures and improve overall financial statements presentation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0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0C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0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Decide whether to perform a hard or soft close of the financial statements during the year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0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0F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0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form of r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epresentation letters from the accountable a</w:t>
            </w: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uthority and the CFO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0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12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1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the extent of Internal audit’s involvement in the financial statements preparation process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1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15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1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Discuss the results of the above steps with the ANAO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1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18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1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the sequencing and estimates of time required for each step in the financial statements process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1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1B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19" w14:textId="77777777" w:rsidR="00CB32DB" w:rsidRPr="002A14C8" w:rsidRDefault="00CB32DB" w:rsidP="00CB32DB">
            <w:pPr>
              <w:suppressAutoHyphens w:val="0"/>
              <w:spacing w:before="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2A14C8">
              <w:rPr>
                <w:rFonts w:ascii="Arial" w:eastAsia="Times New Roman" w:hAnsi="Arial" w:cs="Arial"/>
                <w:sz w:val="20"/>
                <w:lang w:val="en-US" w:eastAsia="en-AU"/>
              </w:rPr>
              <w:t>Determine resource requirements</w:t>
            </w:r>
            <w:r w:rsidR="00C71D65" w:rsidRPr="002A14C8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1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1E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1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Get agreement to, and document, roles and responsibilities for the financial statements process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1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21" w14:textId="77777777" w:rsidTr="00C71D65">
        <w:trPr>
          <w:trHeight w:val="78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1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the required management and third party sign-offs (including from shared services) and ensure there is commitment to the required timeframes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2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24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2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Establish processes for monitoring progress and completion of financial statements within agreed timeframes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2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27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2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and document proposed quality assurance reviews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2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2A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2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Document project plan for the completion of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2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2D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2B" w14:textId="77777777" w:rsidR="00CB32DB" w:rsidRPr="00CB32DB" w:rsidRDefault="00C71D65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val="en-US" w:eastAsia="en-AU"/>
              </w:rPr>
              <w:t>Report to the audit c</w:t>
            </w:r>
            <w:r w:rsidR="00CB32DB"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ommittee regarding the above steps</w:t>
            </w:r>
            <w:r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2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30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2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Make changes to systems and records where required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2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33" w14:textId="77777777" w:rsidTr="00C71D65">
        <w:trPr>
          <w:trHeight w:val="31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5A5FAC3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CB32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Preparation phase (April to June)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5A5FAC3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</w:tr>
      <w:tr w:rsidR="00CB32DB" w:rsidRPr="00CB32DB" w14:paraId="5A5FAC36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3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any significant changes since the planning phase and assess implications for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3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39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3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the useful life and depreciation rates for PPE and intangible assets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3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3C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3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any internal audit or ANAO findings during the year and assess the implications for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3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3F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3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Assess whether financial systems and controls were effective during the year and, if not, reassess the risks to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3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42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4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Ensure monthly reconciliations are up to date and any discrepancies have been resolved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4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45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4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Examples: bank reconciliations; reconciliation of appropriation receivable balances to Finance appropriation reports.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4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48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4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For any errors identified during the year, correct current year records and determine the required adjustment to prior year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’</w:t>
            </w: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s figures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4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4B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4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Prepare a hard or soft close of the financial statements, if approved in the planning phase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4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4E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4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If no hard or soft close is performed, prepare a shell set of financial statements (without numbers for the current year)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4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51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4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Ensure adequate staff resources will be available and develop contingency plan for unplanned absences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5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54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5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Identify likely variations from budget of more than, say, 10 per cent, prepare draft explanations and discuss with the ANAO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5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57" w14:textId="77777777" w:rsidTr="00C71D65">
        <w:trPr>
          <w:trHeight w:val="78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5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Review compliance certifications from line areas and external parties (including shared services) for completeness and adequacy of documentation; investigate anomalies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5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5A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5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Obtain assurance that external systems relied on for the financial statements are providing accurate data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5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5D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5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Obtain assurance that formal arrangements are in place for obtaining information from other parties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5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60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5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Obtain assurance that all necessary valuations and all impairment reviews are finalised and the results recorded in the FMIS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5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63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6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Decide the cut-off date(s) for accruals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6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66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64" w14:textId="77777777" w:rsidR="00CB32DB" w:rsidRPr="00CB32DB" w:rsidRDefault="00C71D65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val="en-US" w:eastAsia="en-AU"/>
              </w:rPr>
              <w:t>Report to the audit c</w:t>
            </w:r>
            <w:r w:rsidR="00CB32DB"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ommittee on the above</w:t>
            </w:r>
            <w:r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6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69" w14:textId="77777777" w:rsidTr="00C71D65">
        <w:trPr>
          <w:trHeight w:val="31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5A5FAC6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CB32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val="en-US" w:eastAsia="en-AU"/>
              </w:rPr>
              <w:t>Production Phase (July to September)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2E3E2"/>
            <w:hideMark/>
          </w:tcPr>
          <w:p w14:paraId="5A5FAC6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CB32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B32DB" w:rsidRPr="00CB32DB" w14:paraId="5A5FAC6C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6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Prepare the trial balance of the financial statements and resolve any anomalies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6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6F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6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Prepare adjusting journal entries for end of year accruals and reversals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6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72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7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Ensure final sign-offs from line areas have been received, and are supported by appropriate documentation, with any anomalies investigated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7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75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7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Ensure all necessary information from external entities (including shared services and assurance statements) has been received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7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78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7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Investigate significant differences between the current year actual and the previous year, current year budget and revised budget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7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7B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7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Prepare note disclosures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7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7E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7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Consider whether to add, adjust or remove financial statement disclosures in light of entity materiality levels and actual outcomes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7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81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7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Prepare a lead schedule for each financial statement line item or note disclosure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8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84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8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Consider any implications from the Compliance Reporting process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8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87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8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Perform a quality review of the financial statements and supporting documentation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8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8A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8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Submit draft financial statements and lead schedules to the ANAO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8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8D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8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Consider all suggestions from the ANAO and implement or document reasons for not implementing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8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90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8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Prepare final draft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8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93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9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w w:val="105"/>
                <w:sz w:val="20"/>
                <w:lang w:val="en-US" w:eastAsia="en-AU"/>
              </w:rPr>
              <w:t>Prepare written confirmation to the Audit Committee certifying that: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9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96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9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Proper financial accounts and records have been maintained by the entity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9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99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9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Internal controls were sufficiently robust to prevent, detect, or correct material error and fraud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9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9C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9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Financial management and related systems were operating effectively during the year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9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9F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9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Quality control arrangements were in place to protect the integrity of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9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A2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A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The information required from other parties to complete the financial statements was received and acted on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A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A5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A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There is adequate documentation supporting the financial statements, including lead schedules for every financial statement line item and note disclosure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A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A8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A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Guidance on entity financial reporting issued by the Department of Finance has been considered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A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AB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A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The approved accounting policies have been consistently applied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A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AE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A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The approved materiality thresholds were applied in the preparation of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A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B1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A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All material misstatements in the financial statements have been corrected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B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B4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B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All immaterial misstatements found have been discussed with the ANAO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B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B7" w14:textId="77777777" w:rsidTr="00C71D65">
        <w:trPr>
          <w:trHeight w:val="80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B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All known or suspected instances of fraud or legal non-compliance have been disclosed to ANAO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B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BA" w14:textId="77777777" w:rsidTr="00C71D65">
        <w:trPr>
          <w:trHeight w:val="684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B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All recommendations from ANAO have been actioned, o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r the reasons disclosed to the a</w:t>
            </w: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 xml:space="preserve">udit 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c</w:t>
            </w: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ommittee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B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BD" w14:textId="77777777" w:rsidTr="00C71D65">
        <w:trPr>
          <w:trHeight w:val="862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B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The financial statements materially comply with Australian Accounting Standards and the Financial Reporting Rule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B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C0" w14:textId="77777777" w:rsidTr="00C71D65">
        <w:trPr>
          <w:trHeight w:val="886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B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The financial statements present fairly the financial performance, financial position and cash flows of the entity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B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C3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C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lang w:val="en-US"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It is appropriate for the accountably authority to give the certificate required under the PGPA Act and the Financial Reporting Rule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C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C6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C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ind w:left="603"/>
              <w:rPr>
                <w:rFonts w:ascii="Arial" w:eastAsia="Times New Roman" w:hAnsi="Arial" w:cs="Arial"/>
                <w:sz w:val="20"/>
                <w:lang w:val="en-US"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Arrangements have been made to ensure that the financial statements will be included in the annual report exactly as signed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C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C9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C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Present final draft financial statements a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nd written confirmation to the audit c</w:t>
            </w: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ommittee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C8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CC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C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Make changes to the fi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nancial statements in light of audit c</w:t>
            </w: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ommittee consideration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CB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CF" w14:textId="77777777" w:rsidTr="00C71D65">
        <w:trPr>
          <w:trHeight w:val="525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C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Seek ANAO clearance of final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CE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D2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D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Discuss with the ANAO any events occurring after the end of the financial year that may need to be disclosed in the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D1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D5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D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Prepare Management Represent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ation Letter and submit to the accountable a</w:t>
            </w: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uthority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D4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D8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D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Arrange signing of certificate and ANAO represe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ntation letters by the CFO and accountable a</w:t>
            </w: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uthority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D7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DB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D9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Arrange signing of the auditor’s report and include in the financial statements package for publication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DA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DE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DC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Arrange for hard and soft copies to be included in the annual report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DD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E1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DF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Provide hard and soft copies of the annual report to the ANAO for their review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E0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E4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E2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Ensure that the financial statements as included in the annual report, both hard and soft versions, match with the signed financial statements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E3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  <w:tr w:rsidR="00CB32DB" w:rsidRPr="00CB32DB" w14:paraId="5A5FACE7" w14:textId="77777777" w:rsidTr="00C71D65">
        <w:trPr>
          <w:trHeight w:val="660"/>
        </w:trPr>
        <w:tc>
          <w:tcPr>
            <w:tcW w:w="7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A5FACE5" w14:textId="77777777" w:rsidR="00CB32DB" w:rsidRPr="00CB32DB" w:rsidRDefault="00CB32DB" w:rsidP="00CB32DB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20"/>
                <w:lang w:val="en-US" w:eastAsia="en-AU"/>
              </w:rPr>
              <w:t>Hold exit interview with the ANAO and document lessons learned</w:t>
            </w:r>
            <w:r w:rsidR="00C71D65">
              <w:rPr>
                <w:rFonts w:ascii="Arial" w:eastAsia="Times New Roman" w:hAnsi="Arial" w:cs="Arial"/>
                <w:sz w:val="20"/>
                <w:lang w:val="en-US" w:eastAsia="en-AU"/>
              </w:rPr>
              <w:t>.</w:t>
            </w:r>
          </w:p>
        </w:tc>
        <w:tc>
          <w:tcPr>
            <w:tcW w:w="11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hideMark/>
          </w:tcPr>
          <w:p w14:paraId="5A5FACE6" w14:textId="77777777" w:rsidR="00CB32DB" w:rsidRPr="00CB32DB" w:rsidRDefault="00CB32DB" w:rsidP="00CB32DB">
            <w:pPr>
              <w:suppressAutoHyphens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AU"/>
              </w:rPr>
            </w:pPr>
            <w:r w:rsidRPr="00CB32DB">
              <w:rPr>
                <w:rFonts w:ascii="Arial" w:eastAsia="Times New Roman" w:hAnsi="Arial" w:cs="Arial"/>
                <w:sz w:val="40"/>
                <w:szCs w:val="40"/>
                <w:lang w:eastAsia="en-AU"/>
              </w:rPr>
              <w:t>󠄀</w:t>
            </w:r>
          </w:p>
        </w:tc>
      </w:tr>
    </w:tbl>
    <w:p w14:paraId="5A5FACE8" w14:textId="77777777" w:rsidR="003D6E64" w:rsidRDefault="003D6E64" w:rsidP="00472799"/>
    <w:sectPr w:rsidR="003D6E64" w:rsidSect="003D6E64">
      <w:headerReference w:type="default" r:id="rId13"/>
      <w:type w:val="continuous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FACEB" w14:textId="77777777" w:rsidR="006B209A" w:rsidRDefault="006B209A" w:rsidP="00EF4574">
      <w:pPr>
        <w:spacing w:before="0" w:after="0" w:line="240" w:lineRule="auto"/>
      </w:pPr>
      <w:r>
        <w:separator/>
      </w:r>
    </w:p>
  </w:endnote>
  <w:endnote w:type="continuationSeparator" w:id="0">
    <w:p w14:paraId="5A5FACEC" w14:textId="77777777" w:rsidR="006B209A" w:rsidRDefault="006B209A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ACE9" w14:textId="77777777" w:rsidR="006B209A" w:rsidRDefault="006B209A" w:rsidP="0020122A">
      <w:pPr>
        <w:pStyle w:val="FootnoteSeparator"/>
      </w:pPr>
    </w:p>
  </w:footnote>
  <w:footnote w:type="continuationSeparator" w:id="0">
    <w:p w14:paraId="5A5FACEA" w14:textId="77777777" w:rsidR="006B209A" w:rsidRDefault="006B209A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FACEE" w14:textId="77777777" w:rsidR="008B2B3D" w:rsidRPr="0090743D" w:rsidRDefault="008B2B3D" w:rsidP="008B2B3D">
    <w:pPr>
      <w:pStyle w:val="Header"/>
      <w:rPr>
        <w:szCs w:val="14"/>
      </w:rPr>
    </w:pPr>
    <w:r>
      <w:tab/>
    </w:r>
    <w:r>
      <w:tab/>
    </w:r>
    <w:r w:rsidRPr="0090743D">
      <w:rPr>
        <w:szCs w:val="14"/>
      </w:rPr>
      <w:t>Department of Finance</w:t>
    </w:r>
    <w:r w:rsidRPr="0090743D">
      <w:rPr>
        <w:szCs w:val="14"/>
      </w:rPr>
      <w:tab/>
    </w:r>
    <w:r w:rsidRPr="0090743D">
      <w:rPr>
        <w:szCs w:val="14"/>
      </w:rPr>
      <w:tab/>
      <w:t xml:space="preserve">Financial Statements Better Practice Guide </w:t>
    </w:r>
  </w:p>
  <w:p w14:paraId="5A5FACEF" w14:textId="77777777" w:rsidR="008B2B3D" w:rsidRDefault="008B2B3D" w:rsidP="008B2B3D">
    <w:pPr>
      <w:pStyle w:val="Header"/>
    </w:pPr>
    <w:r w:rsidRPr="0090743D">
      <w:rPr>
        <w:szCs w:val="14"/>
      </w:rPr>
      <w:tab/>
    </w:r>
    <w:r w:rsidRPr="0090743D">
      <w:rPr>
        <w:szCs w:val="14"/>
      </w:rPr>
      <w:tab/>
    </w:r>
    <w:r>
      <w:rPr>
        <w:szCs w:val="14"/>
      </w:rPr>
      <w:t xml:space="preserve">Checklist: </w:t>
    </w:r>
    <w:r w:rsidRPr="008B2B3D">
      <w:rPr>
        <w:szCs w:val="14"/>
      </w:rPr>
      <w:t>Chief Financial Officer assurance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3282518C"/>
    <w:multiLevelType w:val="hybridMultilevel"/>
    <w:tmpl w:val="C0C874DE"/>
    <w:lvl w:ilvl="0" w:tplc="8594F0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30A09"/>
    <w:multiLevelType w:val="hybridMultilevel"/>
    <w:tmpl w:val="7AD24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0F57C3"/>
    <w:multiLevelType w:val="hybridMultilevel"/>
    <w:tmpl w:val="372ACE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6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7"/>
  </w:num>
  <w:num w:numId="36">
    <w:abstractNumId w:val="14"/>
  </w:num>
  <w:num w:numId="37">
    <w:abstractNumId w:val="13"/>
  </w:num>
  <w:num w:numId="38">
    <w:abstractNumId w:val="18"/>
  </w:num>
  <w:num w:numId="39">
    <w:abstractNumId w:val="1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12BDE"/>
    <w:rsid w:val="00021B85"/>
    <w:rsid w:val="0002782F"/>
    <w:rsid w:val="00054E4D"/>
    <w:rsid w:val="00060073"/>
    <w:rsid w:val="000A4B30"/>
    <w:rsid w:val="000A6A8B"/>
    <w:rsid w:val="000C2A48"/>
    <w:rsid w:val="000D60B1"/>
    <w:rsid w:val="001541EA"/>
    <w:rsid w:val="001612A4"/>
    <w:rsid w:val="00170730"/>
    <w:rsid w:val="001973D5"/>
    <w:rsid w:val="001D7FE9"/>
    <w:rsid w:val="001E1DC0"/>
    <w:rsid w:val="001F1010"/>
    <w:rsid w:val="0020122A"/>
    <w:rsid w:val="0028602A"/>
    <w:rsid w:val="002A14C8"/>
    <w:rsid w:val="00301144"/>
    <w:rsid w:val="003148B7"/>
    <w:rsid w:val="003158C3"/>
    <w:rsid w:val="003273BE"/>
    <w:rsid w:val="003274CD"/>
    <w:rsid w:val="0035119D"/>
    <w:rsid w:val="00394A42"/>
    <w:rsid w:val="0039715A"/>
    <w:rsid w:val="003B4F12"/>
    <w:rsid w:val="003D6E64"/>
    <w:rsid w:val="00423F31"/>
    <w:rsid w:val="00431899"/>
    <w:rsid w:val="00472799"/>
    <w:rsid w:val="00486804"/>
    <w:rsid w:val="004B3775"/>
    <w:rsid w:val="004E058F"/>
    <w:rsid w:val="004E3B87"/>
    <w:rsid w:val="00510921"/>
    <w:rsid w:val="00510AD3"/>
    <w:rsid w:val="00513348"/>
    <w:rsid w:val="00533B5D"/>
    <w:rsid w:val="005506BA"/>
    <w:rsid w:val="00567728"/>
    <w:rsid w:val="005970EA"/>
    <w:rsid w:val="005A6C78"/>
    <w:rsid w:val="005C37F0"/>
    <w:rsid w:val="005E45E3"/>
    <w:rsid w:val="00623BA1"/>
    <w:rsid w:val="006346BC"/>
    <w:rsid w:val="0066652A"/>
    <w:rsid w:val="0068028B"/>
    <w:rsid w:val="00682167"/>
    <w:rsid w:val="006B209A"/>
    <w:rsid w:val="006C42AF"/>
    <w:rsid w:val="006C4DD1"/>
    <w:rsid w:val="00711D8E"/>
    <w:rsid w:val="00712672"/>
    <w:rsid w:val="00734E3F"/>
    <w:rsid w:val="00736985"/>
    <w:rsid w:val="00755721"/>
    <w:rsid w:val="007B6200"/>
    <w:rsid w:val="007D134E"/>
    <w:rsid w:val="007E38E8"/>
    <w:rsid w:val="00801B9F"/>
    <w:rsid w:val="00802117"/>
    <w:rsid w:val="00880B3F"/>
    <w:rsid w:val="008B2B3D"/>
    <w:rsid w:val="009222BC"/>
    <w:rsid w:val="00925706"/>
    <w:rsid w:val="009B4D3B"/>
    <w:rsid w:val="009B53C8"/>
    <w:rsid w:val="009B5E3F"/>
    <w:rsid w:val="009D7407"/>
    <w:rsid w:val="009E0866"/>
    <w:rsid w:val="009F61A8"/>
    <w:rsid w:val="00A24A62"/>
    <w:rsid w:val="00A31C9F"/>
    <w:rsid w:val="00A542E8"/>
    <w:rsid w:val="00A76378"/>
    <w:rsid w:val="00AC164A"/>
    <w:rsid w:val="00AF2050"/>
    <w:rsid w:val="00B00E2A"/>
    <w:rsid w:val="00B21322"/>
    <w:rsid w:val="00B44792"/>
    <w:rsid w:val="00BB26C5"/>
    <w:rsid w:val="00BF4DE6"/>
    <w:rsid w:val="00C42CDE"/>
    <w:rsid w:val="00C71D65"/>
    <w:rsid w:val="00C7334F"/>
    <w:rsid w:val="00CA37B1"/>
    <w:rsid w:val="00CB1959"/>
    <w:rsid w:val="00CB32DB"/>
    <w:rsid w:val="00CD629D"/>
    <w:rsid w:val="00D0296C"/>
    <w:rsid w:val="00D76E1A"/>
    <w:rsid w:val="00DB35A3"/>
    <w:rsid w:val="00DB6D69"/>
    <w:rsid w:val="00DC430B"/>
    <w:rsid w:val="00E24DAC"/>
    <w:rsid w:val="00E25FBA"/>
    <w:rsid w:val="00E357B7"/>
    <w:rsid w:val="00E53800"/>
    <w:rsid w:val="00E6081F"/>
    <w:rsid w:val="00EA04B2"/>
    <w:rsid w:val="00EA20F3"/>
    <w:rsid w:val="00ED43D1"/>
    <w:rsid w:val="00EE4EE1"/>
    <w:rsid w:val="00EF4574"/>
    <w:rsid w:val="00F0219E"/>
    <w:rsid w:val="00F2684E"/>
    <w:rsid w:val="00F33736"/>
    <w:rsid w:val="00F729EF"/>
    <w:rsid w:val="00F77CAE"/>
    <w:rsid w:val="00F96BB9"/>
    <w:rsid w:val="00FD7F41"/>
    <w:rsid w:val="00FE6D51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A5FA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85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styleId="ListParagraph">
    <w:name w:val="List Paragraph"/>
    <w:basedOn w:val="Normal"/>
    <w:uiPriority w:val="34"/>
    <w:qFormat/>
    <w:rsid w:val="00755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4C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FIN33506-77069739-48103</_dlc_DocId>
    <_dlc_DocIdUrl xmlns="fdd6b31f-a027-425f-adfa-a4194e98dae2">
      <Url>https://f1.prdmgd.finance.gov.au/sites/50033506/_layouts/15/DocIdRedir.aspx?ID=FIN33506-77069739-48103</Url>
      <Description>FIN33506-77069739-48103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CB58-8DD0-403F-AB03-FE2108A74A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d6b31f-a027-425f-adfa-a4194e98dae2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A0BF6C-B53E-4EC0-AF8E-DC2DC04F9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126D5-6381-4F02-9F69-1CA1AE8128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EE399E-0A02-4918-A98D-9995C99919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0AED62C-41DF-4E87-9534-FE327E10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20180BB-7F7E-45E2-AE55-7826306D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Chief Financial Officer assurance</dc:title>
  <dc:subject/>
  <dc:creator/>
  <cp:keywords/>
  <dc:description/>
  <cp:lastModifiedBy/>
  <cp:revision>1</cp:revision>
  <dcterms:created xsi:type="dcterms:W3CDTF">2022-02-02T05:10:00Z</dcterms:created>
  <dcterms:modified xsi:type="dcterms:W3CDTF">2022-03-31T02:53:00Z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0x010100B321FEA60C5BA343A52BC94EC00ABC9E07002A081167BBC6DC4ABF111D5C0340450F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1;#Accounting FW and Capability Support|17de058c-12f7-44f2-8e7d-03ff49305e52</vt:lpwstr>
  </property>
  <property fmtid="{D5CDD505-2E9C-101B-9397-08002B2CF9AE}" pid="8" name="_dlc_DocIdItemGuid">
    <vt:lpwstr>33d37807-3a2a-4ffa-869f-8e85b89af66d</vt:lpwstr>
  </property>
</Properties>
</file>