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81A6" w14:textId="77777777" w:rsidR="00472799" w:rsidRPr="00FB6354" w:rsidRDefault="0041632B" w:rsidP="00D10C29">
      <w:pPr>
        <w:pStyle w:val="NormalIndented"/>
        <w:ind w:left="0"/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</w:pPr>
      <w:bookmarkStart w:id="0" w:name="_GoBack"/>
      <w:r w:rsidRPr="00FB6354"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  <w:t>Example</w:t>
      </w:r>
      <w:r w:rsidR="00D10C29" w:rsidRPr="00FB6354"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  <w:t xml:space="preserve">: </w:t>
      </w:r>
      <w:r w:rsidR="00541FBA" w:rsidRPr="00FB6354"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  <w:t>Requirements for supporting documentation</w:t>
      </w:r>
    </w:p>
    <w:bookmarkEnd w:id="0"/>
    <w:p w14:paraId="47718F47" w14:textId="77777777" w:rsidR="00472799" w:rsidRPr="00FB6354" w:rsidRDefault="00472799" w:rsidP="00472799">
      <w:pPr>
        <w:pStyle w:val="Boxed2Heading"/>
        <w:rPr>
          <w:b w:val="0"/>
          <w:sz w:val="30"/>
          <w:szCs w:val="30"/>
        </w:rPr>
      </w:pPr>
      <w:r w:rsidRPr="00FB6354">
        <w:rPr>
          <w:b w:val="0"/>
          <w:sz w:val="30"/>
          <w:szCs w:val="30"/>
        </w:rPr>
        <w:t>Foreword</w:t>
      </w:r>
    </w:p>
    <w:p w14:paraId="6A9265B1" w14:textId="77777777" w:rsidR="00352309" w:rsidRDefault="0041632B" w:rsidP="0041632B">
      <w:pPr>
        <w:pStyle w:val="Boxed2Text"/>
      </w:pPr>
      <w:r>
        <w:t xml:space="preserve">The financial statements are based on accounts and records. There should be a clear management trail of supporting evidence indicating how each item in the financial statements is derived and/or substantiated. </w:t>
      </w:r>
    </w:p>
    <w:p w14:paraId="0D541B69" w14:textId="77777777" w:rsidR="00675E45" w:rsidRDefault="00675E45" w:rsidP="00352309">
      <w:pPr>
        <w:pStyle w:val="Boxed2Text"/>
      </w:pPr>
      <w:r>
        <w:t>All supporting documentation should be reviewed by the preparer before being signed-off as complete to ensure that:</w:t>
      </w:r>
    </w:p>
    <w:p w14:paraId="6EAC3208" w14:textId="77777777" w:rsidR="00675E45" w:rsidRDefault="00675E45" w:rsidP="00675E45">
      <w:pPr>
        <w:pStyle w:val="Boxed2Text"/>
        <w:numPr>
          <w:ilvl w:val="0"/>
          <w:numId w:val="42"/>
        </w:numPr>
        <w:ind w:left="567" w:hanging="283"/>
      </w:pPr>
      <w:r>
        <w:t>the balance per the supporting documentation agrees to the balance per the financial statements;</w:t>
      </w:r>
      <w:r w:rsidR="009A41A1">
        <w:t xml:space="preserve"> </w:t>
      </w:r>
      <w:r>
        <w:t>any reconciliations included have evidence of independent review;</w:t>
      </w:r>
    </w:p>
    <w:p w14:paraId="5F084129" w14:textId="77777777" w:rsidR="00675E45" w:rsidRDefault="00675E45" w:rsidP="00675E45">
      <w:pPr>
        <w:pStyle w:val="Boxed2Text"/>
        <w:numPr>
          <w:ilvl w:val="0"/>
          <w:numId w:val="42"/>
        </w:numPr>
        <w:ind w:left="567" w:hanging="283"/>
      </w:pPr>
      <w:r>
        <w:t>any reconciling items in reconciliations have been appropriately adjusted, with a link provided</w:t>
      </w:r>
      <w:r w:rsidR="007C5C57">
        <w:t xml:space="preserve"> to evidence of the adjustment, or if unadjusted the impact of the non-adjustment on the balance has been assessed and determined to be immaterial;</w:t>
      </w:r>
    </w:p>
    <w:p w14:paraId="5AB89D3B" w14:textId="77777777" w:rsidR="007C5C57" w:rsidRDefault="007C5C57" w:rsidP="00675E45">
      <w:pPr>
        <w:pStyle w:val="Boxed2Text"/>
        <w:numPr>
          <w:ilvl w:val="0"/>
          <w:numId w:val="42"/>
        </w:numPr>
        <w:ind w:left="567" w:hanging="283"/>
      </w:pPr>
      <w:r>
        <w:t>the documentation includes the full title, all parameters used and the source of all reports.</w:t>
      </w:r>
    </w:p>
    <w:p w14:paraId="7774CA61" w14:textId="77777777" w:rsidR="0041632B" w:rsidRDefault="00352309" w:rsidP="00352309">
      <w:pPr>
        <w:pStyle w:val="Boxed2Text"/>
      </w:pPr>
      <w:r>
        <w:t>Th</w:t>
      </w:r>
      <w:r w:rsidR="0041632B">
        <w:t xml:space="preserve">e </w:t>
      </w:r>
      <w:r>
        <w:t xml:space="preserve">following </w:t>
      </w:r>
      <w:r w:rsidR="0041632B">
        <w:t xml:space="preserve">example </w:t>
      </w:r>
      <w:r>
        <w:t xml:space="preserve">for </w:t>
      </w:r>
      <w:r w:rsidR="0041632B">
        <w:t>documentation requirements outline the types of supporting evidence required for selected financial statements items.</w:t>
      </w:r>
    </w:p>
    <w:p w14:paraId="5684E54C" w14:textId="77777777" w:rsidR="00B72587" w:rsidRDefault="0041632B" w:rsidP="0041632B">
      <w:pPr>
        <w:pStyle w:val="Boxed2Text"/>
      </w:pPr>
      <w:r>
        <w:t>The example should be tailored to meet the entity’s particular circumstances. It does not necessarily cover all possible items or supporting documents.</w:t>
      </w:r>
    </w:p>
    <w:p w14:paraId="435D6A67" w14:textId="77777777" w:rsidR="00B72587" w:rsidRDefault="00B72587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color w:val="1C1C1C" w:themeColor="text2"/>
          <w:sz w:val="40"/>
          <w:szCs w:val="28"/>
        </w:rPr>
      </w:pPr>
      <w:r>
        <w:br w:type="page"/>
      </w:r>
    </w:p>
    <w:p w14:paraId="71C7CA6E" w14:textId="77777777" w:rsidR="0041632B" w:rsidRDefault="00B72587" w:rsidP="00B72587">
      <w:pPr>
        <w:pStyle w:val="Heading1"/>
      </w:pPr>
      <w:r w:rsidRPr="00B72587">
        <w:t>Requirements for supporting documentation</w:t>
      </w:r>
    </w:p>
    <w:tbl>
      <w:tblPr>
        <w:tblW w:w="9042" w:type="dxa"/>
        <w:tblLook w:val="0480" w:firstRow="0" w:lastRow="0" w:firstColumn="1" w:lastColumn="0" w:noHBand="0" w:noVBand="1"/>
        <w:tblCaption w:val="Requirements for supporting documentation"/>
        <w:tblDescription w:val="This table outlines the types of supporting evidence required for selected financial statement items. "/>
      </w:tblPr>
      <w:tblGrid>
        <w:gridCol w:w="1506"/>
        <w:gridCol w:w="4819"/>
        <w:gridCol w:w="1583"/>
        <w:gridCol w:w="1134"/>
      </w:tblGrid>
      <w:tr w:rsidR="0041632B" w:rsidRPr="0041632B" w14:paraId="3C5B0957" w14:textId="77777777" w:rsidTr="00BC3913">
        <w:trPr>
          <w:trHeight w:val="315"/>
          <w:tblHeader/>
        </w:trPr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hideMark/>
          </w:tcPr>
          <w:p w14:paraId="18ADD61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color w:val="FFFFFF"/>
                <w:w w:val="105"/>
                <w:sz w:val="20"/>
                <w:lang w:val="en-US" w:eastAsia="en-AU"/>
              </w:rPr>
              <w:t>Item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hideMark/>
          </w:tcPr>
          <w:p w14:paraId="5FFA50F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Supporting documentation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hideMark/>
          </w:tcPr>
          <w:p w14:paraId="2101318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Responsibility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hideMark/>
          </w:tcPr>
          <w:p w14:paraId="45D5F66A" w14:textId="77777777" w:rsidR="0041632B" w:rsidRPr="0041632B" w:rsidRDefault="0041632B" w:rsidP="00352309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Due date</w:t>
            </w:r>
          </w:p>
        </w:tc>
      </w:tr>
      <w:tr w:rsidR="0041632B" w:rsidRPr="0041632B" w14:paraId="73DD61A2" w14:textId="77777777" w:rsidTr="00BC3913">
        <w:trPr>
          <w:trHeight w:val="315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0B82175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Cash at hand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8C70C9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 of advances as at year-end.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73A295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D4FA79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340CF85" w14:textId="77777777" w:rsidTr="00BC3913">
        <w:trPr>
          <w:trHeight w:val="49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EF787F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927581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Confirmation certificates from cash advance holder stating the amount held at year-end.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56BF40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97E745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97E8E08" w14:textId="77777777" w:rsidTr="00BC3913">
        <w:trPr>
          <w:trHeight w:val="501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0865EC7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Cash at bank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92D988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Bank reconciliations at year-end with bank statements and supporting documentation for reconciling items.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54234B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7ECFBA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FC273C9" w14:textId="77777777" w:rsidTr="00BC3913">
        <w:trPr>
          <w:trHeight w:val="952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1B9F5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9BDF0E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 schedule of all bank accounts including information on bank account numbers, branch and domicile. The schedule includes bank accounts as at year-end and accounts that were opened and/or closed during the year.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6CEBAD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3E2682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4C34AF9F" w14:textId="77777777" w:rsidTr="00BC3913">
        <w:trPr>
          <w:trHeight w:val="810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E0DB2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A437D8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Confirmations from banks for all bank accounts, with explanations if there are differences between bank confirmations and the entity’s own records.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A332CC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84AE4B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6C16025" w14:textId="77777777" w:rsidTr="00BC3913">
        <w:trPr>
          <w:trHeight w:val="55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4245A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575BCF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 of foreign exchange rates at year-end where applicable.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0DEAE7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9D7CC3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439628D" w14:textId="77777777" w:rsidTr="00BC3913">
        <w:trPr>
          <w:trHeight w:val="753"/>
        </w:trPr>
        <w:tc>
          <w:tcPr>
            <w:tcW w:w="15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239269D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Receivables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2F36DB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Schedules of receivables, classified by expected recovery period, including comparisons of opening and closing balances.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FC4F50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1F9B8F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8C2B0D5" w14:textId="77777777" w:rsidTr="00BC3913">
        <w:trPr>
          <w:trHeight w:val="369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86830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B5C97A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Ageing of receivables and the impairment allowance.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A32B6C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69B240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F5CCDA8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06B88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CE1715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 of debt written off and recovered during the year.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FC5610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2284E9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BC3913" w:rsidRPr="0041632B" w14:paraId="222D35F1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64A59BB" w14:textId="77777777" w:rsidR="00BC3913" w:rsidRPr="0041632B" w:rsidRDefault="00BC3913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2D614183" w14:textId="77777777" w:rsidR="00BC3913" w:rsidRPr="0041632B" w:rsidRDefault="00BC3913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lang w:val="en-US"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Evidence of the basis of the impairment review.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071B0B9F" w14:textId="77777777" w:rsidR="00BC3913" w:rsidRPr="0041632B" w:rsidRDefault="00BC3913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33997BC0" w14:textId="77777777" w:rsidR="00BC3913" w:rsidRPr="0041632B" w:rsidRDefault="00BC3913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41632B" w:rsidRPr="0041632B" w14:paraId="7D3D7E72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7B131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B97A667" w14:textId="77777777" w:rsidR="0041632B" w:rsidRPr="0041632B" w:rsidRDefault="00BC3913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lang w:val="en-US" w:eastAsia="en-AU"/>
              </w:rPr>
              <w:t>Reconciliation of accounts receivable sub-ledger to general ledger.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3D7A9D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39B70A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ADD892F" w14:textId="77777777" w:rsidTr="00BC3913">
        <w:trPr>
          <w:trHeight w:val="570"/>
        </w:trPr>
        <w:tc>
          <w:tcPr>
            <w:tcW w:w="150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3B28DC1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Administered investments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98F4D5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 of investments such as term deposits, shares in Commonwealth companies, etc.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997FD2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6D740C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FAB5461" w14:textId="77777777" w:rsidTr="00BC3913">
        <w:trPr>
          <w:trHeight w:val="652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E496F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80086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Reconciliations of investments from general ledger to investment register, including movement schedules.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DCF114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BD619D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93ED665" w14:textId="77777777" w:rsidTr="00BC3913">
        <w:trPr>
          <w:trHeight w:val="31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D0FB7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E4B98C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Examples of documentation are: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53041D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75A962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9B84AD5" w14:textId="77777777" w:rsidTr="00BC3913">
        <w:trPr>
          <w:trHeight w:val="31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B3A91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96A0335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investment ledger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30A092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30D210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41B9AFB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B7F9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FFA456D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policies on accounting for investments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465FC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9D4646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B43209B" w14:textId="77777777" w:rsidTr="00BC3913">
        <w:trPr>
          <w:trHeight w:val="72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155C7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887F294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approval documentation for initial investments, rollovers and redeemed investments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271F2F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88256A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4A09339" w14:textId="77777777" w:rsidTr="00BC3913">
        <w:trPr>
          <w:trHeight w:val="31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46C64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B318840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funds manager reports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645061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108AB4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EE10C13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3CBAE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7DB683F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documentation to prove ownership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73AE61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999085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CFEC512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99307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1E4E694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sale documentation and approvals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56E68B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7B45A7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BE8517F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DB0E7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2C6DDA6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independent confirmations from a third party, and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231EAD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00C1E0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6522A7B" w14:textId="77777777" w:rsidTr="00BC3913">
        <w:trPr>
          <w:trHeight w:val="48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8B715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28910EB" w14:textId="77777777" w:rsidR="0041632B" w:rsidRPr="0041632B" w:rsidRDefault="0041632B" w:rsidP="0041632B">
            <w:pPr>
              <w:pStyle w:val="Bullet1"/>
              <w:rPr>
                <w:sz w:val="18"/>
                <w:lang w:eastAsia="en-AU"/>
              </w:rPr>
            </w:pPr>
            <w:r w:rsidRPr="0041632B">
              <w:rPr>
                <w:sz w:val="18"/>
                <w:lang w:val="en-US" w:eastAsia="en-AU"/>
              </w:rPr>
              <w:t>delegation instruments for investing relevant moneys.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5AE52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D16FF7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3231DC2" w14:textId="77777777" w:rsidTr="00BC3913">
        <w:trPr>
          <w:trHeight w:val="492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69346C6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Inventory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B2F7C5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Analysis and supporting documentation showing basis of valuation.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7C1F60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708AEB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D9B8954" w14:textId="77777777" w:rsidTr="00BC3913">
        <w:trPr>
          <w:trHeight w:val="49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398AA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B89B13E" w14:textId="77777777" w:rsidR="00352309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lang w:val="en-US"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Documentation supporting stocktakes, obsolescence of inventory and work-in-progress.</w:t>
            </w:r>
          </w:p>
          <w:p w14:paraId="0C615950" w14:textId="77777777" w:rsidR="00352309" w:rsidRPr="0041632B" w:rsidRDefault="00352309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DAC17F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E2070F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ED262D0" w14:textId="77777777" w:rsidTr="00BC3913">
        <w:trPr>
          <w:trHeight w:val="591"/>
        </w:trPr>
        <w:tc>
          <w:tcPr>
            <w:tcW w:w="1506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32F0392D" w14:textId="77777777" w:rsidR="0041632B" w:rsidRPr="0041632B" w:rsidRDefault="00352309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Land,</w:t>
            </w:r>
            <w:r w:rsidR="0041632B"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 xml:space="preserve"> buildings and property, plant and equipment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4CE4F2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Movement schedule showing opening balances, additions, disposals, transfers,  depreciation,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9BEB8B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4C258B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409265A" w14:textId="77777777" w:rsidTr="00BC3913">
        <w:trPr>
          <w:trHeight w:val="598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825827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20B7603" w14:textId="77777777" w:rsidR="0041632B" w:rsidRPr="0041632B" w:rsidRDefault="00352309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lang w:val="en-US" w:eastAsia="en-AU"/>
              </w:rPr>
              <w:t>W</w:t>
            </w:r>
            <w:r w:rsidR="0041632B"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rite-offs and closing balances for all asset classes. Documentation to support material transactions.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CBB15F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045E25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3650276" w14:textId="77777777" w:rsidTr="00BC3913">
        <w:trPr>
          <w:trHeight w:val="549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E11497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83C8DB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Final reconciliation of general ledger to assets register. A copy of the assets register by asset category.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6144D8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3EF6E3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21A49F4" w14:textId="77777777" w:rsidTr="00BC3913">
        <w:trPr>
          <w:trHeight w:val="684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51C3CB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751F5C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Copies of stocktake procedures and stocktake report, endorsed by management. Reconciliation of stocktake report to asset register.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E4E76B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32DE0E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0CE7574" w14:textId="77777777" w:rsidTr="00BC3913">
        <w:trPr>
          <w:trHeight w:val="31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593BA0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F558F9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List of write-offs including approvals.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0718E6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7118B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BB42C28" w14:textId="77777777" w:rsidTr="00BC3913">
        <w:trPr>
          <w:trHeight w:val="73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B7CD3D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ED7736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Policies and documentation supporting the asset recognition threshold and depreciation rates and methods.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A73659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80D925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2B5FA54" w14:textId="77777777" w:rsidTr="00BC3913">
        <w:trPr>
          <w:trHeight w:val="31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A0EF3D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AAD5BF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Basis for reassessment of useful lives.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7AD087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42B786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BD17974" w14:textId="77777777" w:rsidTr="00BC3913">
        <w:trPr>
          <w:trHeight w:val="49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A51413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A4050AB" w14:textId="77777777" w:rsidR="0041632B" w:rsidRPr="0041632B" w:rsidRDefault="0041632B" w:rsidP="00BC3913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 xml:space="preserve">Evidence that the entity has reviewed all assets </w:t>
            </w:r>
            <w:r w:rsidR="00BC3913">
              <w:rPr>
                <w:rFonts w:ascii="Arial" w:eastAsia="Times New Roman" w:hAnsi="Arial" w:cs="Arial"/>
                <w:sz w:val="18"/>
                <w:lang w:val="en-US" w:eastAsia="en-AU"/>
              </w:rPr>
              <w:t xml:space="preserve">for </w:t>
            </w: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indicators of impairment.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063A0F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922EC5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E7CA7D9" w14:textId="77777777" w:rsidTr="00BC3913">
        <w:trPr>
          <w:trHeight w:val="594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E2D4BA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ABC30D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Copies of title deeds showing ownership, as well as rights, obligations, or mortgages on the property.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0A9920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453D0C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20A60A4" w14:textId="77777777" w:rsidTr="00BC3913">
        <w:trPr>
          <w:trHeight w:val="546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F4015F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89747F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Most recent valuation reports, where applicable, including basis, date and name and qualifications of valuer.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EAFF6F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FA32D3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4C52810" w14:textId="77777777" w:rsidTr="00BC3913">
        <w:trPr>
          <w:trHeight w:val="486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632A15E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Other assets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096D36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 of the different categories of Other assets. For example, prepayments.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37EAE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D3BA8B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72C2D1D" w14:textId="77777777" w:rsidTr="00BC3913">
        <w:trPr>
          <w:trHeight w:val="320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A9EB9A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6449B8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Supporting details for significant account balances.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10F407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12803F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2199677" w14:textId="77777777" w:rsidTr="00BC3913">
        <w:trPr>
          <w:trHeight w:val="714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64CB6F0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Intangibles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B70246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Movement schedule with supporting documentation showing opening balances, additions, deletions and closing balances.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832809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47B87E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DEB3700" w14:textId="77777777" w:rsidTr="00BC3913">
        <w:trPr>
          <w:trHeight w:val="554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AE1C2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47A3A7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 schedule of all intangibles and accumulated amortisation.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020BEB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3415F2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DC95A64" w14:textId="77777777" w:rsidTr="00BC3913">
        <w:trPr>
          <w:trHeight w:val="656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A9D5E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7F4BF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Policies and supporting rationale on capitalisation, carrying values, and amortisation of intangibles.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F922F2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627BEA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9ED1863" w14:textId="77777777" w:rsidTr="00BC3913">
        <w:trPr>
          <w:trHeight w:val="823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9D8CB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72D036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Evidence that the entity has reviewed all intangible assets for indicators of impairment and assessed the recoverable amounts for relevant intangible assets.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4E870F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44298D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308BF78" w14:textId="77777777" w:rsidTr="00BC3913">
        <w:trPr>
          <w:trHeight w:val="1059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77CD69F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Leases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E6777C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Leasing details, especially new leases and leases terminated. Details of payment schedule, rent reviews, lease terms, lease incentives, make-good provisions, sub-leases, operating or finance lease.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26A228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CBB286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28AC189" w14:textId="77777777" w:rsidTr="00BC3913">
        <w:trPr>
          <w:trHeight w:val="31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A6523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4AC9F9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Copies of lease agreements.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D72F94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ED23D6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4F276DD" w14:textId="77777777" w:rsidTr="00BC3913">
        <w:trPr>
          <w:trHeight w:val="480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2F56D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3229D0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Information on finance lease commitments and maturity profile.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1EE7D6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54E392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F7026DC" w14:textId="77777777" w:rsidTr="00BC3913">
        <w:trPr>
          <w:trHeight w:val="418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C6C7E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8EF33D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Details of classification into current and non-current lease liabilities.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BA5B4C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F14E3B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80105EE" w14:textId="77777777" w:rsidTr="00BC3913">
        <w:trPr>
          <w:trHeight w:val="555"/>
        </w:trPr>
        <w:tc>
          <w:tcPr>
            <w:tcW w:w="1506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3C8FC82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Payables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2FE27F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Reconciliation of supplier ledgers to trial balance and ageing schedule.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B4FA6C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9BE63A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4BB33F3E" w14:textId="77777777" w:rsidTr="00BC3913">
        <w:trPr>
          <w:trHeight w:val="830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A4D719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80CCBD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Supporting documentation for significant account balances; for example, current suppliers, sundry suppliers, unearned revenue and clearing accounts.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DF499D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BBFE4A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47E84EE" w14:textId="77777777" w:rsidTr="00BC3913">
        <w:trPr>
          <w:trHeight w:val="495"/>
        </w:trPr>
        <w:tc>
          <w:tcPr>
            <w:tcW w:w="150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68E1B4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4B9EA0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Policies and supporting rationale on the level of threshold and cut-off for accruing expenses.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B5504C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7A65E5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4C5215D" w14:textId="77777777" w:rsidTr="00BC3913">
        <w:trPr>
          <w:trHeight w:val="1022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04BE56F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Provision for employee entitlements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ACD3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Reconciliations and supporting details for material items such as provisions for annual leave, long service leave, superannuation, performance pay, redundancy and accrued salary, wages and benefits.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03EC8F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3B152E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4B895AB7" w14:textId="77777777" w:rsidTr="00BC3913">
        <w:trPr>
          <w:trHeight w:val="49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99D92E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D1A530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Policies including formula and factors used in the calculation of entitlements.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5F037F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B9EF0D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F2B0823" w14:textId="77777777" w:rsidTr="00BC3913">
        <w:trPr>
          <w:trHeight w:val="49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F6A01C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0D2632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Details of classification into current and non-current provisions.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2332D7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0649EB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822BFFC" w14:textId="77777777" w:rsidTr="00BC3913">
        <w:trPr>
          <w:trHeight w:val="73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0E3FF3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C25B9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Actuarial assessment of provision for long service leave entitlements. Information on the use of shorthand method.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C40605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CBC8AB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6EC8974" w14:textId="77777777" w:rsidTr="00BC3913">
        <w:trPr>
          <w:trHeight w:val="660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82C0C2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CDAF35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Information on the bond rate used for discounting the liabilities to present values and probability factors used in discounting long service leave.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6B5E27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ABCC55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322B3A7" w14:textId="77777777" w:rsidTr="00BC3913">
        <w:trPr>
          <w:trHeight w:val="519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4B620CF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Loans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B985A2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Movement schedules showing opening balances, new debts, repayments and closing balances.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EC7CF7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26E78F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57AD18D" w14:textId="77777777" w:rsidTr="00BC3913">
        <w:trPr>
          <w:trHeight w:val="459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53026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C90407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Copies of contracts and financing arrangements, including updated maturity schedule.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50642F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C44C65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47C7E1C2" w14:textId="77777777" w:rsidTr="00BC3913">
        <w:trPr>
          <w:trHeight w:val="975"/>
        </w:trPr>
        <w:tc>
          <w:tcPr>
            <w:tcW w:w="15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43C5DA0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Other payables, liabilities and provisions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84AF7A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Schedules and supporting documentation of different categories of liabilities and provisions. For example, overdrafts, taxation payable and provision for restoration obligations.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F0C37E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2C8ADF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AAEA775" w14:textId="77777777" w:rsidTr="00BC3913">
        <w:trPr>
          <w:trHeight w:val="495"/>
        </w:trPr>
        <w:tc>
          <w:tcPr>
            <w:tcW w:w="15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2CAC5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Equity and reserves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EDB54E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 Statement of Changes in Equity—supporting explanation for movements from prior year.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55D61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B035A5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1C1CCC66" w14:textId="77777777" w:rsidTr="00BC3913">
        <w:trPr>
          <w:trHeight w:val="405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095B0F2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Appropriations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560B78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Appropriation notes with supporting documentation.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A6DEC5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610C33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8E3440E" w14:textId="77777777" w:rsidTr="00BC3913">
        <w:trPr>
          <w:trHeight w:val="628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7DA353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938D98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Appropriation reconciliations—reconciliations of the general ledger to Finance’s appropriation system and bank statements.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4FEA3C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7DDF3E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3DED91C" w14:textId="77777777" w:rsidTr="00BC3913">
        <w:trPr>
          <w:trHeight w:val="258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1B6A41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6C168A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Analysis of appropriation receivables.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4D9DE1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52ABE9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B343765" w14:textId="77777777" w:rsidTr="00BC3913">
        <w:trPr>
          <w:trHeight w:val="480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73BE5B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FE9199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Confirmation of any amounts outstanding at balance date.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C887E5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B63B56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F6D4D18" w14:textId="77777777" w:rsidTr="00BC3913">
        <w:trPr>
          <w:trHeight w:val="97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D3DEFE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C28BB4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Examples of supporting documentation are any Appropriation Act adjustments, Acts enabling special appropriations and section 75 documentation or alternative authorisations.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1A51DC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6755C9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79D7997" w14:textId="77777777" w:rsidTr="00BC3913">
        <w:trPr>
          <w:trHeight w:val="492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0F33557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Administered grant expenses and payables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6224C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Data files from the grants management system and related databases.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3298D6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C22A19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136011F" w14:textId="77777777" w:rsidTr="00BC3913">
        <w:trPr>
          <w:trHeight w:val="49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F4E72F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F9E4BA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Returns and certifications from entities that expend grant moneys as an agent of the entity.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6C8DCD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2CC431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742A1EA" w14:textId="77777777" w:rsidTr="00BC3913">
        <w:trPr>
          <w:trHeight w:val="716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FD5FE9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F93FEA2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 xml:space="preserve">Reviews performed on grant expenses to ensure compliance with sections 83 and 51 of the </w:t>
            </w:r>
            <w:r w:rsidRPr="0041632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 w:eastAsia="en-AU"/>
              </w:rPr>
              <w:t xml:space="preserve">Constitution </w:t>
            </w:r>
            <w:r w:rsidRPr="004163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AU"/>
              </w:rPr>
              <w:t>and supporting documentation for the reviews.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B9C4D4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64DF1D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A74EABB" w14:textId="77777777" w:rsidTr="00BC3913">
        <w:trPr>
          <w:trHeight w:val="73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24A507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7FDE9D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Monthly reconciliations between grants management system and FMIS and supporting documentation for reconciling items.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3013D5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19C0B9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8EC7C46" w14:textId="77777777" w:rsidTr="00BC3913">
        <w:trPr>
          <w:trHeight w:val="359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25DEA1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7EA57B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Supporting documentation for grant payables.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433B56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EC3645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62F5373" w14:textId="77777777" w:rsidTr="00BC3913">
        <w:trPr>
          <w:trHeight w:val="684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368653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6FFDC61" w14:textId="77777777" w:rsid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lang w:val="en-US"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Policies and supporting rationale for the recognition, measurement and disclosure of grant expenses and payables.</w:t>
            </w:r>
          </w:p>
          <w:p w14:paraId="40B63035" w14:textId="77777777" w:rsidR="00352309" w:rsidRPr="0041632B" w:rsidRDefault="00352309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864393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7F3FCA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46D3EF4" w14:textId="77777777" w:rsidTr="00BC3913">
        <w:trPr>
          <w:trHeight w:val="553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70A14DFF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Restructuring note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773A2D10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Details of assets, liabilities, income and expenses recognised for functions assumed.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DDFC1B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C17498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3886261F" w14:textId="77777777" w:rsidTr="00BC3913">
        <w:trPr>
          <w:trHeight w:val="547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E14C7D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E44767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Details of assets and liabilities relinquished for functions transferred to other entities.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380FBB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645381A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064EDF11" w14:textId="77777777" w:rsidTr="00BC3913">
        <w:trPr>
          <w:trHeight w:val="916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D71439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D3AA08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Schedules and supporting documentation includes sign-off and/or certification by receiving/ losing entities, memoranda of understanding</w:t>
            </w:r>
            <w:r w:rsidR="00A400A8">
              <w:rPr>
                <w:rFonts w:ascii="Arial" w:eastAsia="Times New Roman" w:hAnsi="Arial" w:cs="Arial"/>
                <w:sz w:val="18"/>
                <w:lang w:val="en-US" w:eastAsia="en-AU"/>
              </w:rPr>
              <w:t xml:space="preserve"> </w:t>
            </w:r>
            <w:r w:rsidR="00A400A8" w:rsidRPr="00A400A8">
              <w:rPr>
                <w:rFonts w:ascii="Arial" w:eastAsia="Times New Roman" w:hAnsi="Arial" w:cs="Arial"/>
                <w:sz w:val="18"/>
                <w:lang w:val="en-US" w:eastAsia="en-AU"/>
              </w:rPr>
              <w:t>and results of due diligence review performed on records received.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D2DC02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F32435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27CBF9FF" w14:textId="77777777" w:rsidTr="00BC3913">
        <w:trPr>
          <w:trHeight w:val="537"/>
        </w:trPr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  <w:hideMark/>
          </w:tcPr>
          <w:p w14:paraId="1AD03CF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Others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1BF5C2B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A schedule of resources provided free of charge, detailing their nature and amount or value.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53FBD4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94E3173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518E5416" w14:textId="77777777" w:rsidTr="00BC3913">
        <w:trPr>
          <w:trHeight w:val="646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4270B8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AEB2ED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Details of cost recovery arrangements and accounting treatment for the over and under recoveries.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B6FD7F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CBC5ED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DC3B18E" w14:textId="77777777" w:rsidTr="00BC3913">
        <w:trPr>
          <w:trHeight w:val="31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3CB9DD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20B34661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Schedule of all contingent liabilities and assets.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89FAAB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40650027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4F37A76B" w14:textId="77777777" w:rsidTr="00BC3913">
        <w:trPr>
          <w:trHeight w:val="349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7F892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2BE4F1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Details of joint ventures and their accounting treatments.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9ED646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332641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67DB1D9E" w14:textId="77777777" w:rsidTr="00BC3913">
        <w:trPr>
          <w:trHeight w:val="975"/>
        </w:trPr>
        <w:tc>
          <w:tcPr>
            <w:tcW w:w="150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1E898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F8E5809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Consolidation worksheets for the Statement of Comprehensive Income, Statement of Financial Position, Cash Flow Statement and the Statement of Changes in Equity.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32D404E5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ACCA4C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41632B" w:rsidRPr="0041632B" w14:paraId="7F6ADBEB" w14:textId="77777777" w:rsidTr="00BC3913">
        <w:trPr>
          <w:trHeight w:val="720"/>
        </w:trPr>
        <w:tc>
          <w:tcPr>
            <w:tcW w:w="150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C0C2BBC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Minutes</w:t>
            </w:r>
          </w:p>
        </w:tc>
        <w:tc>
          <w:tcPr>
            <w:tcW w:w="48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9F6B65E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lang w:val="en-US" w:eastAsia="en-AU"/>
              </w:rPr>
              <w:t>Minutes of Executive Board and Audit Committee meetings held since last audit.</w:t>
            </w:r>
          </w:p>
        </w:tc>
        <w:tc>
          <w:tcPr>
            <w:tcW w:w="158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68BF23A4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07C72F36" w14:textId="77777777" w:rsidR="0041632B" w:rsidRPr="0041632B" w:rsidRDefault="0041632B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1632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4183B424" w14:textId="77777777" w:rsidR="00472799" w:rsidRDefault="00472799" w:rsidP="00A400A8">
      <w:pPr>
        <w:pStyle w:val="NormalIndented"/>
      </w:pPr>
    </w:p>
    <w:sectPr w:rsidR="00472799" w:rsidSect="003D6E64">
      <w:headerReference w:type="default" r:id="rId13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899C" w14:textId="77777777" w:rsidR="00675E45" w:rsidRDefault="00675E45" w:rsidP="00EF4574">
      <w:pPr>
        <w:spacing w:before="0" w:after="0" w:line="240" w:lineRule="auto"/>
      </w:pPr>
      <w:r>
        <w:separator/>
      </w:r>
    </w:p>
  </w:endnote>
  <w:endnote w:type="continuationSeparator" w:id="0">
    <w:p w14:paraId="3E17DB2C" w14:textId="77777777" w:rsidR="00675E45" w:rsidRDefault="00675E45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D7982" w14:textId="77777777" w:rsidR="00675E45" w:rsidRDefault="00675E45" w:rsidP="0020122A">
      <w:pPr>
        <w:pStyle w:val="FootnoteSeparator"/>
      </w:pPr>
    </w:p>
  </w:footnote>
  <w:footnote w:type="continuationSeparator" w:id="0">
    <w:p w14:paraId="128B698A" w14:textId="77777777" w:rsidR="00675E45" w:rsidRDefault="00675E45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D4C7B" w14:textId="77777777" w:rsidR="00675E45" w:rsidRPr="0090743D" w:rsidRDefault="00675E45" w:rsidP="00E66A6D">
    <w:pPr>
      <w:pStyle w:val="Header"/>
      <w:rPr>
        <w:szCs w:val="14"/>
      </w:rPr>
    </w:pPr>
    <w:r>
      <w:tab/>
    </w:r>
    <w:r>
      <w:tab/>
    </w:r>
    <w:r w:rsidRPr="0090743D">
      <w:rPr>
        <w:szCs w:val="14"/>
      </w:rPr>
      <w:t>Department of Finance</w:t>
    </w:r>
    <w:r w:rsidRPr="0090743D">
      <w:rPr>
        <w:szCs w:val="14"/>
      </w:rPr>
      <w:tab/>
    </w:r>
    <w:r w:rsidRPr="0090743D">
      <w:rPr>
        <w:szCs w:val="14"/>
      </w:rPr>
      <w:tab/>
      <w:t xml:space="preserve">Financial Statements Better Practice Guide </w:t>
    </w:r>
  </w:p>
  <w:p w14:paraId="2A6BED24" w14:textId="77777777" w:rsidR="00675E45" w:rsidRDefault="00675E45" w:rsidP="00E66A6D">
    <w:pPr>
      <w:pStyle w:val="Header"/>
    </w:pPr>
    <w:r w:rsidRPr="0090743D">
      <w:rPr>
        <w:szCs w:val="14"/>
      </w:rPr>
      <w:tab/>
    </w:r>
    <w:r w:rsidRPr="0090743D">
      <w:rPr>
        <w:szCs w:val="14"/>
      </w:rPr>
      <w:tab/>
    </w:r>
    <w:r w:rsidRPr="00E66A6D">
      <w:rPr>
        <w:szCs w:val="14"/>
      </w:rPr>
      <w:t>Example: Requirements for supporting documentation</w:t>
    </w:r>
  </w:p>
  <w:p w14:paraId="09754B7C" w14:textId="77777777" w:rsidR="00675E45" w:rsidRDefault="0067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282518C"/>
    <w:multiLevelType w:val="hybridMultilevel"/>
    <w:tmpl w:val="C0C874DE"/>
    <w:lvl w:ilvl="0" w:tplc="8594F0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0A09"/>
    <w:multiLevelType w:val="hybridMultilevel"/>
    <w:tmpl w:val="7AD24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C401D"/>
    <w:multiLevelType w:val="hybridMultilevel"/>
    <w:tmpl w:val="B5A40AE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6D8845EA"/>
    <w:multiLevelType w:val="hybridMultilevel"/>
    <w:tmpl w:val="D3980F32"/>
    <w:lvl w:ilvl="0" w:tplc="0C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0F57C3"/>
    <w:multiLevelType w:val="hybridMultilevel"/>
    <w:tmpl w:val="372ACE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6"/>
  </w:num>
  <w:num w:numId="35">
    <w:abstractNumId w:val="19"/>
  </w:num>
  <w:num w:numId="36">
    <w:abstractNumId w:val="14"/>
  </w:num>
  <w:num w:numId="37">
    <w:abstractNumId w:val="13"/>
  </w:num>
  <w:num w:numId="38">
    <w:abstractNumId w:val="20"/>
  </w:num>
  <w:num w:numId="39">
    <w:abstractNumId w:val="19"/>
  </w:num>
  <w:num w:numId="40">
    <w:abstractNumId w:val="19"/>
  </w:num>
  <w:num w:numId="41">
    <w:abstractNumId w:val="1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915DD"/>
    <w:rsid w:val="000A4B30"/>
    <w:rsid w:val="000A6A8B"/>
    <w:rsid w:val="000C2A48"/>
    <w:rsid w:val="000D60B1"/>
    <w:rsid w:val="001541EA"/>
    <w:rsid w:val="001612A4"/>
    <w:rsid w:val="001973D5"/>
    <w:rsid w:val="001E1DC0"/>
    <w:rsid w:val="0020122A"/>
    <w:rsid w:val="0028602A"/>
    <w:rsid w:val="00301144"/>
    <w:rsid w:val="003148B7"/>
    <w:rsid w:val="003158C3"/>
    <w:rsid w:val="003273BE"/>
    <w:rsid w:val="003274CD"/>
    <w:rsid w:val="0035119D"/>
    <w:rsid w:val="00352309"/>
    <w:rsid w:val="00352920"/>
    <w:rsid w:val="00394A42"/>
    <w:rsid w:val="0039715A"/>
    <w:rsid w:val="003B4F12"/>
    <w:rsid w:val="003D6E64"/>
    <w:rsid w:val="003F14A6"/>
    <w:rsid w:val="0041632B"/>
    <w:rsid w:val="00423F31"/>
    <w:rsid w:val="00431899"/>
    <w:rsid w:val="00472799"/>
    <w:rsid w:val="00486804"/>
    <w:rsid w:val="004B3775"/>
    <w:rsid w:val="004E058F"/>
    <w:rsid w:val="004E3B87"/>
    <w:rsid w:val="00510921"/>
    <w:rsid w:val="00510AD3"/>
    <w:rsid w:val="00513348"/>
    <w:rsid w:val="00533B5D"/>
    <w:rsid w:val="00541FBA"/>
    <w:rsid w:val="005506BA"/>
    <w:rsid w:val="005970EA"/>
    <w:rsid w:val="005A6C78"/>
    <w:rsid w:val="005C37F0"/>
    <w:rsid w:val="005E45E3"/>
    <w:rsid w:val="00623BA1"/>
    <w:rsid w:val="006346BC"/>
    <w:rsid w:val="0066652A"/>
    <w:rsid w:val="00675E45"/>
    <w:rsid w:val="0068028B"/>
    <w:rsid w:val="00682167"/>
    <w:rsid w:val="006B209A"/>
    <w:rsid w:val="006C42AF"/>
    <w:rsid w:val="006C4DD1"/>
    <w:rsid w:val="00711D8E"/>
    <w:rsid w:val="00712672"/>
    <w:rsid w:val="00734E3F"/>
    <w:rsid w:val="00736985"/>
    <w:rsid w:val="00755721"/>
    <w:rsid w:val="007B6200"/>
    <w:rsid w:val="007C5C57"/>
    <w:rsid w:val="007D134E"/>
    <w:rsid w:val="007E38E8"/>
    <w:rsid w:val="00801B9F"/>
    <w:rsid w:val="00802117"/>
    <w:rsid w:val="00880B3F"/>
    <w:rsid w:val="009222BC"/>
    <w:rsid w:val="009A41A1"/>
    <w:rsid w:val="009B4D3B"/>
    <w:rsid w:val="009B53C8"/>
    <w:rsid w:val="009B5E3F"/>
    <w:rsid w:val="009D7407"/>
    <w:rsid w:val="009E0866"/>
    <w:rsid w:val="00A24A62"/>
    <w:rsid w:val="00A31C9F"/>
    <w:rsid w:val="00A400A8"/>
    <w:rsid w:val="00A76378"/>
    <w:rsid w:val="00AC164A"/>
    <w:rsid w:val="00AF2050"/>
    <w:rsid w:val="00B00E2A"/>
    <w:rsid w:val="00B44792"/>
    <w:rsid w:val="00B72587"/>
    <w:rsid w:val="00BB26C5"/>
    <w:rsid w:val="00BC0F11"/>
    <w:rsid w:val="00BC3913"/>
    <w:rsid w:val="00BF4DE6"/>
    <w:rsid w:val="00C041C9"/>
    <w:rsid w:val="00C42CDE"/>
    <w:rsid w:val="00C7334F"/>
    <w:rsid w:val="00C86E06"/>
    <w:rsid w:val="00CA37B1"/>
    <w:rsid w:val="00CB1959"/>
    <w:rsid w:val="00CB32DB"/>
    <w:rsid w:val="00D0296C"/>
    <w:rsid w:val="00D10C29"/>
    <w:rsid w:val="00D76E1A"/>
    <w:rsid w:val="00DB35A3"/>
    <w:rsid w:val="00DB6D69"/>
    <w:rsid w:val="00DC430B"/>
    <w:rsid w:val="00E24DAC"/>
    <w:rsid w:val="00E25FBA"/>
    <w:rsid w:val="00E357B7"/>
    <w:rsid w:val="00E53800"/>
    <w:rsid w:val="00E6081F"/>
    <w:rsid w:val="00E66A6D"/>
    <w:rsid w:val="00EA04B2"/>
    <w:rsid w:val="00EA20F3"/>
    <w:rsid w:val="00ED43D1"/>
    <w:rsid w:val="00EE4EE1"/>
    <w:rsid w:val="00EF4574"/>
    <w:rsid w:val="00F0219E"/>
    <w:rsid w:val="00F2684E"/>
    <w:rsid w:val="00F33736"/>
    <w:rsid w:val="00F6235B"/>
    <w:rsid w:val="00F729EF"/>
    <w:rsid w:val="00F77CAE"/>
    <w:rsid w:val="00F96BB9"/>
    <w:rsid w:val="00FB6354"/>
    <w:rsid w:val="00FD7F41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F9EC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ListParagraph">
    <w:name w:val="List Paragraph"/>
    <w:basedOn w:val="Normal"/>
    <w:uiPriority w:val="34"/>
    <w:qFormat/>
    <w:rsid w:val="00755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FIN33506-77069739-39642</_dlc_DocId>
    <_dlc_DocIdUrl xmlns="fdd6b31f-a027-425f-adfa-a4194e98dae2">
      <Url>https://f1.prdmgd.finance.gov.au/sites/50033506/_layouts/15/DocIdRedir.aspx?ID=FIN33506-77069739-39642</Url>
      <Description>FIN33506-77069739-39642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67DB-A13D-4C0E-ACB2-FF1B36E15B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FA0EF8-E9D7-4BBA-9A64-AAB3EEA05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7F406-E37A-4A49-A65A-3D9A750D46D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E3BBD2-EE9F-43BC-A285-1572566D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7CA20A-9E94-4574-AF5A-306146C764D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1CFCF46-9989-4357-9423-93F0B747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Example: Requirements for supporting documentation</dc:title>
  <dc:subject/>
  <dc:creator/>
  <cp:keywords/>
  <dc:description/>
  <cp:lastModifiedBy/>
  <cp:revision>1</cp:revision>
  <dcterms:created xsi:type="dcterms:W3CDTF">2022-02-04T04:47:00Z</dcterms:created>
  <dcterms:modified xsi:type="dcterms:W3CDTF">2022-03-31T02:52:00Z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8c59bb85-53b8-4984-8a53-d0fb4ff02c9c</vt:lpwstr>
  </property>
</Properties>
</file>