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B3C35" w14:textId="02E62D68" w:rsidR="00472799" w:rsidRPr="00FB6354" w:rsidRDefault="007F68D2" w:rsidP="00D10C29">
      <w:pPr>
        <w:pStyle w:val="NormalIndented"/>
        <w:ind w:left="0"/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40"/>
        </w:rPr>
      </w:pPr>
      <w:bookmarkStart w:id="0" w:name="_GoBack"/>
      <w:r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40"/>
        </w:rPr>
        <w:t>Checklist</w:t>
      </w:r>
      <w:r w:rsidR="00D10C29" w:rsidRPr="00FB6354"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40"/>
        </w:rPr>
        <w:t xml:space="preserve">: </w:t>
      </w:r>
      <w:r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40"/>
        </w:rPr>
        <w:t>Preparation and use of reporting packs</w:t>
      </w:r>
    </w:p>
    <w:bookmarkEnd w:id="0"/>
    <w:p w14:paraId="0A11A6E8" w14:textId="77777777" w:rsidR="00472799" w:rsidRPr="00FB6354" w:rsidRDefault="00472799" w:rsidP="00472799">
      <w:pPr>
        <w:pStyle w:val="Boxed2Heading"/>
        <w:rPr>
          <w:b w:val="0"/>
          <w:sz w:val="30"/>
          <w:szCs w:val="30"/>
        </w:rPr>
      </w:pPr>
      <w:r w:rsidRPr="00FB6354">
        <w:rPr>
          <w:b w:val="0"/>
          <w:sz w:val="30"/>
          <w:szCs w:val="30"/>
        </w:rPr>
        <w:t>Foreword</w:t>
      </w:r>
    </w:p>
    <w:p w14:paraId="623CCA1A" w14:textId="77777777" w:rsidR="00352309" w:rsidRDefault="0041632B" w:rsidP="0041632B">
      <w:pPr>
        <w:pStyle w:val="Boxed2Text"/>
      </w:pPr>
      <w:r>
        <w:t xml:space="preserve">The financial statements are based on accounts and records. There should be a clear management trail of supporting evidence indicating how each item in the financial statements is derived and/or substantiated. </w:t>
      </w:r>
    </w:p>
    <w:p w14:paraId="6BC63512" w14:textId="23ECFC95" w:rsidR="007F68D2" w:rsidRDefault="007F68D2" w:rsidP="007F68D2">
      <w:pPr>
        <w:pStyle w:val="Boxed2Text"/>
      </w:pPr>
      <w:r>
        <w:t>Reporting packs are often used to manual</w:t>
      </w:r>
      <w:r w:rsidR="004E2059">
        <w:t>l</w:t>
      </w:r>
      <w:r>
        <w:t xml:space="preserve">y collect information which may not be available from the entity’s FMIS. They may be prepared for a range of purposes and will generally provide background information, definitions, accounting treatment, reporting requirements and instructions or steps necessary to complete the return. </w:t>
      </w:r>
    </w:p>
    <w:p w14:paraId="273E09DB" w14:textId="243B0D14" w:rsidR="00B72587" w:rsidRDefault="007F68D2" w:rsidP="007F68D2">
      <w:pPr>
        <w:pStyle w:val="Boxed2Text"/>
      </w:pPr>
      <w:r>
        <w:t>The following table provides guidance on the instructions that may be contained in reporting packs.</w:t>
      </w:r>
    </w:p>
    <w:p w14:paraId="120CD427" w14:textId="77777777" w:rsidR="00B72587" w:rsidRDefault="00B72587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bCs/>
          <w:color w:val="1C1C1C" w:themeColor="text2"/>
          <w:sz w:val="40"/>
          <w:szCs w:val="28"/>
        </w:rPr>
      </w:pPr>
      <w:r>
        <w:br w:type="page"/>
      </w:r>
    </w:p>
    <w:p w14:paraId="11339B7C" w14:textId="77777777" w:rsidR="0041632B" w:rsidRDefault="00B72587" w:rsidP="00B72587">
      <w:pPr>
        <w:pStyle w:val="Heading1"/>
      </w:pPr>
      <w:r w:rsidRPr="00B72587">
        <w:t>Requirements for supporting documentation</w:t>
      </w:r>
    </w:p>
    <w:tbl>
      <w:tblPr>
        <w:tblW w:w="5000" w:type="pct"/>
        <w:tblLook w:val="0480" w:firstRow="0" w:lastRow="0" w:firstColumn="1" w:lastColumn="0" w:noHBand="0" w:noVBand="1"/>
        <w:tblCaption w:val="Requirements for supporting documentation"/>
        <w:tblDescription w:val="This table outlines the types of supporting evidence required for selected financial statement items. "/>
      </w:tblPr>
      <w:tblGrid>
        <w:gridCol w:w="2694"/>
        <w:gridCol w:w="6376"/>
      </w:tblGrid>
      <w:tr w:rsidR="007F68D2" w:rsidRPr="0041632B" w14:paraId="5DD867FA" w14:textId="77777777" w:rsidTr="007F68D2">
        <w:trPr>
          <w:trHeight w:val="315"/>
          <w:tblHeader/>
        </w:trPr>
        <w:tc>
          <w:tcPr>
            <w:tcW w:w="1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noWrap/>
            <w:hideMark/>
          </w:tcPr>
          <w:p w14:paraId="03E0AA2F" w14:textId="526B0563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color w:val="FFFFFF"/>
                <w:w w:val="105"/>
                <w:sz w:val="20"/>
                <w:lang w:val="en-US" w:eastAsia="en-AU"/>
              </w:rPr>
              <w:t>Item</w:t>
            </w:r>
          </w:p>
        </w:tc>
        <w:tc>
          <w:tcPr>
            <w:tcW w:w="35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noWrap/>
            <w:hideMark/>
          </w:tcPr>
          <w:p w14:paraId="5CED8126" w14:textId="77777777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1632B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Supporting documentation</w:t>
            </w:r>
          </w:p>
        </w:tc>
      </w:tr>
      <w:tr w:rsidR="007F68D2" w:rsidRPr="0041632B" w14:paraId="4ACBC37B" w14:textId="77777777" w:rsidTr="007F68D2">
        <w:trPr>
          <w:trHeight w:val="315"/>
        </w:trPr>
        <w:tc>
          <w:tcPr>
            <w:tcW w:w="1485" w:type="pct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</w:tcPr>
          <w:p w14:paraId="5219B7C3" w14:textId="1F9572D2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F68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Information, returns and/or action required</w:t>
            </w:r>
          </w:p>
        </w:tc>
        <w:tc>
          <w:tcPr>
            <w:tcW w:w="351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3FAB9ACB" w14:textId="1B25BB6E" w:rsidR="007F68D2" w:rsidRPr="007F68D2" w:rsidRDefault="007F68D2" w:rsidP="007F68D2">
            <w:pPr>
              <w:pStyle w:val="Bullet1"/>
              <w:rPr>
                <w:sz w:val="18"/>
                <w:lang w:eastAsia="en-AU"/>
              </w:rPr>
            </w:pPr>
            <w:r>
              <w:rPr>
                <w:sz w:val="18"/>
                <w:lang w:eastAsia="en-AU"/>
              </w:rPr>
              <w:t>a</w:t>
            </w:r>
            <w:r w:rsidRPr="007F68D2">
              <w:rPr>
                <w:sz w:val="18"/>
                <w:lang w:eastAsia="en-AU"/>
              </w:rPr>
              <w:t xml:space="preserve"> clear explanation about the information required and how it is to be completed</w:t>
            </w:r>
          </w:p>
        </w:tc>
      </w:tr>
      <w:tr w:rsidR="007F68D2" w:rsidRPr="0041632B" w14:paraId="5EBB2427" w14:textId="77777777" w:rsidTr="007F68D2">
        <w:trPr>
          <w:trHeight w:val="315"/>
        </w:trPr>
        <w:tc>
          <w:tcPr>
            <w:tcW w:w="1485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</w:tcPr>
          <w:p w14:paraId="1735D43F" w14:textId="77777777" w:rsidR="007F68D2" w:rsidRPr="007F68D2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1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071C2B70" w14:textId="27D63657" w:rsidR="007F68D2" w:rsidRPr="007F68D2" w:rsidRDefault="007F68D2" w:rsidP="007F68D2">
            <w:pPr>
              <w:pStyle w:val="Bullet1"/>
              <w:rPr>
                <w:sz w:val="18"/>
                <w:lang w:eastAsia="en-AU"/>
              </w:rPr>
            </w:pPr>
            <w:r w:rsidRPr="007F68D2">
              <w:rPr>
                <w:sz w:val="18"/>
                <w:lang w:eastAsia="en-AU"/>
              </w:rPr>
              <w:t>instructions for areas to prepare consolidated information from multiple business areas</w:t>
            </w:r>
          </w:p>
        </w:tc>
      </w:tr>
      <w:tr w:rsidR="007F68D2" w:rsidRPr="0041632B" w14:paraId="3A199CD8" w14:textId="77777777" w:rsidTr="007F68D2">
        <w:trPr>
          <w:trHeight w:val="495"/>
        </w:trPr>
        <w:tc>
          <w:tcPr>
            <w:tcW w:w="1485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14:paraId="06173568" w14:textId="77777777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1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43688397" w14:textId="5195A43C" w:rsidR="007F68D2" w:rsidRPr="007F68D2" w:rsidRDefault="007F68D2" w:rsidP="007F68D2">
            <w:pPr>
              <w:pStyle w:val="Bullet1"/>
              <w:rPr>
                <w:sz w:val="18"/>
                <w:lang w:eastAsia="en-AU"/>
              </w:rPr>
            </w:pPr>
            <w:r w:rsidRPr="007F68D2">
              <w:rPr>
                <w:sz w:val="18"/>
                <w:lang w:eastAsia="en-AU"/>
              </w:rPr>
              <w:t>if a ‘nil’ response is required (where there are no transactions).</w:t>
            </w:r>
          </w:p>
        </w:tc>
      </w:tr>
      <w:tr w:rsidR="007F68D2" w:rsidRPr="0041632B" w14:paraId="1E1783EE" w14:textId="77777777" w:rsidTr="007F68D2">
        <w:trPr>
          <w:trHeight w:val="501"/>
        </w:trPr>
        <w:tc>
          <w:tcPr>
            <w:tcW w:w="148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</w:tcPr>
          <w:p w14:paraId="03A2DCBE" w14:textId="2CB897AD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F68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Stakeholder responsibilities</w:t>
            </w:r>
          </w:p>
        </w:tc>
        <w:tc>
          <w:tcPr>
            <w:tcW w:w="351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19FB2970" w14:textId="70047856" w:rsidR="007F68D2" w:rsidRPr="007F68D2" w:rsidRDefault="007F68D2" w:rsidP="007F68D2">
            <w:pPr>
              <w:pStyle w:val="Bullet1"/>
              <w:rPr>
                <w:sz w:val="18"/>
                <w:lang w:eastAsia="en-AU"/>
              </w:rPr>
            </w:pPr>
            <w:r w:rsidRPr="007F68D2">
              <w:rPr>
                <w:sz w:val="18"/>
                <w:lang w:eastAsia="en-AU"/>
              </w:rPr>
              <w:t>responsibilities of both the business areas and the finance team</w:t>
            </w:r>
          </w:p>
        </w:tc>
      </w:tr>
      <w:tr w:rsidR="007F68D2" w:rsidRPr="0041632B" w14:paraId="054EFF9E" w14:textId="77777777" w:rsidTr="007F68D2">
        <w:trPr>
          <w:trHeight w:val="555"/>
        </w:trPr>
        <w:tc>
          <w:tcPr>
            <w:tcW w:w="148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5FD7A9D3" w14:textId="77777777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1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6F9ADDCA" w14:textId="088CA56F" w:rsidR="007F68D2" w:rsidRPr="007F68D2" w:rsidRDefault="007F68D2" w:rsidP="007F68D2">
            <w:pPr>
              <w:pStyle w:val="Bullet1"/>
              <w:rPr>
                <w:sz w:val="18"/>
                <w:lang w:eastAsia="en-AU"/>
              </w:rPr>
            </w:pPr>
            <w:r w:rsidRPr="007F68D2">
              <w:rPr>
                <w:sz w:val="18"/>
                <w:lang w:eastAsia="en-AU"/>
              </w:rPr>
              <w:t>requirements for certifying that the information requested in the pack has been correctly prepared and is complete.</w:t>
            </w:r>
          </w:p>
        </w:tc>
      </w:tr>
      <w:tr w:rsidR="007F68D2" w:rsidRPr="0041632B" w14:paraId="63BD782A" w14:textId="77777777" w:rsidTr="007F68D2">
        <w:trPr>
          <w:trHeight w:val="753"/>
        </w:trPr>
        <w:tc>
          <w:tcPr>
            <w:tcW w:w="1485" w:type="pct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</w:tcPr>
          <w:p w14:paraId="42B105D3" w14:textId="4995DB60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Record keeping requirements</w:t>
            </w:r>
          </w:p>
        </w:tc>
        <w:tc>
          <w:tcPr>
            <w:tcW w:w="351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1C3936B0" w14:textId="20E83EED" w:rsidR="007F68D2" w:rsidRPr="007F68D2" w:rsidRDefault="007F68D2" w:rsidP="007F68D2">
            <w:pPr>
              <w:pStyle w:val="Bullet1"/>
              <w:rPr>
                <w:sz w:val="18"/>
                <w:lang w:eastAsia="en-AU"/>
              </w:rPr>
            </w:pPr>
            <w:r w:rsidRPr="007F68D2">
              <w:rPr>
                <w:sz w:val="18"/>
                <w:lang w:eastAsia="en-AU"/>
              </w:rPr>
              <w:t>entity policies, administrative guidelines or legal re</w:t>
            </w:r>
            <w:r>
              <w:rPr>
                <w:sz w:val="18"/>
                <w:lang w:eastAsia="en-AU"/>
              </w:rPr>
              <w:t>quirements to be adhered to</w:t>
            </w:r>
          </w:p>
        </w:tc>
      </w:tr>
      <w:tr w:rsidR="007F68D2" w:rsidRPr="0041632B" w14:paraId="219FE0A5" w14:textId="77777777" w:rsidTr="007F68D2">
        <w:trPr>
          <w:trHeight w:val="480"/>
        </w:trPr>
        <w:tc>
          <w:tcPr>
            <w:tcW w:w="1485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B09316C" w14:textId="77777777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1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4AB9B21C" w14:textId="1C9B3696" w:rsidR="007F68D2" w:rsidRPr="007F68D2" w:rsidRDefault="007F68D2" w:rsidP="007F68D2">
            <w:pPr>
              <w:pStyle w:val="Bullet1"/>
              <w:rPr>
                <w:sz w:val="18"/>
                <w:lang w:eastAsia="en-AU"/>
              </w:rPr>
            </w:pPr>
            <w:r w:rsidRPr="007F68D2">
              <w:rPr>
                <w:sz w:val="18"/>
                <w:lang w:eastAsia="en-AU"/>
              </w:rPr>
              <w:t>if a signed copy of each return is to be retained and made available for audit (including any supporting documentation).</w:t>
            </w:r>
          </w:p>
        </w:tc>
      </w:tr>
      <w:tr w:rsidR="007F68D2" w:rsidRPr="0041632B" w14:paraId="44F68F6A" w14:textId="77777777" w:rsidTr="007F68D2">
        <w:trPr>
          <w:trHeight w:val="570"/>
        </w:trPr>
        <w:tc>
          <w:tcPr>
            <w:tcW w:w="1485" w:type="pct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</w:tcPr>
          <w:p w14:paraId="0D79E818" w14:textId="737C60AB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Deadlines and contact officers</w:t>
            </w:r>
          </w:p>
        </w:tc>
        <w:tc>
          <w:tcPr>
            <w:tcW w:w="351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18C9A581" w14:textId="38EFBC12" w:rsidR="007F68D2" w:rsidRPr="007F68D2" w:rsidRDefault="007F68D2" w:rsidP="007F68D2">
            <w:pPr>
              <w:pStyle w:val="Bullet1"/>
              <w:rPr>
                <w:sz w:val="18"/>
                <w:lang w:eastAsia="en-AU"/>
              </w:rPr>
            </w:pPr>
            <w:r w:rsidRPr="007F68D2">
              <w:rPr>
                <w:sz w:val="18"/>
                <w:lang w:eastAsia="en-AU"/>
              </w:rPr>
              <w:t>information about the need for strict adherence to deadlines</w:t>
            </w:r>
          </w:p>
        </w:tc>
      </w:tr>
      <w:tr w:rsidR="007F68D2" w:rsidRPr="0041632B" w14:paraId="2910832B" w14:textId="77777777" w:rsidTr="007F68D2">
        <w:trPr>
          <w:trHeight w:val="652"/>
        </w:trPr>
        <w:tc>
          <w:tcPr>
            <w:tcW w:w="1485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41E8BFC2" w14:textId="77777777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1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19113EAF" w14:textId="3FF028D6" w:rsidR="007F68D2" w:rsidRPr="007F68D2" w:rsidRDefault="007F68D2" w:rsidP="007F68D2">
            <w:pPr>
              <w:pStyle w:val="Bullet1"/>
              <w:rPr>
                <w:sz w:val="18"/>
                <w:lang w:eastAsia="en-AU"/>
              </w:rPr>
            </w:pPr>
            <w:r w:rsidRPr="007F68D2">
              <w:rPr>
                <w:sz w:val="18"/>
                <w:lang w:eastAsia="en-AU"/>
              </w:rPr>
              <w:t>contact details of finance team members who can provide clarification or guidance.</w:t>
            </w:r>
          </w:p>
        </w:tc>
      </w:tr>
      <w:tr w:rsidR="007F68D2" w:rsidRPr="0041632B" w14:paraId="705439B1" w14:textId="77777777" w:rsidTr="007F68D2">
        <w:trPr>
          <w:trHeight w:val="492"/>
        </w:trPr>
        <w:tc>
          <w:tcPr>
            <w:tcW w:w="14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3E2"/>
          </w:tcPr>
          <w:p w14:paraId="75EA8247" w14:textId="3129EB82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Amendments to reported information on returns</w:t>
            </w:r>
          </w:p>
        </w:tc>
        <w:tc>
          <w:tcPr>
            <w:tcW w:w="351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</w:tcPr>
          <w:p w14:paraId="4094D6BA" w14:textId="6A1C8F29" w:rsidR="007F68D2" w:rsidRPr="007F68D2" w:rsidRDefault="007F68D2" w:rsidP="007F68D2">
            <w:pPr>
              <w:pStyle w:val="Bullet1"/>
              <w:rPr>
                <w:sz w:val="18"/>
                <w:lang w:eastAsia="en-AU"/>
              </w:rPr>
            </w:pPr>
            <w:r w:rsidRPr="007F68D2">
              <w:rPr>
                <w:sz w:val="18"/>
                <w:lang w:eastAsia="en-AU"/>
              </w:rPr>
              <w:t>the business rules on amendments and corrections subsequent to the submission of the original returns.</w:t>
            </w:r>
          </w:p>
        </w:tc>
      </w:tr>
      <w:tr w:rsidR="007F68D2" w:rsidRPr="0041632B" w14:paraId="306D395B" w14:textId="77777777" w:rsidTr="007F68D2">
        <w:trPr>
          <w:trHeight w:val="53"/>
        </w:trPr>
        <w:tc>
          <w:tcPr>
            <w:tcW w:w="1485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</w:tcPr>
          <w:p w14:paraId="2E1644C8" w14:textId="1F310F1A" w:rsidR="007F68D2" w:rsidRPr="0041632B" w:rsidRDefault="007F68D2" w:rsidP="0041632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Process evaluation</w:t>
            </w:r>
          </w:p>
        </w:tc>
        <w:tc>
          <w:tcPr>
            <w:tcW w:w="3515" w:type="pc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F2F2F2"/>
          </w:tcPr>
          <w:p w14:paraId="27598872" w14:textId="52AC2EAF" w:rsidR="007F68D2" w:rsidRPr="007F68D2" w:rsidRDefault="007F68D2" w:rsidP="007F68D2">
            <w:pPr>
              <w:pStyle w:val="Bullet1"/>
              <w:rPr>
                <w:sz w:val="18"/>
                <w:lang w:eastAsia="en-AU"/>
              </w:rPr>
            </w:pPr>
            <w:r w:rsidRPr="007F68D2">
              <w:rPr>
                <w:sz w:val="18"/>
                <w:lang w:eastAsia="en-AU"/>
              </w:rPr>
              <w:t>feedback requested from business areas on potential improvements in respect of timing and content.</w:t>
            </w:r>
          </w:p>
        </w:tc>
      </w:tr>
    </w:tbl>
    <w:p w14:paraId="18F123EC" w14:textId="77777777" w:rsidR="00472799" w:rsidRDefault="00472799" w:rsidP="00A400A8">
      <w:pPr>
        <w:pStyle w:val="NormalIndented"/>
      </w:pPr>
    </w:p>
    <w:sectPr w:rsidR="00472799" w:rsidSect="003D6E64">
      <w:headerReference w:type="default" r:id="rId13"/>
      <w:type w:val="continuous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30723" w14:textId="77777777" w:rsidR="006B209A" w:rsidRDefault="006B209A" w:rsidP="00EF4574">
      <w:pPr>
        <w:spacing w:before="0" w:after="0" w:line="240" w:lineRule="auto"/>
      </w:pPr>
      <w:r>
        <w:separator/>
      </w:r>
    </w:p>
  </w:endnote>
  <w:endnote w:type="continuationSeparator" w:id="0">
    <w:p w14:paraId="3FF163F9" w14:textId="77777777" w:rsidR="006B209A" w:rsidRDefault="006B209A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1E55" w14:textId="77777777" w:rsidR="006B209A" w:rsidRDefault="006B209A" w:rsidP="0020122A">
      <w:pPr>
        <w:pStyle w:val="FootnoteSeparator"/>
      </w:pPr>
    </w:p>
  </w:footnote>
  <w:footnote w:type="continuationSeparator" w:id="0">
    <w:p w14:paraId="7877C48B" w14:textId="77777777" w:rsidR="006B209A" w:rsidRDefault="006B209A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CE3AE" w14:textId="77777777" w:rsidR="00E66A6D" w:rsidRPr="0090743D" w:rsidRDefault="00E66A6D" w:rsidP="00E66A6D">
    <w:pPr>
      <w:pStyle w:val="Header"/>
      <w:rPr>
        <w:szCs w:val="14"/>
      </w:rPr>
    </w:pPr>
    <w:r>
      <w:tab/>
    </w:r>
    <w:r>
      <w:tab/>
    </w:r>
    <w:r w:rsidRPr="0090743D">
      <w:rPr>
        <w:szCs w:val="14"/>
      </w:rPr>
      <w:t>Department of Finance</w:t>
    </w:r>
    <w:r w:rsidRPr="0090743D">
      <w:rPr>
        <w:szCs w:val="14"/>
      </w:rPr>
      <w:tab/>
    </w:r>
    <w:r w:rsidRPr="0090743D">
      <w:rPr>
        <w:szCs w:val="14"/>
      </w:rPr>
      <w:tab/>
      <w:t xml:space="preserve">Financial Statements Better Practice Guide </w:t>
    </w:r>
  </w:p>
  <w:p w14:paraId="40A77B94" w14:textId="4B58CF1F" w:rsidR="00E66A6D" w:rsidRDefault="00E66A6D" w:rsidP="00E66A6D">
    <w:pPr>
      <w:pStyle w:val="Header"/>
    </w:pPr>
    <w:r w:rsidRPr="0090743D">
      <w:rPr>
        <w:szCs w:val="14"/>
      </w:rPr>
      <w:tab/>
    </w:r>
    <w:r w:rsidRPr="0090743D">
      <w:rPr>
        <w:szCs w:val="14"/>
      </w:rPr>
      <w:tab/>
    </w:r>
    <w:r w:rsidRPr="00E66A6D">
      <w:rPr>
        <w:szCs w:val="14"/>
      </w:rPr>
      <w:t xml:space="preserve">Example: </w:t>
    </w:r>
    <w:r w:rsidR="007F68D2">
      <w:rPr>
        <w:szCs w:val="14"/>
      </w:rPr>
      <w:t>Preparation and use of reporting packs</w:t>
    </w:r>
  </w:p>
  <w:p w14:paraId="743CAFC9" w14:textId="77777777" w:rsidR="00E66A6D" w:rsidRDefault="00E66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C9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2A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61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A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2B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183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C8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4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36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3282518C"/>
    <w:multiLevelType w:val="hybridMultilevel"/>
    <w:tmpl w:val="C0C874DE"/>
    <w:lvl w:ilvl="0" w:tplc="8594F0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30A09"/>
    <w:multiLevelType w:val="hybridMultilevel"/>
    <w:tmpl w:val="7AD24C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7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0F57C3"/>
    <w:multiLevelType w:val="hybridMultilevel"/>
    <w:tmpl w:val="372ACE9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6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5"/>
  </w:num>
  <w:num w:numId="35">
    <w:abstractNumId w:val="17"/>
  </w:num>
  <w:num w:numId="36">
    <w:abstractNumId w:val="14"/>
  </w:num>
  <w:num w:numId="37">
    <w:abstractNumId w:val="13"/>
  </w:num>
  <w:num w:numId="38">
    <w:abstractNumId w:val="18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21B85"/>
    <w:rsid w:val="0002782F"/>
    <w:rsid w:val="00054E4D"/>
    <w:rsid w:val="00060073"/>
    <w:rsid w:val="000A4B30"/>
    <w:rsid w:val="000A6A8B"/>
    <w:rsid w:val="000C2A48"/>
    <w:rsid w:val="000D60B1"/>
    <w:rsid w:val="001541EA"/>
    <w:rsid w:val="001612A4"/>
    <w:rsid w:val="001973D5"/>
    <w:rsid w:val="001E1DC0"/>
    <w:rsid w:val="0020122A"/>
    <w:rsid w:val="0028602A"/>
    <w:rsid w:val="002B5F41"/>
    <w:rsid w:val="00301144"/>
    <w:rsid w:val="003148B7"/>
    <w:rsid w:val="003158C3"/>
    <w:rsid w:val="003273BE"/>
    <w:rsid w:val="003274CD"/>
    <w:rsid w:val="0035119D"/>
    <w:rsid w:val="00352309"/>
    <w:rsid w:val="00394A42"/>
    <w:rsid w:val="0039715A"/>
    <w:rsid w:val="003B4F12"/>
    <w:rsid w:val="003D6E64"/>
    <w:rsid w:val="0041632B"/>
    <w:rsid w:val="00423F31"/>
    <w:rsid w:val="00431899"/>
    <w:rsid w:val="00472799"/>
    <w:rsid w:val="00486804"/>
    <w:rsid w:val="004B3775"/>
    <w:rsid w:val="004E058F"/>
    <w:rsid w:val="004E2059"/>
    <w:rsid w:val="004E3B87"/>
    <w:rsid w:val="00510921"/>
    <w:rsid w:val="00510AD3"/>
    <w:rsid w:val="00513348"/>
    <w:rsid w:val="00533B5D"/>
    <w:rsid w:val="00541FBA"/>
    <w:rsid w:val="005506BA"/>
    <w:rsid w:val="005970EA"/>
    <w:rsid w:val="005A6C78"/>
    <w:rsid w:val="005C37F0"/>
    <w:rsid w:val="005E45E3"/>
    <w:rsid w:val="00623BA1"/>
    <w:rsid w:val="006346BC"/>
    <w:rsid w:val="0066652A"/>
    <w:rsid w:val="0068028B"/>
    <w:rsid w:val="00682167"/>
    <w:rsid w:val="006B209A"/>
    <w:rsid w:val="006C42AF"/>
    <w:rsid w:val="006C4DD1"/>
    <w:rsid w:val="00711D8E"/>
    <w:rsid w:val="00712672"/>
    <w:rsid w:val="00734E3F"/>
    <w:rsid w:val="00736985"/>
    <w:rsid w:val="00755721"/>
    <w:rsid w:val="007B6200"/>
    <w:rsid w:val="007D134E"/>
    <w:rsid w:val="007E38E8"/>
    <w:rsid w:val="007F68D2"/>
    <w:rsid w:val="00801B9F"/>
    <w:rsid w:val="00802117"/>
    <w:rsid w:val="00880B3F"/>
    <w:rsid w:val="009222BC"/>
    <w:rsid w:val="009B4D3B"/>
    <w:rsid w:val="009B53C8"/>
    <w:rsid w:val="009B5E3F"/>
    <w:rsid w:val="009D7407"/>
    <w:rsid w:val="009E0866"/>
    <w:rsid w:val="00A24A62"/>
    <w:rsid w:val="00A31C9F"/>
    <w:rsid w:val="00A400A8"/>
    <w:rsid w:val="00A76378"/>
    <w:rsid w:val="00AC164A"/>
    <w:rsid w:val="00AF2050"/>
    <w:rsid w:val="00B00E2A"/>
    <w:rsid w:val="00B44792"/>
    <w:rsid w:val="00B72587"/>
    <w:rsid w:val="00BA699C"/>
    <w:rsid w:val="00BB26C5"/>
    <w:rsid w:val="00BF4DE6"/>
    <w:rsid w:val="00C42CDE"/>
    <w:rsid w:val="00C7334F"/>
    <w:rsid w:val="00C86E06"/>
    <w:rsid w:val="00CA37B1"/>
    <w:rsid w:val="00CB1959"/>
    <w:rsid w:val="00CB32DB"/>
    <w:rsid w:val="00D0296C"/>
    <w:rsid w:val="00D10C29"/>
    <w:rsid w:val="00D24B05"/>
    <w:rsid w:val="00D76E1A"/>
    <w:rsid w:val="00DB35A3"/>
    <w:rsid w:val="00DB6D69"/>
    <w:rsid w:val="00DC430B"/>
    <w:rsid w:val="00E24DAC"/>
    <w:rsid w:val="00E25FBA"/>
    <w:rsid w:val="00E357B7"/>
    <w:rsid w:val="00E53800"/>
    <w:rsid w:val="00E6081F"/>
    <w:rsid w:val="00E66A6D"/>
    <w:rsid w:val="00EA04B2"/>
    <w:rsid w:val="00EA20F3"/>
    <w:rsid w:val="00ED43D1"/>
    <w:rsid w:val="00EE4EE1"/>
    <w:rsid w:val="00EF4574"/>
    <w:rsid w:val="00F0219E"/>
    <w:rsid w:val="00F2684E"/>
    <w:rsid w:val="00F33736"/>
    <w:rsid w:val="00F6235B"/>
    <w:rsid w:val="00F729EF"/>
    <w:rsid w:val="00F77CAE"/>
    <w:rsid w:val="00F96BB9"/>
    <w:rsid w:val="00FB6354"/>
    <w:rsid w:val="00FD7F41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F579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85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B8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21B85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6C78"/>
    <w:pPr>
      <w:keepNext w:val="0"/>
      <w:spacing w:line="480" w:lineRule="atLeas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C78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39715A"/>
    <w:pPr>
      <w:numPr>
        <w:numId w:val="3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39715A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39715A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qFormat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21B85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21B85"/>
    <w:rPr>
      <w:b/>
      <w:bCs/>
    </w:rPr>
  </w:style>
  <w:style w:type="character" w:styleId="Emphasis">
    <w:name w:val="Emphasis"/>
    <w:basedOn w:val="DefaultParagraphFont"/>
    <w:uiPriority w:val="20"/>
    <w:qFormat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21B85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qFormat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qFormat/>
    <w:rsid w:val="005A6C78"/>
    <w:pPr>
      <w:spacing w:after="1200"/>
    </w:pPr>
  </w:style>
  <w:style w:type="paragraph" w:styleId="ListParagraph">
    <w:name w:val="List Paragraph"/>
    <w:basedOn w:val="Normal"/>
    <w:uiPriority w:val="34"/>
    <w:qFormat/>
    <w:rsid w:val="00755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E0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BBBADB"/>
      </a:accent2>
      <a:accent3>
        <a:srgbClr val="E6E4BA"/>
      </a:accent3>
      <a:accent4>
        <a:srgbClr val="D78B83"/>
      </a:accent4>
      <a:accent5>
        <a:srgbClr val="BEBFC0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75879E95-76ED-4952-8793-7BDF17E91F97}" vid="{CD9CE17E-63B8-45F8-B600-89410B4EF6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fdd6b31f-a027-425f-adfa-a4194e98dae2">FIN33506-77069739-48102</_dlc_DocId>
    <_dlc_DocIdUrl xmlns="fdd6b31f-a027-425f-adfa-a4194e98dae2">
      <Url>https://f1.prdmgd.finance.gov.au/sites/50033506/_layouts/15/DocIdRedir.aspx?ID=FIN33506-77069739-48102</Url>
      <Description>FIN33506-77069739-48102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A081167BBC6DC4ABF111D5C0340450F" ma:contentTypeVersion="99" ma:contentTypeDescription="Create a new document." ma:contentTypeScope="" ma:versionID="ce3152a7dae9aed56f2dbf824386202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fdd6b31f-a027-425f-adfa-a4194e98dae2" targetNamespace="http://schemas.microsoft.com/office/2006/metadata/properties" ma:root="true" ma:fieldsID="0368a387c6d7cf58ef0ae5949a84b49d" ns1:_="" ns2:_="" ns3:_="">
    <xsd:import namespace="http://schemas.microsoft.com/sharepoint/v3"/>
    <xsd:import namespace="82ff9d9b-d3fc-4aad-bc42-9949ee83b815"/>
    <xsd:import namespace="fdd6b31f-a027-425f-adfa-a4194e98dae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d5b23f8-0019-49b4-80dc-328231206719}" ma:internalName="TaxCatchAll" ma:showField="CatchAllData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d5b23f8-0019-49b4-80dc-328231206719}" ma:internalName="TaxCatchAllLabel" ma:readOnly="true" ma:showField="CatchAllDataLabel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b31f-a027-425f-adfa-a4194e98dae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655E-BC04-4502-967D-D28EC0C382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37D1FC-1592-441A-8707-9A28DFC5D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61F0B-1326-42DB-BA7D-BCA6EC17C2D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d6b31f-a027-425f-adfa-a4194e98dae2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06BC69-3015-43B1-B28F-C89F2AF6B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fdd6b31f-a027-425f-adfa-a4194e98d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B243B6-5B9A-4361-A7E4-34130CAAB7F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C1BFD78-510C-48FC-9BBA-570B0DE5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Preparation and use of reporting packs</dc:title>
  <dc:subject/>
  <dc:creator/>
  <cp:keywords/>
  <dc:description/>
  <cp:lastModifiedBy/>
  <cp:revision>1</cp:revision>
  <dcterms:created xsi:type="dcterms:W3CDTF">2022-02-09T23:17:00Z</dcterms:created>
  <dcterms:modified xsi:type="dcterms:W3CDTF">2022-03-31T02:52:00Z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0x010100B321FEA60C5BA343A52BC94EC00ABC9E07002A081167BBC6DC4ABF111D5C0340450F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1;#Accounting FW and Capability Support|17de058c-12f7-44f2-8e7d-03ff49305e52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faf4aefe-e7c7-47dc-8ce2-bb2bec24b9fe</vt:lpwstr>
  </property>
</Properties>
</file>