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29A97" w14:textId="77777777" w:rsidR="00200F02" w:rsidRDefault="0019527A" w:rsidP="00200F02">
      <w:pPr>
        <w:pStyle w:val="Title"/>
        <w:rPr>
          <w:b/>
        </w:rPr>
      </w:pPr>
      <w:bookmarkStart w:id="0" w:name="_GoBack"/>
      <w:r>
        <w:t>Ex</w:t>
      </w:r>
      <w:r w:rsidR="00200F02" w:rsidRPr="00200F02">
        <w:t>ample</w:t>
      </w:r>
      <w:r w:rsidR="00F17CBB">
        <w:t>:</w:t>
      </w:r>
      <w:r w:rsidR="00990AC0">
        <w:t xml:space="preserve"> </w:t>
      </w:r>
      <w:r w:rsidR="00064E7E">
        <w:t xml:space="preserve">Materiality </w:t>
      </w:r>
      <w:r>
        <w:t xml:space="preserve">assessment </w:t>
      </w:r>
      <w:r w:rsidR="00064E7E" w:rsidRPr="00064E7E">
        <w:t>position paper</w:t>
      </w:r>
    </w:p>
    <w:bookmarkEnd w:id="0"/>
    <w:p w14:paraId="4AC15E75" w14:textId="77777777" w:rsidR="00200F02" w:rsidRPr="009A4B70" w:rsidRDefault="0063242B" w:rsidP="00200F02">
      <w:pPr>
        <w:pStyle w:val="Boxed2Heading"/>
        <w:rPr>
          <w:b w:val="0"/>
          <w:sz w:val="30"/>
          <w:szCs w:val="30"/>
        </w:rPr>
      </w:pPr>
      <w:r>
        <w:rPr>
          <w:b w:val="0"/>
          <w:sz w:val="30"/>
          <w:szCs w:val="30"/>
        </w:rPr>
        <w:t>Foreword</w:t>
      </w:r>
    </w:p>
    <w:p w14:paraId="775192E8" w14:textId="77777777" w:rsidR="00930081" w:rsidRDefault="00930081" w:rsidP="00930081">
      <w:pPr>
        <w:pStyle w:val="Boxed2Text"/>
      </w:pPr>
      <w:r>
        <w:t xml:space="preserve">The following example of </w:t>
      </w:r>
      <w:r w:rsidR="00064E7E">
        <w:t xml:space="preserve">a materiality </w:t>
      </w:r>
      <w:r w:rsidR="00200F02" w:rsidRPr="00200F02">
        <w:t>position</w:t>
      </w:r>
      <w:r w:rsidR="00064E7E">
        <w:t xml:space="preserve"> paper sets</w:t>
      </w:r>
      <w:r w:rsidR="00200F02" w:rsidRPr="00200F02">
        <w:t xml:space="preserve"> out the materiality thresholds for an </w:t>
      </w:r>
      <w:r w:rsidR="00064E7E">
        <w:t>entity</w:t>
      </w:r>
      <w:r w:rsidR="00200F02" w:rsidRPr="00200F02">
        <w:t xml:space="preserve">. </w:t>
      </w:r>
      <w:r>
        <w:t xml:space="preserve">It has been prepared in a manner that creates a base document for use by entities for preparing a materiality position paper for their own entity. </w:t>
      </w:r>
    </w:p>
    <w:p w14:paraId="0F7DB769" w14:textId="77777777" w:rsidR="00200F02" w:rsidRPr="00200F02" w:rsidRDefault="00200F02" w:rsidP="00930081">
      <w:pPr>
        <w:pStyle w:val="Boxed2Text"/>
      </w:pPr>
      <w:r w:rsidRPr="00200F02">
        <w:t>An overall materiality threshold may be a useful reference point to guide decisions about the application of materiality to particular items</w:t>
      </w:r>
      <w:r w:rsidR="009A4B70">
        <w:t xml:space="preserve"> </w:t>
      </w:r>
      <w:r w:rsidRPr="00200F02">
        <w:t>or groupings of items</w:t>
      </w:r>
      <w:r w:rsidR="00064E7E">
        <w:t>,</w:t>
      </w:r>
      <w:r w:rsidRPr="00200F02">
        <w:t xml:space="preserve"> and in determining the approach to be followed in respect to </w:t>
      </w:r>
      <w:r w:rsidR="00064E7E">
        <w:t xml:space="preserve">the </w:t>
      </w:r>
      <w:r w:rsidRPr="00200F02">
        <w:t xml:space="preserve">correction of errors and misstatements. </w:t>
      </w:r>
    </w:p>
    <w:p w14:paraId="64F1E4A0" w14:textId="77777777" w:rsidR="00200F02" w:rsidRPr="00200F02" w:rsidRDefault="00200F02" w:rsidP="00200F02">
      <w:pPr>
        <w:pStyle w:val="Boxed2Text"/>
      </w:pPr>
      <w:r w:rsidRPr="00200F02">
        <w:t>In determining an overall materiality threshold, potential methods include a percentage incom</w:t>
      </w:r>
      <w:r w:rsidR="009A4B70">
        <w:t>e;</w:t>
      </w:r>
      <w:r w:rsidRPr="00200F02">
        <w:t xml:space="preserve"> percentage of gross pro</w:t>
      </w:r>
      <w:r w:rsidR="009A4B70">
        <w:t>fit; percentage of total assets;</w:t>
      </w:r>
      <w:r w:rsidRPr="00200F02">
        <w:t xml:space="preserve"> percen</w:t>
      </w:r>
      <w:r w:rsidR="009A4B70">
        <w:t>tage of total revenue to equity;</w:t>
      </w:r>
      <w:r w:rsidRPr="00200F02">
        <w:t xml:space="preserve"> a mixture of the aforementioned methods or a scaled method that takes into account the size of the </w:t>
      </w:r>
      <w:r w:rsidR="00064E7E">
        <w:t>entity</w:t>
      </w:r>
      <w:r w:rsidRPr="00200F02">
        <w:t>.</w:t>
      </w:r>
    </w:p>
    <w:p w14:paraId="2EDCB1C8" w14:textId="77777777" w:rsidR="00200F02" w:rsidRPr="00200F02" w:rsidRDefault="00200F02" w:rsidP="00200F02">
      <w:pPr>
        <w:pStyle w:val="Boxed2Text"/>
      </w:pPr>
      <w:r w:rsidRPr="00200F02">
        <w:t>Common materiality guidelines include:</w:t>
      </w:r>
    </w:p>
    <w:p w14:paraId="639D0F75" w14:textId="77777777" w:rsidR="00200F02" w:rsidRPr="00200F02" w:rsidRDefault="00200F02" w:rsidP="00200F02">
      <w:pPr>
        <w:pStyle w:val="Boxed2Text"/>
      </w:pPr>
      <w:r w:rsidRPr="00200F02">
        <w:t>1. 5.0% of income (using a 3-year average)</w:t>
      </w:r>
    </w:p>
    <w:p w14:paraId="1B66F87D" w14:textId="77777777" w:rsidR="00200F02" w:rsidRPr="00200F02" w:rsidRDefault="00200F02" w:rsidP="00200F02">
      <w:pPr>
        <w:pStyle w:val="Boxed2Text"/>
      </w:pPr>
      <w:r w:rsidRPr="00200F02">
        <w:t>2. 0.5% to 2.0% of revenue/expenses for non-profit organisations</w:t>
      </w:r>
    </w:p>
    <w:p w14:paraId="585785FC" w14:textId="77777777" w:rsidR="00200F02" w:rsidRPr="00200F02" w:rsidRDefault="00200F02" w:rsidP="00200F02">
      <w:pPr>
        <w:pStyle w:val="Boxed2Text"/>
      </w:pPr>
      <w:r w:rsidRPr="00200F02">
        <w:t>3. 0.5% to 1.0% of net assets</w:t>
      </w:r>
    </w:p>
    <w:p w14:paraId="30BC05B1" w14:textId="2115947E" w:rsidR="00200F02" w:rsidRPr="00200F02" w:rsidRDefault="00200F02" w:rsidP="00200F02">
      <w:pPr>
        <w:pStyle w:val="Boxed2Text"/>
      </w:pPr>
      <w:r w:rsidRPr="00200F02">
        <w:t xml:space="preserve">The above materiality range for revenues/expenses of between 0.5% and 2.0% aligns </w:t>
      </w:r>
      <w:r w:rsidRPr="0005353A">
        <w:t xml:space="preserve">with the guidance </w:t>
      </w:r>
      <w:r w:rsidRPr="00507ED2">
        <w:t>contained in RMG</w:t>
      </w:r>
      <w:r w:rsidR="00AA33D2">
        <w:t xml:space="preserve"> </w:t>
      </w:r>
      <w:r w:rsidRPr="00507ED2">
        <w:t>125 where it is stated:</w:t>
      </w:r>
      <w:r w:rsidRPr="00200F02">
        <w:t xml:space="preserve"> </w:t>
      </w:r>
    </w:p>
    <w:p w14:paraId="3833156B" w14:textId="77777777" w:rsidR="00200F02" w:rsidRPr="00200F02" w:rsidRDefault="00200F02" w:rsidP="00200F02">
      <w:pPr>
        <w:pStyle w:val="Boxed2Text"/>
        <w:rPr>
          <w:i/>
        </w:rPr>
      </w:pPr>
      <w:r w:rsidRPr="00200F02">
        <w:rPr>
          <w:i/>
        </w:rPr>
        <w:t>Reporting entities need to consider the materiality of variances. As a general guide, a variance may be considered material or major if it is:</w:t>
      </w:r>
    </w:p>
    <w:p w14:paraId="1AC9739A" w14:textId="073A69F0" w:rsidR="00200F02" w:rsidRPr="00200F02" w:rsidRDefault="00D346BC" w:rsidP="00200F02">
      <w:pPr>
        <w:pStyle w:val="Boxed2Text"/>
        <w:rPr>
          <w:i/>
        </w:rPr>
      </w:pPr>
      <w:r>
        <w:rPr>
          <w:i/>
        </w:rPr>
        <w:sym w:font="Symbol" w:char="F0B7"/>
      </w:r>
      <w:r w:rsidR="00200F02" w:rsidRPr="00200F02">
        <w:rPr>
          <w:i/>
        </w:rPr>
        <w:tab/>
        <w:t>more than +/- 10% of the line item for both Departmental and Administered; or</w:t>
      </w:r>
    </w:p>
    <w:p w14:paraId="3D64AA98" w14:textId="66FEC027" w:rsidR="00200F02" w:rsidRPr="00200F02" w:rsidRDefault="00D346BC" w:rsidP="00200F02">
      <w:pPr>
        <w:pStyle w:val="Boxed2Text"/>
        <w:rPr>
          <w:i/>
        </w:rPr>
      </w:pPr>
      <w:r>
        <w:rPr>
          <w:i/>
        </w:rPr>
        <w:sym w:font="Symbol" w:char="F0B7"/>
      </w:r>
      <w:r w:rsidR="00200F02" w:rsidRPr="00200F02">
        <w:rPr>
          <w:i/>
        </w:rPr>
        <w:tab/>
        <w:t>more than +/- 2% of total expenses or total own-sourc</w:t>
      </w:r>
      <w:r w:rsidR="0019527A">
        <w:rPr>
          <w:i/>
        </w:rPr>
        <w:t>e revenue for Departmental only,</w:t>
      </w:r>
      <w:r w:rsidR="00200F02" w:rsidRPr="00200F02">
        <w:rPr>
          <w:i/>
        </w:rPr>
        <w:t xml:space="preserve"> and</w:t>
      </w:r>
    </w:p>
    <w:p w14:paraId="59F16647" w14:textId="561E7933" w:rsidR="00200F02" w:rsidRPr="00200F02" w:rsidRDefault="00D346BC" w:rsidP="00200F02">
      <w:pPr>
        <w:pStyle w:val="Boxed2Text"/>
        <w:rPr>
          <w:i/>
        </w:rPr>
      </w:pPr>
      <w:r>
        <w:rPr>
          <w:i/>
        </w:rPr>
        <w:sym w:font="Symbol" w:char="F0B7"/>
      </w:r>
      <w:r w:rsidR="00200F02" w:rsidRPr="00200F02">
        <w:rPr>
          <w:i/>
        </w:rPr>
        <w:tab/>
        <w:t>more than +/- 2% of the relevant sub-total for total expenses, revenue, assets or liabilities for Administered only.</w:t>
      </w:r>
    </w:p>
    <w:p w14:paraId="1CEDA290" w14:textId="6A1C7BFB" w:rsidR="006C4DD1" w:rsidRPr="00064E7E" w:rsidRDefault="00200F02" w:rsidP="00200F02">
      <w:pPr>
        <w:pStyle w:val="Boxed2Text"/>
      </w:pPr>
      <w:r w:rsidRPr="00064E7E">
        <w:t>This practical example uses 2.0% revenue/expenses based upon Po</w:t>
      </w:r>
      <w:r w:rsidR="00064E7E">
        <w:t xml:space="preserve">rtfolio Budget </w:t>
      </w:r>
      <w:r w:rsidR="00D346BC">
        <w:t xml:space="preserve">Statements </w:t>
      </w:r>
      <w:r w:rsidR="00064E7E">
        <w:t>figures.</w:t>
      </w:r>
    </w:p>
    <w:p w14:paraId="63822FF3" w14:textId="77777777" w:rsidR="00200F02" w:rsidRDefault="00200F02" w:rsidP="00200F02">
      <w:pPr>
        <w:pStyle w:val="Boxed2Text"/>
        <w:rPr>
          <w:i/>
        </w:rPr>
      </w:pPr>
    </w:p>
    <w:p w14:paraId="14765B9D" w14:textId="77777777" w:rsidR="00200F02" w:rsidRDefault="00200F02">
      <w:pPr>
        <w:suppressAutoHyphens w:val="0"/>
        <w:spacing w:before="0" w:after="120" w:line="440" w:lineRule="atLeast"/>
        <w:rPr>
          <w:i/>
        </w:rPr>
      </w:pPr>
      <w:r>
        <w:rPr>
          <w:i/>
        </w:rPr>
        <w:br w:type="page"/>
      </w:r>
    </w:p>
    <w:p w14:paraId="1BA563D0" w14:textId="77777777" w:rsidR="00200F02" w:rsidRPr="00200F02" w:rsidRDefault="00140567" w:rsidP="00200F02">
      <w:pPr>
        <w:pStyle w:val="Title"/>
      </w:pPr>
      <w:r>
        <w:t>Materiality assessment for</w:t>
      </w:r>
      <w:r>
        <w:rPr>
          <w:color w:val="FF0000"/>
        </w:rPr>
        <w:t xml:space="preserve"> [E</w:t>
      </w:r>
      <w:r w:rsidR="00930081" w:rsidRPr="00930081">
        <w:rPr>
          <w:color w:val="FF0000"/>
        </w:rPr>
        <w:t xml:space="preserve">ntity name] </w:t>
      </w:r>
      <w:r>
        <w:t>20</w:t>
      </w:r>
      <w:r w:rsidRPr="00A652FC">
        <w:rPr>
          <w:color w:val="FF0000"/>
        </w:rPr>
        <w:t>XX-XX</w:t>
      </w:r>
      <w:r w:rsidR="00064E7E" w:rsidRPr="00A652FC">
        <w:rPr>
          <w:color w:val="FF0000"/>
        </w:rPr>
        <w:t xml:space="preserve"> </w:t>
      </w:r>
      <w:r w:rsidR="00064E7E">
        <w:t>financial s</w:t>
      </w:r>
      <w:r>
        <w:t>tatements disclosures</w:t>
      </w:r>
    </w:p>
    <w:p w14:paraId="32F2EADF" w14:textId="77777777" w:rsidR="00200F02" w:rsidRPr="009A4B70" w:rsidRDefault="00200F02" w:rsidP="00200F02">
      <w:pPr>
        <w:pStyle w:val="Heading2"/>
        <w:rPr>
          <w:sz w:val="30"/>
          <w:szCs w:val="30"/>
        </w:rPr>
      </w:pPr>
      <w:r w:rsidRPr="009A4B70">
        <w:rPr>
          <w:sz w:val="30"/>
          <w:szCs w:val="30"/>
        </w:rPr>
        <w:t>Purpose</w:t>
      </w:r>
    </w:p>
    <w:p w14:paraId="2C292B5B" w14:textId="1867CAF7" w:rsidR="00200F02" w:rsidRDefault="0019527A" w:rsidP="00200F02">
      <w:r>
        <w:t xml:space="preserve">The purpose of this position paper is to document the </w:t>
      </w:r>
      <w:r w:rsidR="00200F02" w:rsidRPr="00200F02">
        <w:t xml:space="preserve">materiality </w:t>
      </w:r>
      <w:r w:rsidR="00200F02" w:rsidRPr="0019527A">
        <w:t>policy</w:t>
      </w:r>
      <w:r w:rsidR="00200F02" w:rsidRPr="00200F02">
        <w:t xml:space="preserve"> and thresholds to be used in the preparation of </w:t>
      </w:r>
      <w:r w:rsidRPr="0019527A">
        <w:t xml:space="preserve">the </w:t>
      </w:r>
      <w:r w:rsidR="00140567">
        <w:rPr>
          <w:color w:val="FF0000"/>
        </w:rPr>
        <w:t>[</w:t>
      </w:r>
      <w:r w:rsidR="007229F2">
        <w:rPr>
          <w:color w:val="FF0000"/>
        </w:rPr>
        <w:t>e</w:t>
      </w:r>
      <w:r w:rsidR="00140567" w:rsidRPr="00930081">
        <w:rPr>
          <w:color w:val="FF0000"/>
        </w:rPr>
        <w:t xml:space="preserve">ntity name] </w:t>
      </w:r>
      <w:r w:rsidR="00140567" w:rsidRPr="00A652FC">
        <w:t>20</w:t>
      </w:r>
      <w:r w:rsidR="00140567" w:rsidRPr="00A652FC">
        <w:rPr>
          <w:color w:val="FF0000"/>
        </w:rPr>
        <w:t xml:space="preserve">XX-XX </w:t>
      </w:r>
      <w:r w:rsidR="00140567">
        <w:t xml:space="preserve">annual financial statements. </w:t>
      </w:r>
      <w:r w:rsidR="00200F02" w:rsidRPr="00200F02">
        <w:t>The materiality thresholds will be used to support management decisions in relation to information disclosure</w:t>
      </w:r>
      <w:r w:rsidR="00ED1B94">
        <w:t xml:space="preserve"> in the </w:t>
      </w:r>
      <w:r w:rsidR="00140567">
        <w:t>20</w:t>
      </w:r>
      <w:r w:rsidR="00140567" w:rsidRPr="00A652FC">
        <w:rPr>
          <w:color w:val="FF0000"/>
        </w:rPr>
        <w:t>XX-XX</w:t>
      </w:r>
      <w:r w:rsidR="00200F02" w:rsidRPr="00A652FC">
        <w:rPr>
          <w:color w:val="FF0000"/>
        </w:rPr>
        <w:t xml:space="preserve"> </w:t>
      </w:r>
      <w:r w:rsidR="00200F02" w:rsidRPr="00200F02">
        <w:t xml:space="preserve">financial statements and identification of major variances for budgetary reporting purposes only. Any audit differences will continue to be worked </w:t>
      </w:r>
      <w:r>
        <w:t>through with the Australian National Audit Office (ANAO) on a case-by-</w:t>
      </w:r>
      <w:r w:rsidR="00200F02" w:rsidRPr="00200F02">
        <w:t>case basis.</w:t>
      </w:r>
    </w:p>
    <w:p w14:paraId="4270FA54" w14:textId="77777777" w:rsidR="00140567" w:rsidRPr="00200F02" w:rsidRDefault="00140567" w:rsidP="00200F02">
      <w:r>
        <w:t>This</w:t>
      </w:r>
      <w:r w:rsidRPr="00200F02">
        <w:t xml:space="preserve"> document should be reviewed annually and updated where necessary to account for any changes in funding, thresholds, le</w:t>
      </w:r>
      <w:r>
        <w:t>gislation and guiding rules for the entity</w:t>
      </w:r>
      <w:r w:rsidRPr="00200F02">
        <w:t>’s assessment of materiality in its financial statements</w:t>
      </w:r>
      <w:r>
        <w:t>.</w:t>
      </w:r>
      <w:r w:rsidRPr="00200F02">
        <w:t xml:space="preserve"> </w:t>
      </w:r>
    </w:p>
    <w:p w14:paraId="0340522B" w14:textId="77777777" w:rsidR="00200F02" w:rsidRPr="009A4B70" w:rsidRDefault="00140567" w:rsidP="00200F02">
      <w:pPr>
        <w:pStyle w:val="Heading2"/>
        <w:rPr>
          <w:sz w:val="30"/>
          <w:szCs w:val="30"/>
        </w:rPr>
      </w:pPr>
      <w:r w:rsidRPr="009A4B70">
        <w:rPr>
          <w:color w:val="FF0000"/>
          <w:sz w:val="30"/>
          <w:szCs w:val="30"/>
        </w:rPr>
        <w:t>[Entity’s n</w:t>
      </w:r>
      <w:r w:rsidR="00E605B4" w:rsidRPr="009A4B70">
        <w:rPr>
          <w:color w:val="FF0000"/>
          <w:sz w:val="30"/>
          <w:szCs w:val="30"/>
        </w:rPr>
        <w:t xml:space="preserve">ame] </w:t>
      </w:r>
      <w:r w:rsidR="00200F02" w:rsidRPr="009A4B70">
        <w:rPr>
          <w:sz w:val="30"/>
          <w:szCs w:val="30"/>
        </w:rPr>
        <w:t>position</w:t>
      </w:r>
    </w:p>
    <w:p w14:paraId="559CF371" w14:textId="3941E025" w:rsidR="00200F02" w:rsidRPr="00200F02" w:rsidRDefault="00140567" w:rsidP="00200F02">
      <w:pPr>
        <w:pStyle w:val="NumberedList1"/>
      </w:pPr>
      <w:r>
        <w:rPr>
          <w:color w:val="FF0000"/>
        </w:rPr>
        <w:t>[Entity’s n</w:t>
      </w:r>
      <w:r w:rsidR="00E605B4" w:rsidRPr="00E605B4">
        <w:rPr>
          <w:color w:val="FF0000"/>
        </w:rPr>
        <w:t xml:space="preserve">ame] </w:t>
      </w:r>
      <w:r w:rsidR="00200F02" w:rsidRPr="00200F02">
        <w:t>considers the appropriate ma</w:t>
      </w:r>
      <w:r w:rsidR="0019527A">
        <w:t>ter</w:t>
      </w:r>
      <w:r w:rsidR="00ED1B94">
        <w:t xml:space="preserve">iality threshold for the </w:t>
      </w:r>
      <w:r>
        <w:t>20</w:t>
      </w:r>
      <w:r w:rsidRPr="00A652FC">
        <w:rPr>
          <w:color w:val="FF0000"/>
        </w:rPr>
        <w:t>XX-XX</w:t>
      </w:r>
      <w:r w:rsidR="00200F02" w:rsidRPr="00A652FC">
        <w:rPr>
          <w:color w:val="FF0000"/>
        </w:rPr>
        <w:t xml:space="preserve"> </w:t>
      </w:r>
      <w:r w:rsidR="00200F02" w:rsidRPr="00200F02">
        <w:t xml:space="preserve">Financial Statements </w:t>
      </w:r>
      <w:r w:rsidR="00200F02" w:rsidRPr="000C551F">
        <w:rPr>
          <w:i/>
        </w:rPr>
        <w:t>information disclosure</w:t>
      </w:r>
      <w:r w:rsidR="00200F02" w:rsidRPr="00200F02">
        <w:t xml:space="preserve"> to be 2% of Portfolio Budget </w:t>
      </w:r>
      <w:r w:rsidR="00D346BC">
        <w:t xml:space="preserve">Statements </w:t>
      </w:r>
      <w:r w:rsidR="00200F02" w:rsidRPr="00200F02">
        <w:t>revenue balances for Departmental and Administered items. This results in a materiality threshold of $</w:t>
      </w:r>
      <w:r w:rsidR="00200F02" w:rsidRPr="00A652FC">
        <w:rPr>
          <w:color w:val="FF0000"/>
        </w:rPr>
        <w:t>X</w:t>
      </w:r>
      <w:r w:rsidR="00200F02" w:rsidRPr="00200F02">
        <w:t xml:space="preserve"> million for Departmental items and $</w:t>
      </w:r>
      <w:r w:rsidR="00200F02" w:rsidRPr="00A652FC">
        <w:rPr>
          <w:color w:val="FF0000"/>
        </w:rPr>
        <w:t>X</w:t>
      </w:r>
      <w:r w:rsidR="00200F02" w:rsidRPr="00200F02">
        <w:t xml:space="preserve"> million for Administered items. Refer </w:t>
      </w:r>
      <w:r>
        <w:t xml:space="preserve">to </w:t>
      </w:r>
      <w:r w:rsidR="00200F02" w:rsidRPr="00200F02">
        <w:t xml:space="preserve">Attachment A for Finance’s </w:t>
      </w:r>
      <w:r>
        <w:t>20</w:t>
      </w:r>
      <w:r w:rsidRPr="00A652FC">
        <w:rPr>
          <w:color w:val="FF0000"/>
        </w:rPr>
        <w:t>XX-XX</w:t>
      </w:r>
      <w:r w:rsidR="00200F02" w:rsidRPr="00A652FC">
        <w:rPr>
          <w:color w:val="FF0000"/>
        </w:rPr>
        <w:t xml:space="preserve"> </w:t>
      </w:r>
      <w:r w:rsidR="00200F02" w:rsidRPr="00200F02">
        <w:t>materiality assessment.</w:t>
      </w:r>
    </w:p>
    <w:p w14:paraId="01341C42" w14:textId="77777777" w:rsidR="00200F02" w:rsidRPr="00200F02" w:rsidRDefault="00200F02" w:rsidP="00200F02">
      <w:pPr>
        <w:pStyle w:val="NumberedList1"/>
      </w:pPr>
      <w:r w:rsidRPr="00200F02">
        <w:t xml:space="preserve">In addition to applying materiality thresholds, </w:t>
      </w:r>
      <w:r w:rsidR="00ED1B94">
        <w:rPr>
          <w:color w:val="FF0000"/>
        </w:rPr>
        <w:t>[entity’s n</w:t>
      </w:r>
      <w:r w:rsidR="00E605B4" w:rsidRPr="00E605B4">
        <w:rPr>
          <w:color w:val="FF0000"/>
        </w:rPr>
        <w:t xml:space="preserve">ame] </w:t>
      </w:r>
      <w:r w:rsidRPr="00200F02">
        <w:t>will also apply professional judgement and consider relevancy for users of its financial statements when assessing items for disclosure. This may result in information disclosed that may not be numerically material but by nature may assist users to understand the underlying business transactions, conversely application of professional judgement may result in disclosures for material items not being equal in terms of size and detail.</w:t>
      </w:r>
    </w:p>
    <w:p w14:paraId="472CD12A" w14:textId="77777777" w:rsidR="00200F02" w:rsidRPr="00200F02" w:rsidRDefault="00ED1B94" w:rsidP="00200F02">
      <w:pPr>
        <w:pStyle w:val="NumberedList1"/>
      </w:pPr>
      <w:r>
        <w:t xml:space="preserve">For </w:t>
      </w:r>
      <w:r w:rsidR="00140567">
        <w:t>the 20</w:t>
      </w:r>
      <w:r w:rsidR="00140567" w:rsidRPr="00A652FC">
        <w:rPr>
          <w:color w:val="FF0000"/>
        </w:rPr>
        <w:t>XX-XX</w:t>
      </w:r>
      <w:r w:rsidR="00200F02" w:rsidRPr="00A652FC">
        <w:rPr>
          <w:color w:val="FF0000"/>
        </w:rPr>
        <w:t xml:space="preserve"> </w:t>
      </w:r>
      <w:r w:rsidR="00200F02" w:rsidRPr="00200F02">
        <w:t xml:space="preserve">Financial Statements </w:t>
      </w:r>
      <w:r w:rsidR="00200F02" w:rsidRPr="000C551F">
        <w:rPr>
          <w:i/>
        </w:rPr>
        <w:t>budgetary reporting</w:t>
      </w:r>
      <w:r w:rsidR="00200F02" w:rsidRPr="00200F02">
        <w:t xml:space="preserve">, </w:t>
      </w:r>
      <w:r>
        <w:rPr>
          <w:color w:val="FF0000"/>
        </w:rPr>
        <w:t>[entity’s n</w:t>
      </w:r>
      <w:r w:rsidR="00E605B4" w:rsidRPr="00E605B4">
        <w:rPr>
          <w:color w:val="FF0000"/>
        </w:rPr>
        <w:t xml:space="preserve">ame] </w:t>
      </w:r>
      <w:r w:rsidR="00200F02" w:rsidRPr="00200F02">
        <w:t>considers an actual to budget variance material or major if it is greater than the following materiality thresholds:</w:t>
      </w:r>
    </w:p>
    <w:p w14:paraId="1D611326" w14:textId="35A7C110" w:rsidR="00200F02" w:rsidRPr="00200F02" w:rsidRDefault="00200F02" w:rsidP="00200F02">
      <w:pPr>
        <w:pStyle w:val="NumberedList2"/>
      </w:pPr>
      <w:r w:rsidRPr="00200F02">
        <w:t xml:space="preserve">for Departmental items only: more than +/- 2% of Departmental revenue in line with the defined materiality threshold for </w:t>
      </w:r>
      <w:r w:rsidR="00481E8D">
        <w:rPr>
          <w:color w:val="FF0000"/>
        </w:rPr>
        <w:t>[entity’s n</w:t>
      </w:r>
      <w:r w:rsidR="00481E8D" w:rsidRPr="00E605B4">
        <w:rPr>
          <w:color w:val="FF0000"/>
        </w:rPr>
        <w:t xml:space="preserve">ame] </w:t>
      </w:r>
      <w:r w:rsidR="00481E8D" w:rsidRPr="00481E8D">
        <w:t xml:space="preserve">for </w:t>
      </w:r>
      <w:r w:rsidRPr="00481E8D">
        <w:t xml:space="preserve">YEAR </w:t>
      </w:r>
      <w:r w:rsidRPr="00200F02">
        <w:t xml:space="preserve">(refer </w:t>
      </w:r>
      <w:r w:rsidRPr="00AA33D2">
        <w:rPr>
          <w:u w:val="single"/>
        </w:rPr>
        <w:t>Attachment A</w:t>
      </w:r>
      <w:r w:rsidRPr="00200F02">
        <w:t xml:space="preserve">); </w:t>
      </w:r>
      <w:r w:rsidRPr="000C551F">
        <w:rPr>
          <w:b/>
        </w:rPr>
        <w:t>and</w:t>
      </w:r>
    </w:p>
    <w:p w14:paraId="30286469" w14:textId="0935BD3B" w:rsidR="00200F02" w:rsidRDefault="00200F02" w:rsidP="00200F02">
      <w:pPr>
        <w:pStyle w:val="NumberedList2"/>
      </w:pPr>
      <w:r w:rsidRPr="00200F02">
        <w:t>for Administered items only: more than +/- 2% of the relevant sub-total for total expenses, revenue, assets or liabilities in line with the defined materiality threshold for</w:t>
      </w:r>
      <w:r w:rsidR="00481E8D">
        <w:t xml:space="preserve"> </w:t>
      </w:r>
      <w:r w:rsidR="00481E8D">
        <w:rPr>
          <w:color w:val="FF0000"/>
        </w:rPr>
        <w:t>[entity’s n</w:t>
      </w:r>
      <w:r w:rsidR="00481E8D" w:rsidRPr="00E605B4">
        <w:rPr>
          <w:color w:val="FF0000"/>
        </w:rPr>
        <w:t xml:space="preserve">ame] </w:t>
      </w:r>
      <w:r w:rsidR="00481E8D" w:rsidRPr="00481E8D">
        <w:t>for</w:t>
      </w:r>
      <w:r w:rsidRPr="00200F02">
        <w:t xml:space="preserve"> YEAR (refer </w:t>
      </w:r>
      <w:r w:rsidRPr="00AA33D2">
        <w:rPr>
          <w:u w:val="single"/>
        </w:rPr>
        <w:t>Attachment A</w:t>
      </w:r>
      <w:r w:rsidRPr="00200F02">
        <w:t>).</w:t>
      </w:r>
    </w:p>
    <w:p w14:paraId="18A0CE30" w14:textId="77777777" w:rsidR="00200F02" w:rsidRPr="00200F02" w:rsidRDefault="00200F02" w:rsidP="00200F02">
      <w:pPr>
        <w:pStyle w:val="NumberedList1"/>
      </w:pPr>
      <w:r w:rsidRPr="00200F02">
        <w:t>This materialit</w:t>
      </w:r>
      <w:r w:rsidR="00140567">
        <w:t>y assessment applies to the 20</w:t>
      </w:r>
      <w:r w:rsidR="00140567" w:rsidRPr="00A652FC">
        <w:rPr>
          <w:color w:val="FF0000"/>
        </w:rPr>
        <w:t>XX-XX</w:t>
      </w:r>
      <w:r w:rsidRPr="00A652FC">
        <w:rPr>
          <w:color w:val="FF0000"/>
        </w:rPr>
        <w:t xml:space="preserve"> </w:t>
      </w:r>
      <w:r w:rsidRPr="00200F02">
        <w:t xml:space="preserve">Financial Statements. </w:t>
      </w:r>
      <w:r w:rsidR="00ED1B94">
        <w:rPr>
          <w:color w:val="FF0000"/>
        </w:rPr>
        <w:t>[E</w:t>
      </w:r>
      <w:r w:rsidR="00E605B4" w:rsidRPr="00E605B4">
        <w:rPr>
          <w:color w:val="FF0000"/>
        </w:rPr>
        <w:t xml:space="preserve">ntity’s Name] </w:t>
      </w:r>
      <w:r w:rsidRPr="00200F02">
        <w:t>will undertake an annual review of materiality and adjust where necessary.</w:t>
      </w:r>
    </w:p>
    <w:p w14:paraId="6C12CA32" w14:textId="5AC77699" w:rsidR="00200F02" w:rsidRPr="00200F02" w:rsidRDefault="00E605B4" w:rsidP="00200F02">
      <w:pPr>
        <w:pStyle w:val="NumberedList1"/>
      </w:pPr>
      <w:r w:rsidRPr="00E605B4">
        <w:rPr>
          <w:color w:val="FF0000"/>
        </w:rPr>
        <w:t xml:space="preserve">[Entity’s Name] </w:t>
      </w:r>
      <w:r w:rsidR="00200F02" w:rsidRPr="00200F02">
        <w:t xml:space="preserve">will not apply materiality assessment against disclosures which are material by nature such as appropriations and special accounts, and mandatory by </w:t>
      </w:r>
      <w:r w:rsidR="00C17B92">
        <w:t xml:space="preserve">the </w:t>
      </w:r>
      <w:r w:rsidR="00200F02" w:rsidRPr="000C551F">
        <w:rPr>
          <w:i/>
        </w:rPr>
        <w:t>Australian Accounting Standards</w:t>
      </w:r>
      <w:r w:rsidR="00200F02" w:rsidRPr="00200F02">
        <w:t xml:space="preserve"> (AAS), </w:t>
      </w:r>
      <w:r w:rsidR="00C17B92">
        <w:t xml:space="preserve">the </w:t>
      </w:r>
      <w:r w:rsidR="00200F02" w:rsidRPr="000C551F">
        <w:rPr>
          <w:i/>
        </w:rPr>
        <w:t>Public Gove</w:t>
      </w:r>
      <w:r w:rsidR="00C17B92">
        <w:rPr>
          <w:i/>
        </w:rPr>
        <w:t>rnance,</w:t>
      </w:r>
      <w:r w:rsidR="00200F02" w:rsidRPr="000C551F">
        <w:rPr>
          <w:i/>
        </w:rPr>
        <w:t xml:space="preserve"> Performance and Accountability Act 2013 </w:t>
      </w:r>
      <w:r w:rsidR="00200F02" w:rsidRPr="00200F02">
        <w:t xml:space="preserve">(PGPA Act) and the </w:t>
      </w:r>
      <w:r w:rsidR="00402414">
        <w:t>PGPA (</w:t>
      </w:r>
      <w:r w:rsidR="00200F02" w:rsidRPr="000C551F">
        <w:rPr>
          <w:i/>
        </w:rPr>
        <w:t>Financial Reporting</w:t>
      </w:r>
      <w:r w:rsidR="00402414">
        <w:rPr>
          <w:i/>
        </w:rPr>
        <w:t>)</w:t>
      </w:r>
      <w:r w:rsidR="00200F02" w:rsidRPr="000C551F">
        <w:rPr>
          <w:i/>
        </w:rPr>
        <w:t xml:space="preserve"> Rule 2015</w:t>
      </w:r>
      <w:r w:rsidR="00200F02" w:rsidRPr="00200F02">
        <w:t xml:space="preserve"> (FRR) and other authoritative requirements. </w:t>
      </w:r>
    </w:p>
    <w:p w14:paraId="27E3DA4D" w14:textId="77777777" w:rsidR="00200F02" w:rsidRPr="009A4B70" w:rsidRDefault="00200F02" w:rsidP="00200F02">
      <w:pPr>
        <w:pStyle w:val="Heading2"/>
        <w:rPr>
          <w:sz w:val="30"/>
          <w:szCs w:val="30"/>
        </w:rPr>
      </w:pPr>
      <w:r w:rsidRPr="009A4B70">
        <w:rPr>
          <w:sz w:val="30"/>
          <w:szCs w:val="30"/>
        </w:rPr>
        <w:t>Background</w:t>
      </w:r>
    </w:p>
    <w:p w14:paraId="6B3A7271" w14:textId="60E219E1" w:rsidR="00200F02" w:rsidRPr="00200F02" w:rsidRDefault="00200F02" w:rsidP="00200F02">
      <w:r w:rsidRPr="00200F02">
        <w:t xml:space="preserve">Section 42 of the PGPA Act requires </w:t>
      </w:r>
      <w:r w:rsidR="00546040">
        <w:rPr>
          <w:color w:val="FF0000"/>
        </w:rPr>
        <w:t>[entity’s n</w:t>
      </w:r>
      <w:r w:rsidR="00546040" w:rsidRPr="00E605B4">
        <w:rPr>
          <w:color w:val="FF0000"/>
        </w:rPr>
        <w:t>ame]</w:t>
      </w:r>
      <w:r w:rsidR="00546040">
        <w:rPr>
          <w:color w:val="FF0000"/>
        </w:rPr>
        <w:t xml:space="preserve"> </w:t>
      </w:r>
      <w:r w:rsidRPr="00200F02">
        <w:t>to prepare Financial Statements in accordance with AAS and the FRR. AAS and FRR’s require that entities should present all information necessary in its Financial Statements so as to present fairly its financial position, financial performance and cash flows. Furthermore, the AAS and FRR require that materiality must be assessed by entities in determining disclosure requirements.</w:t>
      </w:r>
    </w:p>
    <w:p w14:paraId="3C455B47" w14:textId="5D07B6C3" w:rsidR="00200F02" w:rsidRPr="00200F02" w:rsidRDefault="00200F02" w:rsidP="00200F02">
      <w:r w:rsidRPr="00200F02">
        <w:t xml:space="preserve">For </w:t>
      </w:r>
      <w:r w:rsidR="00140567">
        <w:t>20</w:t>
      </w:r>
      <w:r w:rsidR="00140567" w:rsidRPr="00A652FC">
        <w:rPr>
          <w:color w:val="FF0000"/>
        </w:rPr>
        <w:t>XX-XX</w:t>
      </w:r>
      <w:r w:rsidRPr="00A652FC">
        <w:rPr>
          <w:color w:val="FF0000"/>
        </w:rPr>
        <w:t xml:space="preserve"> </w:t>
      </w:r>
      <w:r w:rsidRPr="00200F02">
        <w:t xml:space="preserve">Financial Statements, </w:t>
      </w:r>
      <w:r w:rsidR="00C17B92">
        <w:rPr>
          <w:color w:val="FF0000"/>
        </w:rPr>
        <w:t>[entity’s n</w:t>
      </w:r>
      <w:r w:rsidR="00E605B4" w:rsidRPr="00E605B4">
        <w:rPr>
          <w:color w:val="FF0000"/>
        </w:rPr>
        <w:t xml:space="preserve">ame] </w:t>
      </w:r>
      <w:r w:rsidRPr="00200F02">
        <w:t xml:space="preserve">is aiming to improve usefulness and readability to users by simplifying disclosures and reducing unnecessary clutter. In revising disclosures, </w:t>
      </w:r>
      <w:r w:rsidR="004577E3">
        <w:rPr>
          <w:color w:val="FF0000"/>
        </w:rPr>
        <w:t>[entity’s n</w:t>
      </w:r>
      <w:r w:rsidR="004577E3" w:rsidRPr="00E605B4">
        <w:rPr>
          <w:color w:val="FF0000"/>
        </w:rPr>
        <w:t xml:space="preserve">ame] </w:t>
      </w:r>
      <w:r w:rsidRPr="00200F02">
        <w:t xml:space="preserve">has also considered materiality of information and compliance with AAS and the FRR. </w:t>
      </w:r>
    </w:p>
    <w:p w14:paraId="4BCB80F1" w14:textId="77777777" w:rsidR="00200F02" w:rsidRPr="00200F02" w:rsidRDefault="00C17B92" w:rsidP="00200F02">
      <w:pPr>
        <w:pStyle w:val="Heading3"/>
      </w:pPr>
      <w:r>
        <w:t>Defining m</w:t>
      </w:r>
      <w:r w:rsidR="00200F02" w:rsidRPr="00200F02">
        <w:t>ateriality</w:t>
      </w:r>
    </w:p>
    <w:p w14:paraId="591E88B2" w14:textId="51E02D78" w:rsidR="00200F02" w:rsidRPr="00E52269" w:rsidRDefault="00200F02" w:rsidP="00200F02">
      <w:pPr>
        <w:rPr>
          <w:i/>
        </w:rPr>
      </w:pPr>
      <w:r w:rsidRPr="00200F02">
        <w:t xml:space="preserve">Materiality can be difficult to define as it is based on both quantitative and qualitative factors, with the latter being more difficult. The AAS provide some guidance which is contained in </w:t>
      </w:r>
      <w:r w:rsidRPr="000C551F">
        <w:rPr>
          <w:i/>
        </w:rPr>
        <w:t>AASB101 Presentation of Financial Statements</w:t>
      </w:r>
      <w:r w:rsidRPr="00200F02">
        <w:t xml:space="preserve"> </w:t>
      </w:r>
      <w:r w:rsidRPr="00E52269">
        <w:t xml:space="preserve">&amp; </w:t>
      </w:r>
      <w:r w:rsidR="00E52269">
        <w:rPr>
          <w:i/>
        </w:rPr>
        <w:t>AASB</w:t>
      </w:r>
      <w:r w:rsidRPr="00E52269">
        <w:rPr>
          <w:i/>
        </w:rPr>
        <w:t xml:space="preserve">108 Accounting Policies, Changes in </w:t>
      </w:r>
      <w:r w:rsidR="00E52269">
        <w:rPr>
          <w:i/>
        </w:rPr>
        <w:t xml:space="preserve">Accounting Estimates and Errors </w:t>
      </w:r>
      <w:r w:rsidR="00E52269" w:rsidRPr="00AA33D2">
        <w:t>and</w:t>
      </w:r>
      <w:r w:rsidR="00E52269">
        <w:rPr>
          <w:i/>
        </w:rPr>
        <w:t xml:space="preserve"> AASB1060 General Purpose Financial Statements – Simplified Disclosures for For-Profit and Not-for-Profit Tier 2 Entities.</w:t>
      </w:r>
    </w:p>
    <w:p w14:paraId="73D643F3" w14:textId="4FE2A8E3" w:rsidR="00E93B0F" w:rsidRDefault="00C17B92" w:rsidP="00E52B06">
      <w:pPr>
        <w:rPr>
          <w:i/>
        </w:rPr>
      </w:pPr>
      <w:r w:rsidRPr="00E52269">
        <w:t>As p</w:t>
      </w:r>
      <w:r w:rsidR="00200F02" w:rsidRPr="00E52269">
        <w:t>er AASB10</w:t>
      </w:r>
      <w:r w:rsidR="00E52269">
        <w:t>1.7</w:t>
      </w:r>
      <w:r w:rsidR="00200F02" w:rsidRPr="00E52269">
        <w:t xml:space="preserve"> </w:t>
      </w:r>
      <w:r w:rsidR="00E52269" w:rsidRPr="00E52269">
        <w:t>and AASB1060</w:t>
      </w:r>
      <w:r w:rsidR="00E52269">
        <w:t>.22</w:t>
      </w:r>
      <w:r w:rsidR="00E52269" w:rsidRPr="00E52269">
        <w:t xml:space="preserve"> </w:t>
      </w:r>
      <w:r w:rsidR="00200F02" w:rsidRPr="00E52269">
        <w:rPr>
          <w:i/>
        </w:rPr>
        <w:t>“</w:t>
      </w:r>
      <w:r w:rsidR="00E52B06" w:rsidRPr="00E52269">
        <w:rPr>
          <w:i/>
        </w:rPr>
        <w:t>Information</w:t>
      </w:r>
      <w:r w:rsidR="00E52B06" w:rsidRPr="00E52B06">
        <w:rPr>
          <w:i/>
        </w:rPr>
        <w:t xml:space="preserve"> is material if omitting, misstating or obscuring it could reasonably be expected to</w:t>
      </w:r>
      <w:r w:rsidR="00E52B06">
        <w:rPr>
          <w:i/>
        </w:rPr>
        <w:t xml:space="preserve"> </w:t>
      </w:r>
      <w:r w:rsidR="00E52B06" w:rsidRPr="00E52B06">
        <w:rPr>
          <w:i/>
        </w:rPr>
        <w:t>influence decisions that the primary users of general purpose financial statements make on the basis</w:t>
      </w:r>
      <w:r w:rsidR="00E52B06">
        <w:rPr>
          <w:i/>
        </w:rPr>
        <w:t xml:space="preserve"> </w:t>
      </w:r>
      <w:r w:rsidR="00E52B06" w:rsidRPr="00E52B06">
        <w:rPr>
          <w:i/>
        </w:rPr>
        <w:t>of those financial statements, which provide financial information about a specific reporting entity.</w:t>
      </w:r>
      <w:r w:rsidR="00E52269">
        <w:rPr>
          <w:i/>
        </w:rPr>
        <w:t>”</w:t>
      </w:r>
      <w:r w:rsidR="00E52B06">
        <w:rPr>
          <w:i/>
        </w:rPr>
        <w:t xml:space="preserve"> </w:t>
      </w:r>
    </w:p>
    <w:p w14:paraId="036F0B21" w14:textId="2E162C1C" w:rsidR="00E52B06" w:rsidRDefault="00E52269" w:rsidP="00E52B06">
      <w:pPr>
        <w:rPr>
          <w:i/>
        </w:rPr>
      </w:pPr>
      <w:r w:rsidRPr="00E52269">
        <w:t>AASB101.7 further states</w:t>
      </w:r>
      <w:r>
        <w:rPr>
          <w:i/>
        </w:rPr>
        <w:t xml:space="preserve"> “</w:t>
      </w:r>
      <w:r w:rsidR="00E52B06" w:rsidRPr="00E52B06">
        <w:rPr>
          <w:i/>
        </w:rPr>
        <w:t>Materiality depends on the nature or magnitude of information, or both. An entity assesses whether</w:t>
      </w:r>
      <w:r w:rsidR="00E52B06">
        <w:rPr>
          <w:i/>
        </w:rPr>
        <w:t xml:space="preserve"> </w:t>
      </w:r>
      <w:r w:rsidR="00E52B06" w:rsidRPr="00E52B06">
        <w:rPr>
          <w:i/>
        </w:rPr>
        <w:t>information, either individually or in combination with other information, is material in the context of its</w:t>
      </w:r>
      <w:r w:rsidR="00E52B06">
        <w:rPr>
          <w:i/>
        </w:rPr>
        <w:t xml:space="preserve"> </w:t>
      </w:r>
      <w:r w:rsidR="00E52B06" w:rsidRPr="00E52B06">
        <w:rPr>
          <w:i/>
        </w:rPr>
        <w:t>financial statements taken as a whole.</w:t>
      </w:r>
      <w:r w:rsidR="00E52B06">
        <w:rPr>
          <w:i/>
        </w:rPr>
        <w:t>”</w:t>
      </w:r>
    </w:p>
    <w:p w14:paraId="1DDF5994" w14:textId="77777777" w:rsidR="00200F02" w:rsidRPr="00200F02" w:rsidRDefault="00200F02" w:rsidP="00200F02">
      <w:r w:rsidRPr="00507ED2">
        <w:t xml:space="preserve">Finally, AASB108.8 highlights the need to balance AAS requirements with materiality assessments. Whilst it is appropriate to not apply some accounting policies where the effect is immaterial, </w:t>
      </w:r>
      <w:r w:rsidR="00C17B92" w:rsidRPr="00507ED2">
        <w:rPr>
          <w:i/>
        </w:rPr>
        <w:t>“</w:t>
      </w:r>
      <w:r w:rsidRPr="00507ED2">
        <w:rPr>
          <w:i/>
        </w:rPr>
        <w:t>it is inappropriate to make, or leave uncorrected, immaterial departures from</w:t>
      </w:r>
      <w:r w:rsidR="00C17B92" w:rsidRPr="00507ED2">
        <w:rPr>
          <w:i/>
        </w:rPr>
        <w:t xml:space="preserve"> the AAS</w:t>
      </w:r>
      <w:r w:rsidRPr="00507ED2">
        <w:rPr>
          <w:i/>
        </w:rPr>
        <w:t xml:space="preserve"> to achieve a particular presentation of an </w:t>
      </w:r>
      <w:r w:rsidR="00E605B4" w:rsidRPr="00507ED2">
        <w:rPr>
          <w:i/>
        </w:rPr>
        <w:t>Entity’s</w:t>
      </w:r>
      <w:r w:rsidRPr="00507ED2">
        <w:rPr>
          <w:i/>
        </w:rPr>
        <w:t xml:space="preserve"> financial position, financial performance or cash flows.”</w:t>
      </w:r>
    </w:p>
    <w:p w14:paraId="1C7C4C1F" w14:textId="77777777" w:rsidR="00200F02" w:rsidRPr="00200F02" w:rsidRDefault="00ED1B94" w:rsidP="00140567">
      <w:pPr>
        <w:pStyle w:val="Heading3"/>
      </w:pPr>
      <w:r>
        <w:t>Setting the materiality t</w:t>
      </w:r>
      <w:r w:rsidR="00200F02" w:rsidRPr="00200F02">
        <w:t xml:space="preserve">hreshold for </w:t>
      </w:r>
      <w:r w:rsidR="00140567">
        <w:t>20</w:t>
      </w:r>
      <w:r w:rsidR="00140567" w:rsidRPr="00A652FC">
        <w:rPr>
          <w:color w:val="FF0000"/>
        </w:rPr>
        <w:t>XX-XX</w:t>
      </w:r>
    </w:p>
    <w:p w14:paraId="6781146E" w14:textId="77777777" w:rsidR="00200F02" w:rsidRPr="00200F02" w:rsidRDefault="00C17B92" w:rsidP="00200F02">
      <w:r>
        <w:t>The ANAO</w:t>
      </w:r>
      <w:r w:rsidR="00200F02" w:rsidRPr="00200F02">
        <w:t xml:space="preserve"> sets an “audit materiality” threshold for each </w:t>
      </w:r>
      <w:r w:rsidR="00E605B4">
        <w:t xml:space="preserve">entity </w:t>
      </w:r>
      <w:r w:rsidR="00200F02" w:rsidRPr="00200F02">
        <w:t xml:space="preserve">in accordance with the auditing standards made by the Australian Auditing and Assurance Board. These materiality levels are expected to be conservative and are not generally shared with audit clients. Whilst </w:t>
      </w:r>
      <w:r>
        <w:rPr>
          <w:color w:val="FF0000"/>
        </w:rPr>
        <w:t>[entity’s n</w:t>
      </w:r>
      <w:r w:rsidR="00E605B4" w:rsidRPr="00E605B4">
        <w:rPr>
          <w:color w:val="FF0000"/>
        </w:rPr>
        <w:t xml:space="preserve">ame] </w:t>
      </w:r>
      <w:r w:rsidR="00200F02" w:rsidRPr="00200F02">
        <w:t xml:space="preserve">does not have access to the ANAO adopted materiality threshold, it is prudent to define materiality in </w:t>
      </w:r>
      <w:r>
        <w:rPr>
          <w:color w:val="FF0000"/>
        </w:rPr>
        <w:t>[entity’s n</w:t>
      </w:r>
      <w:r w:rsidR="00E605B4" w:rsidRPr="00E605B4">
        <w:rPr>
          <w:color w:val="FF0000"/>
        </w:rPr>
        <w:t>ame]</w:t>
      </w:r>
      <w:r w:rsidR="00E605B4">
        <w:t xml:space="preserve"> </w:t>
      </w:r>
      <w:r w:rsidR="00200F02" w:rsidRPr="00200F02">
        <w:t xml:space="preserve">financial statements. </w:t>
      </w:r>
    </w:p>
    <w:p w14:paraId="5DF9B1A0" w14:textId="77777777" w:rsidR="00200F02" w:rsidRPr="00200F02" w:rsidRDefault="00200F02" w:rsidP="00200F02">
      <w:r w:rsidRPr="00200F02">
        <w:t xml:space="preserve">The </w:t>
      </w:r>
      <w:r w:rsidR="00E605B4">
        <w:t>entity</w:t>
      </w:r>
      <w:r w:rsidRPr="00200F02">
        <w:t xml:space="preserve">-defined materiality threshold for information disclosure which is calculated as 2% of </w:t>
      </w:r>
      <w:r w:rsidR="00140567">
        <w:t>20</w:t>
      </w:r>
      <w:r w:rsidR="00140567" w:rsidRPr="00A652FC">
        <w:rPr>
          <w:color w:val="FF0000"/>
        </w:rPr>
        <w:t>XX-XX</w:t>
      </w:r>
      <w:r w:rsidRPr="00A652FC">
        <w:rPr>
          <w:color w:val="FF0000"/>
        </w:rPr>
        <w:t xml:space="preserve"> </w:t>
      </w:r>
      <w:r w:rsidRPr="00200F02">
        <w:t xml:space="preserve">revenue balances for Departmental and Administered items is consistent with the AAS (refer </w:t>
      </w:r>
      <w:r w:rsidRPr="00AA33D2">
        <w:rPr>
          <w:u w:val="single"/>
        </w:rPr>
        <w:t>Attachment A</w:t>
      </w:r>
      <w:r w:rsidRPr="00200F02">
        <w:t>). This judgement is guided by consideration of the impact the omission, misstatement or non-disclosure has individually or collectively on the discharge of accountability by the department.</w:t>
      </w:r>
    </w:p>
    <w:p w14:paraId="4F203605" w14:textId="3A83D484" w:rsidR="00200F02" w:rsidRPr="00200F02" w:rsidRDefault="00200F02" w:rsidP="00200F02">
      <w:r w:rsidRPr="00200F02">
        <w:t>Portfolio Budget Statement</w:t>
      </w:r>
      <w:r w:rsidR="00C17B92">
        <w:t>s</w:t>
      </w:r>
      <w:r w:rsidRPr="00200F02">
        <w:t xml:space="preserve"> (PBS)</w:t>
      </w:r>
      <w:r w:rsidR="00C17B92">
        <w:t>,</w:t>
      </w:r>
      <w:r w:rsidRPr="00200F02">
        <w:t xml:space="preserve"> rather than prior year actual expenses</w:t>
      </w:r>
      <w:r w:rsidR="00625735">
        <w:rPr>
          <w:rStyle w:val="FootnoteReference"/>
        </w:rPr>
        <w:footnoteReference w:id="1"/>
      </w:r>
      <w:r w:rsidR="00C17B92">
        <w:t>,</w:t>
      </w:r>
      <w:r w:rsidRPr="00200F02">
        <w:t xml:space="preserve"> have been used to determine the current financial year materiality levels, given the variation in funding that occurs</w:t>
      </w:r>
      <w:r w:rsidR="00ED1B94">
        <w:t xml:space="preserve"> between years. Therefore</w:t>
      </w:r>
      <w:r w:rsidR="00140567">
        <w:t>,</w:t>
      </w:r>
      <w:r w:rsidR="00ED1B94">
        <w:t xml:space="preserve"> in </w:t>
      </w:r>
      <w:r w:rsidR="00140567">
        <w:t>20</w:t>
      </w:r>
      <w:r w:rsidR="00140567" w:rsidRPr="00A652FC">
        <w:rPr>
          <w:color w:val="FF0000"/>
        </w:rPr>
        <w:t>XX-XX</w:t>
      </w:r>
      <w:r w:rsidRPr="00200F02">
        <w:t>, total expenses as per the budgeted financial s</w:t>
      </w:r>
      <w:r w:rsidR="00ED1B94">
        <w:t xml:space="preserve">tatements in the </w:t>
      </w:r>
      <w:r w:rsidR="00140567">
        <w:t>20XX-XX</w:t>
      </w:r>
      <w:r w:rsidRPr="00200F02">
        <w:t xml:space="preserve"> PBS will be used as the base.</w:t>
      </w:r>
    </w:p>
    <w:p w14:paraId="21C53110" w14:textId="77777777" w:rsidR="00200F02" w:rsidRPr="00200F02" w:rsidRDefault="00ED1B94" w:rsidP="00200F02">
      <w:r>
        <w:rPr>
          <w:color w:val="FF0000"/>
        </w:rPr>
        <w:t>[Entity’s na</w:t>
      </w:r>
      <w:r w:rsidR="00E605B4" w:rsidRPr="00E605B4">
        <w:rPr>
          <w:color w:val="FF0000"/>
        </w:rPr>
        <w:t>me]</w:t>
      </w:r>
      <w:r w:rsidR="00200F02" w:rsidRPr="00200F02">
        <w:t>’s methodology for calculating the appropriate materiality threshold is also consistent with guidance provided in RMG125, an extract of which is inclu</w:t>
      </w:r>
      <w:r w:rsidR="00C17B92">
        <w:t>ded below in discussion around b</w:t>
      </w:r>
      <w:r w:rsidR="00200F02" w:rsidRPr="00200F02">
        <w:t>udge</w:t>
      </w:r>
      <w:r w:rsidR="00C17B92">
        <w:t>tary r</w:t>
      </w:r>
      <w:r w:rsidR="00200F02" w:rsidRPr="00200F02">
        <w:t xml:space="preserve">eporting. </w:t>
      </w:r>
    </w:p>
    <w:p w14:paraId="24F80516" w14:textId="77777777" w:rsidR="00200F02" w:rsidRPr="00200F02" w:rsidRDefault="00200F02" w:rsidP="00200F02">
      <w:r w:rsidRPr="00200F02">
        <w:t xml:space="preserve">This threshold is however not definitive and </w:t>
      </w:r>
      <w:r w:rsidR="00C17B92">
        <w:rPr>
          <w:color w:val="FF0000"/>
        </w:rPr>
        <w:t>[entity’s n</w:t>
      </w:r>
      <w:r w:rsidR="00E605B4" w:rsidRPr="00E605B4">
        <w:rPr>
          <w:color w:val="FF0000"/>
        </w:rPr>
        <w:t xml:space="preserve">ame] </w:t>
      </w:r>
      <w:r w:rsidRPr="00200F02">
        <w:t xml:space="preserve">reserves the right to apply professional judgement having regard to both quantitative and qualitative aspects of information, including the capacity to affect risks and opportunities of </w:t>
      </w:r>
      <w:r w:rsidR="00C17B92">
        <w:rPr>
          <w:color w:val="FF0000"/>
        </w:rPr>
        <w:t>[entity’s n</w:t>
      </w:r>
      <w:r w:rsidR="00E605B4" w:rsidRPr="00E605B4">
        <w:rPr>
          <w:color w:val="FF0000"/>
        </w:rPr>
        <w:t>ame]</w:t>
      </w:r>
      <w:r w:rsidRPr="00200F02">
        <w:t xml:space="preserve"> operations. </w:t>
      </w:r>
      <w:r w:rsidR="00C17B92">
        <w:rPr>
          <w:color w:val="FF0000"/>
        </w:rPr>
        <w:t>[Entity’s n</w:t>
      </w:r>
      <w:r w:rsidR="00E605B4" w:rsidRPr="00E605B4">
        <w:rPr>
          <w:color w:val="FF0000"/>
        </w:rPr>
        <w:t xml:space="preserve">ame] </w:t>
      </w:r>
      <w:r w:rsidRPr="00200F02">
        <w:t xml:space="preserve">will also consider </w:t>
      </w:r>
      <w:r w:rsidR="00C17B92">
        <w:t>the needs of the users such as senior management, Parliament, other accountable authorities and the p</w:t>
      </w:r>
      <w:r w:rsidRPr="00200F02">
        <w:t xml:space="preserve">ublic in applying this methodology. </w:t>
      </w:r>
    </w:p>
    <w:p w14:paraId="59E7E167" w14:textId="77777777" w:rsidR="00200F02" w:rsidRPr="00200F02" w:rsidRDefault="00C17B92" w:rsidP="00200F02">
      <w:pPr>
        <w:pStyle w:val="Heading3"/>
      </w:pPr>
      <w:r>
        <w:t>Specific line item c</w:t>
      </w:r>
      <w:r w:rsidR="00200F02" w:rsidRPr="00200F02">
        <w:t>onsiderations</w:t>
      </w:r>
    </w:p>
    <w:p w14:paraId="2FBF000A" w14:textId="77777777" w:rsidR="00200F02" w:rsidRPr="00200F02" w:rsidRDefault="00200F02" w:rsidP="00200F02">
      <w:r w:rsidRPr="00200F02">
        <w:t xml:space="preserve">In applying the above levels, </w:t>
      </w:r>
      <w:r w:rsidR="00C17B92">
        <w:rPr>
          <w:color w:val="FF0000"/>
        </w:rPr>
        <w:t>[entity’s n</w:t>
      </w:r>
      <w:r w:rsidR="00E605B4" w:rsidRPr="00E605B4">
        <w:rPr>
          <w:color w:val="FF0000"/>
        </w:rPr>
        <w:t xml:space="preserve">ame] </w:t>
      </w:r>
      <w:r w:rsidRPr="00200F02">
        <w:t>will remain mindful of any qualitative factors impacting on its materiality assessment - in particular whether the nature of the particular items causes it to be material even though it would be judged immaterial on the basis of the amount involved.</w:t>
      </w:r>
    </w:p>
    <w:p w14:paraId="4D714E62" w14:textId="77777777" w:rsidR="00200F02" w:rsidRPr="00200F02" w:rsidRDefault="00200F02" w:rsidP="00200F02">
      <w:r w:rsidRPr="00200F02">
        <w:t>Part 6 of the FRR specifies that information on appropriations and special accounts must be disclosed, regardless of materiality. Therefore, in order to give a true and fair view, the disclosure of these items must not take into account any materiality threshold.</w:t>
      </w:r>
    </w:p>
    <w:p w14:paraId="0ED8DBC6" w14:textId="77777777" w:rsidR="00200F02" w:rsidRPr="00200F02" w:rsidRDefault="00200F02" w:rsidP="00200F02">
      <w:r w:rsidRPr="00200F02">
        <w:t xml:space="preserve">For other required disclosures, tolerance levels for misstatements at an individual line item needs to be assessed by </w:t>
      </w:r>
      <w:r w:rsidR="00432078">
        <w:rPr>
          <w:color w:val="FF0000"/>
        </w:rPr>
        <w:t>[entity’s n</w:t>
      </w:r>
      <w:r w:rsidR="00E605B4" w:rsidRPr="00E605B4">
        <w:rPr>
          <w:color w:val="FF0000"/>
        </w:rPr>
        <w:t xml:space="preserve">ame] </w:t>
      </w:r>
      <w:r w:rsidRPr="00200F02">
        <w:t>on a case by case basis with regard to the inherent risk, effectiveness of internal controls, volume and quantum of errors expected and degree of subjectivity underpinning the measurement of the account balance.</w:t>
      </w:r>
    </w:p>
    <w:p w14:paraId="3073EA10" w14:textId="77777777" w:rsidR="00200F02" w:rsidRPr="00200F02" w:rsidRDefault="00200F02" w:rsidP="00200F02">
      <w:r w:rsidRPr="00200F02">
        <w:t xml:space="preserve">While the materiality threshold is set at </w:t>
      </w:r>
      <w:r w:rsidRPr="00432078">
        <w:rPr>
          <w:color w:val="FF0000"/>
        </w:rPr>
        <w:t>X</w:t>
      </w:r>
      <w:r w:rsidRPr="00200F02">
        <w:t>% due to the impracticality in setting a single materiality level for individual line items, individual line items may also be considered in the context of other appropriate measurement bases. An appropriate measurement base could be all items in the financial statements, relative items, or classes of items. For example:</w:t>
      </w:r>
    </w:p>
    <w:p w14:paraId="69E724F4" w14:textId="77777777" w:rsidR="00200F02" w:rsidRPr="00200F02" w:rsidRDefault="00432078" w:rsidP="00200F02">
      <w:pPr>
        <w:pStyle w:val="ListParagraph"/>
        <w:numPr>
          <w:ilvl w:val="0"/>
          <w:numId w:val="40"/>
        </w:numPr>
      </w:pPr>
      <w:r>
        <w:t>b</w:t>
      </w:r>
      <w:r w:rsidR="00200F02" w:rsidRPr="00200F02">
        <w:t>alance sheet items could be assessed relative to the appr</w:t>
      </w:r>
      <w:r>
        <w:t>opriate asset or liability base</w:t>
      </w:r>
    </w:p>
    <w:p w14:paraId="638186DF" w14:textId="77777777" w:rsidR="00200F02" w:rsidRPr="00200F02" w:rsidRDefault="00432078" w:rsidP="00200F02">
      <w:pPr>
        <w:pStyle w:val="ListParagraph"/>
        <w:numPr>
          <w:ilvl w:val="0"/>
          <w:numId w:val="40"/>
        </w:numPr>
      </w:pPr>
      <w:r>
        <w:t>c</w:t>
      </w:r>
      <w:r w:rsidR="00200F02" w:rsidRPr="00200F02">
        <w:t>ash flow items could be assessed against the net cash flow for operating, in</w:t>
      </w:r>
      <w:r>
        <w:t>vesting or financing activities,</w:t>
      </w:r>
      <w:r w:rsidR="00200F02" w:rsidRPr="00200F02">
        <w:t xml:space="preserve"> and</w:t>
      </w:r>
    </w:p>
    <w:p w14:paraId="7B1FF7DE" w14:textId="77777777" w:rsidR="00200F02" w:rsidRPr="00200F02" w:rsidRDefault="00432078" w:rsidP="00200F02">
      <w:pPr>
        <w:pStyle w:val="ListParagraph"/>
        <w:numPr>
          <w:ilvl w:val="0"/>
          <w:numId w:val="40"/>
        </w:numPr>
      </w:pPr>
      <w:r>
        <w:t>s</w:t>
      </w:r>
      <w:r w:rsidR="00200F02" w:rsidRPr="00200F02">
        <w:t>tatement of comprehensive income items could be assessed against relative net revenue and net expense figures.</w:t>
      </w:r>
    </w:p>
    <w:p w14:paraId="1474FE35" w14:textId="77777777" w:rsidR="00200F02" w:rsidRPr="00200F02" w:rsidRDefault="00432078" w:rsidP="00200F02">
      <w:pPr>
        <w:pStyle w:val="Heading3"/>
      </w:pPr>
      <w:r>
        <w:t>Budgetary r</w:t>
      </w:r>
      <w:r w:rsidR="00200F02" w:rsidRPr="00200F02">
        <w:t>eporting</w:t>
      </w:r>
    </w:p>
    <w:p w14:paraId="6748E2C9" w14:textId="77777777" w:rsidR="00200F02" w:rsidRPr="000C551F" w:rsidRDefault="00200F02" w:rsidP="00200F02">
      <w:pPr>
        <w:rPr>
          <w:i/>
        </w:rPr>
      </w:pPr>
      <w:r w:rsidRPr="000C551F">
        <w:rPr>
          <w:i/>
        </w:rPr>
        <w:t>AASB 1055 Budgetary Reporting</w:t>
      </w:r>
      <w:r w:rsidRPr="00200F02">
        <w:t xml:space="preserve"> does not define a ‘major variance’ or provide any specific guidance on what would constitute a major variance.  AASB1055.15 states that explan</w:t>
      </w:r>
      <w:r w:rsidR="000C551F">
        <w:t xml:space="preserve">ations of major variances are: </w:t>
      </w:r>
      <w:r w:rsidRPr="000C551F">
        <w:rPr>
          <w:i/>
        </w:rPr>
        <w:t xml:space="preserve">“…those relevant to an assessment of the discharge of accountability and to an analysis of performance…, not merely focusing on the numerical differences between original budget and actual amounts.  They include high-level explanations of the causes of major variances rather than merely the nature of the variances.”  </w:t>
      </w:r>
    </w:p>
    <w:p w14:paraId="72312750" w14:textId="77777777" w:rsidR="00200F02" w:rsidRPr="00200F02" w:rsidRDefault="00200F02" w:rsidP="00200F02">
      <w:r w:rsidRPr="00200F02">
        <w:t xml:space="preserve">Further guidance is contained in RMG 125: </w:t>
      </w:r>
    </w:p>
    <w:p w14:paraId="62BE1049" w14:textId="77777777" w:rsidR="000C551F" w:rsidRPr="000C551F" w:rsidRDefault="00200F02" w:rsidP="000C551F">
      <w:pPr>
        <w:pStyle w:val="NumberedList1"/>
        <w:rPr>
          <w:i/>
        </w:rPr>
      </w:pPr>
      <w:r w:rsidRPr="000C551F">
        <w:rPr>
          <w:i/>
        </w:rPr>
        <w:t>Reporting entities need to consider the materiality of variances. As a general guide, a variance may be considered material or major if it is:</w:t>
      </w:r>
    </w:p>
    <w:p w14:paraId="3083B3D6" w14:textId="77777777" w:rsidR="000C551F" w:rsidRPr="000C551F" w:rsidRDefault="00200F02" w:rsidP="000C551F">
      <w:pPr>
        <w:pStyle w:val="NumberedList2"/>
        <w:rPr>
          <w:i/>
        </w:rPr>
      </w:pPr>
      <w:r w:rsidRPr="000C551F">
        <w:rPr>
          <w:i/>
        </w:rPr>
        <w:t>more than +/- 10% of the line item for both Departmental and Administered; or</w:t>
      </w:r>
    </w:p>
    <w:p w14:paraId="4796E11F" w14:textId="77777777" w:rsidR="000C551F" w:rsidRPr="000C551F" w:rsidRDefault="00200F02" w:rsidP="000C551F">
      <w:pPr>
        <w:pStyle w:val="NumberedList2"/>
        <w:rPr>
          <w:i/>
        </w:rPr>
      </w:pPr>
      <w:r w:rsidRPr="000C551F">
        <w:rPr>
          <w:i/>
        </w:rPr>
        <w:t>more than +/- 2% of total expenses or total own-source revenue for Departmental only; and</w:t>
      </w:r>
    </w:p>
    <w:p w14:paraId="02474DF0" w14:textId="77777777" w:rsidR="00200F02" w:rsidRPr="000C551F" w:rsidRDefault="00200F02" w:rsidP="000C551F">
      <w:pPr>
        <w:pStyle w:val="NumberedList2"/>
        <w:rPr>
          <w:i/>
        </w:rPr>
      </w:pPr>
      <w:r w:rsidRPr="000C551F">
        <w:rPr>
          <w:i/>
        </w:rPr>
        <w:t>more than +/- 2% of the relevant sub-total for total expenses, revenue, assets or liabilities for Administered only.</w:t>
      </w:r>
    </w:p>
    <w:p w14:paraId="0485A457" w14:textId="77777777" w:rsidR="00200F02" w:rsidRPr="00200F02" w:rsidRDefault="00075FED" w:rsidP="00200F02">
      <w:r>
        <w:rPr>
          <w:color w:val="FF0000"/>
        </w:rPr>
        <w:t>[Entity’s n</w:t>
      </w:r>
      <w:r w:rsidR="00E605B4" w:rsidRPr="00E605B4">
        <w:rPr>
          <w:color w:val="FF0000"/>
        </w:rPr>
        <w:t xml:space="preserve">ame] </w:t>
      </w:r>
      <w:r w:rsidR="00200F02" w:rsidRPr="00200F02">
        <w:t xml:space="preserve">has considered the requirements of AASB 1055 and guidance in RMG 125 and adopted the materiality thresholds for budgetary reporting purposes outlined below: </w:t>
      </w:r>
    </w:p>
    <w:p w14:paraId="15FE6145" w14:textId="0A4ED33B" w:rsidR="00200F02" w:rsidRDefault="00200F02" w:rsidP="00A652FC">
      <w:pPr>
        <w:pStyle w:val="ListParagraph"/>
        <w:numPr>
          <w:ilvl w:val="0"/>
          <w:numId w:val="46"/>
        </w:numPr>
      </w:pPr>
      <w:r w:rsidRPr="00A652FC">
        <w:rPr>
          <w:b/>
        </w:rPr>
        <w:t>for Departmental items only:</w:t>
      </w:r>
      <w:r w:rsidRPr="00200F02">
        <w:t xml:space="preserve"> more than +/- 2% of Departmental re</w:t>
      </w:r>
      <w:r w:rsidR="00A652FC">
        <w:t xml:space="preserve">venue </w:t>
      </w:r>
      <w:r w:rsidRPr="00200F02">
        <w:t xml:space="preserve">defined materiality threshold for </w:t>
      </w:r>
      <w:r w:rsidR="00546040">
        <w:rPr>
          <w:color w:val="FF0000"/>
        </w:rPr>
        <w:t>[Entity’s n</w:t>
      </w:r>
      <w:r w:rsidR="00546040" w:rsidRPr="00E605B4">
        <w:rPr>
          <w:color w:val="FF0000"/>
        </w:rPr>
        <w:t xml:space="preserve">ame] </w:t>
      </w:r>
      <w:r w:rsidR="00546040" w:rsidRPr="005E75FB">
        <w:t>for</w:t>
      </w:r>
      <w:r w:rsidR="00546040">
        <w:rPr>
          <w:color w:val="FF0000"/>
        </w:rPr>
        <w:t xml:space="preserve"> </w:t>
      </w:r>
      <w:r w:rsidR="00140567">
        <w:t>20</w:t>
      </w:r>
      <w:r w:rsidR="00140567" w:rsidRPr="00A652FC">
        <w:rPr>
          <w:color w:val="FF0000"/>
        </w:rPr>
        <w:t>XX-XX</w:t>
      </w:r>
      <w:r w:rsidRPr="00A652FC">
        <w:rPr>
          <w:color w:val="FF0000"/>
        </w:rPr>
        <w:t xml:space="preserve"> </w:t>
      </w:r>
      <w:r w:rsidR="00A652FC">
        <w:t xml:space="preserve">(refer </w:t>
      </w:r>
      <w:r w:rsidR="00A652FC" w:rsidRPr="00AA33D2">
        <w:rPr>
          <w:u w:val="single"/>
        </w:rPr>
        <w:t>Attachment A</w:t>
      </w:r>
      <w:r w:rsidR="00A652FC">
        <w:t>),</w:t>
      </w:r>
      <w:r w:rsidRPr="00200F02">
        <w:t xml:space="preserve"> and</w:t>
      </w:r>
    </w:p>
    <w:p w14:paraId="5AE65F5C" w14:textId="77777777" w:rsidR="00A652FC" w:rsidRPr="00200F02" w:rsidRDefault="00A652FC" w:rsidP="00A652FC">
      <w:pPr>
        <w:pStyle w:val="ListParagraph"/>
      </w:pPr>
    </w:p>
    <w:p w14:paraId="52E52C11" w14:textId="0D0A2FF7" w:rsidR="00200F02" w:rsidRPr="00200F02" w:rsidRDefault="00200F02" w:rsidP="00D32799">
      <w:pPr>
        <w:pStyle w:val="ListParagraph"/>
        <w:numPr>
          <w:ilvl w:val="0"/>
          <w:numId w:val="46"/>
        </w:numPr>
      </w:pPr>
      <w:r w:rsidRPr="00A652FC">
        <w:rPr>
          <w:b/>
        </w:rPr>
        <w:t>for Administered items only:</w:t>
      </w:r>
      <w:r w:rsidRPr="00200F02">
        <w:t xml:space="preserve"> more than +/- 2% of the relevant sub-total for total expenses, revenue, assets or liabilities in line with the </w:t>
      </w:r>
      <w:r w:rsidR="007229F2">
        <w:rPr>
          <w:color w:val="FF0000"/>
        </w:rPr>
        <w:t>[Entity’s n</w:t>
      </w:r>
      <w:r w:rsidR="007229F2" w:rsidRPr="00E605B4">
        <w:rPr>
          <w:color w:val="FF0000"/>
        </w:rPr>
        <w:t>ame]</w:t>
      </w:r>
      <w:r w:rsidR="007229F2">
        <w:rPr>
          <w:color w:val="FF0000"/>
        </w:rPr>
        <w:t xml:space="preserve"> </w:t>
      </w:r>
      <w:r w:rsidRPr="00200F02">
        <w:t xml:space="preserve">defined materiality threshold for </w:t>
      </w:r>
      <w:r w:rsidR="00140567">
        <w:t>20</w:t>
      </w:r>
      <w:r w:rsidR="00140567" w:rsidRPr="00432078">
        <w:rPr>
          <w:color w:val="FF0000"/>
        </w:rPr>
        <w:t>XX-XX</w:t>
      </w:r>
      <w:r w:rsidRPr="00432078">
        <w:rPr>
          <w:color w:val="FF0000"/>
        </w:rPr>
        <w:t xml:space="preserve"> </w:t>
      </w:r>
      <w:r w:rsidRPr="00200F02">
        <w:t xml:space="preserve">(refer </w:t>
      </w:r>
      <w:r w:rsidRPr="00AA33D2">
        <w:rPr>
          <w:u w:val="single"/>
        </w:rPr>
        <w:t>Attachment A</w:t>
      </w:r>
      <w:r w:rsidRPr="00200F02">
        <w:t>).</w:t>
      </w:r>
    </w:p>
    <w:p w14:paraId="3CD87007" w14:textId="77777777" w:rsidR="00D32799" w:rsidRDefault="00D32799">
      <w:pPr>
        <w:suppressAutoHyphens w:val="0"/>
        <w:spacing w:before="0" w:after="120" w:line="440" w:lineRule="atLeast"/>
      </w:pPr>
      <w:r>
        <w:br w:type="page"/>
      </w:r>
    </w:p>
    <w:p w14:paraId="564E8CF1" w14:textId="77777777" w:rsidR="00200F02" w:rsidRPr="00200F02" w:rsidRDefault="00200F02" w:rsidP="009A4B70">
      <w:pPr>
        <w:pStyle w:val="Heading3"/>
      </w:pPr>
    </w:p>
    <w:p w14:paraId="1E81CF92" w14:textId="77777777" w:rsidR="00200F02" w:rsidRPr="00200F02" w:rsidRDefault="00200F02" w:rsidP="009A4B70">
      <w:pPr>
        <w:pStyle w:val="Heading3"/>
      </w:pPr>
    </w:p>
    <w:p w14:paraId="7504DB98" w14:textId="77777777" w:rsidR="00D32799" w:rsidRPr="009A4B70" w:rsidRDefault="00D32799" w:rsidP="00A652FC">
      <w:pPr>
        <w:pStyle w:val="Heading2Numbered"/>
        <w:numPr>
          <w:ilvl w:val="0"/>
          <w:numId w:val="0"/>
        </w:numPr>
        <w:rPr>
          <w:sz w:val="30"/>
          <w:szCs w:val="30"/>
        </w:rPr>
      </w:pPr>
      <w:r w:rsidRPr="009A4B70">
        <w:rPr>
          <w:sz w:val="30"/>
          <w:szCs w:val="30"/>
        </w:rPr>
        <w:t>Attachment</w:t>
      </w:r>
      <w:r w:rsidR="00ED1B94" w:rsidRPr="009A4B70">
        <w:rPr>
          <w:sz w:val="30"/>
          <w:szCs w:val="30"/>
        </w:rPr>
        <w:t xml:space="preserve"> A – Materiality assessment for </w:t>
      </w:r>
      <w:r w:rsidR="00140567" w:rsidRPr="009A4B70">
        <w:rPr>
          <w:sz w:val="30"/>
          <w:szCs w:val="30"/>
        </w:rPr>
        <w:t>20</w:t>
      </w:r>
      <w:r w:rsidR="00140567" w:rsidRPr="009A4B70">
        <w:rPr>
          <w:color w:val="FF0000"/>
          <w:sz w:val="30"/>
          <w:szCs w:val="30"/>
        </w:rPr>
        <w:t>XX-XX</w:t>
      </w:r>
    </w:p>
    <w:p w14:paraId="566941F7" w14:textId="77777777" w:rsidR="00A652FC" w:rsidRDefault="00432078" w:rsidP="00D32799">
      <w:pPr>
        <w:jc w:val="both"/>
        <w:rPr>
          <w:rFonts w:cstheme="minorHAnsi"/>
        </w:rPr>
      </w:pPr>
      <w:r>
        <w:rPr>
          <w:rFonts w:cstheme="minorHAnsi"/>
          <w:color w:val="FF0000"/>
        </w:rPr>
        <w:t>[Entity’s n</w:t>
      </w:r>
      <w:r w:rsidR="00E605B4" w:rsidRPr="00E605B4">
        <w:rPr>
          <w:rFonts w:cstheme="minorHAnsi"/>
          <w:color w:val="FF0000"/>
        </w:rPr>
        <w:t xml:space="preserve">ame] </w:t>
      </w:r>
      <w:r w:rsidR="00D32799" w:rsidRPr="00302EB5">
        <w:rPr>
          <w:rFonts w:cstheme="minorHAnsi"/>
        </w:rPr>
        <w:t xml:space="preserve">has performed calculations for materiality on the following balances derived from </w:t>
      </w:r>
      <w:r w:rsidR="00D32799">
        <w:rPr>
          <w:rFonts w:cstheme="minorHAnsi"/>
        </w:rPr>
        <w:t>Portfolio Budget Statements</w:t>
      </w:r>
      <w:r>
        <w:rPr>
          <w:rFonts w:cstheme="minorHAnsi"/>
        </w:rPr>
        <w:t xml:space="preserve"> (PBS)</w:t>
      </w:r>
      <w:r w:rsidR="00D32799" w:rsidRPr="00302EB5">
        <w:rPr>
          <w:rFonts w:cstheme="minorHAnsi"/>
        </w:rPr>
        <w:t xml:space="preserve">. </w:t>
      </w:r>
    </w:p>
    <w:p w14:paraId="1F14825D" w14:textId="5AB78321" w:rsidR="00D32799" w:rsidRPr="00302EB5" w:rsidRDefault="00D32799" w:rsidP="00D32799">
      <w:pPr>
        <w:jc w:val="both"/>
        <w:rPr>
          <w:rFonts w:cstheme="minorHAnsi"/>
        </w:rPr>
      </w:pPr>
      <w:r w:rsidRPr="00302EB5">
        <w:rPr>
          <w:rFonts w:cstheme="minorHAnsi"/>
        </w:rPr>
        <w:t xml:space="preserve">These calculations are in line with guidance included in the </w:t>
      </w:r>
      <w:r w:rsidRPr="00DD668E">
        <w:rPr>
          <w:rFonts w:cstheme="minorHAnsi"/>
        </w:rPr>
        <w:t xml:space="preserve">FRR in Section </w:t>
      </w:r>
      <w:r w:rsidR="00DD668E" w:rsidRPr="00DD668E">
        <w:rPr>
          <w:rFonts w:cstheme="minorHAnsi"/>
        </w:rPr>
        <w:t>7</w:t>
      </w:r>
      <w:r w:rsidRPr="00DD668E">
        <w:rPr>
          <w:rFonts w:cstheme="minorHAnsi"/>
        </w:rPr>
        <w:t xml:space="preserve"> Paragraphs </w:t>
      </w:r>
      <w:r w:rsidR="00DD668E" w:rsidRPr="00DD668E">
        <w:rPr>
          <w:rFonts w:cstheme="minorHAnsi"/>
        </w:rPr>
        <w:t>1</w:t>
      </w:r>
      <w:r w:rsidRPr="00DD668E">
        <w:rPr>
          <w:rFonts w:cstheme="minorHAnsi"/>
        </w:rPr>
        <w:t xml:space="preserve"> and </w:t>
      </w:r>
      <w:r w:rsidR="00DD668E" w:rsidRPr="00DD668E">
        <w:rPr>
          <w:rFonts w:cstheme="minorHAnsi"/>
        </w:rPr>
        <w:t>2</w:t>
      </w:r>
      <w:r w:rsidRPr="00DD668E">
        <w:rPr>
          <w:rFonts w:cstheme="minorHAnsi"/>
        </w:rPr>
        <w:t>:</w:t>
      </w:r>
    </w:p>
    <w:p w14:paraId="70D9F742" w14:textId="77777777" w:rsidR="00D32799" w:rsidRPr="00302EB5" w:rsidRDefault="00432078" w:rsidP="00432078">
      <w:pPr>
        <w:pStyle w:val="Bullet1"/>
      </w:pPr>
      <w:r>
        <w:t>Own Source Revenue—</w:t>
      </w:r>
      <w:r w:rsidR="00D32799" w:rsidRPr="00302EB5">
        <w:t>which excludes Gains and Revenue from Government.</w:t>
      </w:r>
    </w:p>
    <w:p w14:paraId="74EF9822" w14:textId="77777777" w:rsidR="00D32799" w:rsidRPr="00302EB5" w:rsidRDefault="00432078" w:rsidP="00432078">
      <w:pPr>
        <w:pStyle w:val="Bullet1"/>
      </w:pPr>
      <w:r>
        <w:t>Expenses—</w:t>
      </w:r>
      <w:r w:rsidR="00D32799" w:rsidRPr="00302EB5">
        <w:t>based on expenses included in Net Cost of Services.</w:t>
      </w:r>
    </w:p>
    <w:p w14:paraId="26AC459E" w14:textId="77777777" w:rsidR="00D32799" w:rsidRPr="00302EB5" w:rsidRDefault="00432078" w:rsidP="00432078">
      <w:pPr>
        <w:pStyle w:val="Bullet1"/>
      </w:pPr>
      <w:r>
        <w:t>Assets—</w:t>
      </w:r>
      <w:r w:rsidR="00D32799" w:rsidRPr="00302EB5">
        <w:t>includes all financial and non-financial assets balances.</w:t>
      </w:r>
    </w:p>
    <w:p w14:paraId="39F77C37" w14:textId="77777777" w:rsidR="00D32799" w:rsidRDefault="00432078" w:rsidP="00432078">
      <w:pPr>
        <w:pStyle w:val="Bullet1"/>
      </w:pPr>
      <w:r>
        <w:t>Liabilities—</w:t>
      </w:r>
      <w:r w:rsidR="00D32799" w:rsidRPr="00302EB5">
        <w:t>includes all payables and provisions.</w:t>
      </w:r>
    </w:p>
    <w:p w14:paraId="66651E33" w14:textId="305F00A9" w:rsidR="00432078" w:rsidRDefault="00432078" w:rsidP="00432078">
      <w:pPr>
        <w:pStyle w:val="Bullet1"/>
        <w:numPr>
          <w:ilvl w:val="0"/>
          <w:numId w:val="0"/>
        </w:numPr>
      </w:pPr>
      <w:r w:rsidRPr="00DD668E">
        <w:t xml:space="preserve">[The following tables are examples only. If these are used as a basis for preparing an </w:t>
      </w:r>
      <w:r w:rsidRPr="00DD668E">
        <w:br/>
        <w:t>entity specific position paper</w:t>
      </w:r>
      <w:r w:rsidR="00646ABE" w:rsidRPr="00DD668E">
        <w:t>, use</w:t>
      </w:r>
      <w:r w:rsidRPr="00DD668E">
        <w:t xml:space="preserve"> the </w:t>
      </w:r>
      <w:r w:rsidR="00A652FC" w:rsidRPr="00DD668E">
        <w:t xml:space="preserve">relevant PBS amounts for </w:t>
      </w:r>
      <w:r w:rsidRPr="00DD668E">
        <w:t>the entity]</w:t>
      </w:r>
      <w:r>
        <w:br/>
      </w:r>
    </w:p>
    <w:p w14:paraId="50446AA9" w14:textId="77777777" w:rsidR="00A652FC" w:rsidRDefault="00A652FC" w:rsidP="00432078">
      <w:pPr>
        <w:pStyle w:val="Bullet1"/>
        <w:numPr>
          <w:ilvl w:val="0"/>
          <w:numId w:val="0"/>
        </w:numPr>
      </w:pPr>
    </w:p>
    <w:tbl>
      <w:tblPr>
        <w:tblW w:w="8700" w:type="dxa"/>
        <w:tblLook w:val="04A0" w:firstRow="1" w:lastRow="0" w:firstColumn="1" w:lastColumn="0" w:noHBand="0" w:noVBand="1"/>
        <w:tblCaption w:val="Materiality Assessment Table"/>
        <w:tblDescription w:val="This assessment sets out the four major financial statements categories, providing the figures from the Portfolio Budget Statements and their materiality threshold."/>
      </w:tblPr>
      <w:tblGrid>
        <w:gridCol w:w="3460"/>
        <w:gridCol w:w="2320"/>
        <w:gridCol w:w="2920"/>
      </w:tblGrid>
      <w:tr w:rsidR="00AE69EE" w:rsidRPr="00AE69EE" w14:paraId="64159C4E" w14:textId="77777777" w:rsidTr="00075FED">
        <w:trPr>
          <w:trHeight w:val="315"/>
        </w:trPr>
        <w:tc>
          <w:tcPr>
            <w:tcW w:w="3460" w:type="dxa"/>
            <w:tcBorders>
              <w:top w:val="single" w:sz="8" w:space="0" w:color="auto"/>
              <w:left w:val="nil"/>
              <w:bottom w:val="nil"/>
              <w:right w:val="nil"/>
            </w:tcBorders>
            <w:shd w:val="clear" w:color="auto" w:fill="000000" w:themeFill="text1"/>
            <w:vAlign w:val="center"/>
            <w:hideMark/>
          </w:tcPr>
          <w:p w14:paraId="6BBCB0F4" w14:textId="77777777" w:rsidR="00AE69EE" w:rsidRPr="00AE69EE" w:rsidRDefault="00AE69EE" w:rsidP="00AE69EE">
            <w:pPr>
              <w:suppressAutoHyphens w:val="0"/>
              <w:spacing w:before="0" w:after="0" w:line="240" w:lineRule="auto"/>
              <w:jc w:val="center"/>
              <w:rPr>
                <w:rFonts w:ascii="Arial" w:eastAsia="Times New Roman" w:hAnsi="Arial" w:cs="Arial"/>
                <w:b/>
                <w:bCs/>
                <w:color w:val="FFFFFF"/>
                <w:sz w:val="20"/>
                <w:szCs w:val="20"/>
                <w:lang w:eastAsia="en-AU"/>
              </w:rPr>
            </w:pPr>
            <w:r w:rsidRPr="00AE69EE">
              <w:rPr>
                <w:rFonts w:ascii="Arial" w:eastAsia="Times New Roman" w:hAnsi="Arial" w:cstheme="minorHAnsi"/>
                <w:b/>
                <w:bCs/>
                <w:color w:val="FFFFFF"/>
                <w:sz w:val="20"/>
                <w:szCs w:val="20"/>
                <w:lang w:eastAsia="en-AU"/>
              </w:rPr>
              <w:t>Departmental</w:t>
            </w:r>
          </w:p>
        </w:tc>
        <w:tc>
          <w:tcPr>
            <w:tcW w:w="2320" w:type="dxa"/>
            <w:tcBorders>
              <w:top w:val="single" w:sz="8" w:space="0" w:color="auto"/>
              <w:left w:val="nil"/>
              <w:bottom w:val="nil"/>
              <w:right w:val="nil"/>
            </w:tcBorders>
            <w:shd w:val="clear" w:color="auto" w:fill="000000" w:themeFill="text1"/>
            <w:vAlign w:val="center"/>
            <w:hideMark/>
          </w:tcPr>
          <w:p w14:paraId="40DD7F7F" w14:textId="77777777" w:rsidR="00AE69EE" w:rsidRPr="00AE69EE" w:rsidRDefault="00AE69EE" w:rsidP="00AE69EE">
            <w:pPr>
              <w:suppressAutoHyphens w:val="0"/>
              <w:spacing w:before="0" w:after="0" w:line="240" w:lineRule="auto"/>
              <w:jc w:val="center"/>
              <w:rPr>
                <w:rFonts w:ascii="Arial" w:eastAsia="Times New Roman" w:hAnsi="Arial" w:cs="Arial"/>
                <w:b/>
                <w:bCs/>
                <w:color w:val="FFFFFF"/>
                <w:sz w:val="20"/>
                <w:szCs w:val="20"/>
                <w:lang w:eastAsia="en-AU"/>
              </w:rPr>
            </w:pPr>
            <w:r w:rsidRPr="00AE69EE">
              <w:rPr>
                <w:rFonts w:ascii="Arial" w:eastAsia="Times New Roman" w:hAnsi="Arial" w:cs="Arial"/>
                <w:b/>
                <w:bCs/>
                <w:color w:val="FFFFFF"/>
                <w:sz w:val="20"/>
                <w:szCs w:val="20"/>
                <w:lang w:eastAsia="en-AU"/>
              </w:rPr>
              <w:t> </w:t>
            </w:r>
          </w:p>
        </w:tc>
        <w:tc>
          <w:tcPr>
            <w:tcW w:w="2920" w:type="dxa"/>
            <w:tcBorders>
              <w:top w:val="single" w:sz="8" w:space="0" w:color="auto"/>
              <w:left w:val="nil"/>
              <w:bottom w:val="single" w:sz="8" w:space="0" w:color="FFFFFF"/>
              <w:right w:val="nil"/>
            </w:tcBorders>
            <w:shd w:val="clear" w:color="auto" w:fill="000000" w:themeFill="text1"/>
            <w:vAlign w:val="center"/>
            <w:hideMark/>
          </w:tcPr>
          <w:p w14:paraId="0C70F28C" w14:textId="77777777" w:rsidR="00AE69EE" w:rsidRPr="00AE69EE" w:rsidRDefault="00AE69EE" w:rsidP="00AE69EE">
            <w:pPr>
              <w:suppressAutoHyphens w:val="0"/>
              <w:spacing w:before="0" w:after="0" w:line="240" w:lineRule="auto"/>
              <w:jc w:val="center"/>
              <w:rPr>
                <w:rFonts w:ascii="Arial" w:eastAsia="Times New Roman" w:hAnsi="Arial" w:cs="Arial"/>
                <w:b/>
                <w:bCs/>
                <w:color w:val="FFFFFF"/>
                <w:sz w:val="20"/>
                <w:szCs w:val="20"/>
                <w:lang w:eastAsia="en-AU"/>
              </w:rPr>
            </w:pPr>
            <w:r w:rsidRPr="00AE69EE">
              <w:rPr>
                <w:rFonts w:ascii="Arial" w:eastAsia="Times New Roman" w:hAnsi="Arial" w:cs="Arial"/>
                <w:b/>
                <w:bCs/>
                <w:color w:val="FFFFFF"/>
                <w:sz w:val="20"/>
                <w:szCs w:val="20"/>
                <w:lang w:eastAsia="en-AU"/>
              </w:rPr>
              <w:t> </w:t>
            </w:r>
          </w:p>
        </w:tc>
      </w:tr>
      <w:tr w:rsidR="00AE69EE" w:rsidRPr="00AE69EE" w14:paraId="2B4CDD78" w14:textId="77777777" w:rsidTr="00AE69EE">
        <w:trPr>
          <w:trHeight w:val="495"/>
        </w:trPr>
        <w:tc>
          <w:tcPr>
            <w:tcW w:w="3460" w:type="dxa"/>
            <w:tcBorders>
              <w:top w:val="single" w:sz="8" w:space="0" w:color="FFFFFF"/>
              <w:left w:val="single" w:sz="8" w:space="0" w:color="FFFFFF"/>
              <w:bottom w:val="nil"/>
              <w:right w:val="single" w:sz="8" w:space="0" w:color="FFFFFF"/>
            </w:tcBorders>
            <w:shd w:val="clear" w:color="000000" w:fill="E2E3E2"/>
            <w:hideMark/>
          </w:tcPr>
          <w:p w14:paraId="2C1A4610" w14:textId="77777777" w:rsidR="00AE69EE" w:rsidRPr="00AE69EE" w:rsidRDefault="00AE69EE" w:rsidP="00AE69EE">
            <w:pPr>
              <w:suppressAutoHyphens w:val="0"/>
              <w:spacing w:before="0" w:after="0" w:line="240" w:lineRule="auto"/>
              <w:jc w:val="center"/>
              <w:rPr>
                <w:rFonts w:ascii="Arial" w:eastAsia="Times New Roman" w:hAnsi="Arial" w:cs="Arial"/>
                <w:b/>
                <w:bCs/>
                <w:i/>
                <w:iCs/>
                <w:color w:val="000000"/>
                <w:sz w:val="18"/>
                <w:szCs w:val="18"/>
                <w:lang w:eastAsia="en-AU"/>
              </w:rPr>
            </w:pPr>
            <w:r w:rsidRPr="00AE69EE">
              <w:rPr>
                <w:rFonts w:ascii="Arial" w:eastAsia="Times New Roman" w:hAnsi="Arial" w:cstheme="minorHAnsi"/>
                <w:b/>
                <w:bCs/>
                <w:i/>
                <w:iCs/>
                <w:color w:val="000000"/>
                <w:sz w:val="18"/>
                <w:szCs w:val="18"/>
                <w:lang w:eastAsia="en-AU"/>
              </w:rPr>
              <w:t>Major Category</w:t>
            </w:r>
          </w:p>
        </w:tc>
        <w:tc>
          <w:tcPr>
            <w:tcW w:w="2320" w:type="dxa"/>
            <w:tcBorders>
              <w:top w:val="single" w:sz="8" w:space="0" w:color="FFFFFF"/>
              <w:left w:val="nil"/>
              <w:bottom w:val="nil"/>
              <w:right w:val="single" w:sz="8" w:space="0" w:color="FFFFFF"/>
            </w:tcBorders>
            <w:shd w:val="clear" w:color="000000" w:fill="E2E3E2"/>
            <w:hideMark/>
          </w:tcPr>
          <w:p w14:paraId="06FE929B" w14:textId="77777777" w:rsidR="00AE69EE" w:rsidRPr="00AE69EE" w:rsidRDefault="00140567" w:rsidP="00AE69EE">
            <w:pPr>
              <w:suppressAutoHyphens w:val="0"/>
              <w:spacing w:before="0" w:after="0" w:line="240" w:lineRule="auto"/>
              <w:jc w:val="center"/>
              <w:rPr>
                <w:rFonts w:ascii="Arial" w:eastAsia="Times New Roman" w:hAnsi="Arial" w:cs="Arial"/>
                <w:b/>
                <w:bCs/>
                <w:i/>
                <w:iCs/>
                <w:color w:val="000000"/>
                <w:sz w:val="18"/>
                <w:szCs w:val="18"/>
                <w:lang w:eastAsia="en-AU"/>
              </w:rPr>
            </w:pPr>
            <w:r>
              <w:t>20</w:t>
            </w:r>
            <w:r w:rsidRPr="00432078">
              <w:rPr>
                <w:color w:val="FF0000"/>
              </w:rPr>
              <w:t>XX-XX</w:t>
            </w:r>
            <w:r w:rsidR="00AE69EE" w:rsidRPr="00432078">
              <w:rPr>
                <w:rFonts w:ascii="Arial" w:eastAsia="Times New Roman" w:hAnsi="Arial" w:cstheme="minorHAnsi"/>
                <w:b/>
                <w:bCs/>
                <w:i/>
                <w:iCs/>
                <w:color w:val="FF0000"/>
                <w:sz w:val="18"/>
                <w:szCs w:val="18"/>
                <w:lang w:eastAsia="en-AU"/>
              </w:rPr>
              <w:t xml:space="preserve"> </w:t>
            </w:r>
            <w:r w:rsidR="00AE69EE" w:rsidRPr="00AE69EE">
              <w:rPr>
                <w:rFonts w:ascii="Arial" w:eastAsia="Times New Roman" w:hAnsi="Arial" w:cstheme="minorHAnsi"/>
                <w:b/>
                <w:bCs/>
                <w:i/>
                <w:iCs/>
                <w:color w:val="000000"/>
                <w:sz w:val="18"/>
                <w:szCs w:val="18"/>
                <w:lang w:eastAsia="en-AU"/>
              </w:rPr>
              <w:t>PBS</w:t>
            </w:r>
            <w:r w:rsidR="00AE69EE" w:rsidRPr="00AE69EE">
              <w:rPr>
                <w:rFonts w:ascii="Arial" w:eastAsia="Times New Roman" w:hAnsi="Arial" w:cstheme="minorHAnsi"/>
                <w:b/>
                <w:bCs/>
                <w:i/>
                <w:iCs/>
                <w:color w:val="000000"/>
                <w:sz w:val="18"/>
                <w:szCs w:val="18"/>
                <w:lang w:eastAsia="en-AU"/>
              </w:rPr>
              <w:br/>
              <w:t>$’000</w:t>
            </w:r>
          </w:p>
        </w:tc>
        <w:tc>
          <w:tcPr>
            <w:tcW w:w="2920" w:type="dxa"/>
            <w:tcBorders>
              <w:top w:val="nil"/>
              <w:left w:val="nil"/>
              <w:bottom w:val="nil"/>
              <w:right w:val="single" w:sz="8" w:space="0" w:color="FFFFFF"/>
            </w:tcBorders>
            <w:shd w:val="clear" w:color="000000" w:fill="E2E3E2"/>
            <w:hideMark/>
          </w:tcPr>
          <w:p w14:paraId="6F4B0006" w14:textId="77777777" w:rsidR="00AE69EE" w:rsidRPr="00AE69EE" w:rsidRDefault="00AE69EE" w:rsidP="00AE69EE">
            <w:pPr>
              <w:suppressAutoHyphens w:val="0"/>
              <w:spacing w:before="0" w:after="0" w:line="240" w:lineRule="auto"/>
              <w:jc w:val="center"/>
              <w:rPr>
                <w:rFonts w:ascii="Arial" w:eastAsia="Times New Roman" w:hAnsi="Arial" w:cs="Arial"/>
                <w:b/>
                <w:bCs/>
                <w:i/>
                <w:iCs/>
                <w:color w:val="000000"/>
                <w:sz w:val="18"/>
                <w:szCs w:val="18"/>
                <w:lang w:eastAsia="en-AU"/>
              </w:rPr>
            </w:pPr>
            <w:r w:rsidRPr="00AE69EE">
              <w:rPr>
                <w:rFonts w:ascii="Arial" w:eastAsia="Times New Roman" w:hAnsi="Arial" w:cstheme="minorHAnsi"/>
                <w:b/>
                <w:bCs/>
                <w:i/>
                <w:iCs/>
                <w:color w:val="000000"/>
                <w:sz w:val="18"/>
                <w:szCs w:val="18"/>
                <w:lang w:eastAsia="en-AU"/>
              </w:rPr>
              <w:t>2% Materiality Threshold</w:t>
            </w:r>
            <w:r w:rsidRPr="00AE69EE">
              <w:rPr>
                <w:rFonts w:ascii="Arial" w:eastAsia="Times New Roman" w:hAnsi="Arial" w:cstheme="minorHAnsi"/>
                <w:b/>
                <w:bCs/>
                <w:i/>
                <w:iCs/>
                <w:color w:val="000000"/>
                <w:sz w:val="18"/>
                <w:szCs w:val="18"/>
                <w:lang w:eastAsia="en-AU"/>
              </w:rPr>
              <w:br/>
              <w:t>$’000</w:t>
            </w:r>
          </w:p>
        </w:tc>
      </w:tr>
      <w:tr w:rsidR="00AE69EE" w:rsidRPr="00AE69EE" w14:paraId="0349B5CD" w14:textId="77777777" w:rsidTr="00AE69EE">
        <w:trPr>
          <w:trHeight w:val="315"/>
        </w:trPr>
        <w:tc>
          <w:tcPr>
            <w:tcW w:w="3460" w:type="dxa"/>
            <w:tcBorders>
              <w:top w:val="single" w:sz="8" w:space="0" w:color="FFFFFF"/>
              <w:left w:val="single" w:sz="8" w:space="0" w:color="FFFFFF"/>
              <w:bottom w:val="single" w:sz="8" w:space="0" w:color="FFFFFF"/>
              <w:right w:val="single" w:sz="8" w:space="0" w:color="FFFFFF"/>
            </w:tcBorders>
            <w:shd w:val="clear" w:color="000000" w:fill="F2F2F2"/>
            <w:hideMark/>
          </w:tcPr>
          <w:p w14:paraId="3ED8FEAA"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Own Source Revenue </w:t>
            </w:r>
          </w:p>
        </w:tc>
        <w:tc>
          <w:tcPr>
            <w:tcW w:w="2320" w:type="dxa"/>
            <w:tcBorders>
              <w:top w:val="single" w:sz="8" w:space="0" w:color="FFFFFF"/>
              <w:left w:val="nil"/>
              <w:bottom w:val="single" w:sz="8" w:space="0" w:color="FFFFFF"/>
              <w:right w:val="single" w:sz="8" w:space="0" w:color="FFFFFF"/>
            </w:tcBorders>
            <w:shd w:val="clear" w:color="000000" w:fill="F2F2F2"/>
            <w:hideMark/>
          </w:tcPr>
          <w:p w14:paraId="25AE90D5"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500,000 </w:t>
            </w:r>
          </w:p>
        </w:tc>
        <w:tc>
          <w:tcPr>
            <w:tcW w:w="2920" w:type="dxa"/>
            <w:tcBorders>
              <w:top w:val="single" w:sz="8" w:space="0" w:color="FFFFFF"/>
              <w:left w:val="nil"/>
              <w:bottom w:val="single" w:sz="8" w:space="0" w:color="FFFFFF"/>
              <w:right w:val="single" w:sz="8" w:space="0" w:color="FFFFFF"/>
            </w:tcBorders>
            <w:shd w:val="clear" w:color="000000" w:fill="F2F2F2"/>
            <w:hideMark/>
          </w:tcPr>
          <w:p w14:paraId="34F70363"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10,000 </w:t>
            </w:r>
          </w:p>
        </w:tc>
      </w:tr>
      <w:tr w:rsidR="00AE69EE" w:rsidRPr="00AE69EE" w14:paraId="321FFE6A" w14:textId="77777777" w:rsidTr="00AE69EE">
        <w:trPr>
          <w:trHeight w:val="315"/>
        </w:trPr>
        <w:tc>
          <w:tcPr>
            <w:tcW w:w="3460" w:type="dxa"/>
            <w:tcBorders>
              <w:top w:val="nil"/>
              <w:left w:val="single" w:sz="8" w:space="0" w:color="FFFFFF"/>
              <w:bottom w:val="single" w:sz="8" w:space="0" w:color="FFFFFF"/>
              <w:right w:val="single" w:sz="8" w:space="0" w:color="FFFFFF"/>
            </w:tcBorders>
            <w:shd w:val="clear" w:color="000000" w:fill="F2F2F2"/>
            <w:hideMark/>
          </w:tcPr>
          <w:p w14:paraId="3DD01BDD"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Expenses </w:t>
            </w:r>
          </w:p>
        </w:tc>
        <w:tc>
          <w:tcPr>
            <w:tcW w:w="2320" w:type="dxa"/>
            <w:tcBorders>
              <w:top w:val="nil"/>
              <w:left w:val="nil"/>
              <w:bottom w:val="single" w:sz="8" w:space="0" w:color="FFFFFF"/>
              <w:right w:val="single" w:sz="8" w:space="0" w:color="FFFFFF"/>
            </w:tcBorders>
            <w:shd w:val="clear" w:color="000000" w:fill="F2F2F2"/>
            <w:hideMark/>
          </w:tcPr>
          <w:p w14:paraId="73C9D56F"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550,000 </w:t>
            </w:r>
          </w:p>
        </w:tc>
        <w:tc>
          <w:tcPr>
            <w:tcW w:w="2920" w:type="dxa"/>
            <w:tcBorders>
              <w:top w:val="nil"/>
              <w:left w:val="nil"/>
              <w:bottom w:val="single" w:sz="8" w:space="0" w:color="FFFFFF"/>
              <w:right w:val="single" w:sz="8" w:space="0" w:color="FFFFFF"/>
            </w:tcBorders>
            <w:shd w:val="clear" w:color="000000" w:fill="F2F2F2"/>
            <w:hideMark/>
          </w:tcPr>
          <w:p w14:paraId="210E069A"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11,000 </w:t>
            </w:r>
          </w:p>
        </w:tc>
      </w:tr>
      <w:tr w:rsidR="00AE69EE" w:rsidRPr="00AE69EE" w14:paraId="070F1427" w14:textId="77777777" w:rsidTr="00AE69EE">
        <w:trPr>
          <w:trHeight w:val="315"/>
        </w:trPr>
        <w:tc>
          <w:tcPr>
            <w:tcW w:w="3460" w:type="dxa"/>
            <w:tcBorders>
              <w:top w:val="nil"/>
              <w:left w:val="single" w:sz="8" w:space="0" w:color="FFFFFF"/>
              <w:bottom w:val="single" w:sz="8" w:space="0" w:color="FFFFFF"/>
              <w:right w:val="single" w:sz="8" w:space="0" w:color="FFFFFF"/>
            </w:tcBorders>
            <w:shd w:val="clear" w:color="000000" w:fill="F2F2F2"/>
            <w:hideMark/>
          </w:tcPr>
          <w:p w14:paraId="106FF264"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Assets </w:t>
            </w:r>
          </w:p>
        </w:tc>
        <w:tc>
          <w:tcPr>
            <w:tcW w:w="2320" w:type="dxa"/>
            <w:tcBorders>
              <w:top w:val="nil"/>
              <w:left w:val="nil"/>
              <w:bottom w:val="single" w:sz="8" w:space="0" w:color="FFFFFF"/>
              <w:right w:val="single" w:sz="8" w:space="0" w:color="FFFFFF"/>
            </w:tcBorders>
            <w:shd w:val="clear" w:color="000000" w:fill="F2F2F2"/>
            <w:hideMark/>
          </w:tcPr>
          <w:p w14:paraId="31B29D8D"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1,000,000 </w:t>
            </w:r>
          </w:p>
        </w:tc>
        <w:tc>
          <w:tcPr>
            <w:tcW w:w="2920" w:type="dxa"/>
            <w:tcBorders>
              <w:top w:val="nil"/>
              <w:left w:val="nil"/>
              <w:bottom w:val="single" w:sz="8" w:space="0" w:color="FFFFFF"/>
              <w:right w:val="single" w:sz="8" w:space="0" w:color="FFFFFF"/>
            </w:tcBorders>
            <w:shd w:val="clear" w:color="000000" w:fill="F2F2F2"/>
            <w:hideMark/>
          </w:tcPr>
          <w:p w14:paraId="2C52FF0B"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20,000 </w:t>
            </w:r>
          </w:p>
        </w:tc>
      </w:tr>
      <w:tr w:rsidR="00AE69EE" w:rsidRPr="00AE69EE" w14:paraId="3D4EF516" w14:textId="77777777" w:rsidTr="00AE69EE">
        <w:trPr>
          <w:trHeight w:val="315"/>
        </w:trPr>
        <w:tc>
          <w:tcPr>
            <w:tcW w:w="3460" w:type="dxa"/>
            <w:tcBorders>
              <w:top w:val="nil"/>
              <w:left w:val="single" w:sz="8" w:space="0" w:color="FFFFFF"/>
              <w:bottom w:val="single" w:sz="8" w:space="0" w:color="FFFFFF"/>
              <w:right w:val="single" w:sz="8" w:space="0" w:color="FFFFFF"/>
            </w:tcBorders>
            <w:shd w:val="clear" w:color="000000" w:fill="F2F2F2"/>
            <w:hideMark/>
          </w:tcPr>
          <w:p w14:paraId="6884D6C2"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Liabilities </w:t>
            </w:r>
          </w:p>
        </w:tc>
        <w:tc>
          <w:tcPr>
            <w:tcW w:w="2320" w:type="dxa"/>
            <w:tcBorders>
              <w:top w:val="nil"/>
              <w:left w:val="nil"/>
              <w:bottom w:val="single" w:sz="8" w:space="0" w:color="FFFFFF"/>
              <w:right w:val="single" w:sz="8" w:space="0" w:color="FFFFFF"/>
            </w:tcBorders>
            <w:shd w:val="clear" w:color="000000" w:fill="F2F2F2"/>
            <w:hideMark/>
          </w:tcPr>
          <w:p w14:paraId="4B2FD254"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700,000 </w:t>
            </w:r>
          </w:p>
        </w:tc>
        <w:tc>
          <w:tcPr>
            <w:tcW w:w="2920" w:type="dxa"/>
            <w:tcBorders>
              <w:top w:val="nil"/>
              <w:left w:val="nil"/>
              <w:bottom w:val="single" w:sz="8" w:space="0" w:color="FFFFFF"/>
              <w:right w:val="single" w:sz="8" w:space="0" w:color="FFFFFF"/>
            </w:tcBorders>
            <w:shd w:val="clear" w:color="000000" w:fill="F2F2F2"/>
            <w:hideMark/>
          </w:tcPr>
          <w:p w14:paraId="04A4B20B"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14,000 </w:t>
            </w:r>
          </w:p>
        </w:tc>
      </w:tr>
      <w:tr w:rsidR="00AE69EE" w:rsidRPr="00AE69EE" w14:paraId="033A4CA4" w14:textId="77777777" w:rsidTr="00AE69EE">
        <w:trPr>
          <w:trHeight w:val="315"/>
        </w:trPr>
        <w:tc>
          <w:tcPr>
            <w:tcW w:w="3460" w:type="dxa"/>
            <w:tcBorders>
              <w:top w:val="single" w:sz="8" w:space="0" w:color="auto"/>
              <w:left w:val="nil"/>
              <w:bottom w:val="nil"/>
              <w:right w:val="nil"/>
            </w:tcBorders>
            <w:shd w:val="clear" w:color="000000" w:fill="1C1C1C"/>
            <w:vAlign w:val="center"/>
            <w:hideMark/>
          </w:tcPr>
          <w:p w14:paraId="191D2376" w14:textId="77777777" w:rsidR="00AE69EE" w:rsidRPr="00AE69EE" w:rsidRDefault="00AE69EE" w:rsidP="00AE69EE">
            <w:pPr>
              <w:suppressAutoHyphens w:val="0"/>
              <w:spacing w:before="0" w:after="0" w:line="240" w:lineRule="auto"/>
              <w:jc w:val="center"/>
              <w:rPr>
                <w:rFonts w:ascii="Arial" w:eastAsia="Times New Roman" w:hAnsi="Arial" w:cs="Arial"/>
                <w:b/>
                <w:bCs/>
                <w:color w:val="FFFFFF"/>
                <w:sz w:val="20"/>
                <w:szCs w:val="20"/>
                <w:lang w:eastAsia="en-AU"/>
              </w:rPr>
            </w:pPr>
            <w:r w:rsidRPr="00AE69EE">
              <w:rPr>
                <w:rFonts w:ascii="Arial" w:eastAsia="Times New Roman" w:hAnsi="Arial" w:cstheme="minorHAnsi"/>
                <w:b/>
                <w:bCs/>
                <w:color w:val="FFFFFF"/>
                <w:sz w:val="20"/>
                <w:szCs w:val="20"/>
                <w:lang w:eastAsia="en-AU"/>
              </w:rPr>
              <w:t>Administered</w:t>
            </w:r>
          </w:p>
        </w:tc>
        <w:tc>
          <w:tcPr>
            <w:tcW w:w="2320" w:type="dxa"/>
            <w:tcBorders>
              <w:top w:val="single" w:sz="8" w:space="0" w:color="auto"/>
              <w:left w:val="nil"/>
              <w:bottom w:val="nil"/>
              <w:right w:val="nil"/>
            </w:tcBorders>
            <w:shd w:val="clear" w:color="000000" w:fill="1C1C1C"/>
            <w:vAlign w:val="center"/>
            <w:hideMark/>
          </w:tcPr>
          <w:p w14:paraId="0DE630E0" w14:textId="77777777" w:rsidR="00AE69EE" w:rsidRPr="00AE69EE" w:rsidRDefault="00AE69EE" w:rsidP="00AE69EE">
            <w:pPr>
              <w:suppressAutoHyphens w:val="0"/>
              <w:spacing w:before="0" w:after="0" w:line="240" w:lineRule="auto"/>
              <w:jc w:val="center"/>
              <w:rPr>
                <w:rFonts w:ascii="Arial" w:eastAsia="Times New Roman" w:hAnsi="Arial" w:cs="Arial"/>
                <w:b/>
                <w:bCs/>
                <w:color w:val="FFFFFF"/>
                <w:sz w:val="20"/>
                <w:szCs w:val="20"/>
                <w:lang w:eastAsia="en-AU"/>
              </w:rPr>
            </w:pPr>
            <w:r w:rsidRPr="00AE69EE">
              <w:rPr>
                <w:rFonts w:ascii="Arial" w:eastAsia="Times New Roman" w:hAnsi="Arial" w:cs="Arial"/>
                <w:b/>
                <w:bCs/>
                <w:color w:val="FFFFFF"/>
                <w:sz w:val="20"/>
                <w:szCs w:val="20"/>
                <w:lang w:eastAsia="en-AU"/>
              </w:rPr>
              <w:t> </w:t>
            </w:r>
          </w:p>
        </w:tc>
        <w:tc>
          <w:tcPr>
            <w:tcW w:w="2920" w:type="dxa"/>
            <w:tcBorders>
              <w:top w:val="single" w:sz="8" w:space="0" w:color="auto"/>
              <w:left w:val="nil"/>
              <w:bottom w:val="nil"/>
              <w:right w:val="nil"/>
            </w:tcBorders>
            <w:shd w:val="clear" w:color="000000" w:fill="1C1C1C"/>
            <w:vAlign w:val="center"/>
            <w:hideMark/>
          </w:tcPr>
          <w:p w14:paraId="52EDAE08" w14:textId="77777777" w:rsidR="00AE69EE" w:rsidRPr="00AE69EE" w:rsidRDefault="00AE69EE" w:rsidP="00AE69EE">
            <w:pPr>
              <w:suppressAutoHyphens w:val="0"/>
              <w:spacing w:before="0" w:after="0" w:line="240" w:lineRule="auto"/>
              <w:jc w:val="center"/>
              <w:rPr>
                <w:rFonts w:ascii="Arial" w:eastAsia="Times New Roman" w:hAnsi="Arial" w:cs="Arial"/>
                <w:b/>
                <w:bCs/>
                <w:color w:val="FFFFFF"/>
                <w:sz w:val="20"/>
                <w:szCs w:val="20"/>
                <w:lang w:eastAsia="en-AU"/>
              </w:rPr>
            </w:pPr>
            <w:r w:rsidRPr="00AE69EE">
              <w:rPr>
                <w:rFonts w:ascii="Arial" w:eastAsia="Times New Roman" w:hAnsi="Arial" w:cs="Arial"/>
                <w:b/>
                <w:bCs/>
                <w:color w:val="FFFFFF"/>
                <w:sz w:val="20"/>
                <w:szCs w:val="20"/>
                <w:lang w:eastAsia="en-AU"/>
              </w:rPr>
              <w:t> </w:t>
            </w:r>
          </w:p>
        </w:tc>
      </w:tr>
      <w:tr w:rsidR="00AE69EE" w:rsidRPr="00AE69EE" w14:paraId="41812AA3" w14:textId="77777777" w:rsidTr="00AE69EE">
        <w:trPr>
          <w:trHeight w:val="495"/>
        </w:trPr>
        <w:tc>
          <w:tcPr>
            <w:tcW w:w="3460" w:type="dxa"/>
            <w:tcBorders>
              <w:top w:val="single" w:sz="8" w:space="0" w:color="FFFFFF"/>
              <w:left w:val="single" w:sz="8" w:space="0" w:color="FFFFFF"/>
              <w:bottom w:val="nil"/>
              <w:right w:val="single" w:sz="8" w:space="0" w:color="FFFFFF"/>
            </w:tcBorders>
            <w:shd w:val="clear" w:color="000000" w:fill="E2E3E2"/>
            <w:hideMark/>
          </w:tcPr>
          <w:p w14:paraId="6E9AD9FC" w14:textId="77777777" w:rsidR="00AE69EE" w:rsidRPr="00AE69EE" w:rsidRDefault="00AE69EE" w:rsidP="00AE69EE">
            <w:pPr>
              <w:suppressAutoHyphens w:val="0"/>
              <w:spacing w:before="0" w:after="0" w:line="240" w:lineRule="auto"/>
              <w:jc w:val="center"/>
              <w:rPr>
                <w:rFonts w:ascii="Arial" w:eastAsia="Times New Roman" w:hAnsi="Arial" w:cs="Arial"/>
                <w:b/>
                <w:bCs/>
                <w:i/>
                <w:iCs/>
                <w:color w:val="000000"/>
                <w:sz w:val="18"/>
                <w:szCs w:val="18"/>
                <w:lang w:eastAsia="en-AU"/>
              </w:rPr>
            </w:pPr>
            <w:r w:rsidRPr="00AE69EE">
              <w:rPr>
                <w:rFonts w:ascii="Arial" w:eastAsia="Times New Roman" w:hAnsi="Arial" w:cstheme="minorHAnsi"/>
                <w:b/>
                <w:bCs/>
                <w:i/>
                <w:iCs/>
                <w:color w:val="000000"/>
                <w:sz w:val="18"/>
                <w:szCs w:val="18"/>
                <w:lang w:eastAsia="en-AU"/>
              </w:rPr>
              <w:t>Major Category</w:t>
            </w:r>
          </w:p>
        </w:tc>
        <w:tc>
          <w:tcPr>
            <w:tcW w:w="2320" w:type="dxa"/>
            <w:tcBorders>
              <w:top w:val="single" w:sz="8" w:space="0" w:color="FFFFFF"/>
              <w:left w:val="nil"/>
              <w:bottom w:val="nil"/>
              <w:right w:val="single" w:sz="8" w:space="0" w:color="FFFFFF"/>
            </w:tcBorders>
            <w:shd w:val="clear" w:color="000000" w:fill="E2E3E2"/>
            <w:hideMark/>
          </w:tcPr>
          <w:p w14:paraId="45A99169" w14:textId="77777777" w:rsidR="00AE69EE" w:rsidRPr="00AE69EE" w:rsidRDefault="00140567" w:rsidP="00AE69EE">
            <w:pPr>
              <w:suppressAutoHyphens w:val="0"/>
              <w:spacing w:before="0" w:after="0" w:line="240" w:lineRule="auto"/>
              <w:jc w:val="center"/>
              <w:rPr>
                <w:rFonts w:ascii="Arial" w:eastAsia="Times New Roman" w:hAnsi="Arial" w:cs="Arial"/>
                <w:b/>
                <w:bCs/>
                <w:i/>
                <w:iCs/>
                <w:color w:val="000000"/>
                <w:sz w:val="18"/>
                <w:szCs w:val="18"/>
                <w:lang w:eastAsia="en-AU"/>
              </w:rPr>
            </w:pPr>
            <w:r>
              <w:t>20</w:t>
            </w:r>
            <w:r w:rsidRPr="00432078">
              <w:rPr>
                <w:color w:val="FF0000"/>
              </w:rPr>
              <w:t>XX-XX</w:t>
            </w:r>
            <w:r w:rsidR="00AE69EE" w:rsidRPr="00432078">
              <w:rPr>
                <w:rFonts w:ascii="Arial" w:eastAsia="Times New Roman" w:hAnsi="Arial" w:cstheme="minorHAnsi"/>
                <w:b/>
                <w:bCs/>
                <w:i/>
                <w:iCs/>
                <w:color w:val="FF0000"/>
                <w:sz w:val="18"/>
                <w:szCs w:val="18"/>
                <w:lang w:eastAsia="en-AU"/>
              </w:rPr>
              <w:t xml:space="preserve"> </w:t>
            </w:r>
            <w:r w:rsidR="00AE69EE" w:rsidRPr="00AE69EE">
              <w:rPr>
                <w:rFonts w:ascii="Arial" w:eastAsia="Times New Roman" w:hAnsi="Arial" w:cstheme="minorHAnsi"/>
                <w:b/>
                <w:bCs/>
                <w:i/>
                <w:iCs/>
                <w:color w:val="000000"/>
                <w:sz w:val="18"/>
                <w:szCs w:val="18"/>
                <w:lang w:eastAsia="en-AU"/>
              </w:rPr>
              <w:t>PBS</w:t>
            </w:r>
            <w:r w:rsidR="00AE69EE" w:rsidRPr="00AE69EE">
              <w:rPr>
                <w:rFonts w:ascii="Arial" w:eastAsia="Times New Roman" w:hAnsi="Arial" w:cstheme="minorHAnsi"/>
                <w:b/>
                <w:bCs/>
                <w:i/>
                <w:iCs/>
                <w:color w:val="000000"/>
                <w:sz w:val="18"/>
                <w:szCs w:val="18"/>
                <w:lang w:eastAsia="en-AU"/>
              </w:rPr>
              <w:br/>
              <w:t>$’000</w:t>
            </w:r>
          </w:p>
        </w:tc>
        <w:tc>
          <w:tcPr>
            <w:tcW w:w="2920" w:type="dxa"/>
            <w:tcBorders>
              <w:top w:val="single" w:sz="8" w:space="0" w:color="FFFFFF"/>
              <w:left w:val="nil"/>
              <w:bottom w:val="nil"/>
              <w:right w:val="single" w:sz="8" w:space="0" w:color="FFFFFF"/>
            </w:tcBorders>
            <w:shd w:val="clear" w:color="000000" w:fill="E2E3E2"/>
            <w:hideMark/>
          </w:tcPr>
          <w:p w14:paraId="153C331A" w14:textId="77777777" w:rsidR="00AE69EE" w:rsidRPr="00AE69EE" w:rsidRDefault="00AE69EE" w:rsidP="00AE69EE">
            <w:pPr>
              <w:suppressAutoHyphens w:val="0"/>
              <w:spacing w:before="0" w:after="0" w:line="240" w:lineRule="auto"/>
              <w:jc w:val="center"/>
              <w:rPr>
                <w:rFonts w:ascii="Arial" w:eastAsia="Times New Roman" w:hAnsi="Arial" w:cs="Arial"/>
                <w:b/>
                <w:bCs/>
                <w:i/>
                <w:iCs/>
                <w:color w:val="000000"/>
                <w:sz w:val="18"/>
                <w:szCs w:val="18"/>
                <w:lang w:eastAsia="en-AU"/>
              </w:rPr>
            </w:pPr>
            <w:r w:rsidRPr="00AE69EE">
              <w:rPr>
                <w:rFonts w:ascii="Arial" w:eastAsia="Times New Roman" w:hAnsi="Arial" w:cstheme="minorHAnsi"/>
                <w:b/>
                <w:bCs/>
                <w:i/>
                <w:iCs/>
                <w:color w:val="000000"/>
                <w:sz w:val="18"/>
                <w:szCs w:val="18"/>
                <w:lang w:eastAsia="en-AU"/>
              </w:rPr>
              <w:t>2% Materiality Threshold</w:t>
            </w:r>
            <w:r w:rsidRPr="00AE69EE">
              <w:rPr>
                <w:rFonts w:ascii="Arial" w:eastAsia="Times New Roman" w:hAnsi="Arial" w:cstheme="minorHAnsi"/>
                <w:b/>
                <w:bCs/>
                <w:i/>
                <w:iCs/>
                <w:color w:val="000000"/>
                <w:sz w:val="18"/>
                <w:szCs w:val="18"/>
                <w:lang w:eastAsia="en-AU"/>
              </w:rPr>
              <w:br/>
              <w:t>$’000</w:t>
            </w:r>
          </w:p>
        </w:tc>
      </w:tr>
      <w:tr w:rsidR="00AE69EE" w:rsidRPr="00AE69EE" w14:paraId="55EFA023" w14:textId="77777777" w:rsidTr="00AE69EE">
        <w:trPr>
          <w:trHeight w:val="315"/>
        </w:trPr>
        <w:tc>
          <w:tcPr>
            <w:tcW w:w="3460" w:type="dxa"/>
            <w:tcBorders>
              <w:top w:val="single" w:sz="8" w:space="0" w:color="FFFFFF"/>
              <w:left w:val="single" w:sz="8" w:space="0" w:color="FFFFFF"/>
              <w:bottom w:val="single" w:sz="8" w:space="0" w:color="FFFFFF"/>
              <w:right w:val="single" w:sz="8" w:space="0" w:color="FFFFFF"/>
            </w:tcBorders>
            <w:shd w:val="clear" w:color="000000" w:fill="F2F2F2"/>
            <w:hideMark/>
          </w:tcPr>
          <w:p w14:paraId="134D7FEA"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Own Source Revenue </w:t>
            </w:r>
          </w:p>
        </w:tc>
        <w:tc>
          <w:tcPr>
            <w:tcW w:w="2320" w:type="dxa"/>
            <w:tcBorders>
              <w:top w:val="single" w:sz="8" w:space="0" w:color="FFFFFF"/>
              <w:left w:val="nil"/>
              <w:bottom w:val="single" w:sz="8" w:space="0" w:color="FFFFFF"/>
              <w:right w:val="single" w:sz="8" w:space="0" w:color="FFFFFF"/>
            </w:tcBorders>
            <w:shd w:val="clear" w:color="000000" w:fill="F2F2F2"/>
            <w:hideMark/>
          </w:tcPr>
          <w:p w14:paraId="1F30FF8A"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500,000 </w:t>
            </w:r>
          </w:p>
        </w:tc>
        <w:tc>
          <w:tcPr>
            <w:tcW w:w="2920" w:type="dxa"/>
            <w:tcBorders>
              <w:top w:val="single" w:sz="8" w:space="0" w:color="FFFFFF"/>
              <w:left w:val="nil"/>
              <w:bottom w:val="single" w:sz="8" w:space="0" w:color="FFFFFF"/>
              <w:right w:val="single" w:sz="8" w:space="0" w:color="FFFFFF"/>
            </w:tcBorders>
            <w:shd w:val="clear" w:color="000000" w:fill="F2F2F2"/>
            <w:hideMark/>
          </w:tcPr>
          <w:p w14:paraId="35C80835"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10,000 </w:t>
            </w:r>
          </w:p>
        </w:tc>
      </w:tr>
      <w:tr w:rsidR="00AE69EE" w:rsidRPr="00AE69EE" w14:paraId="5C1F54EF" w14:textId="77777777" w:rsidTr="00AE69EE">
        <w:trPr>
          <w:trHeight w:val="315"/>
        </w:trPr>
        <w:tc>
          <w:tcPr>
            <w:tcW w:w="3460" w:type="dxa"/>
            <w:tcBorders>
              <w:top w:val="nil"/>
              <w:left w:val="single" w:sz="8" w:space="0" w:color="FFFFFF"/>
              <w:bottom w:val="single" w:sz="8" w:space="0" w:color="FFFFFF"/>
              <w:right w:val="single" w:sz="8" w:space="0" w:color="FFFFFF"/>
            </w:tcBorders>
            <w:shd w:val="clear" w:color="000000" w:fill="F2F2F2"/>
            <w:hideMark/>
          </w:tcPr>
          <w:p w14:paraId="64DF321C"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Expenses </w:t>
            </w:r>
          </w:p>
        </w:tc>
        <w:tc>
          <w:tcPr>
            <w:tcW w:w="2320" w:type="dxa"/>
            <w:tcBorders>
              <w:top w:val="nil"/>
              <w:left w:val="nil"/>
              <w:bottom w:val="single" w:sz="8" w:space="0" w:color="FFFFFF"/>
              <w:right w:val="single" w:sz="8" w:space="0" w:color="FFFFFF"/>
            </w:tcBorders>
            <w:shd w:val="clear" w:color="000000" w:fill="F2F2F2"/>
            <w:hideMark/>
          </w:tcPr>
          <w:p w14:paraId="61923C61"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10,000,000 </w:t>
            </w:r>
          </w:p>
        </w:tc>
        <w:tc>
          <w:tcPr>
            <w:tcW w:w="2920" w:type="dxa"/>
            <w:tcBorders>
              <w:top w:val="nil"/>
              <w:left w:val="nil"/>
              <w:bottom w:val="single" w:sz="8" w:space="0" w:color="FFFFFF"/>
              <w:right w:val="single" w:sz="8" w:space="0" w:color="FFFFFF"/>
            </w:tcBorders>
            <w:shd w:val="clear" w:color="000000" w:fill="F2F2F2"/>
            <w:hideMark/>
          </w:tcPr>
          <w:p w14:paraId="422337C5"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200,000 </w:t>
            </w:r>
          </w:p>
        </w:tc>
      </w:tr>
      <w:tr w:rsidR="00AE69EE" w:rsidRPr="00AE69EE" w14:paraId="506F8BAB" w14:textId="77777777" w:rsidTr="00AE69EE">
        <w:trPr>
          <w:trHeight w:val="315"/>
        </w:trPr>
        <w:tc>
          <w:tcPr>
            <w:tcW w:w="3460" w:type="dxa"/>
            <w:tcBorders>
              <w:top w:val="nil"/>
              <w:left w:val="single" w:sz="8" w:space="0" w:color="FFFFFF"/>
              <w:bottom w:val="single" w:sz="8" w:space="0" w:color="FFFFFF"/>
              <w:right w:val="single" w:sz="8" w:space="0" w:color="FFFFFF"/>
            </w:tcBorders>
            <w:shd w:val="clear" w:color="000000" w:fill="F2F2F2"/>
            <w:hideMark/>
          </w:tcPr>
          <w:p w14:paraId="390A42E5"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Assets </w:t>
            </w:r>
          </w:p>
        </w:tc>
        <w:tc>
          <w:tcPr>
            <w:tcW w:w="2320" w:type="dxa"/>
            <w:tcBorders>
              <w:top w:val="nil"/>
              <w:left w:val="nil"/>
              <w:bottom w:val="single" w:sz="8" w:space="0" w:color="FFFFFF"/>
              <w:right w:val="single" w:sz="8" w:space="0" w:color="FFFFFF"/>
            </w:tcBorders>
            <w:shd w:val="clear" w:color="000000" w:fill="F2F2F2"/>
            <w:hideMark/>
          </w:tcPr>
          <w:p w14:paraId="59B51E83"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250,000 </w:t>
            </w:r>
          </w:p>
        </w:tc>
        <w:tc>
          <w:tcPr>
            <w:tcW w:w="2920" w:type="dxa"/>
            <w:tcBorders>
              <w:top w:val="nil"/>
              <w:left w:val="nil"/>
              <w:bottom w:val="single" w:sz="8" w:space="0" w:color="FFFFFF"/>
              <w:right w:val="single" w:sz="8" w:space="0" w:color="FFFFFF"/>
            </w:tcBorders>
            <w:shd w:val="clear" w:color="000000" w:fill="F2F2F2"/>
            <w:hideMark/>
          </w:tcPr>
          <w:p w14:paraId="146060D5"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5,000 </w:t>
            </w:r>
          </w:p>
        </w:tc>
      </w:tr>
      <w:tr w:rsidR="00AE69EE" w:rsidRPr="00AE69EE" w14:paraId="65B4D896" w14:textId="77777777" w:rsidTr="00AE69EE">
        <w:trPr>
          <w:trHeight w:val="315"/>
        </w:trPr>
        <w:tc>
          <w:tcPr>
            <w:tcW w:w="3460" w:type="dxa"/>
            <w:tcBorders>
              <w:top w:val="nil"/>
              <w:left w:val="single" w:sz="8" w:space="0" w:color="FFFFFF"/>
              <w:bottom w:val="single" w:sz="8" w:space="0" w:color="FFFFFF"/>
              <w:right w:val="single" w:sz="8" w:space="0" w:color="FFFFFF"/>
            </w:tcBorders>
            <w:shd w:val="clear" w:color="000000" w:fill="F2F2F2"/>
            <w:hideMark/>
          </w:tcPr>
          <w:p w14:paraId="624DF31D"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Liabilities </w:t>
            </w:r>
          </w:p>
        </w:tc>
        <w:tc>
          <w:tcPr>
            <w:tcW w:w="2320" w:type="dxa"/>
            <w:tcBorders>
              <w:top w:val="nil"/>
              <w:left w:val="nil"/>
              <w:bottom w:val="single" w:sz="8" w:space="0" w:color="FFFFFF"/>
              <w:right w:val="single" w:sz="8" w:space="0" w:color="FFFFFF"/>
            </w:tcBorders>
            <w:shd w:val="clear" w:color="000000" w:fill="F2F2F2"/>
            <w:hideMark/>
          </w:tcPr>
          <w:p w14:paraId="63749120"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1,000,000 </w:t>
            </w:r>
          </w:p>
        </w:tc>
        <w:tc>
          <w:tcPr>
            <w:tcW w:w="2920" w:type="dxa"/>
            <w:tcBorders>
              <w:top w:val="nil"/>
              <w:left w:val="nil"/>
              <w:bottom w:val="single" w:sz="8" w:space="0" w:color="FFFFFF"/>
              <w:right w:val="single" w:sz="8" w:space="0" w:color="FFFFFF"/>
            </w:tcBorders>
            <w:shd w:val="clear" w:color="000000" w:fill="F2F2F2"/>
            <w:hideMark/>
          </w:tcPr>
          <w:p w14:paraId="09F0608E"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20,000 </w:t>
            </w:r>
          </w:p>
        </w:tc>
      </w:tr>
    </w:tbl>
    <w:p w14:paraId="65E5EAC0" w14:textId="77777777" w:rsidR="00A652FC" w:rsidRDefault="00A652FC" w:rsidP="00A652FC">
      <w:pPr>
        <w:rPr>
          <w:rFonts w:asciiTheme="majorHAnsi" w:eastAsiaTheme="majorEastAsia" w:hAnsiTheme="majorHAnsi" w:cstheme="majorBidi"/>
          <w:color w:val="1C1C1C" w:themeColor="text2"/>
          <w:sz w:val="30"/>
          <w:szCs w:val="26"/>
        </w:rPr>
      </w:pPr>
      <w:r>
        <w:br w:type="page"/>
      </w:r>
    </w:p>
    <w:p w14:paraId="406BB60B" w14:textId="77777777" w:rsidR="00D32799" w:rsidRPr="00302EB5" w:rsidRDefault="00D32799" w:rsidP="00D32799">
      <w:pPr>
        <w:pStyle w:val="Heading3"/>
      </w:pPr>
      <w:r w:rsidRPr="00302EB5">
        <w:t xml:space="preserve">Recalculation using </w:t>
      </w:r>
      <w:r w:rsidR="00A652FC">
        <w:t>prior-year financial s</w:t>
      </w:r>
      <w:r w:rsidR="00A652FC" w:rsidRPr="00302EB5">
        <w:t>tatements</w:t>
      </w:r>
      <w:r w:rsidR="00A652FC">
        <w:t xml:space="preserve"> a</w:t>
      </w:r>
      <w:r>
        <w:t xml:space="preserve">ctuals </w:t>
      </w:r>
    </w:p>
    <w:p w14:paraId="7F33AC38" w14:textId="77777777" w:rsidR="00D32799" w:rsidRDefault="00D32799" w:rsidP="00D32799">
      <w:pPr>
        <w:jc w:val="both"/>
        <w:rPr>
          <w:rFonts w:cstheme="minorHAnsi"/>
        </w:rPr>
      </w:pPr>
      <w:r w:rsidRPr="00302EB5">
        <w:rPr>
          <w:rFonts w:cstheme="minorHAnsi"/>
        </w:rPr>
        <w:t>These materiality levels are reasonably consistent when compare</w:t>
      </w:r>
      <w:r w:rsidR="00930081">
        <w:rPr>
          <w:rFonts w:cstheme="minorHAnsi"/>
        </w:rPr>
        <w:t xml:space="preserve">d with a calculation based on the prior </w:t>
      </w:r>
      <w:r w:rsidRPr="00302EB5">
        <w:rPr>
          <w:rFonts w:cstheme="minorHAnsi"/>
        </w:rPr>
        <w:t>financial statements</w:t>
      </w:r>
      <w:r w:rsidR="00930081">
        <w:rPr>
          <w:rFonts w:cstheme="minorHAnsi"/>
        </w:rPr>
        <w:t xml:space="preserve"> for </w:t>
      </w:r>
      <w:r w:rsidR="00140567">
        <w:t>20</w:t>
      </w:r>
      <w:r w:rsidR="00140567" w:rsidRPr="00A652FC">
        <w:rPr>
          <w:color w:val="FF0000"/>
        </w:rPr>
        <w:t>XX-XX</w:t>
      </w:r>
      <w:r w:rsidRPr="00A652FC">
        <w:rPr>
          <w:rFonts w:cstheme="minorHAnsi"/>
          <w:color w:val="FF0000"/>
        </w:rPr>
        <w:t xml:space="preserve"> </w:t>
      </w:r>
      <w:r w:rsidRPr="00302EB5">
        <w:rPr>
          <w:rFonts w:cstheme="minorHAnsi"/>
        </w:rPr>
        <w:t>using 2% of revenue which yielded similar results.</w:t>
      </w:r>
    </w:p>
    <w:tbl>
      <w:tblPr>
        <w:tblW w:w="8700" w:type="dxa"/>
        <w:tblLook w:val="04A0" w:firstRow="1" w:lastRow="0" w:firstColumn="1" w:lastColumn="0" w:noHBand="0" w:noVBand="1"/>
        <w:tblCaption w:val="Prior year recalulation materiality assessment"/>
        <w:tblDescription w:val="This assessment recaluates the materiality for the prior year using four major financial statements categories, providing the figures from the Portfolio Budget Statements and their materiality threshold."/>
      </w:tblPr>
      <w:tblGrid>
        <w:gridCol w:w="3460"/>
        <w:gridCol w:w="2320"/>
        <w:gridCol w:w="2920"/>
      </w:tblGrid>
      <w:tr w:rsidR="00AE69EE" w:rsidRPr="00AE69EE" w14:paraId="48EA7EFC" w14:textId="77777777" w:rsidTr="00AE69EE">
        <w:trPr>
          <w:trHeight w:val="315"/>
        </w:trPr>
        <w:tc>
          <w:tcPr>
            <w:tcW w:w="3460" w:type="dxa"/>
            <w:tcBorders>
              <w:top w:val="single" w:sz="8" w:space="0" w:color="auto"/>
              <w:left w:val="nil"/>
              <w:bottom w:val="nil"/>
              <w:right w:val="nil"/>
            </w:tcBorders>
            <w:shd w:val="clear" w:color="000000" w:fill="1C1C1C"/>
            <w:vAlign w:val="center"/>
            <w:hideMark/>
          </w:tcPr>
          <w:p w14:paraId="7C62D395" w14:textId="77777777" w:rsidR="00AE69EE" w:rsidRPr="00AE69EE" w:rsidRDefault="00AE69EE" w:rsidP="00AE69EE">
            <w:pPr>
              <w:suppressAutoHyphens w:val="0"/>
              <w:spacing w:before="0" w:after="0" w:line="240" w:lineRule="auto"/>
              <w:jc w:val="center"/>
              <w:rPr>
                <w:rFonts w:ascii="Arial" w:eastAsia="Times New Roman" w:hAnsi="Arial" w:cs="Arial"/>
                <w:b/>
                <w:bCs/>
                <w:color w:val="FFFFFF"/>
                <w:sz w:val="20"/>
                <w:szCs w:val="20"/>
                <w:lang w:eastAsia="en-AU"/>
              </w:rPr>
            </w:pPr>
            <w:r w:rsidRPr="00AE69EE">
              <w:rPr>
                <w:rFonts w:ascii="Arial" w:eastAsia="Times New Roman" w:hAnsi="Arial" w:cstheme="minorHAnsi"/>
                <w:b/>
                <w:bCs/>
                <w:color w:val="FFFFFF"/>
                <w:sz w:val="20"/>
                <w:szCs w:val="20"/>
                <w:lang w:eastAsia="en-AU"/>
              </w:rPr>
              <w:t>Departmental</w:t>
            </w:r>
          </w:p>
        </w:tc>
        <w:tc>
          <w:tcPr>
            <w:tcW w:w="2320" w:type="dxa"/>
            <w:tcBorders>
              <w:top w:val="single" w:sz="8" w:space="0" w:color="auto"/>
              <w:left w:val="nil"/>
              <w:bottom w:val="nil"/>
              <w:right w:val="nil"/>
            </w:tcBorders>
            <w:shd w:val="clear" w:color="000000" w:fill="1C1C1C"/>
            <w:vAlign w:val="center"/>
            <w:hideMark/>
          </w:tcPr>
          <w:p w14:paraId="765BE30D" w14:textId="77777777" w:rsidR="00AE69EE" w:rsidRPr="00AE69EE" w:rsidRDefault="00AE69EE" w:rsidP="00AE69EE">
            <w:pPr>
              <w:suppressAutoHyphens w:val="0"/>
              <w:spacing w:before="0" w:after="0" w:line="240" w:lineRule="auto"/>
              <w:jc w:val="center"/>
              <w:rPr>
                <w:rFonts w:ascii="Arial" w:eastAsia="Times New Roman" w:hAnsi="Arial" w:cs="Arial"/>
                <w:b/>
                <w:bCs/>
                <w:color w:val="FFFFFF"/>
                <w:sz w:val="20"/>
                <w:szCs w:val="20"/>
                <w:lang w:eastAsia="en-AU"/>
              </w:rPr>
            </w:pPr>
            <w:r w:rsidRPr="00AE69EE">
              <w:rPr>
                <w:rFonts w:ascii="Arial" w:eastAsia="Times New Roman" w:hAnsi="Arial" w:cs="Arial"/>
                <w:b/>
                <w:bCs/>
                <w:color w:val="FFFFFF"/>
                <w:sz w:val="20"/>
                <w:szCs w:val="20"/>
                <w:lang w:eastAsia="en-AU"/>
              </w:rPr>
              <w:t> </w:t>
            </w:r>
          </w:p>
        </w:tc>
        <w:tc>
          <w:tcPr>
            <w:tcW w:w="2920" w:type="dxa"/>
            <w:tcBorders>
              <w:top w:val="single" w:sz="8" w:space="0" w:color="auto"/>
              <w:left w:val="nil"/>
              <w:bottom w:val="single" w:sz="8" w:space="0" w:color="FFFFFF"/>
              <w:right w:val="nil"/>
            </w:tcBorders>
            <w:shd w:val="clear" w:color="000000" w:fill="1C1C1C"/>
            <w:vAlign w:val="center"/>
            <w:hideMark/>
          </w:tcPr>
          <w:p w14:paraId="3E226787" w14:textId="77777777" w:rsidR="00AE69EE" w:rsidRPr="00AE69EE" w:rsidRDefault="00AE69EE" w:rsidP="00AE69EE">
            <w:pPr>
              <w:suppressAutoHyphens w:val="0"/>
              <w:spacing w:before="0" w:after="0" w:line="240" w:lineRule="auto"/>
              <w:jc w:val="center"/>
              <w:rPr>
                <w:rFonts w:ascii="Arial" w:eastAsia="Times New Roman" w:hAnsi="Arial" w:cs="Arial"/>
                <w:b/>
                <w:bCs/>
                <w:color w:val="FFFFFF"/>
                <w:sz w:val="20"/>
                <w:szCs w:val="20"/>
                <w:lang w:eastAsia="en-AU"/>
              </w:rPr>
            </w:pPr>
            <w:r w:rsidRPr="00AE69EE">
              <w:rPr>
                <w:rFonts w:ascii="Arial" w:eastAsia="Times New Roman" w:hAnsi="Arial" w:cs="Arial"/>
                <w:b/>
                <w:bCs/>
                <w:color w:val="FFFFFF"/>
                <w:sz w:val="20"/>
                <w:szCs w:val="20"/>
                <w:lang w:eastAsia="en-AU"/>
              </w:rPr>
              <w:t> </w:t>
            </w:r>
          </w:p>
        </w:tc>
      </w:tr>
      <w:tr w:rsidR="00AE69EE" w:rsidRPr="00AE69EE" w14:paraId="4EF08BC7" w14:textId="77777777" w:rsidTr="00AE69EE">
        <w:trPr>
          <w:trHeight w:val="495"/>
        </w:trPr>
        <w:tc>
          <w:tcPr>
            <w:tcW w:w="3460" w:type="dxa"/>
            <w:tcBorders>
              <w:top w:val="single" w:sz="8" w:space="0" w:color="FFFFFF"/>
              <w:left w:val="single" w:sz="8" w:space="0" w:color="FFFFFF"/>
              <w:bottom w:val="nil"/>
              <w:right w:val="single" w:sz="8" w:space="0" w:color="FFFFFF"/>
            </w:tcBorders>
            <w:shd w:val="clear" w:color="000000" w:fill="E2E3E2"/>
            <w:hideMark/>
          </w:tcPr>
          <w:p w14:paraId="67165453" w14:textId="77777777" w:rsidR="00AE69EE" w:rsidRPr="00AE69EE" w:rsidRDefault="00AE69EE" w:rsidP="00AE69EE">
            <w:pPr>
              <w:suppressAutoHyphens w:val="0"/>
              <w:spacing w:before="0" w:after="0" w:line="240" w:lineRule="auto"/>
              <w:jc w:val="center"/>
              <w:rPr>
                <w:rFonts w:ascii="Arial" w:eastAsia="Times New Roman" w:hAnsi="Arial" w:cs="Arial"/>
                <w:b/>
                <w:bCs/>
                <w:i/>
                <w:iCs/>
                <w:color w:val="000000"/>
                <w:sz w:val="18"/>
                <w:szCs w:val="18"/>
                <w:lang w:eastAsia="en-AU"/>
              </w:rPr>
            </w:pPr>
            <w:r w:rsidRPr="00AE69EE">
              <w:rPr>
                <w:rFonts w:ascii="Arial" w:eastAsia="Times New Roman" w:hAnsi="Arial" w:cstheme="minorHAnsi"/>
                <w:b/>
                <w:bCs/>
                <w:i/>
                <w:iCs/>
                <w:color w:val="000000"/>
                <w:sz w:val="18"/>
                <w:szCs w:val="18"/>
                <w:lang w:eastAsia="en-AU"/>
              </w:rPr>
              <w:t>Major Category</w:t>
            </w:r>
          </w:p>
        </w:tc>
        <w:tc>
          <w:tcPr>
            <w:tcW w:w="2320" w:type="dxa"/>
            <w:tcBorders>
              <w:top w:val="single" w:sz="8" w:space="0" w:color="FFFFFF"/>
              <w:left w:val="nil"/>
              <w:bottom w:val="nil"/>
              <w:right w:val="single" w:sz="8" w:space="0" w:color="FFFFFF"/>
            </w:tcBorders>
            <w:shd w:val="clear" w:color="000000" w:fill="E2E3E2"/>
            <w:hideMark/>
          </w:tcPr>
          <w:p w14:paraId="5EADD8A1" w14:textId="77777777" w:rsidR="00AE69EE" w:rsidRPr="00AE69EE" w:rsidRDefault="00140567" w:rsidP="00AE69EE">
            <w:pPr>
              <w:suppressAutoHyphens w:val="0"/>
              <w:spacing w:before="0" w:after="0" w:line="240" w:lineRule="auto"/>
              <w:jc w:val="center"/>
              <w:rPr>
                <w:rFonts w:ascii="Arial" w:eastAsia="Times New Roman" w:hAnsi="Arial" w:cs="Arial"/>
                <w:b/>
                <w:bCs/>
                <w:i/>
                <w:iCs/>
                <w:color w:val="000000"/>
                <w:sz w:val="18"/>
                <w:szCs w:val="18"/>
                <w:lang w:eastAsia="en-AU"/>
              </w:rPr>
            </w:pPr>
            <w:r>
              <w:t>20</w:t>
            </w:r>
            <w:r w:rsidRPr="00432078">
              <w:rPr>
                <w:color w:val="FF0000"/>
              </w:rPr>
              <w:t>XX-XX</w:t>
            </w:r>
            <w:r w:rsidR="00AE69EE" w:rsidRPr="00432078">
              <w:rPr>
                <w:rFonts w:ascii="Arial" w:eastAsia="Times New Roman" w:hAnsi="Arial" w:cstheme="minorHAnsi"/>
                <w:b/>
                <w:bCs/>
                <w:i/>
                <w:iCs/>
                <w:color w:val="FF0000"/>
                <w:sz w:val="18"/>
                <w:szCs w:val="18"/>
                <w:lang w:eastAsia="en-AU"/>
              </w:rPr>
              <w:t xml:space="preserve"> </w:t>
            </w:r>
            <w:r w:rsidR="00AE69EE" w:rsidRPr="00AE69EE">
              <w:rPr>
                <w:rFonts w:ascii="Arial" w:eastAsia="Times New Roman" w:hAnsi="Arial" w:cstheme="minorHAnsi"/>
                <w:b/>
                <w:bCs/>
                <w:i/>
                <w:iCs/>
                <w:color w:val="000000"/>
                <w:sz w:val="18"/>
                <w:szCs w:val="18"/>
                <w:lang w:eastAsia="en-AU"/>
              </w:rPr>
              <w:t>Actuals</w:t>
            </w:r>
            <w:r w:rsidR="00AE69EE" w:rsidRPr="00AE69EE">
              <w:rPr>
                <w:rFonts w:ascii="Arial" w:eastAsia="Times New Roman" w:hAnsi="Arial" w:cstheme="minorHAnsi"/>
                <w:b/>
                <w:bCs/>
                <w:i/>
                <w:iCs/>
                <w:color w:val="000000"/>
                <w:sz w:val="18"/>
                <w:szCs w:val="18"/>
                <w:lang w:eastAsia="en-AU"/>
              </w:rPr>
              <w:br/>
              <w:t>$’000</w:t>
            </w:r>
          </w:p>
        </w:tc>
        <w:tc>
          <w:tcPr>
            <w:tcW w:w="2920" w:type="dxa"/>
            <w:tcBorders>
              <w:top w:val="nil"/>
              <w:left w:val="nil"/>
              <w:bottom w:val="nil"/>
              <w:right w:val="single" w:sz="8" w:space="0" w:color="FFFFFF"/>
            </w:tcBorders>
            <w:shd w:val="clear" w:color="000000" w:fill="E2E3E2"/>
            <w:hideMark/>
          </w:tcPr>
          <w:p w14:paraId="4E5C8895" w14:textId="77777777" w:rsidR="00AE69EE" w:rsidRPr="00AE69EE" w:rsidRDefault="00AE69EE" w:rsidP="00AE69EE">
            <w:pPr>
              <w:suppressAutoHyphens w:val="0"/>
              <w:spacing w:before="0" w:after="0" w:line="240" w:lineRule="auto"/>
              <w:jc w:val="center"/>
              <w:rPr>
                <w:rFonts w:ascii="Arial" w:eastAsia="Times New Roman" w:hAnsi="Arial" w:cs="Arial"/>
                <w:b/>
                <w:bCs/>
                <w:i/>
                <w:iCs/>
                <w:color w:val="000000"/>
                <w:sz w:val="18"/>
                <w:szCs w:val="18"/>
                <w:lang w:eastAsia="en-AU"/>
              </w:rPr>
            </w:pPr>
            <w:r w:rsidRPr="00AE69EE">
              <w:rPr>
                <w:rFonts w:ascii="Arial" w:eastAsia="Times New Roman" w:hAnsi="Arial" w:cstheme="minorHAnsi"/>
                <w:b/>
                <w:bCs/>
                <w:i/>
                <w:iCs/>
                <w:color w:val="000000"/>
                <w:sz w:val="18"/>
                <w:szCs w:val="18"/>
                <w:lang w:eastAsia="en-AU"/>
              </w:rPr>
              <w:t>2% Materiality Threshold</w:t>
            </w:r>
            <w:r w:rsidRPr="00AE69EE">
              <w:rPr>
                <w:rFonts w:ascii="Arial" w:eastAsia="Times New Roman" w:hAnsi="Arial" w:cstheme="minorHAnsi"/>
                <w:b/>
                <w:bCs/>
                <w:i/>
                <w:iCs/>
                <w:color w:val="000000"/>
                <w:sz w:val="18"/>
                <w:szCs w:val="18"/>
                <w:lang w:eastAsia="en-AU"/>
              </w:rPr>
              <w:br/>
              <w:t>$’000</w:t>
            </w:r>
          </w:p>
        </w:tc>
      </w:tr>
      <w:tr w:rsidR="00AE69EE" w:rsidRPr="00AE69EE" w14:paraId="54A5FBDA" w14:textId="77777777" w:rsidTr="00AE69EE">
        <w:trPr>
          <w:trHeight w:val="315"/>
        </w:trPr>
        <w:tc>
          <w:tcPr>
            <w:tcW w:w="3460" w:type="dxa"/>
            <w:tcBorders>
              <w:top w:val="single" w:sz="8" w:space="0" w:color="FFFFFF"/>
              <w:left w:val="single" w:sz="8" w:space="0" w:color="FFFFFF"/>
              <w:bottom w:val="single" w:sz="8" w:space="0" w:color="FFFFFF"/>
              <w:right w:val="single" w:sz="8" w:space="0" w:color="FFFFFF"/>
            </w:tcBorders>
            <w:shd w:val="clear" w:color="000000" w:fill="F2F2F2"/>
            <w:hideMark/>
          </w:tcPr>
          <w:p w14:paraId="7D2F2E5A"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Own Source Revenue </w:t>
            </w:r>
          </w:p>
        </w:tc>
        <w:tc>
          <w:tcPr>
            <w:tcW w:w="2320" w:type="dxa"/>
            <w:tcBorders>
              <w:top w:val="single" w:sz="8" w:space="0" w:color="FFFFFF"/>
              <w:left w:val="nil"/>
              <w:bottom w:val="single" w:sz="8" w:space="0" w:color="FFFFFF"/>
              <w:right w:val="single" w:sz="8" w:space="0" w:color="FFFFFF"/>
            </w:tcBorders>
            <w:shd w:val="clear" w:color="000000" w:fill="F2F2F2"/>
            <w:hideMark/>
          </w:tcPr>
          <w:p w14:paraId="16122377"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467,253 </w:t>
            </w:r>
          </w:p>
        </w:tc>
        <w:tc>
          <w:tcPr>
            <w:tcW w:w="2920" w:type="dxa"/>
            <w:tcBorders>
              <w:top w:val="single" w:sz="8" w:space="0" w:color="FFFFFF"/>
              <w:left w:val="nil"/>
              <w:bottom w:val="single" w:sz="8" w:space="0" w:color="FFFFFF"/>
              <w:right w:val="single" w:sz="8" w:space="0" w:color="FFFFFF"/>
            </w:tcBorders>
            <w:shd w:val="clear" w:color="000000" w:fill="F2F2F2"/>
            <w:hideMark/>
          </w:tcPr>
          <w:p w14:paraId="50E74DF1"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9,345 </w:t>
            </w:r>
          </w:p>
        </w:tc>
      </w:tr>
      <w:tr w:rsidR="00AE69EE" w:rsidRPr="00AE69EE" w14:paraId="142C438A" w14:textId="77777777" w:rsidTr="00AE69EE">
        <w:trPr>
          <w:trHeight w:val="315"/>
        </w:trPr>
        <w:tc>
          <w:tcPr>
            <w:tcW w:w="3460" w:type="dxa"/>
            <w:tcBorders>
              <w:top w:val="nil"/>
              <w:left w:val="single" w:sz="8" w:space="0" w:color="FFFFFF"/>
              <w:bottom w:val="single" w:sz="8" w:space="0" w:color="FFFFFF"/>
              <w:right w:val="single" w:sz="8" w:space="0" w:color="FFFFFF"/>
            </w:tcBorders>
            <w:shd w:val="clear" w:color="000000" w:fill="F2F2F2"/>
            <w:hideMark/>
          </w:tcPr>
          <w:p w14:paraId="7EBBCA36"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Expenses </w:t>
            </w:r>
          </w:p>
        </w:tc>
        <w:tc>
          <w:tcPr>
            <w:tcW w:w="2320" w:type="dxa"/>
            <w:tcBorders>
              <w:top w:val="nil"/>
              <w:left w:val="nil"/>
              <w:bottom w:val="single" w:sz="8" w:space="0" w:color="FFFFFF"/>
              <w:right w:val="single" w:sz="8" w:space="0" w:color="FFFFFF"/>
            </w:tcBorders>
            <w:shd w:val="clear" w:color="000000" w:fill="F2F2F2"/>
            <w:hideMark/>
          </w:tcPr>
          <w:p w14:paraId="054968AA"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563,125 </w:t>
            </w:r>
          </w:p>
        </w:tc>
        <w:tc>
          <w:tcPr>
            <w:tcW w:w="2920" w:type="dxa"/>
            <w:tcBorders>
              <w:top w:val="nil"/>
              <w:left w:val="nil"/>
              <w:bottom w:val="single" w:sz="8" w:space="0" w:color="FFFFFF"/>
              <w:right w:val="single" w:sz="8" w:space="0" w:color="FFFFFF"/>
            </w:tcBorders>
            <w:shd w:val="clear" w:color="000000" w:fill="F2F2F2"/>
            <w:hideMark/>
          </w:tcPr>
          <w:p w14:paraId="6C40FCB9"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11,263 </w:t>
            </w:r>
          </w:p>
        </w:tc>
      </w:tr>
      <w:tr w:rsidR="00AE69EE" w:rsidRPr="00AE69EE" w14:paraId="02E9DC38" w14:textId="77777777" w:rsidTr="00AE69EE">
        <w:trPr>
          <w:trHeight w:val="315"/>
        </w:trPr>
        <w:tc>
          <w:tcPr>
            <w:tcW w:w="3460" w:type="dxa"/>
            <w:tcBorders>
              <w:top w:val="nil"/>
              <w:left w:val="single" w:sz="8" w:space="0" w:color="FFFFFF"/>
              <w:bottom w:val="single" w:sz="8" w:space="0" w:color="FFFFFF"/>
              <w:right w:val="single" w:sz="8" w:space="0" w:color="FFFFFF"/>
            </w:tcBorders>
            <w:shd w:val="clear" w:color="000000" w:fill="F2F2F2"/>
            <w:hideMark/>
          </w:tcPr>
          <w:p w14:paraId="0127C234"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Assets </w:t>
            </w:r>
          </w:p>
        </w:tc>
        <w:tc>
          <w:tcPr>
            <w:tcW w:w="2320" w:type="dxa"/>
            <w:tcBorders>
              <w:top w:val="nil"/>
              <w:left w:val="nil"/>
              <w:bottom w:val="single" w:sz="8" w:space="0" w:color="FFFFFF"/>
              <w:right w:val="single" w:sz="8" w:space="0" w:color="FFFFFF"/>
            </w:tcBorders>
            <w:shd w:val="clear" w:color="000000" w:fill="F2F2F2"/>
            <w:hideMark/>
          </w:tcPr>
          <w:p w14:paraId="6D51F9CA"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956,000 </w:t>
            </w:r>
          </w:p>
        </w:tc>
        <w:tc>
          <w:tcPr>
            <w:tcW w:w="2920" w:type="dxa"/>
            <w:tcBorders>
              <w:top w:val="nil"/>
              <w:left w:val="nil"/>
              <w:bottom w:val="single" w:sz="8" w:space="0" w:color="FFFFFF"/>
              <w:right w:val="single" w:sz="8" w:space="0" w:color="FFFFFF"/>
            </w:tcBorders>
            <w:shd w:val="clear" w:color="000000" w:fill="F2F2F2"/>
            <w:hideMark/>
          </w:tcPr>
          <w:p w14:paraId="7CE89D5C"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19,120 </w:t>
            </w:r>
          </w:p>
        </w:tc>
      </w:tr>
      <w:tr w:rsidR="00AE69EE" w:rsidRPr="00AE69EE" w14:paraId="10221B0F" w14:textId="77777777" w:rsidTr="00AE69EE">
        <w:trPr>
          <w:trHeight w:val="315"/>
        </w:trPr>
        <w:tc>
          <w:tcPr>
            <w:tcW w:w="3460" w:type="dxa"/>
            <w:tcBorders>
              <w:top w:val="nil"/>
              <w:left w:val="single" w:sz="8" w:space="0" w:color="FFFFFF"/>
              <w:bottom w:val="single" w:sz="8" w:space="0" w:color="FFFFFF"/>
              <w:right w:val="single" w:sz="8" w:space="0" w:color="FFFFFF"/>
            </w:tcBorders>
            <w:shd w:val="clear" w:color="000000" w:fill="F2F2F2"/>
            <w:hideMark/>
          </w:tcPr>
          <w:p w14:paraId="60B20551"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Liabilities </w:t>
            </w:r>
          </w:p>
        </w:tc>
        <w:tc>
          <w:tcPr>
            <w:tcW w:w="2320" w:type="dxa"/>
            <w:tcBorders>
              <w:top w:val="nil"/>
              <w:left w:val="nil"/>
              <w:bottom w:val="single" w:sz="8" w:space="0" w:color="FFFFFF"/>
              <w:right w:val="single" w:sz="8" w:space="0" w:color="FFFFFF"/>
            </w:tcBorders>
            <w:shd w:val="clear" w:color="000000" w:fill="F2F2F2"/>
            <w:hideMark/>
          </w:tcPr>
          <w:p w14:paraId="2882DE61"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697,740 </w:t>
            </w:r>
          </w:p>
        </w:tc>
        <w:tc>
          <w:tcPr>
            <w:tcW w:w="2920" w:type="dxa"/>
            <w:tcBorders>
              <w:top w:val="nil"/>
              <w:left w:val="nil"/>
              <w:bottom w:val="single" w:sz="8" w:space="0" w:color="FFFFFF"/>
              <w:right w:val="single" w:sz="8" w:space="0" w:color="FFFFFF"/>
            </w:tcBorders>
            <w:shd w:val="clear" w:color="000000" w:fill="F2F2F2"/>
            <w:hideMark/>
          </w:tcPr>
          <w:p w14:paraId="3F99F393"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13,955 </w:t>
            </w:r>
          </w:p>
        </w:tc>
      </w:tr>
      <w:tr w:rsidR="00AE69EE" w:rsidRPr="00AE69EE" w14:paraId="72940A5E" w14:textId="77777777" w:rsidTr="00AE69EE">
        <w:trPr>
          <w:trHeight w:val="315"/>
        </w:trPr>
        <w:tc>
          <w:tcPr>
            <w:tcW w:w="3460" w:type="dxa"/>
            <w:tcBorders>
              <w:top w:val="single" w:sz="8" w:space="0" w:color="auto"/>
              <w:left w:val="nil"/>
              <w:bottom w:val="nil"/>
              <w:right w:val="nil"/>
            </w:tcBorders>
            <w:shd w:val="clear" w:color="000000" w:fill="1C1C1C"/>
            <w:vAlign w:val="center"/>
            <w:hideMark/>
          </w:tcPr>
          <w:p w14:paraId="0774BAF6" w14:textId="77777777" w:rsidR="00AE69EE" w:rsidRPr="00AE69EE" w:rsidRDefault="00AE69EE" w:rsidP="00AE69EE">
            <w:pPr>
              <w:suppressAutoHyphens w:val="0"/>
              <w:spacing w:before="0" w:after="0" w:line="240" w:lineRule="auto"/>
              <w:jc w:val="center"/>
              <w:rPr>
                <w:rFonts w:ascii="Arial" w:eastAsia="Times New Roman" w:hAnsi="Arial" w:cs="Arial"/>
                <w:b/>
                <w:bCs/>
                <w:color w:val="FFFFFF"/>
                <w:sz w:val="20"/>
                <w:szCs w:val="20"/>
                <w:lang w:eastAsia="en-AU"/>
              </w:rPr>
            </w:pPr>
            <w:r w:rsidRPr="00AE69EE">
              <w:rPr>
                <w:rFonts w:ascii="Arial" w:eastAsia="Times New Roman" w:hAnsi="Arial" w:cstheme="minorHAnsi"/>
                <w:b/>
                <w:bCs/>
                <w:color w:val="FFFFFF"/>
                <w:sz w:val="20"/>
                <w:szCs w:val="20"/>
                <w:lang w:eastAsia="en-AU"/>
              </w:rPr>
              <w:t>Administered</w:t>
            </w:r>
          </w:p>
        </w:tc>
        <w:tc>
          <w:tcPr>
            <w:tcW w:w="2320" w:type="dxa"/>
            <w:tcBorders>
              <w:top w:val="single" w:sz="8" w:space="0" w:color="auto"/>
              <w:left w:val="nil"/>
              <w:bottom w:val="nil"/>
              <w:right w:val="nil"/>
            </w:tcBorders>
            <w:shd w:val="clear" w:color="000000" w:fill="1C1C1C"/>
            <w:hideMark/>
          </w:tcPr>
          <w:p w14:paraId="24351ECC" w14:textId="77777777" w:rsidR="00AE69EE" w:rsidRPr="00AE69EE" w:rsidRDefault="00AE69EE" w:rsidP="00AE69EE">
            <w:pPr>
              <w:suppressAutoHyphens w:val="0"/>
              <w:spacing w:before="0" w:after="0" w:line="240" w:lineRule="auto"/>
              <w:jc w:val="right"/>
              <w:rPr>
                <w:rFonts w:ascii="Arial" w:eastAsia="Times New Roman" w:hAnsi="Arial" w:cs="Arial"/>
                <w:b/>
                <w:bCs/>
                <w:color w:val="FFFFFF"/>
                <w:sz w:val="20"/>
                <w:szCs w:val="20"/>
                <w:lang w:eastAsia="en-AU"/>
              </w:rPr>
            </w:pPr>
            <w:r w:rsidRPr="00AE69EE">
              <w:rPr>
                <w:rFonts w:ascii="Arial" w:eastAsia="Times New Roman" w:hAnsi="Arial" w:cs="Arial"/>
                <w:b/>
                <w:bCs/>
                <w:color w:val="FFFFFF"/>
                <w:sz w:val="20"/>
                <w:szCs w:val="20"/>
                <w:lang w:eastAsia="en-AU"/>
              </w:rPr>
              <w:t> </w:t>
            </w:r>
          </w:p>
        </w:tc>
        <w:tc>
          <w:tcPr>
            <w:tcW w:w="2920" w:type="dxa"/>
            <w:tcBorders>
              <w:top w:val="single" w:sz="8" w:space="0" w:color="auto"/>
              <w:left w:val="nil"/>
              <w:bottom w:val="nil"/>
              <w:right w:val="nil"/>
            </w:tcBorders>
            <w:shd w:val="clear" w:color="000000" w:fill="1C1C1C"/>
            <w:hideMark/>
          </w:tcPr>
          <w:p w14:paraId="24EB5120" w14:textId="77777777" w:rsidR="00AE69EE" w:rsidRPr="00AE69EE" w:rsidRDefault="00AE69EE" w:rsidP="00AE69EE">
            <w:pPr>
              <w:suppressAutoHyphens w:val="0"/>
              <w:spacing w:before="0" w:after="0" w:line="240" w:lineRule="auto"/>
              <w:jc w:val="right"/>
              <w:rPr>
                <w:rFonts w:ascii="Arial" w:eastAsia="Times New Roman" w:hAnsi="Arial" w:cs="Arial"/>
                <w:b/>
                <w:bCs/>
                <w:color w:val="FFFFFF"/>
                <w:sz w:val="20"/>
                <w:szCs w:val="20"/>
                <w:lang w:eastAsia="en-AU"/>
              </w:rPr>
            </w:pPr>
            <w:r w:rsidRPr="00AE69EE">
              <w:rPr>
                <w:rFonts w:ascii="Arial" w:eastAsia="Times New Roman" w:hAnsi="Arial" w:cs="Arial"/>
                <w:b/>
                <w:bCs/>
                <w:color w:val="FFFFFF"/>
                <w:sz w:val="20"/>
                <w:szCs w:val="20"/>
                <w:lang w:eastAsia="en-AU"/>
              </w:rPr>
              <w:t> </w:t>
            </w:r>
          </w:p>
        </w:tc>
      </w:tr>
      <w:tr w:rsidR="00AE69EE" w:rsidRPr="00AE69EE" w14:paraId="01B73AC9" w14:textId="77777777" w:rsidTr="00AE69EE">
        <w:trPr>
          <w:trHeight w:val="495"/>
        </w:trPr>
        <w:tc>
          <w:tcPr>
            <w:tcW w:w="3460" w:type="dxa"/>
            <w:tcBorders>
              <w:top w:val="single" w:sz="8" w:space="0" w:color="FFFFFF"/>
              <w:left w:val="single" w:sz="8" w:space="0" w:color="FFFFFF"/>
              <w:bottom w:val="nil"/>
              <w:right w:val="single" w:sz="8" w:space="0" w:color="FFFFFF"/>
            </w:tcBorders>
            <w:shd w:val="clear" w:color="000000" w:fill="E2E3E2"/>
            <w:hideMark/>
          </w:tcPr>
          <w:p w14:paraId="345EBEDF" w14:textId="77777777" w:rsidR="00AE69EE" w:rsidRPr="00AE69EE" w:rsidRDefault="00AE69EE" w:rsidP="00AE69EE">
            <w:pPr>
              <w:suppressAutoHyphens w:val="0"/>
              <w:spacing w:before="0" w:after="0" w:line="240" w:lineRule="auto"/>
              <w:jc w:val="center"/>
              <w:rPr>
                <w:rFonts w:ascii="Arial" w:eastAsia="Times New Roman" w:hAnsi="Arial" w:cs="Arial"/>
                <w:b/>
                <w:bCs/>
                <w:i/>
                <w:iCs/>
                <w:color w:val="000000"/>
                <w:sz w:val="18"/>
                <w:szCs w:val="18"/>
                <w:lang w:eastAsia="en-AU"/>
              </w:rPr>
            </w:pPr>
            <w:r w:rsidRPr="00AE69EE">
              <w:rPr>
                <w:rFonts w:ascii="Arial" w:eastAsia="Times New Roman" w:hAnsi="Arial" w:cstheme="minorHAnsi"/>
                <w:b/>
                <w:bCs/>
                <w:i/>
                <w:iCs/>
                <w:color w:val="000000"/>
                <w:sz w:val="18"/>
                <w:szCs w:val="18"/>
                <w:lang w:eastAsia="en-AU"/>
              </w:rPr>
              <w:t>Major Category</w:t>
            </w:r>
          </w:p>
        </w:tc>
        <w:tc>
          <w:tcPr>
            <w:tcW w:w="2320" w:type="dxa"/>
            <w:tcBorders>
              <w:top w:val="single" w:sz="8" w:space="0" w:color="FFFFFF"/>
              <w:left w:val="nil"/>
              <w:bottom w:val="nil"/>
              <w:right w:val="single" w:sz="8" w:space="0" w:color="FFFFFF"/>
            </w:tcBorders>
            <w:shd w:val="clear" w:color="000000" w:fill="E2E3E2"/>
            <w:hideMark/>
          </w:tcPr>
          <w:p w14:paraId="31CD3B44" w14:textId="77777777" w:rsidR="00AE69EE" w:rsidRPr="00AE69EE" w:rsidRDefault="00140567" w:rsidP="00AE69EE">
            <w:pPr>
              <w:suppressAutoHyphens w:val="0"/>
              <w:spacing w:before="0" w:after="0" w:line="240" w:lineRule="auto"/>
              <w:jc w:val="center"/>
              <w:rPr>
                <w:rFonts w:ascii="Arial" w:eastAsia="Times New Roman" w:hAnsi="Arial" w:cs="Arial"/>
                <w:b/>
                <w:bCs/>
                <w:i/>
                <w:iCs/>
                <w:color w:val="000000"/>
                <w:sz w:val="18"/>
                <w:szCs w:val="18"/>
                <w:lang w:eastAsia="en-AU"/>
              </w:rPr>
            </w:pPr>
            <w:r>
              <w:t>20</w:t>
            </w:r>
            <w:r w:rsidRPr="00A652FC">
              <w:rPr>
                <w:color w:val="FF0000"/>
              </w:rPr>
              <w:t>XX-XX</w:t>
            </w:r>
            <w:r w:rsidR="00AE69EE" w:rsidRPr="00A652FC">
              <w:rPr>
                <w:rFonts w:ascii="Arial" w:eastAsia="Times New Roman" w:hAnsi="Arial" w:cstheme="minorHAnsi"/>
                <w:b/>
                <w:bCs/>
                <w:i/>
                <w:iCs/>
                <w:color w:val="FF0000"/>
                <w:sz w:val="18"/>
                <w:szCs w:val="18"/>
                <w:lang w:eastAsia="en-AU"/>
              </w:rPr>
              <w:t xml:space="preserve"> </w:t>
            </w:r>
            <w:r w:rsidR="00AE69EE" w:rsidRPr="00AE69EE">
              <w:rPr>
                <w:rFonts w:ascii="Arial" w:eastAsia="Times New Roman" w:hAnsi="Arial" w:cstheme="minorHAnsi"/>
                <w:b/>
                <w:bCs/>
                <w:i/>
                <w:iCs/>
                <w:color w:val="000000"/>
                <w:sz w:val="18"/>
                <w:szCs w:val="18"/>
                <w:lang w:eastAsia="en-AU"/>
              </w:rPr>
              <w:t>Actuals</w:t>
            </w:r>
            <w:r w:rsidR="00AE69EE" w:rsidRPr="00AE69EE">
              <w:rPr>
                <w:rFonts w:ascii="Arial" w:eastAsia="Times New Roman" w:hAnsi="Arial" w:cstheme="minorHAnsi"/>
                <w:b/>
                <w:bCs/>
                <w:i/>
                <w:iCs/>
                <w:color w:val="000000"/>
                <w:sz w:val="18"/>
                <w:szCs w:val="18"/>
                <w:lang w:eastAsia="en-AU"/>
              </w:rPr>
              <w:br/>
              <w:t>$’000</w:t>
            </w:r>
          </w:p>
        </w:tc>
        <w:tc>
          <w:tcPr>
            <w:tcW w:w="2920" w:type="dxa"/>
            <w:tcBorders>
              <w:top w:val="single" w:sz="8" w:space="0" w:color="FFFFFF"/>
              <w:left w:val="nil"/>
              <w:bottom w:val="nil"/>
              <w:right w:val="single" w:sz="8" w:space="0" w:color="FFFFFF"/>
            </w:tcBorders>
            <w:shd w:val="clear" w:color="000000" w:fill="E2E3E2"/>
            <w:hideMark/>
          </w:tcPr>
          <w:p w14:paraId="296779C5" w14:textId="77777777" w:rsidR="00AE69EE" w:rsidRPr="00AE69EE" w:rsidRDefault="00AE69EE" w:rsidP="00AE69EE">
            <w:pPr>
              <w:suppressAutoHyphens w:val="0"/>
              <w:spacing w:before="0" w:after="0" w:line="240" w:lineRule="auto"/>
              <w:jc w:val="center"/>
              <w:rPr>
                <w:rFonts w:ascii="Arial" w:eastAsia="Times New Roman" w:hAnsi="Arial" w:cs="Arial"/>
                <w:b/>
                <w:bCs/>
                <w:i/>
                <w:iCs/>
                <w:color w:val="000000"/>
                <w:sz w:val="18"/>
                <w:szCs w:val="18"/>
                <w:lang w:eastAsia="en-AU"/>
              </w:rPr>
            </w:pPr>
            <w:r w:rsidRPr="00AE69EE">
              <w:rPr>
                <w:rFonts w:ascii="Arial" w:eastAsia="Times New Roman" w:hAnsi="Arial" w:cstheme="minorHAnsi"/>
                <w:b/>
                <w:bCs/>
                <w:i/>
                <w:iCs/>
                <w:color w:val="000000"/>
                <w:sz w:val="18"/>
                <w:szCs w:val="18"/>
                <w:lang w:eastAsia="en-AU"/>
              </w:rPr>
              <w:t>2% Materiality Threshold</w:t>
            </w:r>
            <w:r w:rsidRPr="00AE69EE">
              <w:rPr>
                <w:rFonts w:ascii="Arial" w:eastAsia="Times New Roman" w:hAnsi="Arial" w:cstheme="minorHAnsi"/>
                <w:b/>
                <w:bCs/>
                <w:i/>
                <w:iCs/>
                <w:color w:val="000000"/>
                <w:sz w:val="18"/>
                <w:szCs w:val="18"/>
                <w:lang w:eastAsia="en-AU"/>
              </w:rPr>
              <w:br/>
              <w:t>$’000</w:t>
            </w:r>
          </w:p>
        </w:tc>
      </w:tr>
      <w:tr w:rsidR="00AE69EE" w:rsidRPr="00AE69EE" w14:paraId="7388CFB4" w14:textId="77777777" w:rsidTr="00AE69EE">
        <w:trPr>
          <w:trHeight w:val="315"/>
        </w:trPr>
        <w:tc>
          <w:tcPr>
            <w:tcW w:w="3460" w:type="dxa"/>
            <w:tcBorders>
              <w:top w:val="single" w:sz="8" w:space="0" w:color="FFFFFF"/>
              <w:left w:val="single" w:sz="8" w:space="0" w:color="FFFFFF"/>
              <w:bottom w:val="single" w:sz="8" w:space="0" w:color="FFFFFF"/>
              <w:right w:val="single" w:sz="8" w:space="0" w:color="FFFFFF"/>
            </w:tcBorders>
            <w:shd w:val="clear" w:color="000000" w:fill="F2F2F2"/>
            <w:hideMark/>
          </w:tcPr>
          <w:p w14:paraId="6D56D7AE"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Own Source Revenue </w:t>
            </w:r>
          </w:p>
        </w:tc>
        <w:tc>
          <w:tcPr>
            <w:tcW w:w="2320" w:type="dxa"/>
            <w:tcBorders>
              <w:top w:val="single" w:sz="8" w:space="0" w:color="FFFFFF"/>
              <w:left w:val="nil"/>
              <w:bottom w:val="single" w:sz="8" w:space="0" w:color="FFFFFF"/>
              <w:right w:val="single" w:sz="8" w:space="0" w:color="FFFFFF"/>
            </w:tcBorders>
            <w:shd w:val="clear" w:color="000000" w:fill="F2F2F2"/>
            <w:hideMark/>
          </w:tcPr>
          <w:p w14:paraId="379D23ED"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467,565 </w:t>
            </w:r>
          </w:p>
        </w:tc>
        <w:tc>
          <w:tcPr>
            <w:tcW w:w="2920" w:type="dxa"/>
            <w:tcBorders>
              <w:top w:val="single" w:sz="8" w:space="0" w:color="FFFFFF"/>
              <w:left w:val="nil"/>
              <w:bottom w:val="single" w:sz="8" w:space="0" w:color="FFFFFF"/>
              <w:right w:val="single" w:sz="8" w:space="0" w:color="FFFFFF"/>
            </w:tcBorders>
            <w:shd w:val="clear" w:color="000000" w:fill="F2F2F2"/>
            <w:hideMark/>
          </w:tcPr>
          <w:p w14:paraId="2278134A"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9,351 </w:t>
            </w:r>
          </w:p>
        </w:tc>
      </w:tr>
      <w:tr w:rsidR="00AE69EE" w:rsidRPr="00AE69EE" w14:paraId="56844124" w14:textId="77777777" w:rsidTr="00AE69EE">
        <w:trPr>
          <w:trHeight w:val="315"/>
        </w:trPr>
        <w:tc>
          <w:tcPr>
            <w:tcW w:w="3460" w:type="dxa"/>
            <w:tcBorders>
              <w:top w:val="nil"/>
              <w:left w:val="single" w:sz="8" w:space="0" w:color="FFFFFF"/>
              <w:bottom w:val="single" w:sz="8" w:space="0" w:color="FFFFFF"/>
              <w:right w:val="single" w:sz="8" w:space="0" w:color="FFFFFF"/>
            </w:tcBorders>
            <w:shd w:val="clear" w:color="000000" w:fill="F2F2F2"/>
            <w:hideMark/>
          </w:tcPr>
          <w:p w14:paraId="629513B7"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Expenses </w:t>
            </w:r>
          </w:p>
        </w:tc>
        <w:tc>
          <w:tcPr>
            <w:tcW w:w="2320" w:type="dxa"/>
            <w:tcBorders>
              <w:top w:val="nil"/>
              <w:left w:val="nil"/>
              <w:bottom w:val="single" w:sz="8" w:space="0" w:color="FFFFFF"/>
              <w:right w:val="single" w:sz="8" w:space="0" w:color="FFFFFF"/>
            </w:tcBorders>
            <w:shd w:val="clear" w:color="000000" w:fill="F2F2F2"/>
            <w:hideMark/>
          </w:tcPr>
          <w:p w14:paraId="0C223FE8"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9,652,360 </w:t>
            </w:r>
          </w:p>
        </w:tc>
        <w:tc>
          <w:tcPr>
            <w:tcW w:w="2920" w:type="dxa"/>
            <w:tcBorders>
              <w:top w:val="nil"/>
              <w:left w:val="nil"/>
              <w:bottom w:val="single" w:sz="8" w:space="0" w:color="FFFFFF"/>
              <w:right w:val="single" w:sz="8" w:space="0" w:color="FFFFFF"/>
            </w:tcBorders>
            <w:shd w:val="clear" w:color="000000" w:fill="F2F2F2"/>
            <w:hideMark/>
          </w:tcPr>
          <w:p w14:paraId="18FA5464"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193,047 </w:t>
            </w:r>
          </w:p>
        </w:tc>
      </w:tr>
      <w:tr w:rsidR="00AE69EE" w:rsidRPr="00AE69EE" w14:paraId="3FB03B8F" w14:textId="77777777" w:rsidTr="00AE69EE">
        <w:trPr>
          <w:trHeight w:val="315"/>
        </w:trPr>
        <w:tc>
          <w:tcPr>
            <w:tcW w:w="3460" w:type="dxa"/>
            <w:tcBorders>
              <w:top w:val="nil"/>
              <w:left w:val="single" w:sz="8" w:space="0" w:color="FFFFFF"/>
              <w:bottom w:val="single" w:sz="8" w:space="0" w:color="FFFFFF"/>
              <w:right w:val="single" w:sz="8" w:space="0" w:color="FFFFFF"/>
            </w:tcBorders>
            <w:shd w:val="clear" w:color="000000" w:fill="F2F2F2"/>
            <w:hideMark/>
          </w:tcPr>
          <w:p w14:paraId="2AC3E07D"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Assets </w:t>
            </w:r>
          </w:p>
        </w:tc>
        <w:tc>
          <w:tcPr>
            <w:tcW w:w="2320" w:type="dxa"/>
            <w:tcBorders>
              <w:top w:val="nil"/>
              <w:left w:val="nil"/>
              <w:bottom w:val="single" w:sz="8" w:space="0" w:color="FFFFFF"/>
              <w:right w:val="single" w:sz="8" w:space="0" w:color="FFFFFF"/>
            </w:tcBorders>
            <w:shd w:val="clear" w:color="000000" w:fill="F2F2F2"/>
            <w:hideMark/>
          </w:tcPr>
          <w:p w14:paraId="3787F028"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268,632 </w:t>
            </w:r>
          </w:p>
        </w:tc>
        <w:tc>
          <w:tcPr>
            <w:tcW w:w="2920" w:type="dxa"/>
            <w:tcBorders>
              <w:top w:val="nil"/>
              <w:left w:val="nil"/>
              <w:bottom w:val="single" w:sz="8" w:space="0" w:color="FFFFFF"/>
              <w:right w:val="single" w:sz="8" w:space="0" w:color="FFFFFF"/>
            </w:tcBorders>
            <w:shd w:val="clear" w:color="000000" w:fill="F2F2F2"/>
            <w:hideMark/>
          </w:tcPr>
          <w:p w14:paraId="7514F2B7"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5,373 </w:t>
            </w:r>
          </w:p>
        </w:tc>
      </w:tr>
      <w:tr w:rsidR="00AE69EE" w:rsidRPr="00AE69EE" w14:paraId="4B674132" w14:textId="77777777" w:rsidTr="00AE69EE">
        <w:trPr>
          <w:trHeight w:val="315"/>
        </w:trPr>
        <w:tc>
          <w:tcPr>
            <w:tcW w:w="3460" w:type="dxa"/>
            <w:tcBorders>
              <w:top w:val="nil"/>
              <w:left w:val="single" w:sz="8" w:space="0" w:color="FFFFFF"/>
              <w:bottom w:val="single" w:sz="8" w:space="0" w:color="FFFFFF"/>
              <w:right w:val="single" w:sz="8" w:space="0" w:color="FFFFFF"/>
            </w:tcBorders>
            <w:shd w:val="clear" w:color="000000" w:fill="F2F2F2"/>
            <w:hideMark/>
          </w:tcPr>
          <w:p w14:paraId="66E9B823" w14:textId="77777777" w:rsidR="00AE69EE" w:rsidRPr="00AE69EE" w:rsidRDefault="00AE69EE" w:rsidP="00AE69EE">
            <w:pPr>
              <w:suppressAutoHyphens w:val="0"/>
              <w:spacing w:before="0" w:after="0" w:line="240" w:lineRule="auto"/>
              <w:rPr>
                <w:rFonts w:ascii="Arial" w:eastAsia="Times New Roman" w:hAnsi="Arial" w:cs="Arial"/>
                <w:color w:val="000000"/>
                <w:sz w:val="18"/>
                <w:szCs w:val="18"/>
                <w:lang w:eastAsia="en-AU"/>
              </w:rPr>
            </w:pPr>
            <w:r w:rsidRPr="00AE69EE">
              <w:rPr>
                <w:rFonts w:ascii="Arial" w:eastAsia="Times New Roman" w:hAnsi="Arial" w:cstheme="minorHAnsi"/>
                <w:color w:val="000000"/>
                <w:sz w:val="18"/>
                <w:szCs w:val="18"/>
                <w:lang w:eastAsia="en-AU"/>
              </w:rPr>
              <w:t xml:space="preserve"> Liabilities </w:t>
            </w:r>
          </w:p>
        </w:tc>
        <w:tc>
          <w:tcPr>
            <w:tcW w:w="2320" w:type="dxa"/>
            <w:tcBorders>
              <w:top w:val="nil"/>
              <w:left w:val="nil"/>
              <w:bottom w:val="single" w:sz="8" w:space="0" w:color="FFFFFF"/>
              <w:right w:val="single" w:sz="8" w:space="0" w:color="FFFFFF"/>
            </w:tcBorders>
            <w:shd w:val="clear" w:color="000000" w:fill="F2F2F2"/>
            <w:hideMark/>
          </w:tcPr>
          <w:p w14:paraId="2F49F2BA"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1,120,658 </w:t>
            </w:r>
          </w:p>
        </w:tc>
        <w:tc>
          <w:tcPr>
            <w:tcW w:w="2920" w:type="dxa"/>
            <w:tcBorders>
              <w:top w:val="nil"/>
              <w:left w:val="nil"/>
              <w:bottom w:val="single" w:sz="8" w:space="0" w:color="FFFFFF"/>
              <w:right w:val="single" w:sz="8" w:space="0" w:color="FFFFFF"/>
            </w:tcBorders>
            <w:shd w:val="clear" w:color="000000" w:fill="F2F2F2"/>
            <w:hideMark/>
          </w:tcPr>
          <w:p w14:paraId="42F1A582" w14:textId="77777777" w:rsidR="00AE69EE" w:rsidRPr="00AE69EE" w:rsidRDefault="00AE69EE" w:rsidP="00AE69EE">
            <w:pPr>
              <w:suppressAutoHyphens w:val="0"/>
              <w:spacing w:before="0" w:after="0" w:line="240" w:lineRule="auto"/>
              <w:jc w:val="right"/>
              <w:rPr>
                <w:rFonts w:ascii="Arial" w:eastAsia="Times New Roman" w:hAnsi="Arial" w:cs="Arial"/>
                <w:color w:val="000000"/>
                <w:sz w:val="18"/>
                <w:szCs w:val="18"/>
                <w:lang w:eastAsia="en-AU"/>
              </w:rPr>
            </w:pPr>
            <w:r w:rsidRPr="00AE69EE">
              <w:rPr>
                <w:rFonts w:ascii="Arial" w:eastAsia="Times New Roman" w:hAnsi="Arial" w:cs="Arial"/>
                <w:color w:val="000000"/>
                <w:sz w:val="18"/>
                <w:szCs w:val="18"/>
                <w:lang w:eastAsia="en-AU"/>
              </w:rPr>
              <w:t xml:space="preserve">22,413 </w:t>
            </w:r>
          </w:p>
        </w:tc>
      </w:tr>
    </w:tbl>
    <w:p w14:paraId="533CF441" w14:textId="77777777" w:rsidR="00AE69EE" w:rsidRPr="00302EB5" w:rsidRDefault="00AE69EE" w:rsidP="00D32799">
      <w:pPr>
        <w:jc w:val="both"/>
        <w:rPr>
          <w:rFonts w:cstheme="minorHAnsi"/>
        </w:rPr>
      </w:pPr>
    </w:p>
    <w:sectPr w:rsidR="00AE69EE" w:rsidRPr="00302EB5" w:rsidSect="0039715A">
      <w:headerReference w:type="default" r:id="rId13"/>
      <w:footerReference w:type="default" r:id="rId14"/>
      <w:headerReference w:type="first" r:id="rId15"/>
      <w:footerReference w:type="first" r:id="rId16"/>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41AA4" w14:textId="77777777" w:rsidR="000B3FD1" w:rsidRDefault="000B3FD1" w:rsidP="00EF4574">
      <w:pPr>
        <w:spacing w:before="0" w:after="0" w:line="240" w:lineRule="auto"/>
      </w:pPr>
      <w:r>
        <w:separator/>
      </w:r>
    </w:p>
  </w:endnote>
  <w:endnote w:type="continuationSeparator" w:id="0">
    <w:p w14:paraId="6A491875" w14:textId="77777777" w:rsidR="000B3FD1" w:rsidRDefault="000B3FD1"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A93D" w14:textId="6CEBE2CA" w:rsidR="000B3FD1" w:rsidRDefault="000B3FD1" w:rsidP="0039715A">
    <w:pPr>
      <w:pStyle w:val="Footer"/>
      <w:jc w:val="right"/>
      <w:rPr>
        <w:noProof/>
      </w:rPr>
    </w:pPr>
    <w:r>
      <w:fldChar w:fldCharType="begin"/>
    </w:r>
    <w:r>
      <w:instrText xml:space="preserve"> PAGE   \* MERGEFORMAT </w:instrText>
    </w:r>
    <w:r>
      <w:fldChar w:fldCharType="separate"/>
    </w:r>
    <w:r w:rsidR="00AA33D2">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350C8" w14:textId="77777777" w:rsidR="000B3FD1" w:rsidRDefault="000B3FD1">
    <w:pPr>
      <w:pStyle w:val="Footer"/>
    </w:pPr>
  </w:p>
  <w:p w14:paraId="307EAD99" w14:textId="77777777" w:rsidR="000B3FD1" w:rsidRDefault="000B3FD1" w:rsidP="000A6A8B">
    <w:pPr>
      <w:pStyle w:val="Footer"/>
      <w:jc w:val="center"/>
      <w:rPr>
        <w:rStyle w:val="Classification"/>
      </w:rPr>
    </w:pPr>
    <w:r w:rsidRPr="000A6A8B">
      <w:rPr>
        <w:rStyle w:val="Classification"/>
      </w:rPr>
      <w:t>Classification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FFE0D" w14:textId="77777777" w:rsidR="000B3FD1" w:rsidRDefault="000B3FD1" w:rsidP="0020122A">
      <w:pPr>
        <w:pStyle w:val="FootnoteSeparator"/>
      </w:pPr>
    </w:p>
  </w:footnote>
  <w:footnote w:type="continuationSeparator" w:id="0">
    <w:p w14:paraId="69D7E08A" w14:textId="77777777" w:rsidR="000B3FD1" w:rsidRDefault="000B3FD1" w:rsidP="00EF4574">
      <w:pPr>
        <w:spacing w:before="0" w:after="0" w:line="240" w:lineRule="auto"/>
      </w:pPr>
      <w:r>
        <w:continuationSeparator/>
      </w:r>
    </w:p>
  </w:footnote>
  <w:footnote w:id="1">
    <w:p w14:paraId="6E7C92E8" w14:textId="001FA07E" w:rsidR="00625735" w:rsidRPr="005E75FB" w:rsidRDefault="00625735" w:rsidP="00625735">
      <w:pPr>
        <w:pStyle w:val="FootnoteText"/>
        <w:ind w:left="0" w:firstLine="0"/>
        <w:rPr>
          <w:lang w:val="en-US"/>
        </w:rPr>
      </w:pPr>
      <w:r>
        <w:rPr>
          <w:rStyle w:val="FootnoteReference"/>
        </w:rPr>
        <w:footnoteRef/>
      </w:r>
      <w:r>
        <w:t xml:space="preserve"> </w:t>
      </w:r>
      <w:r>
        <w:rPr>
          <w:lang w:val="en-US"/>
        </w:rPr>
        <w:t>Each entity undertake and document an annual assessment of the relative accuracy of historical prior year actuals compared to PBS balances as a determinant of expected current year actuals and change the materiality basis if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55A7" w14:textId="77777777" w:rsidR="000B3FD1" w:rsidRPr="0090743D" w:rsidRDefault="000B3FD1" w:rsidP="002A36EE">
    <w:pPr>
      <w:pStyle w:val="Header"/>
      <w:rPr>
        <w:szCs w:val="14"/>
      </w:rPr>
    </w:pPr>
    <w:r>
      <w:tab/>
    </w:r>
    <w:r>
      <w:tab/>
    </w:r>
    <w:r w:rsidRPr="0090743D">
      <w:rPr>
        <w:szCs w:val="14"/>
      </w:rPr>
      <w:t>Department of Finance</w:t>
    </w:r>
    <w:r w:rsidRPr="0090743D">
      <w:rPr>
        <w:szCs w:val="14"/>
      </w:rPr>
      <w:tab/>
    </w:r>
    <w:r w:rsidRPr="0090743D">
      <w:rPr>
        <w:szCs w:val="14"/>
      </w:rPr>
      <w:tab/>
      <w:t xml:space="preserve">Financial Statements Better Practice Guide </w:t>
    </w:r>
  </w:p>
  <w:p w14:paraId="4DABA3D6" w14:textId="77777777" w:rsidR="000B3FD1" w:rsidRDefault="000B3FD1" w:rsidP="002A36EE">
    <w:pPr>
      <w:pStyle w:val="Header"/>
    </w:pPr>
    <w:r w:rsidRPr="0090743D">
      <w:rPr>
        <w:szCs w:val="14"/>
      </w:rPr>
      <w:tab/>
    </w:r>
    <w:r w:rsidRPr="0090743D">
      <w:rPr>
        <w:szCs w:val="14"/>
      </w:rPr>
      <w:tab/>
    </w:r>
    <w:r w:rsidRPr="002A36EE">
      <w:rPr>
        <w:szCs w:val="14"/>
      </w:rPr>
      <w:t>Example: Materiality assessment position paper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B71B6" w14:textId="77777777" w:rsidR="000B3FD1" w:rsidRDefault="000B3FD1" w:rsidP="000A6A8B">
    <w:pPr>
      <w:pStyle w:val="Header"/>
      <w:jc w:val="center"/>
    </w:pPr>
    <w:r w:rsidRPr="000A6A8B">
      <w:rPr>
        <w:rStyle w:val="Classification"/>
      </w:rPr>
      <w:t>Classification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C926A83"/>
    <w:multiLevelType w:val="hybridMultilevel"/>
    <w:tmpl w:val="779ACCDE"/>
    <w:lvl w:ilvl="0" w:tplc="39EA57D6">
      <w:start w:val="6"/>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3F7625"/>
    <w:multiLevelType w:val="hybridMultilevel"/>
    <w:tmpl w:val="90C439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E1292"/>
    <w:multiLevelType w:val="hybridMultilevel"/>
    <w:tmpl w:val="68A4F356"/>
    <w:lvl w:ilvl="0" w:tplc="FBE2B29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F96E38"/>
    <w:multiLevelType w:val="hybridMultilevel"/>
    <w:tmpl w:val="90C439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4AC5CB9"/>
    <w:multiLevelType w:val="hybridMultilevel"/>
    <w:tmpl w:val="CE74D5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962D19"/>
    <w:multiLevelType w:val="hybridMultilevel"/>
    <w:tmpl w:val="BEF8D840"/>
    <w:lvl w:ilvl="0" w:tplc="FBE2B29A">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6921CFC"/>
    <w:multiLevelType w:val="hybridMultilevel"/>
    <w:tmpl w:val="2EFCF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9"/>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21"/>
  </w:num>
  <w:num w:numId="23">
    <w:abstractNumId w:val="21"/>
  </w:num>
  <w:num w:numId="24">
    <w:abstractNumId w:val="21"/>
  </w:num>
  <w:num w:numId="25">
    <w:abstractNumId w:val="20"/>
  </w:num>
  <w:num w:numId="26">
    <w:abstractNumId w:val="16"/>
  </w:num>
  <w:num w:numId="27">
    <w:abstractNumId w:val="16"/>
  </w:num>
  <w:num w:numId="28">
    <w:abstractNumId w:val="16"/>
  </w:num>
  <w:num w:numId="29">
    <w:abstractNumId w:val="16"/>
  </w:num>
  <w:num w:numId="30">
    <w:abstractNumId w:val="10"/>
  </w:num>
  <w:num w:numId="31">
    <w:abstractNumId w:val="10"/>
  </w:num>
  <w:num w:numId="32">
    <w:abstractNumId w:val="10"/>
  </w:num>
  <w:num w:numId="33">
    <w:abstractNumId w:val="10"/>
  </w:num>
  <w:num w:numId="34">
    <w:abstractNumId w:val="19"/>
  </w:num>
  <w:num w:numId="35">
    <w:abstractNumId w:val="10"/>
  </w:num>
  <w:num w:numId="36">
    <w:abstractNumId w:val="10"/>
  </w:num>
  <w:num w:numId="37">
    <w:abstractNumId w:val="10"/>
  </w:num>
  <w:num w:numId="38">
    <w:abstractNumId w:val="10"/>
  </w:num>
  <w:num w:numId="39">
    <w:abstractNumId w:val="10"/>
  </w:num>
  <w:num w:numId="40">
    <w:abstractNumId w:val="13"/>
  </w:num>
  <w:num w:numId="41">
    <w:abstractNumId w:val="14"/>
  </w:num>
  <w:num w:numId="42">
    <w:abstractNumId w:val="18"/>
  </w:num>
  <w:num w:numId="43">
    <w:abstractNumId w:val="11"/>
  </w:num>
  <w:num w:numId="44">
    <w:abstractNumId w:val="17"/>
  </w:num>
  <w:num w:numId="45">
    <w:abstractNumId w:val="10"/>
  </w:num>
  <w:num w:numId="46">
    <w:abstractNumId w:val="1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06CA2"/>
    <w:rsid w:val="00021B85"/>
    <w:rsid w:val="0002782F"/>
    <w:rsid w:val="0005353A"/>
    <w:rsid w:val="00054E4D"/>
    <w:rsid w:val="00060073"/>
    <w:rsid w:val="00064E7E"/>
    <w:rsid w:val="00075FED"/>
    <w:rsid w:val="000A4B30"/>
    <w:rsid w:val="000A6A8B"/>
    <w:rsid w:val="000B3FD1"/>
    <w:rsid w:val="000C2A48"/>
    <w:rsid w:val="000C551F"/>
    <w:rsid w:val="000D60B1"/>
    <w:rsid w:val="000F5E72"/>
    <w:rsid w:val="00140567"/>
    <w:rsid w:val="001541EA"/>
    <w:rsid w:val="001612A4"/>
    <w:rsid w:val="0019527A"/>
    <w:rsid w:val="001E1DC0"/>
    <w:rsid w:val="00200F02"/>
    <w:rsid w:val="0020122A"/>
    <w:rsid w:val="002664A4"/>
    <w:rsid w:val="0028602A"/>
    <w:rsid w:val="002A3472"/>
    <w:rsid w:val="002A36EE"/>
    <w:rsid w:val="00301144"/>
    <w:rsid w:val="003148B7"/>
    <w:rsid w:val="003158C3"/>
    <w:rsid w:val="003274CD"/>
    <w:rsid w:val="0035119D"/>
    <w:rsid w:val="0039715A"/>
    <w:rsid w:val="003B4F12"/>
    <w:rsid w:val="003C6F1D"/>
    <w:rsid w:val="00402414"/>
    <w:rsid w:val="00423F31"/>
    <w:rsid w:val="00431899"/>
    <w:rsid w:val="00432078"/>
    <w:rsid w:val="004577E3"/>
    <w:rsid w:val="00481E8D"/>
    <w:rsid w:val="00486804"/>
    <w:rsid w:val="004B3775"/>
    <w:rsid w:val="004E058F"/>
    <w:rsid w:val="004E3B87"/>
    <w:rsid w:val="00507ED2"/>
    <w:rsid w:val="00510921"/>
    <w:rsid w:val="00510AD3"/>
    <w:rsid w:val="00513348"/>
    <w:rsid w:val="00533B5D"/>
    <w:rsid w:val="00546040"/>
    <w:rsid w:val="005506BA"/>
    <w:rsid w:val="005970EA"/>
    <w:rsid w:val="005A6C78"/>
    <w:rsid w:val="005C37F0"/>
    <w:rsid w:val="005E45E3"/>
    <w:rsid w:val="005E75FB"/>
    <w:rsid w:val="00605F5B"/>
    <w:rsid w:val="00623BA1"/>
    <w:rsid w:val="00625735"/>
    <w:rsid w:val="0063242B"/>
    <w:rsid w:val="006346BC"/>
    <w:rsid w:val="00646ABE"/>
    <w:rsid w:val="0066652A"/>
    <w:rsid w:val="0068028B"/>
    <w:rsid w:val="00682167"/>
    <w:rsid w:val="006C42AF"/>
    <w:rsid w:val="006C4DD1"/>
    <w:rsid w:val="00711D8E"/>
    <w:rsid w:val="00712672"/>
    <w:rsid w:val="007229F2"/>
    <w:rsid w:val="00734E3F"/>
    <w:rsid w:val="00736985"/>
    <w:rsid w:val="00742434"/>
    <w:rsid w:val="007B6200"/>
    <w:rsid w:val="007D134E"/>
    <w:rsid w:val="00801B9F"/>
    <w:rsid w:val="00802117"/>
    <w:rsid w:val="00880B3F"/>
    <w:rsid w:val="008A609C"/>
    <w:rsid w:val="009222BC"/>
    <w:rsid w:val="00930081"/>
    <w:rsid w:val="00990AC0"/>
    <w:rsid w:val="009A4B70"/>
    <w:rsid w:val="009B4D3B"/>
    <w:rsid w:val="009B53C8"/>
    <w:rsid w:val="009D7407"/>
    <w:rsid w:val="009E0866"/>
    <w:rsid w:val="00A24A62"/>
    <w:rsid w:val="00A31C9F"/>
    <w:rsid w:val="00A652FC"/>
    <w:rsid w:val="00A76378"/>
    <w:rsid w:val="00AA33D2"/>
    <w:rsid w:val="00AC164A"/>
    <w:rsid w:val="00AE69EE"/>
    <w:rsid w:val="00AF2050"/>
    <w:rsid w:val="00BB26C5"/>
    <w:rsid w:val="00BF4DE6"/>
    <w:rsid w:val="00C17B92"/>
    <w:rsid w:val="00C42CDE"/>
    <w:rsid w:val="00C7334F"/>
    <w:rsid w:val="00C87515"/>
    <w:rsid w:val="00CA37B1"/>
    <w:rsid w:val="00CB1959"/>
    <w:rsid w:val="00D0296C"/>
    <w:rsid w:val="00D32799"/>
    <w:rsid w:val="00D346BC"/>
    <w:rsid w:val="00D7019D"/>
    <w:rsid w:val="00D76E1A"/>
    <w:rsid w:val="00DB35A3"/>
    <w:rsid w:val="00DB6D69"/>
    <w:rsid w:val="00DC430B"/>
    <w:rsid w:val="00DD668E"/>
    <w:rsid w:val="00E24DAC"/>
    <w:rsid w:val="00E25FBA"/>
    <w:rsid w:val="00E357B7"/>
    <w:rsid w:val="00E52269"/>
    <w:rsid w:val="00E52B06"/>
    <w:rsid w:val="00E53800"/>
    <w:rsid w:val="00E605B4"/>
    <w:rsid w:val="00E6081F"/>
    <w:rsid w:val="00E93B0F"/>
    <w:rsid w:val="00EA04B2"/>
    <w:rsid w:val="00EA20F3"/>
    <w:rsid w:val="00ED1B94"/>
    <w:rsid w:val="00ED43D1"/>
    <w:rsid w:val="00EE4EE1"/>
    <w:rsid w:val="00EF4574"/>
    <w:rsid w:val="00F0219E"/>
    <w:rsid w:val="00F167BB"/>
    <w:rsid w:val="00F17CBB"/>
    <w:rsid w:val="00F2684E"/>
    <w:rsid w:val="00F33736"/>
    <w:rsid w:val="00F57130"/>
    <w:rsid w:val="00F729EF"/>
    <w:rsid w:val="00F77CAE"/>
    <w:rsid w:val="00F96BB9"/>
    <w:rsid w:val="00FE6D51"/>
    <w:rsid w:val="00FE7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4DA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021B85"/>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39715A"/>
    <w:pPr>
      <w:numPr>
        <w:numId w:val="33"/>
      </w:numPr>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DDCDF"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link w:val="Boxed1TextChar"/>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link w:val="Boxed2TextChar"/>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ListParagraph">
    <w:name w:val="List Paragraph"/>
    <w:basedOn w:val="Normal"/>
    <w:uiPriority w:val="34"/>
    <w:qFormat/>
    <w:rsid w:val="00200F02"/>
    <w:pPr>
      <w:ind w:left="720"/>
      <w:contextualSpacing/>
    </w:pPr>
  </w:style>
  <w:style w:type="paragraph" w:styleId="BalloonText">
    <w:name w:val="Balloon Text"/>
    <w:basedOn w:val="Normal"/>
    <w:link w:val="BalloonTextChar"/>
    <w:uiPriority w:val="99"/>
    <w:semiHidden/>
    <w:unhideWhenUsed/>
    <w:rsid w:val="0014056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567"/>
    <w:rPr>
      <w:rFonts w:ascii="Segoe UI" w:hAnsi="Segoe UI" w:cs="Segoe UI"/>
      <w:sz w:val="18"/>
      <w:szCs w:val="18"/>
    </w:rPr>
  </w:style>
  <w:style w:type="character" w:styleId="CommentReference">
    <w:name w:val="annotation reference"/>
    <w:basedOn w:val="DefaultParagraphFont"/>
    <w:uiPriority w:val="99"/>
    <w:semiHidden/>
    <w:unhideWhenUsed/>
    <w:rsid w:val="007229F2"/>
    <w:rPr>
      <w:sz w:val="16"/>
      <w:szCs w:val="16"/>
    </w:rPr>
  </w:style>
  <w:style w:type="paragraph" w:styleId="CommentText">
    <w:name w:val="annotation text"/>
    <w:basedOn w:val="Normal"/>
    <w:link w:val="CommentTextChar"/>
    <w:uiPriority w:val="99"/>
    <w:semiHidden/>
    <w:unhideWhenUsed/>
    <w:rsid w:val="007229F2"/>
    <w:pPr>
      <w:spacing w:line="240" w:lineRule="auto"/>
    </w:pPr>
    <w:rPr>
      <w:sz w:val="20"/>
      <w:szCs w:val="20"/>
    </w:rPr>
  </w:style>
  <w:style w:type="character" w:customStyle="1" w:styleId="CommentTextChar">
    <w:name w:val="Comment Text Char"/>
    <w:basedOn w:val="DefaultParagraphFont"/>
    <w:link w:val="CommentText"/>
    <w:uiPriority w:val="99"/>
    <w:semiHidden/>
    <w:rsid w:val="007229F2"/>
    <w:rPr>
      <w:sz w:val="20"/>
      <w:szCs w:val="20"/>
    </w:rPr>
  </w:style>
  <w:style w:type="paragraph" w:styleId="CommentSubject">
    <w:name w:val="annotation subject"/>
    <w:basedOn w:val="CommentText"/>
    <w:next w:val="CommentText"/>
    <w:link w:val="CommentSubjectChar"/>
    <w:uiPriority w:val="99"/>
    <w:semiHidden/>
    <w:unhideWhenUsed/>
    <w:rsid w:val="007229F2"/>
    <w:rPr>
      <w:b/>
      <w:bCs/>
    </w:rPr>
  </w:style>
  <w:style w:type="character" w:customStyle="1" w:styleId="CommentSubjectChar">
    <w:name w:val="Comment Subject Char"/>
    <w:basedOn w:val="CommentTextChar"/>
    <w:link w:val="CommentSubject"/>
    <w:uiPriority w:val="99"/>
    <w:semiHidden/>
    <w:rsid w:val="007229F2"/>
    <w:rPr>
      <w:b/>
      <w:bCs/>
      <w:sz w:val="20"/>
      <w:szCs w:val="20"/>
    </w:rPr>
  </w:style>
  <w:style w:type="paragraph" w:customStyle="1" w:styleId="Bullet">
    <w:name w:val="Bullet"/>
    <w:basedOn w:val="Normal"/>
    <w:link w:val="BulletChar"/>
    <w:rsid w:val="00D346BC"/>
    <w:rPr>
      <w:i/>
    </w:rPr>
  </w:style>
  <w:style w:type="character" w:customStyle="1" w:styleId="Boxed1TextChar">
    <w:name w:val="Boxed 1 Text Char"/>
    <w:basedOn w:val="DefaultParagraphFont"/>
    <w:link w:val="Boxed1Text"/>
    <w:rsid w:val="00D346BC"/>
    <w:rPr>
      <w:shd w:val="clear" w:color="auto" w:fill="F1F8F8" w:themeFill="accent1" w:themeFillTint="33"/>
    </w:rPr>
  </w:style>
  <w:style w:type="character" w:customStyle="1" w:styleId="Boxed2TextChar">
    <w:name w:val="Boxed 2 Text Char"/>
    <w:basedOn w:val="Boxed1TextChar"/>
    <w:link w:val="Boxed2Text"/>
    <w:rsid w:val="00D346BC"/>
    <w:rPr>
      <w:shd w:val="clear" w:color="auto" w:fill="BDDCDF" w:themeFill="accent1"/>
    </w:rPr>
  </w:style>
  <w:style w:type="character" w:customStyle="1" w:styleId="BulletChar">
    <w:name w:val="Bullet Char"/>
    <w:basedOn w:val="Boxed2TextChar"/>
    <w:link w:val="Bullet"/>
    <w:rsid w:val="00D346BC"/>
    <w:rPr>
      <w:i/>
      <w:shd w:val="clear" w:color="auto" w:fill="BDDCDF" w:themeFill="accent1"/>
    </w:rPr>
  </w:style>
  <w:style w:type="paragraph" w:customStyle="1" w:styleId="Dash">
    <w:name w:val="Dash"/>
    <w:basedOn w:val="Normal"/>
    <w:link w:val="DashChar"/>
    <w:rsid w:val="00D346BC"/>
    <w:rPr>
      <w:i/>
    </w:rPr>
  </w:style>
  <w:style w:type="character" w:customStyle="1" w:styleId="DashChar">
    <w:name w:val="Dash Char"/>
    <w:basedOn w:val="Boxed2TextChar"/>
    <w:link w:val="Dash"/>
    <w:rsid w:val="00D346BC"/>
    <w:rPr>
      <w:i/>
      <w:shd w:val="clear" w:color="auto" w:fill="BDDCDF" w:themeFill="accent1"/>
    </w:rPr>
  </w:style>
  <w:style w:type="paragraph" w:customStyle="1" w:styleId="DoubleDot">
    <w:name w:val="Double Dot"/>
    <w:basedOn w:val="Boxed2Text"/>
    <w:link w:val="DoubleDotChar"/>
    <w:rsid w:val="00D346BC"/>
    <w:rPr>
      <w:i/>
    </w:rPr>
  </w:style>
  <w:style w:type="character" w:customStyle="1" w:styleId="DoubleDotChar">
    <w:name w:val="Double Dot Char"/>
    <w:basedOn w:val="Boxed2TextChar"/>
    <w:link w:val="DoubleDot"/>
    <w:rsid w:val="00D346BC"/>
    <w:rPr>
      <w:i/>
      <w:shd w:val="clear" w:color="auto" w:fill="BDDCDF" w:themeFill="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68283">
      <w:bodyDiv w:val="1"/>
      <w:marLeft w:val="0"/>
      <w:marRight w:val="0"/>
      <w:marTop w:val="0"/>
      <w:marBottom w:val="0"/>
      <w:divBdr>
        <w:top w:val="none" w:sz="0" w:space="0" w:color="auto"/>
        <w:left w:val="none" w:sz="0" w:space="0" w:color="auto"/>
        <w:bottom w:val="none" w:sz="0" w:space="0" w:color="auto"/>
        <w:right w:val="none" w:sz="0" w:space="0" w:color="auto"/>
      </w:divBdr>
    </w:div>
    <w:div w:id="133530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BBBADB"/>
      </a:accent2>
      <a:accent3>
        <a:srgbClr val="E6E4BA"/>
      </a:accent3>
      <a:accent4>
        <a:srgbClr val="D78B83"/>
      </a:accent4>
      <a:accent5>
        <a:srgbClr val="BEBFC0"/>
      </a:accent5>
      <a:accent6>
        <a:srgbClr val="ED7D3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A081167BBC6DC4ABF111D5C0340450F" ma:contentTypeVersion="99" ma:contentTypeDescription="Create a new document." ma:contentTypeScope="" ma:versionID="ce3152a7dae9aed56f2dbf824386202c">
  <xsd:schema xmlns:xsd="http://www.w3.org/2001/XMLSchema" xmlns:xs="http://www.w3.org/2001/XMLSchema" xmlns:p="http://schemas.microsoft.com/office/2006/metadata/properties" xmlns:ns1="http://schemas.microsoft.com/sharepoint/v3" xmlns:ns2="82ff9d9b-d3fc-4aad-bc42-9949ee83b815" xmlns:ns3="fdd6b31f-a027-425f-adfa-a4194e98dae2" targetNamespace="http://schemas.microsoft.com/office/2006/metadata/properties" ma:root="true" ma:fieldsID="0368a387c6d7cf58ef0ae5949a84b49d" ns1:_="" ns2:_="" ns3:_="">
    <xsd:import namespace="http://schemas.microsoft.com/sharepoint/v3"/>
    <xsd:import namespace="82ff9d9b-d3fc-4aad-bc42-9949ee83b815"/>
    <xsd:import namespace="fdd6b31f-a027-425f-adfa-a4194e98dae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d5b23f8-0019-49b4-80dc-328231206719}" ma:internalName="TaxCatchAll" ma:showField="CatchAllData"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d5b23f8-0019-49b4-80dc-328231206719}" ma:internalName="TaxCatchAllLabel" ma:readOnly="true" ma:showField="CatchAllDataLabel"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d6b31f-a027-425f-adfa-a4194e98dae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fdd6b31f-a027-425f-adfa-a4194e98dae2">FIN33506-77069739-39638</_dlc_DocId>
    <_dlc_DocIdUrl xmlns="fdd6b31f-a027-425f-adfa-a4194e98dae2">
      <Url>https://f1.prdmgd.finance.gov.au/sites/50033506/_layouts/15/DocIdRedir.aspx?ID=FIN33506-77069739-39638</Url>
      <Description>FIN33506-77069739-39638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48F77-7A9C-4ECD-8183-B67617845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dd6b31f-a027-425f-adfa-a4194e98d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4D9E5-4825-4D0D-AB4F-CD27D63D89AA}">
  <ds:schemaRefs>
    <ds:schemaRef ds:uri="Microsoft.SharePoint.Taxonomy.ContentTypeSync"/>
  </ds:schemaRefs>
</ds:datastoreItem>
</file>

<file path=customXml/itemProps3.xml><?xml version="1.0" encoding="utf-8"?>
<ds:datastoreItem xmlns:ds="http://schemas.openxmlformats.org/officeDocument/2006/customXml" ds:itemID="{3FF44567-DEA2-4899-BCE2-1EC281D1436E}">
  <ds:schemaRefs>
    <ds:schemaRef ds:uri="http://schemas.microsoft.com/sharepoint/events"/>
  </ds:schemaRefs>
</ds:datastoreItem>
</file>

<file path=customXml/itemProps4.xml><?xml version="1.0" encoding="utf-8"?>
<ds:datastoreItem xmlns:ds="http://schemas.openxmlformats.org/officeDocument/2006/customXml" ds:itemID="{B06C9BA5-BECE-4946-B6ED-8CDB49ED7A38}">
  <ds:schemaRefs>
    <ds:schemaRef ds:uri="http://schemas.microsoft.com/sharepoint/v3/contenttype/forms"/>
  </ds:schemaRefs>
</ds:datastoreItem>
</file>

<file path=customXml/itemProps5.xml><?xml version="1.0" encoding="utf-8"?>
<ds:datastoreItem xmlns:ds="http://schemas.openxmlformats.org/officeDocument/2006/customXml" ds:itemID="{AB8FD540-30D3-45E4-80C4-28CD2DB9BCBF}">
  <ds:schemaRefs>
    <ds:schemaRef ds:uri="http://schemas.openxmlformats.org/package/2006/metadata/core-properties"/>
    <ds:schemaRef ds:uri="http://schemas.microsoft.com/office/2006/documentManagement/types"/>
    <ds:schemaRef ds:uri="http://schemas.microsoft.com/office/infopath/2007/PartnerControls"/>
    <ds:schemaRef ds:uri="fdd6b31f-a027-425f-adfa-a4194e98dae2"/>
    <ds:schemaRef ds:uri="http://purl.org/dc/elements/1.1/"/>
    <ds:schemaRef ds:uri="http://schemas.microsoft.com/office/2006/metadata/properties"/>
    <ds:schemaRef ds:uri="82ff9d9b-d3fc-4aad-bc42-9949ee83b815"/>
    <ds:schemaRef ds:uri="http://schemas.microsoft.com/sharepoint/v3"/>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594B9262-A15A-4B9F-899E-40B75D8B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Materiality assessment position paper</dc:title>
  <dc:subject/>
  <dc:creator/>
  <cp:keywords/>
  <dc:description/>
  <cp:lastModifiedBy/>
  <cp:revision>1</cp:revision>
  <dcterms:created xsi:type="dcterms:W3CDTF">2022-02-04T02:45:00Z</dcterms:created>
  <dcterms:modified xsi:type="dcterms:W3CDTF">2022-03-31T02:50:00Z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0x010100B321FEA60C5BA343A52BC94EC00ABC9E07002A081167BBC6DC4ABF111D5C0340450F</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1;#Accounting FW and Capability Support|17de058c-12f7-44f2-8e7d-03ff49305e52</vt:lpwstr>
  </property>
  <property fmtid="{D5CDD505-2E9C-101B-9397-08002B2CF9AE}" pid="8" name="_dlc_DocIdItemGuid">
    <vt:lpwstr>39dde2a0-a386-49dd-bf38-c123332d5420</vt:lpwstr>
  </property>
</Properties>
</file>