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7A888" w14:textId="77777777" w:rsidR="00500D0A" w:rsidRDefault="005C03DB" w:rsidP="006D39A6">
      <w:pPr>
        <w:pStyle w:val="Title1"/>
        <w:rPr>
          <w:rFonts w:eastAsiaTheme="minorHAnsi"/>
          <w:color w:val="auto"/>
          <w:kern w:val="0"/>
        </w:rPr>
      </w:pPr>
      <w:bookmarkStart w:id="0" w:name="_GoBack"/>
      <w:r>
        <w:rPr>
          <w:rFonts w:eastAsiaTheme="minorHAnsi"/>
          <w:color w:val="auto"/>
          <w:kern w:val="0"/>
        </w:rPr>
        <w:t xml:space="preserve">Checklist: </w:t>
      </w:r>
      <w:r w:rsidR="002B27F1" w:rsidRPr="006D39A6">
        <w:rPr>
          <w:rFonts w:eastAsiaTheme="minorHAnsi"/>
          <w:color w:val="auto"/>
          <w:kern w:val="0"/>
        </w:rPr>
        <w:t xml:space="preserve">Machinery of Government </w:t>
      </w:r>
      <w:r w:rsidR="00014FF1" w:rsidRPr="006D39A6">
        <w:rPr>
          <w:rFonts w:eastAsiaTheme="minorHAnsi"/>
          <w:color w:val="auto"/>
          <w:kern w:val="0"/>
        </w:rPr>
        <w:t>r</w:t>
      </w:r>
      <w:r w:rsidR="00502260" w:rsidRPr="006D39A6">
        <w:rPr>
          <w:rFonts w:eastAsiaTheme="minorHAnsi"/>
          <w:color w:val="auto"/>
          <w:kern w:val="0"/>
        </w:rPr>
        <w:t>estructures</w:t>
      </w:r>
    </w:p>
    <w:tbl>
      <w:tblPr>
        <w:tblStyle w:val="TableGrid"/>
        <w:tblW w:w="0" w:type="auto"/>
        <w:tblLook w:val="04A0" w:firstRow="1" w:lastRow="0" w:firstColumn="1" w:lastColumn="0" w:noHBand="0" w:noVBand="1"/>
      </w:tblPr>
      <w:tblGrid>
        <w:gridCol w:w="9060"/>
      </w:tblGrid>
      <w:tr w:rsidR="006D39A6" w14:paraId="73A2C691" w14:textId="77777777" w:rsidTr="004002D6">
        <w:tc>
          <w:tcPr>
            <w:tcW w:w="9060" w:type="dxa"/>
            <w:tcBorders>
              <w:top w:val="nil"/>
              <w:left w:val="nil"/>
              <w:bottom w:val="nil"/>
              <w:right w:val="nil"/>
            </w:tcBorders>
            <w:shd w:val="clear" w:color="auto" w:fill="BDDCDF" w:themeFill="accent1"/>
          </w:tcPr>
          <w:bookmarkEnd w:id="0"/>
          <w:p w14:paraId="1F7935C3" w14:textId="77777777" w:rsidR="006D39A6" w:rsidRPr="00A04A73" w:rsidRDefault="006D39A6" w:rsidP="006D39A6">
            <w:pPr>
              <w:pStyle w:val="Boxed2Heading"/>
              <w:ind w:left="0"/>
              <w:rPr>
                <w:b w:val="0"/>
                <w:sz w:val="30"/>
                <w:szCs w:val="30"/>
              </w:rPr>
            </w:pPr>
            <w:r w:rsidRPr="00A04A73">
              <w:rPr>
                <w:b w:val="0"/>
                <w:sz w:val="30"/>
                <w:szCs w:val="30"/>
              </w:rPr>
              <w:t>Foreword</w:t>
            </w:r>
          </w:p>
          <w:p w14:paraId="081030D7" w14:textId="77777777" w:rsidR="00500D0A" w:rsidRDefault="00500D0A" w:rsidP="006D39A6">
            <w:pPr>
              <w:pStyle w:val="Boxed2Text"/>
              <w:ind w:left="0"/>
            </w:pPr>
            <w:r>
              <w:t>From time to time, the G</w:t>
            </w:r>
            <w:r w:rsidR="006D39A6">
              <w:t>overnment makes administrative changes, resulting in changes to the functions of public sector entities. Entities may be created, merged, split or abolished, or specific functions transfer</w:t>
            </w:r>
            <w:r w:rsidR="009E3665">
              <w:t>red</w:t>
            </w:r>
            <w:r w:rsidR="006D39A6">
              <w:t xml:space="preserve"> from one entity to another. These Machinery of Government (MoG) cha</w:t>
            </w:r>
            <w:r w:rsidR="0007587A">
              <w:t xml:space="preserve">nges </w:t>
            </w:r>
            <w:r w:rsidR="006D39A6">
              <w:t xml:space="preserve">vary greatly in their scale and complexity, from transfers of minor responsibility through to the creation of new entities. </w:t>
            </w:r>
          </w:p>
          <w:p w14:paraId="702E6804" w14:textId="77777777" w:rsidR="006D39A6" w:rsidRDefault="006D39A6" w:rsidP="00500D0A">
            <w:pPr>
              <w:pStyle w:val="Boxed2Text"/>
              <w:spacing w:after="0"/>
              <w:ind w:left="0"/>
            </w:pPr>
            <w:r>
              <w:t>Particularly following an election, the changes may occur with little warning or little opportunity to undertake preparatory work, and the implementation of the changes is generally seen as a priority of Government.</w:t>
            </w:r>
            <w:r w:rsidR="00500D0A">
              <w:t xml:space="preserve"> </w:t>
            </w:r>
            <w:r>
              <w:t>MoG changes may arise as a result of:</w:t>
            </w:r>
          </w:p>
          <w:p w14:paraId="3F595F55" w14:textId="77777777" w:rsidR="006D39A6" w:rsidRPr="00500D0A" w:rsidRDefault="006D39A6" w:rsidP="00500D0A">
            <w:pPr>
              <w:pStyle w:val="Bullet1"/>
              <w:spacing w:before="0"/>
            </w:pPr>
            <w:r w:rsidRPr="00500D0A">
              <w:t>a decision of the Cabinet or Prime Minister</w:t>
            </w:r>
          </w:p>
          <w:p w14:paraId="62AB1FB6" w14:textId="77777777" w:rsidR="006D39A6" w:rsidRPr="00500D0A" w:rsidRDefault="006D39A6" w:rsidP="00500D0A">
            <w:pPr>
              <w:pStyle w:val="Bullet1"/>
            </w:pPr>
            <w:r w:rsidRPr="00500D0A">
              <w:t>a</w:t>
            </w:r>
            <w:r w:rsidR="0007587A">
              <w:t xml:space="preserve"> change to the</w:t>
            </w:r>
            <w:r w:rsidRPr="00500D0A">
              <w:t xml:space="preserve"> </w:t>
            </w:r>
            <w:r w:rsidR="0007587A">
              <w:t>Administrative Arrangement Orders (AAO)</w:t>
            </w:r>
          </w:p>
          <w:p w14:paraId="59EC6F2B" w14:textId="77777777" w:rsidR="006D39A6" w:rsidRPr="00500D0A" w:rsidRDefault="006D39A6" w:rsidP="00500D0A">
            <w:pPr>
              <w:pStyle w:val="Bullet1"/>
            </w:pPr>
            <w:r w:rsidRPr="00500D0A">
              <w:t>an Act of Parliament or a Regulation under an Act, or</w:t>
            </w:r>
          </w:p>
          <w:p w14:paraId="5E71AD98" w14:textId="77777777" w:rsidR="00500D0A" w:rsidRPr="00500D0A" w:rsidRDefault="006D39A6" w:rsidP="00500D0A">
            <w:pPr>
              <w:pStyle w:val="Bullet1"/>
            </w:pPr>
            <w:r w:rsidRPr="00500D0A">
              <w:t xml:space="preserve">a written agreement between the relevant portfolio Minister(s) and the Minister </w:t>
            </w:r>
            <w:r w:rsidR="0007587A">
              <w:t xml:space="preserve">for </w:t>
            </w:r>
            <w:r w:rsidR="0007587A" w:rsidRPr="00500D0A">
              <w:t xml:space="preserve">Finance </w:t>
            </w:r>
            <w:r w:rsidRPr="00500D0A">
              <w:t>or the Prime Minister, as appropriate.</w:t>
            </w:r>
          </w:p>
          <w:p w14:paraId="4A1D8C6A" w14:textId="77777777" w:rsidR="006D39A6" w:rsidRDefault="0007587A" w:rsidP="006D39A6">
            <w:pPr>
              <w:pStyle w:val="Bullet1"/>
              <w:numPr>
                <w:ilvl w:val="0"/>
                <w:numId w:val="0"/>
              </w:numPr>
            </w:pPr>
            <w:r>
              <w:t>Some common examples of MoG changes</w:t>
            </w:r>
            <w:r w:rsidR="006D39A6">
              <w:t xml:space="preserve"> are the:</w:t>
            </w:r>
          </w:p>
          <w:p w14:paraId="6AA0A36F" w14:textId="77777777" w:rsidR="006D39A6" w:rsidRPr="00500D0A" w:rsidRDefault="006D39A6" w:rsidP="00500D0A">
            <w:pPr>
              <w:pStyle w:val="Bullet1"/>
            </w:pPr>
            <w:r w:rsidRPr="00500D0A">
              <w:t>abolition or creation of an entity</w:t>
            </w:r>
          </w:p>
          <w:p w14:paraId="2FAACCDD" w14:textId="77777777" w:rsidR="006D39A6" w:rsidRPr="00500D0A" w:rsidRDefault="006D39A6" w:rsidP="00500D0A">
            <w:pPr>
              <w:pStyle w:val="Bullet1"/>
            </w:pPr>
            <w:r w:rsidRPr="00500D0A">
              <w:t>transfer of functions or responsibilities between entities, and</w:t>
            </w:r>
          </w:p>
          <w:p w14:paraId="46821792" w14:textId="77777777" w:rsidR="00500D0A" w:rsidRDefault="006D39A6" w:rsidP="00500D0A">
            <w:pPr>
              <w:pStyle w:val="Bullet1"/>
              <w:spacing w:after="0"/>
            </w:pPr>
            <w:r w:rsidRPr="00500D0A">
              <w:t>movement of functions into, or out of, the Australian Public Service.</w:t>
            </w:r>
          </w:p>
          <w:p w14:paraId="07CF1B5A" w14:textId="77777777" w:rsidR="006D39A6" w:rsidRDefault="00500D0A" w:rsidP="00500D0A">
            <w:pPr>
              <w:pStyle w:val="Bullet1"/>
              <w:numPr>
                <w:ilvl w:val="0"/>
                <w:numId w:val="0"/>
              </w:numPr>
              <w:spacing w:before="0"/>
            </w:pPr>
            <w:r>
              <w:br/>
            </w:r>
            <w:r w:rsidR="006D39A6">
              <w:t>There is a substantial amount of guidance material available to assist receiving</w:t>
            </w:r>
            <w:r w:rsidR="009E3665">
              <w:t>/gaining</w:t>
            </w:r>
            <w:r w:rsidR="006D39A6">
              <w:t xml:space="preserve"> and losing entities in implementing restructures.</w:t>
            </w:r>
          </w:p>
          <w:p w14:paraId="2F5900F8" w14:textId="77777777" w:rsidR="00500D0A" w:rsidRDefault="00500D0A" w:rsidP="006D39A6">
            <w:pPr>
              <w:pStyle w:val="Bullet1"/>
              <w:numPr>
                <w:ilvl w:val="0"/>
                <w:numId w:val="0"/>
              </w:numPr>
            </w:pPr>
            <w:r>
              <w:t xml:space="preserve">The </w:t>
            </w:r>
            <w:hyperlink r:id="rId13" w:history="1">
              <w:r w:rsidRPr="009E3665">
                <w:rPr>
                  <w:rStyle w:val="Hyperlink"/>
                  <w:rFonts w:cstheme="minorBidi"/>
                  <w:i/>
                </w:rPr>
                <w:t xml:space="preserve">Public Governance, Performance and Accountability (Financial Reporting) Rule 2015 </w:t>
              </w:r>
              <w:r w:rsidRPr="009E3665">
                <w:rPr>
                  <w:rStyle w:val="Hyperlink"/>
                  <w:rFonts w:cstheme="minorBidi"/>
                </w:rPr>
                <w:t>(FRR)</w:t>
              </w:r>
            </w:hyperlink>
            <w:r w:rsidR="006D39A6">
              <w:t xml:space="preserve"> specifies a number of disclosure and accounting requirements when an entity has been involved in a restructuring of administrative arrangements during a reporting period. </w:t>
            </w:r>
          </w:p>
          <w:p w14:paraId="0487098E" w14:textId="2BD334F2" w:rsidR="006D39A6" w:rsidRDefault="006D39A6" w:rsidP="006D39A6">
            <w:pPr>
              <w:pStyle w:val="Bullet1"/>
              <w:numPr>
                <w:ilvl w:val="0"/>
                <w:numId w:val="0"/>
              </w:numPr>
            </w:pPr>
            <w:r>
              <w:t>The terms, ‘</w:t>
            </w:r>
            <w:r w:rsidR="00DF48B3">
              <w:t xml:space="preserve">transferring’ </w:t>
            </w:r>
            <w:r>
              <w:t>and ‘receiving’ entities, are used to de</w:t>
            </w:r>
            <w:r w:rsidR="00500D0A">
              <w:t xml:space="preserve">scribe entities that relinquish and </w:t>
            </w:r>
            <w:r>
              <w:t>assume functions.</w:t>
            </w:r>
          </w:p>
          <w:p w14:paraId="4B864FCC" w14:textId="77777777" w:rsidR="006D39A6" w:rsidRDefault="006D39A6" w:rsidP="006D39A6">
            <w:pPr>
              <w:pStyle w:val="Bullet1"/>
              <w:numPr>
                <w:ilvl w:val="0"/>
                <w:numId w:val="0"/>
              </w:numPr>
            </w:pPr>
            <w:r>
              <w:t xml:space="preserve">This checklist does not aim to provide an exhaustive guide to all aspects of implementing a restructure. It focuses on helping ‘receiving’ non-corporate entities </w:t>
            </w:r>
            <w:r w:rsidR="00500D0A">
              <w:t xml:space="preserve">to </w:t>
            </w:r>
            <w:r>
              <w:t>prepare financial statements when there is a transfer of functions from another non-corporate entity during a reporting period.</w:t>
            </w:r>
          </w:p>
          <w:p w14:paraId="7AB01C53" w14:textId="77777777" w:rsidR="006D39A6" w:rsidRDefault="006D39A6" w:rsidP="006D39A6">
            <w:pPr>
              <w:pStyle w:val="Bullet1"/>
              <w:numPr>
                <w:ilvl w:val="0"/>
                <w:numId w:val="0"/>
              </w:numPr>
            </w:pPr>
            <w:r>
              <w:t>The accountable authority of a receiving entity must ensure that the financial records of the functions transferred are sufficient to present fairly the entity’s financial position, financial performance and cash flows and can contribute to the timely and accurate completion of the entity’s financial statements.</w:t>
            </w:r>
          </w:p>
          <w:p w14:paraId="513B867A" w14:textId="61ABE63A" w:rsidR="0007587A" w:rsidRDefault="004814AB" w:rsidP="004814AB">
            <w:pPr>
              <w:pStyle w:val="Bullet1"/>
              <w:numPr>
                <w:ilvl w:val="0"/>
                <w:numId w:val="0"/>
              </w:numPr>
            </w:pPr>
            <w:r w:rsidRPr="004814AB">
              <w:t xml:space="preserve">The Australian Public Service Commission, in conjunction with Finance has developed </w:t>
            </w:r>
            <w:hyperlink r:id="rId14" w:history="1">
              <w:r w:rsidR="00DF48B3">
                <w:rPr>
                  <w:rStyle w:val="Hyperlink"/>
                  <w:rFonts w:cstheme="minorBidi"/>
                  <w:color w:val="00B0F0"/>
                </w:rPr>
                <w:t>Machinery of Government (MoG) changes: a guide for entities</w:t>
              </w:r>
            </w:hyperlink>
            <w:r w:rsidR="00DF48B3" w:rsidRPr="001546B6">
              <w:t xml:space="preserve"> </w:t>
            </w:r>
            <w:r w:rsidR="00DF48B3">
              <w:t>a</w:t>
            </w:r>
            <w:r w:rsidRPr="004814AB">
              <w:t>s a source of practical guidance to help entities implement MoG changes.</w:t>
            </w:r>
          </w:p>
        </w:tc>
      </w:tr>
    </w:tbl>
    <w:p w14:paraId="46A8971F" w14:textId="77777777" w:rsidR="006D39A6" w:rsidRPr="006D39A6" w:rsidRDefault="006D39A6" w:rsidP="006D39A6">
      <w:pPr>
        <w:pStyle w:val="Heading1"/>
        <w:keepNext w:val="0"/>
        <w:keepLines w:val="0"/>
        <w:spacing w:before="180" w:after="60" w:line="280" w:lineRule="atLeast"/>
        <w:contextualSpacing w:val="0"/>
        <w:rPr>
          <w:rFonts w:eastAsiaTheme="minorHAnsi"/>
          <w:color w:val="auto"/>
        </w:rPr>
      </w:pPr>
      <w:r w:rsidRPr="006D39A6">
        <w:rPr>
          <w:rFonts w:asciiTheme="minorHAnsi" w:eastAsiaTheme="minorHAnsi" w:hAnsiTheme="minorHAnsi" w:cstheme="minorBidi"/>
          <w:b/>
          <w:bCs w:val="0"/>
          <w:color w:val="auto"/>
          <w:sz w:val="24"/>
          <w:szCs w:val="24"/>
        </w:rPr>
        <w:t>Checklist—Machinery of Government</w:t>
      </w:r>
      <w:r w:rsidRPr="006D39A6">
        <w:rPr>
          <w:rFonts w:ascii="Arial" w:eastAsiaTheme="minorHAnsi" w:hAnsi="Arial" w:cs="Arial"/>
          <w:color w:val="auto"/>
          <w:szCs w:val="40"/>
        </w:rPr>
        <w:t xml:space="preserve"> </w:t>
      </w:r>
      <w:r w:rsidRPr="006D39A6">
        <w:rPr>
          <w:rFonts w:asciiTheme="minorHAnsi" w:eastAsiaTheme="minorHAnsi" w:hAnsiTheme="minorHAnsi" w:cstheme="minorBidi"/>
          <w:b/>
          <w:bCs w:val="0"/>
          <w:color w:val="auto"/>
          <w:sz w:val="24"/>
          <w:szCs w:val="24"/>
        </w:rPr>
        <w:t>restructures</w:t>
      </w:r>
    </w:p>
    <w:tbl>
      <w:tblPr>
        <w:tblStyle w:val="GridTable5Dark-Accent3"/>
        <w:tblW w:w="8600" w:type="dxa"/>
        <w:tblLook w:val="04A0" w:firstRow="1" w:lastRow="0" w:firstColumn="1" w:lastColumn="0" w:noHBand="0" w:noVBand="1"/>
        <w:tblCaption w:val="Checklist—Machinery of Government restructures"/>
        <w:tblDescription w:val="This checklist does not aim to provide an exhaustive guide to all aspects of implementing a restructure. It focuses on helping ‘receiving’ non-corporate entities to prepare financial statements when there is a transfer of functions from another non-corporate entity during a reporting period."/>
      </w:tblPr>
      <w:tblGrid>
        <w:gridCol w:w="1460"/>
        <w:gridCol w:w="4347"/>
        <w:gridCol w:w="2793"/>
      </w:tblGrid>
      <w:tr w:rsidR="00D007D9" w:rsidRPr="00D007D9" w14:paraId="3449F358" w14:textId="77777777" w:rsidTr="00364D43">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460" w:type="dxa"/>
            <w:shd w:val="clear" w:color="auto" w:fill="000000" w:themeFill="text1"/>
            <w:noWrap/>
            <w:hideMark/>
          </w:tcPr>
          <w:p w14:paraId="4CBA5036" w14:textId="77777777" w:rsidR="00D007D9" w:rsidRPr="00174074" w:rsidRDefault="00D007D9" w:rsidP="00D007D9">
            <w:pPr>
              <w:suppressAutoHyphens w:val="0"/>
              <w:spacing w:before="0" w:after="0" w:line="240" w:lineRule="auto"/>
              <w:rPr>
                <w:rFonts w:ascii="Arial" w:eastAsia="Times New Roman" w:hAnsi="Arial" w:cs="Arial"/>
                <w:b w:val="0"/>
                <w:bCs w:val="0"/>
                <w:sz w:val="20"/>
                <w:szCs w:val="20"/>
                <w:lang w:eastAsia="en-AU"/>
              </w:rPr>
            </w:pPr>
            <w:r w:rsidRPr="00174074">
              <w:rPr>
                <w:rFonts w:ascii="Arial" w:eastAsia="Times New Roman" w:hAnsi="Arial" w:cs="Arial"/>
                <w:sz w:val="20"/>
                <w:lang w:val="en-US" w:eastAsia="en-AU"/>
              </w:rPr>
              <w:t>Topic</w:t>
            </w:r>
          </w:p>
        </w:tc>
        <w:tc>
          <w:tcPr>
            <w:tcW w:w="4347" w:type="dxa"/>
            <w:shd w:val="clear" w:color="auto" w:fill="000000" w:themeFill="text1"/>
            <w:noWrap/>
            <w:hideMark/>
          </w:tcPr>
          <w:p w14:paraId="22A3FA31" w14:textId="77777777" w:rsidR="00D007D9" w:rsidRPr="00174074" w:rsidRDefault="00D007D9" w:rsidP="00D007D9">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eastAsia="en-AU"/>
              </w:rPr>
            </w:pPr>
            <w:r w:rsidRPr="00174074">
              <w:rPr>
                <w:rFonts w:ascii="Arial" w:eastAsia="Times New Roman" w:hAnsi="Arial" w:cs="Arial"/>
                <w:sz w:val="20"/>
                <w:lang w:val="en-US" w:eastAsia="en-AU"/>
              </w:rPr>
              <w:t>Key Action/Issue</w:t>
            </w:r>
          </w:p>
        </w:tc>
        <w:tc>
          <w:tcPr>
            <w:tcW w:w="2793" w:type="dxa"/>
            <w:shd w:val="clear" w:color="auto" w:fill="000000" w:themeFill="text1"/>
            <w:noWrap/>
            <w:hideMark/>
          </w:tcPr>
          <w:p w14:paraId="07C1E3B9" w14:textId="77777777" w:rsidR="00D007D9" w:rsidRPr="00174074" w:rsidRDefault="00D007D9" w:rsidP="00D007D9">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eastAsia="en-AU"/>
              </w:rPr>
            </w:pPr>
            <w:r w:rsidRPr="00174074">
              <w:rPr>
                <w:rFonts w:ascii="Arial" w:eastAsia="Times New Roman" w:hAnsi="Arial" w:cs="Arial"/>
                <w:sz w:val="20"/>
                <w:lang w:val="en-US" w:eastAsia="en-AU"/>
              </w:rPr>
              <w:t>Comments</w:t>
            </w:r>
          </w:p>
        </w:tc>
      </w:tr>
      <w:tr w:rsidR="00794131" w:rsidRPr="00D007D9" w14:paraId="46656BF4" w14:textId="77777777" w:rsidTr="009E3665">
        <w:trPr>
          <w:cnfStyle w:val="000000100000" w:firstRow="0" w:lastRow="0" w:firstColumn="0" w:lastColumn="0" w:oddVBand="0" w:evenVBand="0" w:oddHBand="1" w:evenHBand="0" w:firstRowFirstColumn="0" w:firstRowLastColumn="0" w:lastRowFirstColumn="0" w:lastRowLastColumn="0"/>
          <w:trHeight w:val="5740"/>
        </w:trPr>
        <w:tc>
          <w:tcPr>
            <w:cnfStyle w:val="001000000000" w:firstRow="0" w:lastRow="0" w:firstColumn="1" w:lastColumn="0" w:oddVBand="0" w:evenVBand="0" w:oddHBand="0" w:evenHBand="0" w:firstRowFirstColumn="0" w:firstRowLastColumn="0" w:lastRowFirstColumn="0" w:lastRowLastColumn="0"/>
            <w:tcW w:w="1460" w:type="dxa"/>
            <w:shd w:val="clear" w:color="auto" w:fill="D9D9D9" w:themeFill="background1" w:themeFillShade="D9"/>
            <w:hideMark/>
          </w:tcPr>
          <w:p w14:paraId="14094738" w14:textId="77777777" w:rsidR="00794131" w:rsidRPr="00174074" w:rsidRDefault="00794131" w:rsidP="00D007D9">
            <w:pPr>
              <w:suppressAutoHyphens w:val="0"/>
              <w:spacing w:before="0" w:after="0" w:line="240" w:lineRule="auto"/>
              <w:rPr>
                <w:rFonts w:ascii="Arial" w:eastAsia="Times New Roman" w:hAnsi="Arial" w:cs="Arial"/>
                <w:b w:val="0"/>
                <w:bCs w:val="0"/>
                <w:i/>
                <w:iCs/>
                <w:color w:val="auto"/>
                <w:sz w:val="18"/>
                <w:szCs w:val="18"/>
                <w:lang w:eastAsia="en-AU"/>
              </w:rPr>
            </w:pPr>
            <w:r w:rsidRPr="00174074">
              <w:rPr>
                <w:rFonts w:ascii="Arial" w:eastAsia="Times New Roman" w:hAnsi="Arial" w:cs="Arial"/>
                <w:i/>
                <w:iCs/>
                <w:color w:val="auto"/>
                <w:sz w:val="18"/>
                <w:lang w:val="en-US" w:eastAsia="en-AU"/>
              </w:rPr>
              <w:t>Agreement by senior management</w:t>
            </w:r>
          </w:p>
        </w:tc>
        <w:tc>
          <w:tcPr>
            <w:tcW w:w="4347" w:type="dxa"/>
            <w:shd w:val="clear" w:color="auto" w:fill="F2F2F2" w:themeFill="background1" w:themeFillShade="F2"/>
            <w:hideMark/>
          </w:tcPr>
          <w:p w14:paraId="42FDF76D" w14:textId="50D15E22" w:rsidR="00794131" w:rsidRPr="00174074" w:rsidRDefault="00794131" w:rsidP="00DB4A98">
            <w:pPr>
              <w:spacing w:before="0"/>
              <w:cnfStyle w:val="000000100000" w:firstRow="0" w:lastRow="0" w:firstColumn="0" w:lastColumn="0" w:oddVBand="0" w:evenVBand="0" w:oddHBand="1" w:evenHBand="0" w:firstRowFirstColumn="0" w:firstRowLastColumn="0" w:lastRowFirstColumn="0" w:lastRowLastColumn="0"/>
              <w:rPr>
                <w:sz w:val="18"/>
                <w:szCs w:val="18"/>
                <w:lang w:eastAsia="en-AU"/>
              </w:rPr>
            </w:pPr>
            <w:r w:rsidRPr="00174074">
              <w:rPr>
                <w:sz w:val="18"/>
                <w:lang w:val="en-US" w:eastAsia="en-AU"/>
              </w:rPr>
              <w:t>Have the respective accountable authorities of the losing and receiving entities reached agreement on the scope of the restructure and the responsibility for deliverables?</w:t>
            </w:r>
          </w:p>
          <w:p w14:paraId="2409E066" w14:textId="77777777" w:rsidR="00794131" w:rsidRPr="00174074" w:rsidRDefault="00794131" w:rsidP="00DB4A98">
            <w:pPr>
              <w:pStyle w:val="Bullet1"/>
              <w:numPr>
                <w:ilvl w:val="0"/>
                <w:numId w:val="0"/>
              </w:numPr>
              <w:spacing w:before="0"/>
              <w:ind w:left="284" w:hanging="284"/>
              <w:cnfStyle w:val="000000100000" w:firstRow="0" w:lastRow="0" w:firstColumn="0" w:lastColumn="0" w:oddVBand="0" w:evenVBand="0" w:oddHBand="1" w:evenHBand="0" w:firstRowFirstColumn="0" w:firstRowLastColumn="0" w:lastRowFirstColumn="0" w:lastRowLastColumn="0"/>
              <w:rPr>
                <w:szCs w:val="18"/>
                <w:lang w:eastAsia="en-AU"/>
              </w:rPr>
            </w:pPr>
            <w:r w:rsidRPr="00174074">
              <w:rPr>
                <w:sz w:val="18"/>
                <w:lang w:val="en-US" w:eastAsia="en-AU"/>
              </w:rPr>
              <w:t>Issues for consideration include agreeing:</w:t>
            </w:r>
          </w:p>
          <w:p w14:paraId="29F26DB1" w14:textId="77777777" w:rsidR="00794131" w:rsidRPr="00174074" w:rsidRDefault="00794131" w:rsidP="00DB4A98">
            <w:pPr>
              <w:pStyle w:val="Bullet1"/>
              <w:spacing w:before="0"/>
              <w:cnfStyle w:val="000000100000" w:firstRow="0" w:lastRow="0" w:firstColumn="0" w:lastColumn="0" w:oddVBand="0" w:evenVBand="0" w:oddHBand="1" w:evenHBand="0" w:firstRowFirstColumn="0" w:firstRowLastColumn="0" w:lastRowFirstColumn="0" w:lastRowLastColumn="0"/>
              <w:rPr>
                <w:szCs w:val="18"/>
                <w:lang w:eastAsia="en-AU"/>
              </w:rPr>
            </w:pPr>
            <w:r w:rsidRPr="00174074">
              <w:rPr>
                <w:sz w:val="18"/>
                <w:lang w:val="en-US" w:eastAsia="en-AU"/>
              </w:rPr>
              <w:t>key risks and issues that need to be managed</w:t>
            </w:r>
            <w:r w:rsidR="008B4C07">
              <w:rPr>
                <w:sz w:val="18"/>
                <w:lang w:val="en-US" w:eastAsia="en-AU"/>
              </w:rPr>
              <w:t>, with the risks to reside with agencies best placed to manage them</w:t>
            </w:r>
          </w:p>
          <w:p w14:paraId="5466E176" w14:textId="77777777" w:rsidR="00794131" w:rsidRPr="00174074" w:rsidRDefault="00794131" w:rsidP="00DB4A98">
            <w:pPr>
              <w:pStyle w:val="Bullet1"/>
              <w:spacing w:before="0"/>
              <w:cnfStyle w:val="000000100000" w:firstRow="0" w:lastRow="0" w:firstColumn="0" w:lastColumn="0" w:oddVBand="0" w:evenVBand="0" w:oddHBand="1" w:evenHBand="0" w:firstRowFirstColumn="0" w:firstRowLastColumn="0" w:lastRowFirstColumn="0" w:lastRowLastColumn="0"/>
              <w:rPr>
                <w:szCs w:val="18"/>
                <w:lang w:eastAsia="en-AU"/>
              </w:rPr>
            </w:pPr>
            <w:r w:rsidRPr="00174074">
              <w:rPr>
                <w:sz w:val="18"/>
                <w:lang w:val="en-US" w:eastAsia="en-AU"/>
              </w:rPr>
              <w:t>the deliverables, responsibilities and critical milestones</w:t>
            </w:r>
          </w:p>
          <w:p w14:paraId="09E4549F" w14:textId="77777777" w:rsidR="00794131" w:rsidRPr="00174074" w:rsidRDefault="00794131" w:rsidP="00DB4A98">
            <w:pPr>
              <w:pStyle w:val="Bullet1"/>
              <w:spacing w:before="0"/>
              <w:cnfStyle w:val="000000100000" w:firstRow="0" w:lastRow="0" w:firstColumn="0" w:lastColumn="0" w:oddVBand="0" w:evenVBand="0" w:oddHBand="1" w:evenHBand="0" w:firstRowFirstColumn="0" w:firstRowLastColumn="0" w:lastRowFirstColumn="0" w:lastRowLastColumn="0"/>
              <w:rPr>
                <w:szCs w:val="18"/>
                <w:lang w:eastAsia="en-AU"/>
              </w:rPr>
            </w:pPr>
            <w:r w:rsidRPr="00174074">
              <w:rPr>
                <w:sz w:val="18"/>
                <w:lang w:val="en-US" w:eastAsia="en-AU"/>
              </w:rPr>
              <w:t>key dates, such as the effective date(s) of transfer for financial reporting purposes and a date(s) for the transfer of assets and liabilities and staff</w:t>
            </w:r>
          </w:p>
          <w:p w14:paraId="178F08B1" w14:textId="66BBDF2C" w:rsidR="00794131" w:rsidRPr="002A4E2C" w:rsidRDefault="00794131" w:rsidP="00DB4A98">
            <w:pPr>
              <w:pStyle w:val="Bullet1"/>
              <w:spacing w:before="0"/>
              <w:cnfStyle w:val="000000100000" w:firstRow="0" w:lastRow="0" w:firstColumn="0" w:lastColumn="0" w:oddVBand="0" w:evenVBand="0" w:oddHBand="1" w:evenHBand="0" w:firstRowFirstColumn="0" w:firstRowLastColumn="0" w:lastRowFirstColumn="0" w:lastRowLastColumn="0"/>
              <w:rPr>
                <w:szCs w:val="18"/>
                <w:lang w:eastAsia="en-AU"/>
              </w:rPr>
            </w:pPr>
            <w:r w:rsidRPr="00174074">
              <w:rPr>
                <w:sz w:val="18"/>
                <w:lang w:val="en-US" w:eastAsia="en-AU"/>
              </w:rPr>
              <w:t xml:space="preserve">items to transfer: appropriations, receipts, expenditure, assets, liabilities and </w:t>
            </w:r>
            <w:r w:rsidRPr="002A4E2C">
              <w:rPr>
                <w:sz w:val="18"/>
                <w:lang w:val="en-US" w:eastAsia="en-AU"/>
              </w:rPr>
              <w:t>off-statement of financial position items</w:t>
            </w:r>
            <w:r w:rsidR="00961FED" w:rsidRPr="002A4E2C">
              <w:rPr>
                <w:sz w:val="18"/>
                <w:lang w:val="en-US" w:eastAsia="en-AU"/>
              </w:rPr>
              <w:t xml:space="preserve"> (for example trust asset and liabilities)</w:t>
            </w:r>
            <w:r w:rsidRPr="002A4E2C">
              <w:rPr>
                <w:sz w:val="18"/>
                <w:lang w:val="en-US" w:eastAsia="en-AU"/>
              </w:rPr>
              <w:t>, and</w:t>
            </w:r>
          </w:p>
          <w:p w14:paraId="654D393A" w14:textId="77777777" w:rsidR="00794131" w:rsidRPr="00174074" w:rsidRDefault="00794131" w:rsidP="00DB4A98">
            <w:pPr>
              <w:pStyle w:val="Bullet1"/>
              <w:spacing w:before="0"/>
              <w:cnfStyle w:val="000000100000" w:firstRow="0" w:lastRow="0" w:firstColumn="0" w:lastColumn="0" w:oddVBand="0" w:evenVBand="0" w:oddHBand="1" w:evenHBand="0" w:firstRowFirstColumn="0" w:firstRowLastColumn="0" w:lastRowFirstColumn="0" w:lastRowLastColumn="0"/>
              <w:rPr>
                <w:sz w:val="18"/>
                <w:szCs w:val="18"/>
                <w:lang w:eastAsia="en-AU"/>
              </w:rPr>
            </w:pPr>
            <w:r w:rsidRPr="00174074">
              <w:rPr>
                <w:sz w:val="18"/>
                <w:lang w:val="en-US" w:eastAsia="en-AU"/>
              </w:rPr>
              <w:t>conduct of a due diligence review and providing of supporting documentation, including management sign-offs for the information provided.</w:t>
            </w:r>
          </w:p>
        </w:tc>
        <w:tc>
          <w:tcPr>
            <w:tcW w:w="2793" w:type="dxa"/>
            <w:shd w:val="clear" w:color="auto" w:fill="F2F2F2" w:themeFill="background1" w:themeFillShade="F2"/>
            <w:hideMark/>
          </w:tcPr>
          <w:p w14:paraId="5E99587C" w14:textId="77777777" w:rsidR="00794131" w:rsidRPr="00D007D9" w:rsidRDefault="00794131" w:rsidP="00DB4A98">
            <w:pPr>
              <w:spacing w:before="0"/>
              <w:cnfStyle w:val="000000100000" w:firstRow="0" w:lastRow="0" w:firstColumn="0" w:lastColumn="0" w:oddVBand="0" w:evenVBand="0" w:oddHBand="1" w:evenHBand="0" w:firstRowFirstColumn="0" w:firstRowLastColumn="0" w:lastRowFirstColumn="0" w:lastRowLastColumn="0"/>
              <w:rPr>
                <w:sz w:val="18"/>
                <w:szCs w:val="18"/>
                <w:lang w:eastAsia="en-AU"/>
              </w:rPr>
            </w:pPr>
            <w:r w:rsidRPr="00D007D9">
              <w:rPr>
                <w:sz w:val="18"/>
                <w:szCs w:val="18"/>
                <w:lang w:eastAsia="en-AU"/>
              </w:rPr>
              <w:t> </w:t>
            </w:r>
          </w:p>
          <w:p w14:paraId="3BE474E6" w14:textId="77777777" w:rsidR="00794131" w:rsidRPr="00D007D9" w:rsidRDefault="00794131" w:rsidP="00DB4A98">
            <w:pPr>
              <w:spacing w:before="0"/>
              <w:cnfStyle w:val="000000100000" w:firstRow="0" w:lastRow="0" w:firstColumn="0" w:lastColumn="0" w:oddVBand="0" w:evenVBand="0" w:oddHBand="1" w:evenHBand="0" w:firstRowFirstColumn="0" w:firstRowLastColumn="0" w:lastRowFirstColumn="0" w:lastRowLastColumn="0"/>
              <w:rPr>
                <w:sz w:val="18"/>
                <w:szCs w:val="18"/>
                <w:lang w:eastAsia="en-AU"/>
              </w:rPr>
            </w:pPr>
            <w:r w:rsidRPr="00D007D9">
              <w:rPr>
                <w:sz w:val="18"/>
                <w:szCs w:val="18"/>
                <w:lang w:eastAsia="en-AU"/>
              </w:rPr>
              <w:t> </w:t>
            </w:r>
          </w:p>
        </w:tc>
      </w:tr>
      <w:tr w:rsidR="00794131" w:rsidRPr="00D007D9" w14:paraId="2661817E" w14:textId="77777777" w:rsidTr="009E3665">
        <w:trPr>
          <w:trHeight w:val="3380"/>
        </w:trPr>
        <w:tc>
          <w:tcPr>
            <w:cnfStyle w:val="001000000000" w:firstRow="0" w:lastRow="0" w:firstColumn="1" w:lastColumn="0" w:oddVBand="0" w:evenVBand="0" w:oddHBand="0" w:evenHBand="0" w:firstRowFirstColumn="0" w:firstRowLastColumn="0" w:lastRowFirstColumn="0" w:lastRowLastColumn="0"/>
            <w:tcW w:w="1460" w:type="dxa"/>
            <w:shd w:val="clear" w:color="auto" w:fill="D9D9D9" w:themeFill="background1" w:themeFillShade="D9"/>
            <w:hideMark/>
          </w:tcPr>
          <w:p w14:paraId="3BEB45A9" w14:textId="77777777" w:rsidR="00794131" w:rsidRPr="00D007D9" w:rsidRDefault="00794131" w:rsidP="00D007D9">
            <w:pPr>
              <w:suppressAutoHyphens w:val="0"/>
              <w:spacing w:before="0" w:after="0" w:line="240" w:lineRule="auto"/>
              <w:rPr>
                <w:rFonts w:ascii="Arial" w:eastAsia="Times New Roman" w:hAnsi="Arial" w:cs="Arial"/>
                <w:b w:val="0"/>
                <w:bCs w:val="0"/>
                <w:i/>
                <w:iCs/>
                <w:color w:val="000000"/>
                <w:sz w:val="18"/>
                <w:szCs w:val="18"/>
                <w:lang w:eastAsia="en-AU"/>
              </w:rPr>
            </w:pPr>
            <w:r w:rsidRPr="00D007D9">
              <w:rPr>
                <w:rFonts w:ascii="Arial" w:eastAsia="Times New Roman" w:hAnsi="Arial" w:cs="Arial"/>
                <w:i/>
                <w:iCs/>
                <w:color w:val="000000"/>
                <w:sz w:val="18"/>
                <w:lang w:val="en-US" w:eastAsia="en-AU"/>
              </w:rPr>
              <w:t>Risk analysis</w:t>
            </w:r>
          </w:p>
        </w:tc>
        <w:tc>
          <w:tcPr>
            <w:tcW w:w="4347" w:type="dxa"/>
            <w:shd w:val="clear" w:color="auto" w:fill="F2F2F2" w:themeFill="background1" w:themeFillShade="F2"/>
            <w:hideMark/>
          </w:tcPr>
          <w:p w14:paraId="4BDC2BF3" w14:textId="77777777" w:rsidR="00794131" w:rsidRPr="00D007D9" w:rsidRDefault="00794131" w:rsidP="00DB4A98">
            <w:pPr>
              <w:spacing w:before="0"/>
              <w:cnfStyle w:val="000000000000" w:firstRow="0" w:lastRow="0" w:firstColumn="0" w:lastColumn="0" w:oddVBand="0" w:evenVBand="0" w:oddHBand="0" w:evenHBand="0" w:firstRowFirstColumn="0" w:firstRowLastColumn="0" w:lastRowFirstColumn="0" w:lastRowLastColumn="0"/>
              <w:rPr>
                <w:sz w:val="18"/>
                <w:szCs w:val="18"/>
                <w:lang w:eastAsia="en-AU"/>
              </w:rPr>
            </w:pPr>
            <w:r w:rsidRPr="00D007D9">
              <w:rPr>
                <w:sz w:val="18"/>
                <w:lang w:val="en-US" w:eastAsia="en-AU"/>
              </w:rPr>
              <w:t>Has a financial statements risk analysis been conducted or updated to assess the impact of the transferred functions on each item of the gaining entity’s financial statements?</w:t>
            </w:r>
          </w:p>
          <w:p w14:paraId="588EF506" w14:textId="77777777" w:rsidR="00794131" w:rsidRPr="00D007D9" w:rsidRDefault="00794131" w:rsidP="00DB4A98">
            <w:pPr>
              <w:spacing w:before="0"/>
              <w:cnfStyle w:val="000000000000" w:firstRow="0" w:lastRow="0" w:firstColumn="0" w:lastColumn="0" w:oddVBand="0" w:evenVBand="0" w:oddHBand="0" w:evenHBand="0" w:firstRowFirstColumn="0" w:firstRowLastColumn="0" w:lastRowFirstColumn="0" w:lastRowLastColumn="0"/>
              <w:rPr>
                <w:sz w:val="18"/>
                <w:szCs w:val="18"/>
                <w:lang w:eastAsia="en-AU"/>
              </w:rPr>
            </w:pPr>
            <w:r w:rsidRPr="00D007D9">
              <w:rPr>
                <w:sz w:val="18"/>
                <w:lang w:val="en-US" w:eastAsia="en-AU"/>
              </w:rPr>
              <w:t>How are the identified risks being managed?</w:t>
            </w:r>
          </w:p>
          <w:p w14:paraId="7F5AC8A8" w14:textId="77777777" w:rsidR="00794131" w:rsidRPr="00D007D9" w:rsidRDefault="00794131" w:rsidP="00DB4A98">
            <w:pPr>
              <w:pStyle w:val="Bullet1"/>
              <w:numPr>
                <w:ilvl w:val="0"/>
                <w:numId w:val="0"/>
              </w:numPr>
              <w:spacing w:before="0"/>
              <w:ind w:left="284" w:hanging="284"/>
              <w:cnfStyle w:val="000000000000" w:firstRow="0" w:lastRow="0" w:firstColumn="0" w:lastColumn="0" w:oddVBand="0" w:evenVBand="0" w:oddHBand="0" w:evenHBand="0" w:firstRowFirstColumn="0" w:firstRowLastColumn="0" w:lastRowFirstColumn="0" w:lastRowLastColumn="0"/>
              <w:rPr>
                <w:sz w:val="18"/>
                <w:szCs w:val="18"/>
                <w:lang w:eastAsia="en-AU"/>
              </w:rPr>
            </w:pPr>
            <w:r w:rsidRPr="00D007D9">
              <w:rPr>
                <w:sz w:val="18"/>
                <w:lang w:val="en-US" w:eastAsia="en-AU"/>
              </w:rPr>
              <w:t>Is</w:t>
            </w:r>
            <w:r>
              <w:rPr>
                <w:sz w:val="18"/>
                <w:lang w:val="en-US" w:eastAsia="en-AU"/>
              </w:rPr>
              <w:t>sues for consideration include:</w:t>
            </w:r>
          </w:p>
          <w:p w14:paraId="58D0E14C" w14:textId="77777777" w:rsidR="00794131" w:rsidRPr="00D007D9" w:rsidRDefault="00794131" w:rsidP="00DB4A98">
            <w:pPr>
              <w:pStyle w:val="Bullet1"/>
              <w:spacing w:before="0"/>
              <w:cnfStyle w:val="000000000000" w:firstRow="0" w:lastRow="0" w:firstColumn="0" w:lastColumn="0" w:oddVBand="0" w:evenVBand="0" w:oddHBand="0" w:evenHBand="0" w:firstRowFirstColumn="0" w:firstRowLastColumn="0" w:lastRowFirstColumn="0" w:lastRowLastColumn="0"/>
              <w:rPr>
                <w:sz w:val="18"/>
                <w:szCs w:val="18"/>
                <w:lang w:eastAsia="en-AU"/>
              </w:rPr>
            </w:pPr>
            <w:r w:rsidRPr="00D007D9">
              <w:rPr>
                <w:sz w:val="18"/>
                <w:lang w:val="en-US" w:eastAsia="en-AU"/>
              </w:rPr>
              <w:t>identify the reporting requirements, materiality, data sources and, systems and processes relevant to</w:t>
            </w:r>
            <w:r>
              <w:rPr>
                <w:sz w:val="18"/>
                <w:lang w:val="en-US" w:eastAsia="en-AU"/>
              </w:rPr>
              <w:t xml:space="preserve"> the transferred functions, and</w:t>
            </w:r>
          </w:p>
          <w:p w14:paraId="605FFBA5" w14:textId="77777777" w:rsidR="00794131" w:rsidRPr="00D007D9" w:rsidRDefault="00794131" w:rsidP="00DB4A98">
            <w:pPr>
              <w:pStyle w:val="Bullet1"/>
              <w:spacing w:before="0"/>
              <w:cnfStyle w:val="000000000000" w:firstRow="0" w:lastRow="0" w:firstColumn="0" w:lastColumn="0" w:oddVBand="0" w:evenVBand="0" w:oddHBand="0" w:evenHBand="0" w:firstRowFirstColumn="0" w:firstRowLastColumn="0" w:lastRowFirstColumn="0" w:lastRowLastColumn="0"/>
              <w:rPr>
                <w:sz w:val="18"/>
                <w:szCs w:val="18"/>
                <w:lang w:eastAsia="en-AU"/>
              </w:rPr>
            </w:pPr>
            <w:r w:rsidRPr="00D007D9">
              <w:rPr>
                <w:sz w:val="18"/>
                <w:lang w:val="en-US" w:eastAsia="en-AU"/>
              </w:rPr>
              <w:t>assign a risk rating and implement controls where required.</w:t>
            </w:r>
          </w:p>
        </w:tc>
        <w:tc>
          <w:tcPr>
            <w:tcW w:w="2793" w:type="dxa"/>
            <w:shd w:val="clear" w:color="auto" w:fill="F2F2F2" w:themeFill="background1" w:themeFillShade="F2"/>
            <w:hideMark/>
          </w:tcPr>
          <w:p w14:paraId="5D45DD61" w14:textId="77777777" w:rsidR="00794131" w:rsidRPr="00D007D9" w:rsidRDefault="00794131" w:rsidP="00DB4A98">
            <w:pPr>
              <w:spacing w:before="0"/>
              <w:cnfStyle w:val="000000000000" w:firstRow="0" w:lastRow="0" w:firstColumn="0" w:lastColumn="0" w:oddVBand="0" w:evenVBand="0" w:oddHBand="0" w:evenHBand="0" w:firstRowFirstColumn="0" w:firstRowLastColumn="0" w:lastRowFirstColumn="0" w:lastRowLastColumn="0"/>
              <w:rPr>
                <w:sz w:val="18"/>
                <w:szCs w:val="18"/>
                <w:lang w:eastAsia="en-AU"/>
              </w:rPr>
            </w:pPr>
            <w:r w:rsidRPr="00D007D9">
              <w:rPr>
                <w:sz w:val="18"/>
                <w:szCs w:val="18"/>
                <w:lang w:eastAsia="en-AU"/>
              </w:rPr>
              <w:t> </w:t>
            </w:r>
          </w:p>
          <w:p w14:paraId="5C4AB66A" w14:textId="77777777" w:rsidR="00794131" w:rsidRPr="00D007D9" w:rsidRDefault="00794131" w:rsidP="00DB4A98">
            <w:pPr>
              <w:spacing w:before="0"/>
              <w:cnfStyle w:val="000000000000" w:firstRow="0" w:lastRow="0" w:firstColumn="0" w:lastColumn="0" w:oddVBand="0" w:evenVBand="0" w:oddHBand="0" w:evenHBand="0" w:firstRowFirstColumn="0" w:firstRowLastColumn="0" w:lastRowFirstColumn="0" w:lastRowLastColumn="0"/>
              <w:rPr>
                <w:sz w:val="18"/>
                <w:szCs w:val="18"/>
                <w:lang w:eastAsia="en-AU"/>
              </w:rPr>
            </w:pPr>
            <w:r w:rsidRPr="00D007D9">
              <w:rPr>
                <w:sz w:val="18"/>
                <w:szCs w:val="18"/>
                <w:lang w:eastAsia="en-AU"/>
              </w:rPr>
              <w:t> </w:t>
            </w:r>
          </w:p>
          <w:p w14:paraId="3944FB17" w14:textId="77777777" w:rsidR="00794131" w:rsidRPr="00D007D9" w:rsidRDefault="00794131" w:rsidP="00DB4A98">
            <w:pPr>
              <w:spacing w:before="0"/>
              <w:cnfStyle w:val="000000000000" w:firstRow="0" w:lastRow="0" w:firstColumn="0" w:lastColumn="0" w:oddVBand="0" w:evenVBand="0" w:oddHBand="0" w:evenHBand="0" w:firstRowFirstColumn="0" w:firstRowLastColumn="0" w:lastRowFirstColumn="0" w:lastRowLastColumn="0"/>
              <w:rPr>
                <w:sz w:val="18"/>
                <w:szCs w:val="18"/>
                <w:lang w:eastAsia="en-AU"/>
              </w:rPr>
            </w:pPr>
            <w:r w:rsidRPr="00D007D9">
              <w:rPr>
                <w:sz w:val="18"/>
                <w:szCs w:val="18"/>
                <w:lang w:eastAsia="en-AU"/>
              </w:rPr>
              <w:t> </w:t>
            </w:r>
          </w:p>
        </w:tc>
      </w:tr>
      <w:tr w:rsidR="00794131" w:rsidRPr="00D007D9" w14:paraId="3228D5E3" w14:textId="77777777" w:rsidTr="009E3665">
        <w:trPr>
          <w:cnfStyle w:val="000000100000" w:firstRow="0" w:lastRow="0" w:firstColumn="0" w:lastColumn="0" w:oddVBand="0" w:evenVBand="0" w:oddHBand="1" w:evenHBand="0" w:firstRowFirstColumn="0" w:firstRowLastColumn="0" w:lastRowFirstColumn="0" w:lastRowLastColumn="0"/>
          <w:trHeight w:val="3167"/>
        </w:trPr>
        <w:tc>
          <w:tcPr>
            <w:cnfStyle w:val="001000000000" w:firstRow="0" w:lastRow="0" w:firstColumn="1" w:lastColumn="0" w:oddVBand="0" w:evenVBand="0" w:oddHBand="0" w:evenHBand="0" w:firstRowFirstColumn="0" w:firstRowLastColumn="0" w:lastRowFirstColumn="0" w:lastRowLastColumn="0"/>
            <w:tcW w:w="1460" w:type="dxa"/>
            <w:shd w:val="clear" w:color="auto" w:fill="D9D9D9" w:themeFill="background1" w:themeFillShade="D9"/>
            <w:hideMark/>
          </w:tcPr>
          <w:p w14:paraId="05B173FA" w14:textId="77777777" w:rsidR="00794131" w:rsidRPr="00D007D9" w:rsidRDefault="00794131" w:rsidP="00D007D9">
            <w:pPr>
              <w:suppressAutoHyphens w:val="0"/>
              <w:spacing w:before="0" w:after="0" w:line="240" w:lineRule="auto"/>
              <w:rPr>
                <w:rFonts w:ascii="Arial" w:eastAsia="Times New Roman" w:hAnsi="Arial" w:cs="Arial"/>
                <w:b w:val="0"/>
                <w:bCs w:val="0"/>
                <w:i/>
                <w:iCs/>
                <w:color w:val="000000"/>
                <w:sz w:val="18"/>
                <w:szCs w:val="18"/>
                <w:lang w:eastAsia="en-AU"/>
              </w:rPr>
            </w:pPr>
            <w:r w:rsidRPr="00D007D9">
              <w:rPr>
                <w:rFonts w:ascii="Arial" w:eastAsia="Times New Roman" w:hAnsi="Arial" w:cs="Arial"/>
                <w:i/>
                <w:iCs/>
                <w:color w:val="000000"/>
                <w:sz w:val="18"/>
                <w:lang w:val="en-US" w:eastAsia="en-AU"/>
              </w:rPr>
              <w:t>Due diligence review</w:t>
            </w:r>
          </w:p>
        </w:tc>
        <w:tc>
          <w:tcPr>
            <w:tcW w:w="4347" w:type="dxa"/>
            <w:shd w:val="clear" w:color="auto" w:fill="F2F2F2" w:themeFill="background1" w:themeFillShade="F2"/>
            <w:hideMark/>
          </w:tcPr>
          <w:p w14:paraId="03BAEFF4" w14:textId="77777777" w:rsidR="00794131" w:rsidRPr="00D007D9" w:rsidRDefault="00794131" w:rsidP="00DB4A98">
            <w:pPr>
              <w:spacing w:before="0"/>
              <w:cnfStyle w:val="000000100000" w:firstRow="0" w:lastRow="0" w:firstColumn="0" w:lastColumn="0" w:oddVBand="0" w:evenVBand="0" w:oddHBand="1" w:evenHBand="0" w:firstRowFirstColumn="0" w:firstRowLastColumn="0" w:lastRowFirstColumn="0" w:lastRowLastColumn="0"/>
              <w:rPr>
                <w:sz w:val="18"/>
                <w:szCs w:val="18"/>
                <w:lang w:eastAsia="en-AU"/>
              </w:rPr>
            </w:pPr>
            <w:r w:rsidRPr="00D007D9">
              <w:rPr>
                <w:sz w:val="18"/>
                <w:lang w:val="en-US" w:eastAsia="en-AU"/>
              </w:rPr>
              <w:t>Has a due diligence or quality assurance review been performed to identify and verify the information provided?</w:t>
            </w:r>
          </w:p>
          <w:p w14:paraId="3594049C" w14:textId="77777777" w:rsidR="00794131" w:rsidRPr="00D007D9" w:rsidRDefault="00794131" w:rsidP="00DB4A98">
            <w:pPr>
              <w:spacing w:before="0"/>
              <w:cnfStyle w:val="000000100000" w:firstRow="0" w:lastRow="0" w:firstColumn="0" w:lastColumn="0" w:oddVBand="0" w:evenVBand="0" w:oddHBand="1" w:evenHBand="0" w:firstRowFirstColumn="0" w:firstRowLastColumn="0" w:lastRowFirstColumn="0" w:lastRowLastColumn="0"/>
              <w:rPr>
                <w:sz w:val="18"/>
                <w:szCs w:val="18"/>
                <w:lang w:eastAsia="en-AU"/>
              </w:rPr>
            </w:pPr>
            <w:r w:rsidRPr="00D007D9">
              <w:rPr>
                <w:sz w:val="18"/>
                <w:lang w:val="en-US" w:eastAsia="en-AU"/>
              </w:rPr>
              <w:t>Is the information provided complete and accurate? Does it comply with FRR requirements and align with the accounting policies of the receiving entity?</w:t>
            </w:r>
          </w:p>
          <w:p w14:paraId="0A81AB84" w14:textId="77777777" w:rsidR="00794131" w:rsidRPr="00D007D9" w:rsidRDefault="00794131" w:rsidP="00DB4A98">
            <w:pPr>
              <w:spacing w:before="0"/>
              <w:cnfStyle w:val="000000100000" w:firstRow="0" w:lastRow="0" w:firstColumn="0" w:lastColumn="0" w:oddVBand="0" w:evenVBand="0" w:oddHBand="1" w:evenHBand="0" w:firstRowFirstColumn="0" w:firstRowLastColumn="0" w:lastRowFirstColumn="0" w:lastRowLastColumn="0"/>
              <w:rPr>
                <w:sz w:val="18"/>
                <w:szCs w:val="18"/>
                <w:lang w:eastAsia="en-AU"/>
              </w:rPr>
            </w:pPr>
            <w:r w:rsidRPr="00D007D9">
              <w:rPr>
                <w:sz w:val="18"/>
                <w:lang w:val="en-US" w:eastAsia="en-AU"/>
              </w:rPr>
              <w:t>Has a certification or sign-off been provided by the CFO of the losing entity and agreed/confirmed by the CFO of the receiving entity?</w:t>
            </w:r>
          </w:p>
        </w:tc>
        <w:tc>
          <w:tcPr>
            <w:tcW w:w="2793" w:type="dxa"/>
            <w:shd w:val="clear" w:color="auto" w:fill="F2F2F2" w:themeFill="background1" w:themeFillShade="F2"/>
            <w:hideMark/>
          </w:tcPr>
          <w:p w14:paraId="2B9DAE70" w14:textId="77777777" w:rsidR="00794131" w:rsidRPr="00D007D9" w:rsidRDefault="00794131" w:rsidP="00DB4A98">
            <w:pPr>
              <w:spacing w:before="0"/>
              <w:cnfStyle w:val="000000100000" w:firstRow="0" w:lastRow="0" w:firstColumn="0" w:lastColumn="0" w:oddVBand="0" w:evenVBand="0" w:oddHBand="1" w:evenHBand="0" w:firstRowFirstColumn="0" w:firstRowLastColumn="0" w:lastRowFirstColumn="0" w:lastRowLastColumn="0"/>
              <w:rPr>
                <w:sz w:val="18"/>
                <w:szCs w:val="18"/>
                <w:lang w:eastAsia="en-AU"/>
              </w:rPr>
            </w:pPr>
            <w:r w:rsidRPr="00D007D9">
              <w:rPr>
                <w:sz w:val="18"/>
                <w:szCs w:val="18"/>
                <w:lang w:eastAsia="en-AU"/>
              </w:rPr>
              <w:t> </w:t>
            </w:r>
          </w:p>
          <w:p w14:paraId="5B39BD1A" w14:textId="77777777" w:rsidR="00794131" w:rsidRPr="00D007D9" w:rsidRDefault="00794131" w:rsidP="00DB4A98">
            <w:pPr>
              <w:spacing w:before="0"/>
              <w:cnfStyle w:val="000000100000" w:firstRow="0" w:lastRow="0" w:firstColumn="0" w:lastColumn="0" w:oddVBand="0" w:evenVBand="0" w:oddHBand="1" w:evenHBand="0" w:firstRowFirstColumn="0" w:firstRowLastColumn="0" w:lastRowFirstColumn="0" w:lastRowLastColumn="0"/>
              <w:rPr>
                <w:sz w:val="18"/>
                <w:szCs w:val="18"/>
                <w:lang w:eastAsia="en-AU"/>
              </w:rPr>
            </w:pPr>
            <w:r w:rsidRPr="00D007D9">
              <w:rPr>
                <w:sz w:val="18"/>
                <w:szCs w:val="18"/>
                <w:lang w:eastAsia="en-AU"/>
              </w:rPr>
              <w:t> </w:t>
            </w:r>
          </w:p>
          <w:p w14:paraId="5118740C" w14:textId="77777777" w:rsidR="00794131" w:rsidRPr="00D007D9" w:rsidRDefault="00794131" w:rsidP="00DB4A98">
            <w:pPr>
              <w:spacing w:before="0"/>
              <w:cnfStyle w:val="000000100000" w:firstRow="0" w:lastRow="0" w:firstColumn="0" w:lastColumn="0" w:oddVBand="0" w:evenVBand="0" w:oddHBand="1" w:evenHBand="0" w:firstRowFirstColumn="0" w:firstRowLastColumn="0" w:lastRowFirstColumn="0" w:lastRowLastColumn="0"/>
              <w:rPr>
                <w:sz w:val="18"/>
                <w:szCs w:val="18"/>
                <w:lang w:eastAsia="en-AU"/>
              </w:rPr>
            </w:pPr>
            <w:r w:rsidRPr="00D007D9">
              <w:rPr>
                <w:sz w:val="18"/>
                <w:szCs w:val="18"/>
                <w:lang w:eastAsia="en-AU"/>
              </w:rPr>
              <w:t> </w:t>
            </w:r>
          </w:p>
        </w:tc>
      </w:tr>
      <w:tr w:rsidR="00D007D9" w:rsidRPr="00D007D9" w14:paraId="35A3FEF6" w14:textId="77777777" w:rsidTr="00794131">
        <w:trPr>
          <w:trHeight w:val="2924"/>
        </w:trPr>
        <w:tc>
          <w:tcPr>
            <w:cnfStyle w:val="001000000000" w:firstRow="0" w:lastRow="0" w:firstColumn="1" w:lastColumn="0" w:oddVBand="0" w:evenVBand="0" w:oddHBand="0" w:evenHBand="0" w:firstRowFirstColumn="0" w:firstRowLastColumn="0" w:lastRowFirstColumn="0" w:lastRowLastColumn="0"/>
            <w:tcW w:w="1460" w:type="dxa"/>
            <w:shd w:val="clear" w:color="auto" w:fill="D9D9D9" w:themeFill="background1" w:themeFillShade="D9"/>
            <w:hideMark/>
          </w:tcPr>
          <w:p w14:paraId="63A24406" w14:textId="77777777" w:rsidR="00D007D9" w:rsidRPr="00D007D9" w:rsidRDefault="00D007D9" w:rsidP="00D007D9">
            <w:pPr>
              <w:suppressAutoHyphens w:val="0"/>
              <w:spacing w:before="0" w:after="0" w:line="240" w:lineRule="auto"/>
              <w:rPr>
                <w:rFonts w:ascii="Arial" w:eastAsia="Times New Roman" w:hAnsi="Arial" w:cs="Arial"/>
                <w:b w:val="0"/>
                <w:bCs w:val="0"/>
                <w:i/>
                <w:iCs/>
                <w:color w:val="000000"/>
                <w:sz w:val="18"/>
                <w:szCs w:val="18"/>
                <w:lang w:eastAsia="en-AU"/>
              </w:rPr>
            </w:pPr>
            <w:r w:rsidRPr="00D007D9">
              <w:rPr>
                <w:rFonts w:ascii="Arial" w:eastAsia="Times New Roman" w:hAnsi="Arial" w:cs="Arial"/>
                <w:i/>
                <w:iCs/>
                <w:color w:val="000000"/>
                <w:sz w:val="18"/>
                <w:szCs w:val="18"/>
                <w:lang w:eastAsia="en-AU"/>
              </w:rPr>
              <w:t>Due diligence review (continued)</w:t>
            </w:r>
          </w:p>
        </w:tc>
        <w:tc>
          <w:tcPr>
            <w:tcW w:w="4347" w:type="dxa"/>
            <w:shd w:val="clear" w:color="auto" w:fill="F2F2F2" w:themeFill="background1" w:themeFillShade="F2"/>
            <w:hideMark/>
          </w:tcPr>
          <w:p w14:paraId="63187CDC" w14:textId="77777777" w:rsidR="0010128A" w:rsidRPr="0010128A" w:rsidRDefault="00D007D9" w:rsidP="00DB4A98">
            <w:pPr>
              <w:pStyle w:val="Bullet1"/>
              <w:numPr>
                <w:ilvl w:val="0"/>
                <w:numId w:val="0"/>
              </w:numPr>
              <w:spacing w:before="0"/>
              <w:ind w:left="284" w:hanging="284"/>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AU"/>
              </w:rPr>
            </w:pPr>
            <w:r w:rsidRPr="00D007D9">
              <w:rPr>
                <w:sz w:val="18"/>
                <w:lang w:val="en-US" w:eastAsia="en-AU"/>
              </w:rPr>
              <w:t>Issu</w:t>
            </w:r>
            <w:r w:rsidR="0010128A">
              <w:rPr>
                <w:sz w:val="18"/>
                <w:lang w:val="en-US" w:eastAsia="en-AU"/>
              </w:rPr>
              <w:t>es for consideration include:</w:t>
            </w:r>
          </w:p>
          <w:p w14:paraId="3D7AE63A" w14:textId="77777777" w:rsidR="0010128A" w:rsidRPr="0010128A" w:rsidRDefault="00D007D9" w:rsidP="00DB4A98">
            <w:pPr>
              <w:pStyle w:val="Bullet1"/>
              <w:spacing w:befor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AU"/>
              </w:rPr>
            </w:pPr>
            <w:r w:rsidRPr="00D007D9">
              <w:rPr>
                <w:sz w:val="18"/>
                <w:lang w:val="en-US" w:eastAsia="en-AU"/>
              </w:rPr>
              <w:t>identify the necess</w:t>
            </w:r>
            <w:r w:rsidR="0010128A">
              <w:rPr>
                <w:sz w:val="18"/>
                <w:lang w:val="en-US" w:eastAsia="en-AU"/>
              </w:rPr>
              <w:t>ary information to be collecte</w:t>
            </w:r>
            <w:r w:rsidR="002B27F1">
              <w:rPr>
                <w:sz w:val="18"/>
                <w:lang w:val="en-US" w:eastAsia="en-AU"/>
              </w:rPr>
              <w:t>d</w:t>
            </w:r>
          </w:p>
          <w:p w14:paraId="2EDF24E6" w14:textId="77777777" w:rsidR="0010128A" w:rsidRPr="0010128A" w:rsidRDefault="00D007D9" w:rsidP="00DB4A98">
            <w:pPr>
              <w:pStyle w:val="Bullet1"/>
              <w:spacing w:befor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AU"/>
              </w:rPr>
            </w:pPr>
            <w:r w:rsidRPr="00D007D9">
              <w:rPr>
                <w:sz w:val="18"/>
                <w:lang w:val="en-US" w:eastAsia="en-AU"/>
              </w:rPr>
              <w:t>review of data and supporting documentatio</w:t>
            </w:r>
            <w:r w:rsidR="0010128A">
              <w:rPr>
                <w:sz w:val="18"/>
                <w:lang w:val="en-US" w:eastAsia="en-AU"/>
              </w:rPr>
              <w:t>n provided by the losing entity</w:t>
            </w:r>
          </w:p>
          <w:p w14:paraId="41975FA0" w14:textId="77777777" w:rsidR="0010128A" w:rsidRPr="0010128A" w:rsidRDefault="00D007D9" w:rsidP="00DB4A98">
            <w:pPr>
              <w:pStyle w:val="Bullet1"/>
              <w:spacing w:befor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AU"/>
              </w:rPr>
            </w:pPr>
            <w:r w:rsidRPr="00D007D9">
              <w:rPr>
                <w:sz w:val="18"/>
                <w:lang w:val="en-US" w:eastAsia="en-AU"/>
              </w:rPr>
              <w:t>agree the restructure note and other related disclosures with the losing entity to ensure consiste</w:t>
            </w:r>
            <w:r w:rsidR="0010128A">
              <w:rPr>
                <w:sz w:val="18"/>
                <w:lang w:val="en-US" w:eastAsia="en-AU"/>
              </w:rPr>
              <w:t>ncy in financial reporting, and</w:t>
            </w:r>
          </w:p>
          <w:p w14:paraId="673C4F52" w14:textId="77777777" w:rsidR="00D007D9" w:rsidRPr="00D007D9" w:rsidRDefault="00D007D9" w:rsidP="00DB4A98">
            <w:pPr>
              <w:pStyle w:val="Bullet1"/>
              <w:spacing w:befor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AU"/>
              </w:rPr>
            </w:pPr>
            <w:r w:rsidRPr="00D007D9">
              <w:rPr>
                <w:sz w:val="18"/>
                <w:lang w:val="en-US" w:eastAsia="en-AU"/>
              </w:rPr>
              <w:t>obtain sign-off or certification from both CFOs of the losing and receiving entities.</w:t>
            </w:r>
          </w:p>
        </w:tc>
        <w:tc>
          <w:tcPr>
            <w:tcW w:w="2793" w:type="dxa"/>
            <w:shd w:val="clear" w:color="auto" w:fill="F2F2F2" w:themeFill="background1" w:themeFillShade="F2"/>
            <w:hideMark/>
          </w:tcPr>
          <w:p w14:paraId="0FBBE099" w14:textId="77777777" w:rsidR="00D007D9" w:rsidRPr="00D007D9" w:rsidRDefault="00D007D9" w:rsidP="00D007D9">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AU"/>
              </w:rPr>
            </w:pPr>
            <w:r w:rsidRPr="00D007D9">
              <w:rPr>
                <w:rFonts w:ascii="Arial" w:eastAsia="Times New Roman" w:hAnsi="Arial" w:cs="Arial"/>
                <w:color w:val="000000"/>
                <w:sz w:val="18"/>
                <w:szCs w:val="18"/>
                <w:lang w:eastAsia="en-AU"/>
              </w:rPr>
              <w:t> </w:t>
            </w:r>
          </w:p>
        </w:tc>
      </w:tr>
      <w:tr w:rsidR="00D007D9" w:rsidRPr="00D007D9" w14:paraId="3F71867C" w14:textId="77777777" w:rsidTr="00794131">
        <w:trPr>
          <w:cnfStyle w:val="000000100000" w:firstRow="0" w:lastRow="0" w:firstColumn="0" w:lastColumn="0" w:oddVBand="0" w:evenVBand="0" w:oddHBand="1" w:evenHBand="0" w:firstRowFirstColumn="0" w:firstRowLastColumn="0" w:lastRowFirstColumn="0" w:lastRowLastColumn="0"/>
          <w:trHeight w:val="1662"/>
        </w:trPr>
        <w:tc>
          <w:tcPr>
            <w:cnfStyle w:val="001000000000" w:firstRow="0" w:lastRow="0" w:firstColumn="1" w:lastColumn="0" w:oddVBand="0" w:evenVBand="0" w:oddHBand="0" w:evenHBand="0" w:firstRowFirstColumn="0" w:firstRowLastColumn="0" w:lastRowFirstColumn="0" w:lastRowLastColumn="0"/>
            <w:tcW w:w="1460" w:type="dxa"/>
            <w:vMerge w:val="restart"/>
            <w:shd w:val="clear" w:color="auto" w:fill="D9D9D9" w:themeFill="background1" w:themeFillShade="D9"/>
            <w:hideMark/>
          </w:tcPr>
          <w:p w14:paraId="6F78F1BD" w14:textId="77777777" w:rsidR="00D007D9" w:rsidRPr="00D007D9" w:rsidRDefault="00D007D9" w:rsidP="00D007D9">
            <w:pPr>
              <w:suppressAutoHyphens w:val="0"/>
              <w:spacing w:before="0" w:after="0" w:line="240" w:lineRule="auto"/>
              <w:rPr>
                <w:rFonts w:ascii="Arial" w:eastAsia="Times New Roman" w:hAnsi="Arial" w:cs="Arial"/>
                <w:b w:val="0"/>
                <w:bCs w:val="0"/>
                <w:i/>
                <w:iCs/>
                <w:color w:val="000000"/>
                <w:sz w:val="18"/>
                <w:szCs w:val="18"/>
                <w:lang w:eastAsia="en-AU"/>
              </w:rPr>
            </w:pPr>
            <w:r w:rsidRPr="00D007D9">
              <w:rPr>
                <w:rFonts w:ascii="Arial" w:eastAsia="Times New Roman" w:hAnsi="Arial" w:cs="Arial"/>
                <w:i/>
                <w:iCs/>
                <w:color w:val="000000"/>
                <w:sz w:val="18"/>
                <w:lang w:val="en-US" w:eastAsia="en-AU"/>
              </w:rPr>
              <w:t>Financial statements work plan</w:t>
            </w:r>
          </w:p>
        </w:tc>
        <w:tc>
          <w:tcPr>
            <w:tcW w:w="4347" w:type="dxa"/>
            <w:shd w:val="clear" w:color="auto" w:fill="F2F2F2" w:themeFill="background1" w:themeFillShade="F2"/>
            <w:hideMark/>
          </w:tcPr>
          <w:p w14:paraId="0DDEDFB7" w14:textId="77777777" w:rsidR="00D007D9" w:rsidRPr="0010128A" w:rsidRDefault="00D007D9" w:rsidP="00DB4A98">
            <w:pPr>
              <w:spacing w:before="0"/>
              <w:cnfStyle w:val="000000100000" w:firstRow="0" w:lastRow="0" w:firstColumn="0" w:lastColumn="0" w:oddVBand="0" w:evenVBand="0" w:oddHBand="1" w:evenHBand="0" w:firstRowFirstColumn="0" w:firstRowLastColumn="0" w:lastRowFirstColumn="0" w:lastRowLastColumn="0"/>
              <w:rPr>
                <w:sz w:val="18"/>
                <w:szCs w:val="18"/>
                <w:lang w:eastAsia="en-AU"/>
              </w:rPr>
            </w:pPr>
            <w:r w:rsidRPr="0010128A">
              <w:rPr>
                <w:sz w:val="18"/>
                <w:lang w:val="en-US" w:eastAsia="en-AU"/>
              </w:rPr>
              <w:t>Has th</w:t>
            </w:r>
            <w:r w:rsidR="002B27F1">
              <w:rPr>
                <w:sz w:val="18"/>
                <w:lang w:val="en-US" w:eastAsia="en-AU"/>
              </w:rPr>
              <w:t>e financial statements project plan and schedule</w:t>
            </w:r>
            <w:r w:rsidRPr="0010128A">
              <w:rPr>
                <w:sz w:val="18"/>
                <w:lang w:val="en-US" w:eastAsia="en-AU"/>
              </w:rPr>
              <w:t xml:space="preserve"> been updated to incorporate additional tasks related to the transfer of functions?</w:t>
            </w:r>
          </w:p>
        </w:tc>
        <w:tc>
          <w:tcPr>
            <w:tcW w:w="2793" w:type="dxa"/>
            <w:shd w:val="clear" w:color="auto" w:fill="F2F2F2" w:themeFill="background1" w:themeFillShade="F2"/>
            <w:hideMark/>
          </w:tcPr>
          <w:p w14:paraId="3A39334B" w14:textId="77777777" w:rsidR="00D007D9" w:rsidRPr="0010128A" w:rsidRDefault="00D007D9" w:rsidP="00FD31C6">
            <w:pPr>
              <w:spacing w:before="0" w:after="0"/>
              <w:cnfStyle w:val="000000100000" w:firstRow="0" w:lastRow="0" w:firstColumn="0" w:lastColumn="0" w:oddVBand="0" w:evenVBand="0" w:oddHBand="1" w:evenHBand="0" w:firstRowFirstColumn="0" w:firstRowLastColumn="0" w:lastRowFirstColumn="0" w:lastRowLastColumn="0"/>
              <w:rPr>
                <w:sz w:val="18"/>
                <w:szCs w:val="18"/>
                <w:lang w:eastAsia="en-AU"/>
              </w:rPr>
            </w:pPr>
            <w:r w:rsidRPr="0010128A">
              <w:rPr>
                <w:sz w:val="18"/>
                <w:lang w:val="en-US" w:eastAsia="en-AU"/>
              </w:rPr>
              <w:t>The work plan that includes what is to be done, when it is to be accomplished, and who is responsible should be developed, periodically updated and monitored until completion.</w:t>
            </w:r>
          </w:p>
        </w:tc>
      </w:tr>
      <w:tr w:rsidR="00DB4A98" w:rsidRPr="00D007D9" w14:paraId="588842E3" w14:textId="77777777" w:rsidTr="00794131">
        <w:trPr>
          <w:trHeight w:val="1672"/>
        </w:trPr>
        <w:tc>
          <w:tcPr>
            <w:cnfStyle w:val="001000000000" w:firstRow="0" w:lastRow="0" w:firstColumn="1" w:lastColumn="0" w:oddVBand="0" w:evenVBand="0" w:oddHBand="0" w:evenHBand="0" w:firstRowFirstColumn="0" w:firstRowLastColumn="0" w:lastRowFirstColumn="0" w:lastRowLastColumn="0"/>
            <w:tcW w:w="1460" w:type="dxa"/>
            <w:vMerge/>
            <w:shd w:val="clear" w:color="auto" w:fill="D9D9D9" w:themeFill="background1" w:themeFillShade="D9"/>
          </w:tcPr>
          <w:p w14:paraId="01410C68" w14:textId="77777777" w:rsidR="00DB4A98" w:rsidRPr="00D007D9" w:rsidRDefault="00DB4A98" w:rsidP="00DB4A98">
            <w:pPr>
              <w:suppressAutoHyphens w:val="0"/>
              <w:spacing w:before="0" w:after="0" w:line="240" w:lineRule="auto"/>
              <w:rPr>
                <w:rFonts w:ascii="Arial" w:eastAsia="Times New Roman" w:hAnsi="Arial" w:cs="Arial"/>
                <w:b w:val="0"/>
                <w:bCs w:val="0"/>
                <w:i/>
                <w:iCs/>
                <w:color w:val="000000"/>
                <w:sz w:val="18"/>
                <w:lang w:val="en-US" w:eastAsia="en-AU"/>
              </w:rPr>
            </w:pPr>
          </w:p>
        </w:tc>
        <w:tc>
          <w:tcPr>
            <w:tcW w:w="4347" w:type="dxa"/>
            <w:shd w:val="clear" w:color="auto" w:fill="F2F2F2" w:themeFill="background1" w:themeFillShade="F2"/>
          </w:tcPr>
          <w:p w14:paraId="37859E97" w14:textId="77777777" w:rsidR="00DB4A98" w:rsidRPr="0010128A" w:rsidRDefault="00DB4A98" w:rsidP="00DB4A98">
            <w:pPr>
              <w:spacing w:before="0"/>
              <w:cnfStyle w:val="000000000000" w:firstRow="0" w:lastRow="0" w:firstColumn="0" w:lastColumn="0" w:oddVBand="0" w:evenVBand="0" w:oddHBand="0" w:evenHBand="0" w:firstRowFirstColumn="0" w:firstRowLastColumn="0" w:lastRowFirstColumn="0" w:lastRowLastColumn="0"/>
              <w:rPr>
                <w:sz w:val="18"/>
                <w:szCs w:val="18"/>
                <w:lang w:eastAsia="en-AU"/>
              </w:rPr>
            </w:pPr>
            <w:r w:rsidRPr="0010128A">
              <w:rPr>
                <w:sz w:val="18"/>
                <w:lang w:val="en-US" w:eastAsia="en-AU"/>
              </w:rPr>
              <w:t>Have sufficient resources been allocated to develop, implement and monitor the plan?</w:t>
            </w:r>
          </w:p>
        </w:tc>
        <w:tc>
          <w:tcPr>
            <w:tcW w:w="2793" w:type="dxa"/>
            <w:shd w:val="clear" w:color="auto" w:fill="F2F2F2" w:themeFill="background1" w:themeFillShade="F2"/>
          </w:tcPr>
          <w:p w14:paraId="1C21D229" w14:textId="77777777" w:rsidR="00DB4A98" w:rsidRPr="0010128A" w:rsidRDefault="00DB4A98" w:rsidP="00FD31C6">
            <w:pPr>
              <w:spacing w:before="0" w:after="0"/>
              <w:cnfStyle w:val="000000000000" w:firstRow="0" w:lastRow="0" w:firstColumn="0" w:lastColumn="0" w:oddVBand="0" w:evenVBand="0" w:oddHBand="0" w:evenHBand="0" w:firstRowFirstColumn="0" w:firstRowLastColumn="0" w:lastRowFirstColumn="0" w:lastRowLastColumn="0"/>
              <w:rPr>
                <w:sz w:val="18"/>
                <w:szCs w:val="18"/>
                <w:lang w:eastAsia="en-AU"/>
              </w:rPr>
            </w:pPr>
            <w:r w:rsidRPr="0010128A">
              <w:rPr>
                <w:sz w:val="18"/>
                <w:lang w:val="en-US" w:eastAsia="en-AU"/>
              </w:rPr>
              <w:t>The early involvement of appropriately skilled and experienced financial management personnel is necessary to ensure successful integration of the new functions.</w:t>
            </w:r>
          </w:p>
        </w:tc>
      </w:tr>
      <w:tr w:rsidR="00DB4A98" w:rsidRPr="00D007D9" w14:paraId="57AF16EA" w14:textId="77777777" w:rsidTr="00794131">
        <w:trPr>
          <w:cnfStyle w:val="000000100000" w:firstRow="0" w:lastRow="0" w:firstColumn="0" w:lastColumn="0" w:oddVBand="0" w:evenVBand="0" w:oddHBand="1" w:evenHBand="0" w:firstRowFirstColumn="0" w:firstRowLastColumn="0" w:lastRowFirstColumn="0" w:lastRowLastColumn="0"/>
          <w:trHeight w:val="2098"/>
        </w:trPr>
        <w:tc>
          <w:tcPr>
            <w:cnfStyle w:val="001000000000" w:firstRow="0" w:lastRow="0" w:firstColumn="1" w:lastColumn="0" w:oddVBand="0" w:evenVBand="0" w:oddHBand="0" w:evenHBand="0" w:firstRowFirstColumn="0" w:firstRowLastColumn="0" w:lastRowFirstColumn="0" w:lastRowLastColumn="0"/>
            <w:tcW w:w="1460" w:type="dxa"/>
            <w:vMerge/>
            <w:shd w:val="clear" w:color="auto" w:fill="D9D9D9" w:themeFill="background1" w:themeFillShade="D9"/>
          </w:tcPr>
          <w:p w14:paraId="7E7AF00D" w14:textId="77777777" w:rsidR="00DB4A98" w:rsidRPr="00D007D9" w:rsidRDefault="00DB4A98" w:rsidP="00DB4A98">
            <w:pPr>
              <w:suppressAutoHyphens w:val="0"/>
              <w:spacing w:before="0" w:after="0" w:line="240" w:lineRule="auto"/>
              <w:rPr>
                <w:rFonts w:ascii="Arial" w:eastAsia="Times New Roman" w:hAnsi="Arial" w:cs="Arial"/>
                <w:b w:val="0"/>
                <w:bCs w:val="0"/>
                <w:i/>
                <w:iCs/>
                <w:color w:val="000000"/>
                <w:sz w:val="18"/>
                <w:lang w:val="en-US" w:eastAsia="en-AU"/>
              </w:rPr>
            </w:pPr>
          </w:p>
        </w:tc>
        <w:tc>
          <w:tcPr>
            <w:tcW w:w="4347" w:type="dxa"/>
            <w:shd w:val="clear" w:color="auto" w:fill="F2F2F2" w:themeFill="background1" w:themeFillShade="F2"/>
          </w:tcPr>
          <w:p w14:paraId="4D583103" w14:textId="77777777" w:rsidR="00DB4A98" w:rsidRPr="0010128A" w:rsidRDefault="00DB4A98" w:rsidP="00DB4A98">
            <w:pPr>
              <w:pStyle w:val="Bullet1"/>
              <w:numPr>
                <w:ilvl w:val="0"/>
                <w:numId w:val="0"/>
              </w:numPr>
              <w:spacing w:before="0"/>
              <w:ind w:left="284" w:hanging="284"/>
              <w:cnfStyle w:val="000000100000" w:firstRow="0" w:lastRow="0" w:firstColumn="0" w:lastColumn="0" w:oddVBand="0" w:evenVBand="0" w:oddHBand="1" w:evenHBand="0" w:firstRowFirstColumn="0" w:firstRowLastColumn="0" w:lastRowFirstColumn="0" w:lastRowLastColumn="0"/>
              <w:rPr>
                <w:sz w:val="18"/>
                <w:szCs w:val="18"/>
                <w:lang w:eastAsia="en-AU"/>
              </w:rPr>
            </w:pPr>
            <w:r w:rsidRPr="0010128A">
              <w:rPr>
                <w:sz w:val="18"/>
                <w:lang w:val="en-US" w:eastAsia="en-AU"/>
              </w:rPr>
              <w:t>Examples</w:t>
            </w:r>
            <w:r>
              <w:rPr>
                <w:sz w:val="18"/>
                <w:lang w:val="en-US" w:eastAsia="en-AU"/>
              </w:rPr>
              <w:t xml:space="preserve"> of additional key tasks are:</w:t>
            </w:r>
          </w:p>
          <w:p w14:paraId="4B5D1788" w14:textId="77777777" w:rsidR="00DB4A98" w:rsidRPr="0010128A" w:rsidRDefault="00DB4A98" w:rsidP="00DB4A98">
            <w:pPr>
              <w:pStyle w:val="Bullet1"/>
              <w:spacing w:before="0"/>
              <w:cnfStyle w:val="000000100000" w:firstRow="0" w:lastRow="0" w:firstColumn="0" w:lastColumn="0" w:oddVBand="0" w:evenVBand="0" w:oddHBand="1" w:evenHBand="0" w:firstRowFirstColumn="0" w:firstRowLastColumn="0" w:lastRowFirstColumn="0" w:lastRowLastColumn="0"/>
              <w:rPr>
                <w:sz w:val="18"/>
                <w:szCs w:val="18"/>
                <w:lang w:eastAsia="en-AU"/>
              </w:rPr>
            </w:pPr>
            <w:r w:rsidRPr="0010128A">
              <w:rPr>
                <w:sz w:val="18"/>
                <w:lang w:val="en-US" w:eastAsia="en-AU"/>
              </w:rPr>
              <w:t>agreement of scope of the restructure from senior management of losing and receiving entitie</w:t>
            </w:r>
            <w:r>
              <w:rPr>
                <w:sz w:val="18"/>
                <w:lang w:val="en-US" w:eastAsia="en-AU"/>
              </w:rPr>
              <w:t>s, using an exchange of letters</w:t>
            </w:r>
          </w:p>
          <w:p w14:paraId="4D5C9545" w14:textId="77777777" w:rsidR="00DB4A98" w:rsidRPr="0010128A" w:rsidRDefault="00DB4A98" w:rsidP="00DB4A98">
            <w:pPr>
              <w:pStyle w:val="Bullet1"/>
              <w:spacing w:before="0"/>
              <w:cnfStyle w:val="000000100000" w:firstRow="0" w:lastRow="0" w:firstColumn="0" w:lastColumn="0" w:oddVBand="0" w:evenVBand="0" w:oddHBand="1" w:evenHBand="0" w:firstRowFirstColumn="0" w:firstRowLastColumn="0" w:lastRowFirstColumn="0" w:lastRowLastColumn="0"/>
              <w:rPr>
                <w:sz w:val="18"/>
                <w:szCs w:val="18"/>
                <w:lang w:eastAsia="en-AU"/>
              </w:rPr>
            </w:pPr>
            <w:r w:rsidRPr="0010128A">
              <w:rPr>
                <w:sz w:val="18"/>
                <w:lang w:val="en-US" w:eastAsia="en-AU"/>
              </w:rPr>
              <w:t>develop and implement a memorandum of understanding detailing issues, such as, service delivery, shared service arrangements, recovery of moneys and transfer of assets, lia</w:t>
            </w:r>
            <w:r>
              <w:rPr>
                <w:sz w:val="18"/>
                <w:lang w:val="en-US" w:eastAsia="en-AU"/>
              </w:rPr>
              <w:t>bilities, revenues and expenses</w:t>
            </w:r>
          </w:p>
          <w:p w14:paraId="73D7623D" w14:textId="77777777" w:rsidR="00DB4A98" w:rsidRPr="0010128A" w:rsidRDefault="00DB4A98" w:rsidP="00DB4A98">
            <w:pPr>
              <w:pStyle w:val="Bullet1"/>
              <w:spacing w:before="0"/>
              <w:cnfStyle w:val="000000100000" w:firstRow="0" w:lastRow="0" w:firstColumn="0" w:lastColumn="0" w:oddVBand="0" w:evenVBand="0" w:oddHBand="1" w:evenHBand="0" w:firstRowFirstColumn="0" w:firstRowLastColumn="0" w:lastRowFirstColumn="0" w:lastRowLastColumn="0"/>
              <w:rPr>
                <w:sz w:val="18"/>
                <w:szCs w:val="18"/>
                <w:lang w:eastAsia="en-AU"/>
              </w:rPr>
            </w:pPr>
            <w:r w:rsidRPr="0010128A">
              <w:rPr>
                <w:sz w:val="18"/>
                <w:lang w:val="en-US" w:eastAsia="en-AU"/>
              </w:rPr>
              <w:t>determine and arrange for the transfer of annual appropriations in accordance with se</w:t>
            </w:r>
            <w:r>
              <w:rPr>
                <w:sz w:val="18"/>
                <w:lang w:val="en-US" w:eastAsia="en-AU"/>
              </w:rPr>
              <w:t>ction 75 of the PGPA Act</w:t>
            </w:r>
          </w:p>
          <w:p w14:paraId="28E0A6C3" w14:textId="77777777" w:rsidR="00DB4A98" w:rsidRPr="0010128A" w:rsidRDefault="00DB4A98" w:rsidP="00DB4A98">
            <w:pPr>
              <w:pStyle w:val="Bullet1"/>
              <w:spacing w:before="0"/>
              <w:cnfStyle w:val="000000100000" w:firstRow="0" w:lastRow="0" w:firstColumn="0" w:lastColumn="0" w:oddVBand="0" w:evenVBand="0" w:oddHBand="1" w:evenHBand="0" w:firstRowFirstColumn="0" w:firstRowLastColumn="0" w:lastRowFirstColumn="0" w:lastRowLastColumn="0"/>
              <w:rPr>
                <w:sz w:val="18"/>
                <w:szCs w:val="18"/>
                <w:lang w:eastAsia="en-AU"/>
              </w:rPr>
            </w:pPr>
            <w:r w:rsidRPr="0010128A">
              <w:rPr>
                <w:sz w:val="18"/>
                <w:lang w:val="en-US" w:eastAsia="en-AU"/>
              </w:rPr>
              <w:t>complete the transfer of special acco</w:t>
            </w:r>
            <w:r>
              <w:rPr>
                <w:sz w:val="18"/>
                <w:lang w:val="en-US" w:eastAsia="en-AU"/>
              </w:rPr>
              <w:t>unts and special appropriations</w:t>
            </w:r>
          </w:p>
          <w:p w14:paraId="4D6A5032" w14:textId="77777777" w:rsidR="00DB4A98" w:rsidRPr="0010128A" w:rsidRDefault="00DB4A98" w:rsidP="00DB4A98">
            <w:pPr>
              <w:pStyle w:val="Bullet1"/>
              <w:spacing w:before="0"/>
              <w:cnfStyle w:val="000000100000" w:firstRow="0" w:lastRow="0" w:firstColumn="0" w:lastColumn="0" w:oddVBand="0" w:evenVBand="0" w:oddHBand="1" w:evenHBand="0" w:firstRowFirstColumn="0" w:firstRowLastColumn="0" w:lastRowFirstColumn="0" w:lastRowLastColumn="0"/>
              <w:rPr>
                <w:sz w:val="18"/>
                <w:szCs w:val="18"/>
                <w:lang w:eastAsia="en-AU"/>
              </w:rPr>
            </w:pPr>
            <w:r w:rsidRPr="0010128A">
              <w:rPr>
                <w:sz w:val="18"/>
                <w:lang w:val="en-US" w:eastAsia="en-AU"/>
              </w:rPr>
              <w:t>obtain opening balances and related supporting documentation from the losing entity. Perform a due diligenc</w:t>
            </w:r>
            <w:r>
              <w:rPr>
                <w:sz w:val="18"/>
                <w:lang w:val="en-US" w:eastAsia="en-AU"/>
              </w:rPr>
              <w:t>e on the documentation received</w:t>
            </w:r>
          </w:p>
          <w:p w14:paraId="02936157" w14:textId="7AE86DB9" w:rsidR="00DB4A98" w:rsidRPr="002A4E2C" w:rsidRDefault="00DB4A98" w:rsidP="00DB4A98">
            <w:pPr>
              <w:pStyle w:val="Bullet1"/>
              <w:spacing w:before="0"/>
              <w:cnfStyle w:val="000000100000" w:firstRow="0" w:lastRow="0" w:firstColumn="0" w:lastColumn="0" w:oddVBand="0" w:evenVBand="0" w:oddHBand="1" w:evenHBand="0" w:firstRowFirstColumn="0" w:firstRowLastColumn="0" w:lastRowFirstColumn="0" w:lastRowLastColumn="0"/>
              <w:rPr>
                <w:sz w:val="18"/>
                <w:szCs w:val="18"/>
                <w:lang w:eastAsia="en-AU"/>
              </w:rPr>
            </w:pPr>
            <w:r w:rsidRPr="002A4E2C">
              <w:rPr>
                <w:sz w:val="18"/>
                <w:lang w:val="en-US" w:eastAsia="en-AU"/>
              </w:rPr>
              <w:t>complete the transfer of assets, liabilities and off statement of financial position</w:t>
            </w:r>
            <w:r w:rsidR="00B61BD3" w:rsidRPr="002A4E2C">
              <w:rPr>
                <w:sz w:val="18"/>
                <w:lang w:val="en-US" w:eastAsia="en-AU"/>
              </w:rPr>
              <w:t xml:space="preserve"> (for example trust assets and liabilities)</w:t>
            </w:r>
            <w:r w:rsidRPr="002A4E2C">
              <w:rPr>
                <w:sz w:val="18"/>
                <w:lang w:val="en-US" w:eastAsia="en-AU"/>
              </w:rPr>
              <w:t xml:space="preserve"> items</w:t>
            </w:r>
          </w:p>
          <w:p w14:paraId="6B09EB8B" w14:textId="77777777" w:rsidR="00FD31C6" w:rsidRPr="0010128A" w:rsidRDefault="00FD31C6" w:rsidP="00FD31C6">
            <w:pPr>
              <w:pStyle w:val="Bullet1"/>
              <w:spacing w:before="0"/>
              <w:cnfStyle w:val="000000100000" w:firstRow="0" w:lastRow="0" w:firstColumn="0" w:lastColumn="0" w:oddVBand="0" w:evenVBand="0" w:oddHBand="1" w:evenHBand="0" w:firstRowFirstColumn="0" w:firstRowLastColumn="0" w:lastRowFirstColumn="0" w:lastRowLastColumn="0"/>
              <w:rPr>
                <w:sz w:val="18"/>
                <w:szCs w:val="18"/>
                <w:lang w:eastAsia="en-AU"/>
              </w:rPr>
            </w:pPr>
            <w:r w:rsidRPr="0010128A">
              <w:rPr>
                <w:sz w:val="18"/>
                <w:lang w:val="en-US" w:eastAsia="en-AU"/>
              </w:rPr>
              <w:t>complete the transfer of staff</w:t>
            </w:r>
            <w:r>
              <w:rPr>
                <w:sz w:val="18"/>
                <w:lang w:val="en-US" w:eastAsia="en-AU"/>
              </w:rPr>
              <w:t xml:space="preserve"> under section 72 of the PS Act</w:t>
            </w:r>
          </w:p>
          <w:p w14:paraId="769E2264" w14:textId="77777777" w:rsidR="00FD31C6" w:rsidRPr="00DB4A98" w:rsidRDefault="00FD31C6" w:rsidP="00FD31C6">
            <w:pPr>
              <w:pStyle w:val="Bullet1"/>
              <w:numPr>
                <w:ilvl w:val="0"/>
                <w:numId w:val="0"/>
              </w:numPr>
              <w:spacing w:before="0"/>
              <w:cnfStyle w:val="000000100000" w:firstRow="0" w:lastRow="0" w:firstColumn="0" w:lastColumn="0" w:oddVBand="0" w:evenVBand="0" w:oddHBand="1" w:evenHBand="0" w:firstRowFirstColumn="0" w:firstRowLastColumn="0" w:lastRowFirstColumn="0" w:lastRowLastColumn="0"/>
              <w:rPr>
                <w:sz w:val="18"/>
                <w:szCs w:val="18"/>
                <w:lang w:eastAsia="en-AU"/>
              </w:rPr>
            </w:pPr>
          </w:p>
        </w:tc>
        <w:tc>
          <w:tcPr>
            <w:tcW w:w="2793" w:type="dxa"/>
            <w:shd w:val="clear" w:color="auto" w:fill="F2F2F2" w:themeFill="background1" w:themeFillShade="F2"/>
          </w:tcPr>
          <w:p w14:paraId="2B9A40A7" w14:textId="77777777" w:rsidR="00DB4A98" w:rsidRPr="00D007D9" w:rsidRDefault="00DB4A98" w:rsidP="00DB4A98">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AU"/>
              </w:rPr>
            </w:pPr>
            <w:r w:rsidRPr="00D007D9">
              <w:rPr>
                <w:rFonts w:ascii="Arial" w:eastAsia="Times New Roman" w:hAnsi="Arial" w:cs="Arial"/>
                <w:color w:val="000000"/>
                <w:sz w:val="18"/>
                <w:szCs w:val="18"/>
                <w:lang w:eastAsia="en-AU"/>
              </w:rPr>
              <w:t> </w:t>
            </w:r>
          </w:p>
        </w:tc>
      </w:tr>
      <w:tr w:rsidR="00FD31C6" w:rsidRPr="00D007D9" w14:paraId="7BDD7B38" w14:textId="77777777" w:rsidTr="00794131">
        <w:trPr>
          <w:trHeight w:val="505"/>
        </w:trPr>
        <w:tc>
          <w:tcPr>
            <w:cnfStyle w:val="001000000000" w:firstRow="0" w:lastRow="0" w:firstColumn="1" w:lastColumn="0" w:oddVBand="0" w:evenVBand="0" w:oddHBand="0" w:evenHBand="0" w:firstRowFirstColumn="0" w:firstRowLastColumn="0" w:lastRowFirstColumn="0" w:lastRowLastColumn="0"/>
            <w:tcW w:w="1460" w:type="dxa"/>
            <w:shd w:val="clear" w:color="auto" w:fill="D9D9D9" w:themeFill="background1" w:themeFillShade="D9"/>
          </w:tcPr>
          <w:p w14:paraId="730EFD73" w14:textId="77777777" w:rsidR="00FD31C6" w:rsidRPr="00D007D9" w:rsidRDefault="00FD31C6" w:rsidP="00DB4A98">
            <w:pPr>
              <w:suppressAutoHyphens w:val="0"/>
              <w:spacing w:before="0" w:after="0" w:line="240" w:lineRule="auto"/>
              <w:rPr>
                <w:rFonts w:ascii="Arial" w:eastAsia="Times New Roman" w:hAnsi="Arial" w:cs="Arial"/>
                <w:b w:val="0"/>
                <w:bCs w:val="0"/>
                <w:i/>
                <w:iCs/>
                <w:color w:val="000000"/>
                <w:sz w:val="18"/>
                <w:lang w:val="en-US" w:eastAsia="en-AU"/>
              </w:rPr>
            </w:pPr>
            <w:r w:rsidRPr="00D007D9">
              <w:rPr>
                <w:rFonts w:ascii="Arial" w:eastAsia="Times New Roman" w:hAnsi="Arial" w:cs="Arial"/>
                <w:i/>
                <w:iCs/>
                <w:color w:val="000000"/>
                <w:sz w:val="18"/>
                <w:lang w:val="en-US" w:eastAsia="en-AU"/>
              </w:rPr>
              <w:t>Financial statements work plan (continued</w:t>
            </w:r>
          </w:p>
        </w:tc>
        <w:tc>
          <w:tcPr>
            <w:tcW w:w="4347" w:type="dxa"/>
            <w:shd w:val="clear" w:color="auto" w:fill="F2F2F2" w:themeFill="background1" w:themeFillShade="F2"/>
          </w:tcPr>
          <w:p w14:paraId="211E1AF1" w14:textId="77777777" w:rsidR="00FD31C6" w:rsidRPr="00FD31C6" w:rsidRDefault="00FD31C6" w:rsidP="00FD31C6">
            <w:pPr>
              <w:pStyle w:val="Bullet1"/>
              <w:spacing w:before="0"/>
              <w:cnfStyle w:val="000000000000" w:firstRow="0" w:lastRow="0" w:firstColumn="0" w:lastColumn="0" w:oddVBand="0" w:evenVBand="0" w:oddHBand="0" w:evenHBand="0" w:firstRowFirstColumn="0" w:firstRowLastColumn="0" w:lastRowFirstColumn="0" w:lastRowLastColumn="0"/>
              <w:rPr>
                <w:sz w:val="18"/>
                <w:szCs w:val="18"/>
                <w:lang w:eastAsia="en-AU"/>
              </w:rPr>
            </w:pPr>
            <w:r w:rsidRPr="0010128A">
              <w:rPr>
                <w:sz w:val="18"/>
                <w:lang w:val="en-US" w:eastAsia="en-AU"/>
              </w:rPr>
              <w:t>integrate accounts of the new functions with the entity’s financial management information system and other systems (including Finance</w:t>
            </w:r>
            <w:r>
              <w:rPr>
                <w:sz w:val="18"/>
                <w:lang w:val="en-US" w:eastAsia="en-AU"/>
              </w:rPr>
              <w:t>’s appropriation system), and</w:t>
            </w:r>
          </w:p>
          <w:p w14:paraId="1AFC5443" w14:textId="77777777" w:rsidR="00FD31C6" w:rsidRPr="00FD31C6" w:rsidRDefault="00FD31C6" w:rsidP="00FD31C6">
            <w:pPr>
              <w:pStyle w:val="Bullet1"/>
              <w:spacing w:before="0"/>
              <w:cnfStyle w:val="000000000000" w:firstRow="0" w:lastRow="0" w:firstColumn="0" w:lastColumn="0" w:oddVBand="0" w:evenVBand="0" w:oddHBand="0" w:evenHBand="0" w:firstRowFirstColumn="0" w:firstRowLastColumn="0" w:lastRowFirstColumn="0" w:lastRowLastColumn="0"/>
              <w:rPr>
                <w:sz w:val="18"/>
                <w:szCs w:val="18"/>
                <w:lang w:eastAsia="en-AU"/>
              </w:rPr>
            </w:pPr>
            <w:r w:rsidRPr="00FD31C6">
              <w:rPr>
                <w:sz w:val="18"/>
                <w:lang w:val="en-US" w:eastAsia="en-AU"/>
              </w:rPr>
              <w:t>review and update financial delegations, policies and procedures, where required.</w:t>
            </w:r>
          </w:p>
        </w:tc>
        <w:tc>
          <w:tcPr>
            <w:tcW w:w="2793" w:type="dxa"/>
            <w:shd w:val="clear" w:color="auto" w:fill="F2F2F2" w:themeFill="background1" w:themeFillShade="F2"/>
          </w:tcPr>
          <w:p w14:paraId="5D395778" w14:textId="77777777" w:rsidR="00FD31C6" w:rsidRPr="0010128A" w:rsidRDefault="00FD31C6" w:rsidP="00DB4A98">
            <w:pPr>
              <w:cnfStyle w:val="000000000000" w:firstRow="0" w:lastRow="0" w:firstColumn="0" w:lastColumn="0" w:oddVBand="0" w:evenVBand="0" w:oddHBand="0" w:evenHBand="0" w:firstRowFirstColumn="0" w:firstRowLastColumn="0" w:lastRowFirstColumn="0" w:lastRowLastColumn="0"/>
              <w:rPr>
                <w:sz w:val="18"/>
                <w:lang w:val="en-US" w:eastAsia="en-AU"/>
              </w:rPr>
            </w:pPr>
          </w:p>
        </w:tc>
      </w:tr>
    </w:tbl>
    <w:p w14:paraId="7ACD115F" w14:textId="77777777" w:rsidR="00472799" w:rsidRDefault="00472799" w:rsidP="00502260"/>
    <w:sectPr w:rsidR="00472799" w:rsidSect="003D6E64">
      <w:headerReference w:type="default" r:id="rId15"/>
      <w:type w:val="continuous"/>
      <w:pgSz w:w="11906" w:h="16838" w:code="9"/>
      <w:pgMar w:top="1418"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C68BA" w14:textId="77777777" w:rsidR="00E008D7" w:rsidRDefault="00E008D7" w:rsidP="00EF4574">
      <w:pPr>
        <w:spacing w:before="0" w:after="0" w:line="240" w:lineRule="auto"/>
      </w:pPr>
      <w:r>
        <w:separator/>
      </w:r>
    </w:p>
  </w:endnote>
  <w:endnote w:type="continuationSeparator" w:id="0">
    <w:p w14:paraId="150F66AE" w14:textId="77777777" w:rsidR="00E008D7" w:rsidRDefault="00E008D7"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Sans-5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C1A40" w14:textId="77777777" w:rsidR="00E008D7" w:rsidRDefault="00E008D7" w:rsidP="0020122A">
      <w:pPr>
        <w:pStyle w:val="FootnoteSeparator"/>
      </w:pPr>
    </w:p>
  </w:footnote>
  <w:footnote w:type="continuationSeparator" w:id="0">
    <w:p w14:paraId="3AC03768" w14:textId="77777777" w:rsidR="00E008D7" w:rsidRDefault="00E008D7" w:rsidP="00EF45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4203A" w14:textId="77777777" w:rsidR="00E008D7" w:rsidRPr="0090743D" w:rsidRDefault="00E008D7" w:rsidP="00794131">
    <w:pPr>
      <w:pStyle w:val="Header"/>
      <w:rPr>
        <w:szCs w:val="14"/>
      </w:rPr>
    </w:pPr>
    <w:r>
      <w:tab/>
    </w:r>
    <w:r>
      <w:tab/>
    </w:r>
    <w:r w:rsidRPr="0090743D">
      <w:rPr>
        <w:szCs w:val="14"/>
      </w:rPr>
      <w:t>Department of Finance</w:t>
    </w:r>
    <w:r w:rsidRPr="0090743D">
      <w:rPr>
        <w:szCs w:val="14"/>
      </w:rPr>
      <w:tab/>
    </w:r>
    <w:r w:rsidRPr="0090743D">
      <w:rPr>
        <w:szCs w:val="14"/>
      </w:rPr>
      <w:tab/>
      <w:t xml:space="preserve">Financial Statements Better Practice Guide </w:t>
    </w:r>
  </w:p>
  <w:p w14:paraId="71E53C37" w14:textId="77777777" w:rsidR="00E008D7" w:rsidRDefault="00E008D7" w:rsidP="00794131">
    <w:pPr>
      <w:pStyle w:val="Header"/>
    </w:pPr>
    <w:r w:rsidRPr="0090743D">
      <w:rPr>
        <w:szCs w:val="14"/>
      </w:rPr>
      <w:tab/>
    </w:r>
    <w:r w:rsidRPr="0090743D">
      <w:rPr>
        <w:szCs w:val="14"/>
      </w:rPr>
      <w:tab/>
    </w:r>
    <w:r w:rsidRPr="00794131">
      <w:rPr>
        <w:szCs w:val="14"/>
      </w:rPr>
      <w:t>Checklist: Machinery of Government restructures</w:t>
    </w:r>
  </w:p>
  <w:p w14:paraId="02440099" w14:textId="77777777" w:rsidR="00E008D7" w:rsidRDefault="00E00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5C99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02A9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8610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4A13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12B2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181B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1830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0C8C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1431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364E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B696E86"/>
    <w:multiLevelType w:val="hybridMultilevel"/>
    <w:tmpl w:val="D8DAE404"/>
    <w:lvl w:ilvl="0" w:tplc="12188A98">
      <w:numFmt w:val="bullet"/>
      <w:lvlText w:val="•"/>
      <w:lvlJc w:val="left"/>
      <w:pPr>
        <w:ind w:left="1003" w:hanging="435"/>
      </w:pPr>
      <w:rPr>
        <w:rFonts w:ascii="Arial" w:eastAsiaTheme="minorHAnsi" w:hAnsi="Arial" w:cs="Aria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3282518C"/>
    <w:multiLevelType w:val="hybridMultilevel"/>
    <w:tmpl w:val="C0C874DE"/>
    <w:lvl w:ilvl="0" w:tplc="8594F06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A16442"/>
    <w:multiLevelType w:val="hybridMultilevel"/>
    <w:tmpl w:val="10C0E1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7530A09"/>
    <w:multiLevelType w:val="hybridMultilevel"/>
    <w:tmpl w:val="7AD24C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6C77518F"/>
    <w:multiLevelType w:val="hybridMultilevel"/>
    <w:tmpl w:val="71647EC0"/>
    <w:lvl w:ilvl="0" w:tplc="12188A98">
      <w:numFmt w:val="bullet"/>
      <w:lvlText w:val="•"/>
      <w:lvlJc w:val="left"/>
      <w:pPr>
        <w:ind w:left="719" w:hanging="435"/>
      </w:pPr>
      <w:rPr>
        <w:rFonts w:ascii="Arial" w:eastAsiaTheme="minorHAns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0"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7E0F57C3"/>
    <w:multiLevelType w:val="hybridMultilevel"/>
    <w:tmpl w:val="372ACE9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7"/>
  </w:num>
  <w:num w:numId="10">
    <w:abstractNumId w:val="1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0"/>
  </w:num>
  <w:num w:numId="22">
    <w:abstractNumId w:val="20"/>
  </w:num>
  <w:num w:numId="23">
    <w:abstractNumId w:val="20"/>
  </w:num>
  <w:num w:numId="24">
    <w:abstractNumId w:val="20"/>
  </w:num>
  <w:num w:numId="25">
    <w:abstractNumId w:val="18"/>
  </w:num>
  <w:num w:numId="26">
    <w:abstractNumId w:val="13"/>
  </w:num>
  <w:num w:numId="27">
    <w:abstractNumId w:val="13"/>
  </w:num>
  <w:num w:numId="28">
    <w:abstractNumId w:val="13"/>
  </w:num>
  <w:num w:numId="29">
    <w:abstractNumId w:val="13"/>
  </w:num>
  <w:num w:numId="30">
    <w:abstractNumId w:val="10"/>
  </w:num>
  <w:num w:numId="31">
    <w:abstractNumId w:val="10"/>
  </w:num>
  <w:num w:numId="32">
    <w:abstractNumId w:val="10"/>
  </w:num>
  <w:num w:numId="33">
    <w:abstractNumId w:val="10"/>
  </w:num>
  <w:num w:numId="34">
    <w:abstractNumId w:val="17"/>
  </w:num>
  <w:num w:numId="35">
    <w:abstractNumId w:val="20"/>
  </w:num>
  <w:num w:numId="36">
    <w:abstractNumId w:val="16"/>
  </w:num>
  <w:num w:numId="37">
    <w:abstractNumId w:val="14"/>
  </w:num>
  <w:num w:numId="38">
    <w:abstractNumId w:val="21"/>
  </w:num>
  <w:num w:numId="39">
    <w:abstractNumId w:val="20"/>
  </w:num>
  <w:num w:numId="40">
    <w:abstractNumId w:val="20"/>
  </w:num>
  <w:num w:numId="41">
    <w:abstractNumId w:val="15"/>
  </w:num>
  <w:num w:numId="42">
    <w:abstractNumId w:val="19"/>
  </w:num>
  <w:num w:numId="43">
    <w:abstractNumId w:val="11"/>
  </w:num>
  <w:num w:numId="44">
    <w:abstractNumId w:val="20"/>
  </w:num>
  <w:num w:numId="45">
    <w:abstractNumId w:val="20"/>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8"/>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42F"/>
    <w:rsid w:val="00004578"/>
    <w:rsid w:val="00014FF1"/>
    <w:rsid w:val="00021B85"/>
    <w:rsid w:val="0002782F"/>
    <w:rsid w:val="00054E4D"/>
    <w:rsid w:val="00060073"/>
    <w:rsid w:val="0007587A"/>
    <w:rsid w:val="000A4B30"/>
    <w:rsid w:val="000A6A8B"/>
    <w:rsid w:val="000C2A48"/>
    <w:rsid w:val="000D60B1"/>
    <w:rsid w:val="0010128A"/>
    <w:rsid w:val="001541EA"/>
    <w:rsid w:val="001546B6"/>
    <w:rsid w:val="001612A4"/>
    <w:rsid w:val="00174074"/>
    <w:rsid w:val="001973D5"/>
    <w:rsid w:val="001A3F1D"/>
    <w:rsid w:val="001D55FF"/>
    <w:rsid w:val="001E1DC0"/>
    <w:rsid w:val="0020122A"/>
    <w:rsid w:val="0028602A"/>
    <w:rsid w:val="002A4E2C"/>
    <w:rsid w:val="002B27F1"/>
    <w:rsid w:val="00301144"/>
    <w:rsid w:val="003148B7"/>
    <w:rsid w:val="003158C3"/>
    <w:rsid w:val="00326153"/>
    <w:rsid w:val="003273BE"/>
    <w:rsid w:val="003274CD"/>
    <w:rsid w:val="0035119D"/>
    <w:rsid w:val="00364D43"/>
    <w:rsid w:val="00382279"/>
    <w:rsid w:val="00394A42"/>
    <w:rsid w:val="0039715A"/>
    <w:rsid w:val="003B4F12"/>
    <w:rsid w:val="003D6E64"/>
    <w:rsid w:val="004002D6"/>
    <w:rsid w:val="00423F31"/>
    <w:rsid w:val="00431899"/>
    <w:rsid w:val="00472799"/>
    <w:rsid w:val="004814AB"/>
    <w:rsid w:val="00486804"/>
    <w:rsid w:val="004B3775"/>
    <w:rsid w:val="004E058F"/>
    <w:rsid w:val="004E3B87"/>
    <w:rsid w:val="00500D0A"/>
    <w:rsid w:val="00502260"/>
    <w:rsid w:val="00510921"/>
    <w:rsid w:val="00510AD3"/>
    <w:rsid w:val="00513348"/>
    <w:rsid w:val="00533B5D"/>
    <w:rsid w:val="005506BA"/>
    <w:rsid w:val="005970EA"/>
    <w:rsid w:val="005A6C78"/>
    <w:rsid w:val="005B1953"/>
    <w:rsid w:val="005C03DB"/>
    <w:rsid w:val="005C37F0"/>
    <w:rsid w:val="005E45E3"/>
    <w:rsid w:val="00623BA1"/>
    <w:rsid w:val="006346BC"/>
    <w:rsid w:val="0066652A"/>
    <w:rsid w:val="0068028B"/>
    <w:rsid w:val="00682167"/>
    <w:rsid w:val="006B209A"/>
    <w:rsid w:val="006C42AF"/>
    <w:rsid w:val="006C4DD1"/>
    <w:rsid w:val="006D39A6"/>
    <w:rsid w:val="006F4652"/>
    <w:rsid w:val="00711D8E"/>
    <w:rsid w:val="00712672"/>
    <w:rsid w:val="00734E3F"/>
    <w:rsid w:val="00736985"/>
    <w:rsid w:val="00755721"/>
    <w:rsid w:val="00794131"/>
    <w:rsid w:val="007B6200"/>
    <w:rsid w:val="007D134E"/>
    <w:rsid w:val="007E38E8"/>
    <w:rsid w:val="00801B9F"/>
    <w:rsid w:val="00802117"/>
    <w:rsid w:val="00880B3F"/>
    <w:rsid w:val="008B4C07"/>
    <w:rsid w:val="0091564F"/>
    <w:rsid w:val="009222BC"/>
    <w:rsid w:val="00961FED"/>
    <w:rsid w:val="00997AD8"/>
    <w:rsid w:val="009B4D3B"/>
    <w:rsid w:val="009B53C8"/>
    <w:rsid w:val="009B5E3F"/>
    <w:rsid w:val="009D7407"/>
    <w:rsid w:val="009E0866"/>
    <w:rsid w:val="009E3665"/>
    <w:rsid w:val="00A04A73"/>
    <w:rsid w:val="00A24A62"/>
    <w:rsid w:val="00A31C9F"/>
    <w:rsid w:val="00A76378"/>
    <w:rsid w:val="00AC164A"/>
    <w:rsid w:val="00AF2050"/>
    <w:rsid w:val="00B00E2A"/>
    <w:rsid w:val="00B44792"/>
    <w:rsid w:val="00B61BD3"/>
    <w:rsid w:val="00B71BF4"/>
    <w:rsid w:val="00BB26C5"/>
    <w:rsid w:val="00BF4DE6"/>
    <w:rsid w:val="00C075A8"/>
    <w:rsid w:val="00C42CDE"/>
    <w:rsid w:val="00C7334F"/>
    <w:rsid w:val="00CA37B1"/>
    <w:rsid w:val="00CB1959"/>
    <w:rsid w:val="00CB32DB"/>
    <w:rsid w:val="00D007D9"/>
    <w:rsid w:val="00D0296C"/>
    <w:rsid w:val="00D605BD"/>
    <w:rsid w:val="00D63885"/>
    <w:rsid w:val="00D76E1A"/>
    <w:rsid w:val="00DA79C5"/>
    <w:rsid w:val="00DB35A3"/>
    <w:rsid w:val="00DB4A98"/>
    <w:rsid w:val="00DB6D69"/>
    <w:rsid w:val="00DC430B"/>
    <w:rsid w:val="00DF48B3"/>
    <w:rsid w:val="00E008D7"/>
    <w:rsid w:val="00E0175A"/>
    <w:rsid w:val="00E24DAC"/>
    <w:rsid w:val="00E25FBA"/>
    <w:rsid w:val="00E357B7"/>
    <w:rsid w:val="00E53800"/>
    <w:rsid w:val="00E6081F"/>
    <w:rsid w:val="00E84A1C"/>
    <w:rsid w:val="00EA04B2"/>
    <w:rsid w:val="00EA20F3"/>
    <w:rsid w:val="00ED43D1"/>
    <w:rsid w:val="00EE4EE1"/>
    <w:rsid w:val="00EF4574"/>
    <w:rsid w:val="00F0219E"/>
    <w:rsid w:val="00F2684E"/>
    <w:rsid w:val="00F33736"/>
    <w:rsid w:val="00F729EF"/>
    <w:rsid w:val="00F77CAE"/>
    <w:rsid w:val="00F96BB9"/>
    <w:rsid w:val="00FD31C6"/>
    <w:rsid w:val="00FD7F41"/>
    <w:rsid w:val="00FE6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5AC4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B85"/>
    <w:pPr>
      <w:suppressAutoHyphens/>
      <w:spacing w:before="180" w:after="60" w:line="280" w:lineRule="atLeast"/>
    </w:pPr>
  </w:style>
  <w:style w:type="paragraph" w:styleId="Heading1">
    <w:name w:val="heading 1"/>
    <w:basedOn w:val="Normal"/>
    <w:next w:val="Normal"/>
    <w:link w:val="Heading1Char"/>
    <w:uiPriority w:val="1"/>
    <w:qFormat/>
    <w:rsid w:val="00021B85"/>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
    <w:unhideWhenUsed/>
    <w:qFormat/>
    <w:rsid w:val="00021B85"/>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021B85"/>
    <w:pPr>
      <w:spacing w:line="340" w:lineRule="atLeast"/>
      <w:outlineLvl w:val="2"/>
    </w:pPr>
    <w:rPr>
      <w:bCs/>
      <w:sz w:val="30"/>
    </w:rPr>
  </w:style>
  <w:style w:type="paragraph" w:styleId="Heading4">
    <w:name w:val="heading 4"/>
    <w:basedOn w:val="Heading3"/>
    <w:next w:val="Normal"/>
    <w:link w:val="Heading4Char"/>
    <w:uiPriority w:val="9"/>
    <w:unhideWhenUsed/>
    <w:qFormat/>
    <w:rsid w:val="00021B85"/>
    <w:pPr>
      <w:spacing w:before="240" w:line="300" w:lineRule="atLeast"/>
      <w:outlineLvl w:val="3"/>
    </w:pPr>
    <w:rPr>
      <w:iCs/>
      <w:sz w:val="26"/>
    </w:rPr>
  </w:style>
  <w:style w:type="paragraph" w:styleId="Heading5">
    <w:name w:val="heading 5"/>
    <w:basedOn w:val="Heading4"/>
    <w:next w:val="Normal"/>
    <w:link w:val="Heading5Char"/>
    <w:uiPriority w:val="9"/>
    <w:unhideWhenUsed/>
    <w:qFormat/>
    <w:rsid w:val="00021B85"/>
    <w:pPr>
      <w:outlineLvl w:val="4"/>
    </w:pPr>
    <w:rPr>
      <w:i/>
      <w:color w:val="77B6BD" w:themeColor="accent1" w:themeShade="BF"/>
      <w:sz w:val="22"/>
    </w:rPr>
  </w:style>
  <w:style w:type="paragraph" w:styleId="Heading6">
    <w:name w:val="heading 6"/>
    <w:basedOn w:val="Heading5"/>
    <w:next w:val="Normal"/>
    <w:link w:val="Heading6Char"/>
    <w:uiPriority w:val="9"/>
    <w:semiHidden/>
    <w:unhideWhenUsed/>
    <w:qFormat/>
    <w:rsid w:val="00021B85"/>
    <w:pPr>
      <w:spacing w:before="40"/>
      <w:outlineLvl w:val="5"/>
    </w:pPr>
    <w:rPr>
      <w:color w:val="43838A" w:themeColor="accent1" w:themeShade="7F"/>
    </w:rPr>
  </w:style>
  <w:style w:type="paragraph" w:styleId="Heading7">
    <w:name w:val="heading 7"/>
    <w:basedOn w:val="Heading6"/>
    <w:next w:val="Normal"/>
    <w:link w:val="Heading7Char"/>
    <w:uiPriority w:val="9"/>
    <w:semiHidden/>
    <w:unhideWhenUsed/>
    <w:qFormat/>
    <w:rsid w:val="00021B85"/>
    <w:pPr>
      <w:outlineLvl w:val="6"/>
    </w:pPr>
    <w:rPr>
      <w:i w:val="0"/>
      <w:iCs w:val="0"/>
    </w:rPr>
  </w:style>
  <w:style w:type="paragraph" w:styleId="Heading8">
    <w:name w:val="heading 8"/>
    <w:basedOn w:val="Heading7"/>
    <w:next w:val="Normal"/>
    <w:link w:val="Heading8Char"/>
    <w:uiPriority w:val="9"/>
    <w:semiHidden/>
    <w:unhideWhenUsed/>
    <w:qFormat/>
    <w:rsid w:val="00021B85"/>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021B85"/>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21B85"/>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021B85"/>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021B85"/>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021B85"/>
    <w:pPr>
      <w:ind w:left="284"/>
    </w:pPr>
  </w:style>
  <w:style w:type="paragraph" w:styleId="Title">
    <w:name w:val="Title"/>
    <w:basedOn w:val="Heading1"/>
    <w:next w:val="Normal"/>
    <w:link w:val="TitleChar"/>
    <w:uiPriority w:val="10"/>
    <w:qFormat/>
    <w:rsid w:val="005A6C78"/>
    <w:pPr>
      <w:keepNext w:val="0"/>
      <w:spacing w:line="480" w:lineRule="atLeast"/>
    </w:pPr>
    <w:rPr>
      <w:kern w:val="28"/>
      <w:szCs w:val="52"/>
    </w:rPr>
  </w:style>
  <w:style w:type="character" w:customStyle="1" w:styleId="TitleChar">
    <w:name w:val="Title Char"/>
    <w:basedOn w:val="DefaultParagraphFont"/>
    <w:link w:val="Title"/>
    <w:uiPriority w:val="10"/>
    <w:rsid w:val="005A6C78"/>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021B85"/>
    <w:pPr>
      <w:numPr>
        <w:ilvl w:val="1"/>
      </w:numPr>
      <w:spacing w:line="260" w:lineRule="atLeast"/>
      <w:jc w:val="right"/>
    </w:pPr>
    <w:rPr>
      <w:b/>
      <w:iCs/>
      <w:sz w:val="20"/>
      <w:szCs w:val="24"/>
    </w:rPr>
  </w:style>
  <w:style w:type="character" w:customStyle="1" w:styleId="SubtitleChar">
    <w:name w:val="Subtitle Char"/>
    <w:basedOn w:val="DefaultParagraphFont"/>
    <w:link w:val="Subtitle"/>
    <w:uiPriority w:val="11"/>
    <w:rsid w:val="00021B85"/>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021B85"/>
    <w:pPr>
      <w:numPr>
        <w:numId w:val="24"/>
      </w:numPr>
      <w:spacing w:before="120"/>
    </w:pPr>
  </w:style>
  <w:style w:type="paragraph" w:customStyle="1" w:styleId="Bullet2">
    <w:name w:val="Bullet 2"/>
    <w:basedOn w:val="Bullet1"/>
    <w:qFormat/>
    <w:rsid w:val="00021B85"/>
    <w:pPr>
      <w:numPr>
        <w:ilvl w:val="1"/>
      </w:numPr>
    </w:pPr>
  </w:style>
  <w:style w:type="paragraph" w:customStyle="1" w:styleId="Bullet3">
    <w:name w:val="Bullet 3"/>
    <w:basedOn w:val="Bullet2"/>
    <w:qFormat/>
    <w:rsid w:val="00021B85"/>
    <w:pPr>
      <w:numPr>
        <w:ilvl w:val="2"/>
      </w:numPr>
    </w:pPr>
  </w:style>
  <w:style w:type="paragraph" w:customStyle="1" w:styleId="NumberedList1">
    <w:name w:val="Numbered List 1"/>
    <w:basedOn w:val="Normal"/>
    <w:qFormat/>
    <w:rsid w:val="0039715A"/>
    <w:pPr>
      <w:numPr>
        <w:numId w:val="33"/>
      </w:numPr>
      <w:ind w:left="397" w:hanging="397"/>
    </w:pPr>
  </w:style>
  <w:style w:type="paragraph" w:customStyle="1" w:styleId="NumberedList2">
    <w:name w:val="Numbered List 2"/>
    <w:basedOn w:val="NumberedList1"/>
    <w:qFormat/>
    <w:rsid w:val="0039715A"/>
    <w:pPr>
      <w:numPr>
        <w:ilvl w:val="1"/>
      </w:numPr>
      <w:spacing w:before="120"/>
      <w:ind w:left="681" w:hanging="397"/>
    </w:pPr>
  </w:style>
  <w:style w:type="paragraph" w:customStyle="1" w:styleId="NumberedList3">
    <w:name w:val="Numbered List 3"/>
    <w:basedOn w:val="NumberedList2"/>
    <w:qFormat/>
    <w:rsid w:val="0039715A"/>
    <w:pPr>
      <w:numPr>
        <w:ilvl w:val="2"/>
      </w:numPr>
      <w:ind w:left="964" w:hanging="397"/>
    </w:pPr>
  </w:style>
  <w:style w:type="paragraph" w:customStyle="1" w:styleId="Heading1Numbered">
    <w:name w:val="Heading 1 Numbered"/>
    <w:basedOn w:val="Heading1"/>
    <w:next w:val="Normal"/>
    <w:qFormat/>
    <w:rsid w:val="00021B85"/>
    <w:pPr>
      <w:numPr>
        <w:numId w:val="29"/>
      </w:numPr>
    </w:pPr>
  </w:style>
  <w:style w:type="paragraph" w:customStyle="1" w:styleId="Heading2Numbered">
    <w:name w:val="Heading 2 Numbered"/>
    <w:basedOn w:val="Heading2"/>
    <w:next w:val="Normal"/>
    <w:qFormat/>
    <w:rsid w:val="00021B85"/>
    <w:pPr>
      <w:numPr>
        <w:ilvl w:val="1"/>
        <w:numId w:val="29"/>
      </w:numPr>
    </w:pPr>
    <w:rPr>
      <w:bCs/>
    </w:rPr>
  </w:style>
  <w:style w:type="paragraph" w:customStyle="1" w:styleId="Heading3Numbered">
    <w:name w:val="Heading 3 Numbered"/>
    <w:basedOn w:val="Heading3"/>
    <w:next w:val="Normal"/>
    <w:qFormat/>
    <w:rsid w:val="00021B85"/>
    <w:pPr>
      <w:numPr>
        <w:ilvl w:val="2"/>
        <w:numId w:val="29"/>
      </w:numPr>
    </w:pPr>
    <w:rPr>
      <w:szCs w:val="22"/>
    </w:rPr>
  </w:style>
  <w:style w:type="numbering" w:customStyle="1" w:styleId="BulletsList">
    <w:name w:val="Bullets List"/>
    <w:uiPriority w:val="99"/>
    <w:rsid w:val="00021B85"/>
    <w:pPr>
      <w:numPr>
        <w:numId w:val="1"/>
      </w:numPr>
    </w:pPr>
  </w:style>
  <w:style w:type="numbering" w:customStyle="1" w:styleId="Numberedlist">
    <w:name w:val="Numbered list"/>
    <w:uiPriority w:val="99"/>
    <w:rsid w:val="00021B85"/>
    <w:pPr>
      <w:numPr>
        <w:numId w:val="3"/>
      </w:numPr>
    </w:pPr>
  </w:style>
  <w:style w:type="numbering" w:customStyle="1" w:styleId="HeadingsList">
    <w:name w:val="Headings List"/>
    <w:uiPriority w:val="99"/>
    <w:rsid w:val="00021B85"/>
    <w:pPr>
      <w:numPr>
        <w:numId w:val="5"/>
      </w:numPr>
    </w:pPr>
  </w:style>
  <w:style w:type="table" w:styleId="PlainTable2">
    <w:name w:val="Plain Table 2"/>
    <w:basedOn w:val="TableNormal"/>
    <w:uiPriority w:val="42"/>
    <w:rsid w:val="00021B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021B85"/>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021B85"/>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021B85"/>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021B85"/>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021B85"/>
    <w:pPr>
      <w:tabs>
        <w:tab w:val="left" w:pos="1134"/>
        <w:tab w:val="right" w:pos="9072"/>
      </w:tabs>
      <w:spacing w:before="60"/>
      <w:ind w:left="1134" w:hanging="680"/>
    </w:pPr>
  </w:style>
  <w:style w:type="paragraph" w:styleId="Header">
    <w:name w:val="header"/>
    <w:basedOn w:val="Normal"/>
    <w:link w:val="HeaderChar"/>
    <w:uiPriority w:val="99"/>
    <w:unhideWhenUsed/>
    <w:rsid w:val="00021B85"/>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021B85"/>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021B85"/>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021B85"/>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021B85"/>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021B85"/>
    <w:pPr>
      <w:numPr>
        <w:numId w:val="9"/>
      </w:numPr>
    </w:pPr>
  </w:style>
  <w:style w:type="paragraph" w:styleId="TOC8">
    <w:name w:val="toc 8"/>
    <w:basedOn w:val="Normal"/>
    <w:next w:val="Normal"/>
    <w:autoRedefine/>
    <w:uiPriority w:val="39"/>
    <w:unhideWhenUsed/>
    <w:rsid w:val="00021B85"/>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021B85"/>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021B85"/>
    <w:pPr>
      <w:spacing w:after="0"/>
      <w:ind w:left="907" w:hanging="907"/>
    </w:pPr>
  </w:style>
  <w:style w:type="paragraph" w:customStyle="1" w:styleId="IntroPara">
    <w:name w:val="Intro Para"/>
    <w:basedOn w:val="Normal"/>
    <w:qFormat/>
    <w:rsid w:val="00021B85"/>
    <w:pPr>
      <w:pBdr>
        <w:bottom w:val="single" w:sz="4" w:space="6" w:color="BDDCDF" w:themeColor="accent1"/>
      </w:pBdr>
    </w:pPr>
    <w:rPr>
      <w:sz w:val="24"/>
    </w:rPr>
  </w:style>
  <w:style w:type="table" w:styleId="TableGrid">
    <w:name w:val="Table Grid"/>
    <w:basedOn w:val="TableNormal"/>
    <w:uiPriority w:val="59"/>
    <w:rsid w:val="00021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021B85"/>
    <w:rPr>
      <w:sz w:val="14"/>
    </w:rPr>
  </w:style>
  <w:style w:type="numbering" w:customStyle="1" w:styleId="FigureTitles">
    <w:name w:val="Figure Titles"/>
    <w:uiPriority w:val="99"/>
    <w:rsid w:val="00021B85"/>
    <w:pPr>
      <w:numPr>
        <w:numId w:val="10"/>
      </w:numPr>
    </w:pPr>
  </w:style>
  <w:style w:type="character" w:styleId="Hyperlink">
    <w:name w:val="Hyperlink"/>
    <w:basedOn w:val="DefaultParagraphFont"/>
    <w:uiPriority w:val="99"/>
    <w:rsid w:val="00021B85"/>
    <w:rPr>
      <w:rFonts w:asciiTheme="minorHAnsi" w:hAnsiTheme="minorHAnsi" w:cs="MuseoSans-500"/>
      <w:color w:val="auto"/>
      <w:u w:val="single" w:color="0070C0"/>
    </w:rPr>
  </w:style>
  <w:style w:type="character" w:styleId="IntenseEmphasis">
    <w:name w:val="Intense Emphasis"/>
    <w:basedOn w:val="DefaultParagraphFont"/>
    <w:uiPriority w:val="21"/>
    <w:qFormat/>
    <w:rsid w:val="00021B85"/>
    <w:rPr>
      <w:b/>
      <w:i/>
      <w:iCs/>
      <w:color w:val="auto"/>
    </w:rPr>
  </w:style>
  <w:style w:type="character" w:styleId="Strong">
    <w:name w:val="Strong"/>
    <w:basedOn w:val="DefaultParagraphFont"/>
    <w:uiPriority w:val="22"/>
    <w:qFormat/>
    <w:rsid w:val="00021B85"/>
    <w:rPr>
      <w:b/>
      <w:bCs/>
    </w:rPr>
  </w:style>
  <w:style w:type="character" w:styleId="Emphasis">
    <w:name w:val="Emphasis"/>
    <w:basedOn w:val="DefaultParagraphFont"/>
    <w:uiPriority w:val="20"/>
    <w:qFormat/>
    <w:rsid w:val="00021B85"/>
    <w:rPr>
      <w:i/>
      <w:iCs/>
    </w:rPr>
  </w:style>
  <w:style w:type="character" w:customStyle="1" w:styleId="Heading5Char">
    <w:name w:val="Heading 5 Char"/>
    <w:basedOn w:val="DefaultParagraphFont"/>
    <w:link w:val="Heading5"/>
    <w:uiPriority w:val="9"/>
    <w:rsid w:val="00021B85"/>
    <w:rPr>
      <w:rFonts w:asciiTheme="majorHAnsi" w:eastAsiaTheme="majorEastAsia" w:hAnsiTheme="majorHAnsi" w:cstheme="majorBidi"/>
      <w:bCs/>
      <w:i/>
      <w:iCs/>
      <w:color w:val="77B6BD" w:themeColor="accent1" w:themeShade="BF"/>
      <w:szCs w:val="26"/>
    </w:rPr>
  </w:style>
  <w:style w:type="paragraph" w:styleId="Caption">
    <w:name w:val="caption"/>
    <w:basedOn w:val="Normal"/>
    <w:next w:val="Normal"/>
    <w:uiPriority w:val="35"/>
    <w:unhideWhenUsed/>
    <w:qFormat/>
    <w:rsid w:val="00021B85"/>
    <w:pPr>
      <w:spacing w:before="200" w:after="120"/>
    </w:pPr>
    <w:rPr>
      <w:b/>
      <w:iCs/>
      <w:color w:val="000000" w:themeColor="text1"/>
      <w:szCs w:val="18"/>
    </w:rPr>
  </w:style>
  <w:style w:type="paragraph" w:styleId="Footer">
    <w:name w:val="footer"/>
    <w:basedOn w:val="Normal"/>
    <w:link w:val="FooterChar"/>
    <w:uiPriority w:val="99"/>
    <w:unhideWhenUsed/>
    <w:rsid w:val="00021B85"/>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021B85"/>
    <w:rPr>
      <w:sz w:val="14"/>
    </w:rPr>
  </w:style>
  <w:style w:type="character" w:customStyle="1" w:styleId="Heading6Char">
    <w:name w:val="Heading 6 Char"/>
    <w:basedOn w:val="DefaultParagraphFont"/>
    <w:link w:val="Heading6"/>
    <w:uiPriority w:val="9"/>
    <w:semiHidden/>
    <w:rsid w:val="00021B85"/>
    <w:rPr>
      <w:rFonts w:asciiTheme="majorHAnsi" w:eastAsiaTheme="majorEastAsia" w:hAnsiTheme="majorHAnsi" w:cstheme="majorBidi"/>
      <w:bCs/>
      <w:i/>
      <w:iCs/>
      <w:color w:val="43838A" w:themeColor="accent1" w:themeShade="7F"/>
      <w:szCs w:val="26"/>
    </w:rPr>
  </w:style>
  <w:style w:type="character" w:customStyle="1" w:styleId="Heading7Char">
    <w:name w:val="Heading 7 Char"/>
    <w:basedOn w:val="DefaultParagraphFont"/>
    <w:link w:val="Heading7"/>
    <w:uiPriority w:val="9"/>
    <w:semiHidden/>
    <w:rsid w:val="00021B85"/>
    <w:rPr>
      <w:rFonts w:asciiTheme="majorHAnsi" w:eastAsiaTheme="majorEastAsia" w:hAnsiTheme="majorHAnsi" w:cstheme="majorBidi"/>
      <w:bCs/>
      <w:color w:val="43838A" w:themeColor="accent1" w:themeShade="7F"/>
      <w:szCs w:val="26"/>
    </w:rPr>
  </w:style>
  <w:style w:type="character" w:customStyle="1" w:styleId="Heading8Char">
    <w:name w:val="Heading 8 Char"/>
    <w:basedOn w:val="DefaultParagraphFont"/>
    <w:link w:val="Heading8"/>
    <w:uiPriority w:val="9"/>
    <w:semiHidden/>
    <w:rsid w:val="00021B85"/>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uiPriority w:val="9"/>
    <w:semiHidden/>
    <w:rsid w:val="00021B85"/>
    <w:rPr>
      <w:rFonts w:asciiTheme="majorHAnsi" w:eastAsiaTheme="majorEastAsia" w:hAnsiTheme="majorHAnsi" w:cstheme="majorBidi"/>
      <w:bCs/>
      <w:i/>
      <w:iCs/>
      <w:color w:val="272727" w:themeColor="text1" w:themeTint="D8"/>
      <w:sz w:val="21"/>
      <w:szCs w:val="21"/>
    </w:rPr>
  </w:style>
  <w:style w:type="paragraph" w:customStyle="1" w:styleId="Boxed1Text">
    <w:name w:val="Boxed 1 Text"/>
    <w:basedOn w:val="Normal"/>
    <w:qFormat/>
    <w:rsid w:val="00021B85"/>
    <w:pPr>
      <w:pBdr>
        <w:top w:val="single" w:sz="4" w:space="14" w:color="F1F8F8" w:themeColor="accent1" w:themeTint="33"/>
        <w:left w:val="single" w:sz="4" w:space="14" w:color="F1F8F8" w:themeColor="accent1" w:themeTint="33"/>
        <w:bottom w:val="single" w:sz="4" w:space="14" w:color="F1F8F8" w:themeColor="accent1" w:themeTint="33"/>
        <w:right w:val="single" w:sz="4" w:space="14" w:color="F1F8F8" w:themeColor="accent1" w:themeTint="33"/>
      </w:pBdr>
      <w:shd w:val="clear" w:color="auto" w:fill="F1F8F8" w:themeFill="accent1" w:themeFillTint="33"/>
      <w:ind w:left="284" w:right="284"/>
    </w:pPr>
  </w:style>
  <w:style w:type="paragraph" w:customStyle="1" w:styleId="Boxed1Heading">
    <w:name w:val="Boxed 1 Heading"/>
    <w:basedOn w:val="Boxed1Text"/>
    <w:qFormat/>
    <w:rsid w:val="00021B85"/>
    <w:rPr>
      <w:b/>
      <w:sz w:val="24"/>
    </w:rPr>
  </w:style>
  <w:style w:type="paragraph" w:customStyle="1" w:styleId="Boxed2Text">
    <w:name w:val="Boxed 2 Text"/>
    <w:basedOn w:val="Boxed1Text"/>
    <w:qFormat/>
    <w:rsid w:val="00021B85"/>
    <w:pPr>
      <w:pBdr>
        <w:top w:val="single" w:sz="4" w:space="14" w:color="BDDCDF" w:themeColor="accent1"/>
        <w:left w:val="single" w:sz="4" w:space="14" w:color="BDDCDF" w:themeColor="accent1"/>
        <w:bottom w:val="single" w:sz="4" w:space="14" w:color="BDDCDF" w:themeColor="accent1"/>
        <w:right w:val="single" w:sz="4" w:space="14" w:color="BDDCDF" w:themeColor="accent1"/>
      </w:pBdr>
      <w:shd w:val="clear" w:color="auto" w:fill="BDDCDF" w:themeFill="accent1"/>
    </w:pPr>
  </w:style>
  <w:style w:type="paragraph" w:customStyle="1" w:styleId="Boxed2Heading">
    <w:name w:val="Boxed 2 Heading"/>
    <w:basedOn w:val="Boxed2Text"/>
    <w:qFormat/>
    <w:rsid w:val="00021B85"/>
    <w:rPr>
      <w:b/>
      <w:sz w:val="24"/>
    </w:rPr>
  </w:style>
  <w:style w:type="character" w:styleId="PageNumber">
    <w:name w:val="page number"/>
    <w:basedOn w:val="DefaultParagraphFont"/>
    <w:uiPriority w:val="99"/>
    <w:unhideWhenUsed/>
    <w:rsid w:val="00021B85"/>
  </w:style>
  <w:style w:type="table" w:styleId="TableGridLight">
    <w:name w:val="Grid Table Light"/>
    <w:basedOn w:val="TableNormal"/>
    <w:uiPriority w:val="40"/>
    <w:rsid w:val="00021B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021B85"/>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021B85"/>
    <w:pPr>
      <w:spacing w:before="60"/>
    </w:pPr>
    <w:rPr>
      <w:sz w:val="18"/>
    </w:rPr>
  </w:style>
  <w:style w:type="paragraph" w:customStyle="1" w:styleId="TableSourceNotes">
    <w:name w:val="Table Source Notes"/>
    <w:basedOn w:val="TableText"/>
    <w:qFormat/>
    <w:rsid w:val="00021B85"/>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021B85"/>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021B85"/>
    <w:rPr>
      <w:sz w:val="16"/>
      <w:szCs w:val="20"/>
    </w:rPr>
  </w:style>
  <w:style w:type="character" w:styleId="FootnoteReference">
    <w:name w:val="footnote reference"/>
    <w:basedOn w:val="DefaultParagraphFont"/>
    <w:uiPriority w:val="99"/>
    <w:semiHidden/>
    <w:unhideWhenUsed/>
    <w:rsid w:val="00021B85"/>
    <w:rPr>
      <w:vertAlign w:val="superscript"/>
    </w:rPr>
  </w:style>
  <w:style w:type="paragraph" w:customStyle="1" w:styleId="FootnoteSeparator">
    <w:name w:val="Footnote Separator"/>
    <w:basedOn w:val="Normal"/>
    <w:qFormat/>
    <w:rsid w:val="00021B85"/>
    <w:pPr>
      <w:pBdr>
        <w:top w:val="single" w:sz="2" w:space="1" w:color="auto"/>
      </w:pBdr>
      <w:spacing w:before="0" w:after="0" w:line="240" w:lineRule="auto"/>
    </w:pPr>
  </w:style>
  <w:style w:type="character" w:styleId="PlaceholderText">
    <w:name w:val="Placeholder Text"/>
    <w:basedOn w:val="DefaultParagraphFont"/>
    <w:uiPriority w:val="99"/>
    <w:semiHidden/>
    <w:rsid w:val="00021B85"/>
    <w:rPr>
      <w:color w:val="808080"/>
    </w:rPr>
  </w:style>
  <w:style w:type="character" w:customStyle="1" w:styleId="Classification">
    <w:name w:val="Classification"/>
    <w:basedOn w:val="DefaultParagraphFont"/>
    <w:uiPriority w:val="1"/>
    <w:qFormat/>
    <w:rsid w:val="00021B85"/>
    <w:rPr>
      <w:b/>
      <w:caps/>
      <w:smallCaps w:val="0"/>
      <w:sz w:val="24"/>
    </w:rPr>
  </w:style>
  <w:style w:type="paragraph" w:customStyle="1" w:styleId="Firstpagespace">
    <w:name w:val="First page space"/>
    <w:basedOn w:val="Normal"/>
    <w:qFormat/>
    <w:rsid w:val="005A6C78"/>
    <w:pPr>
      <w:spacing w:after="1200"/>
    </w:pPr>
  </w:style>
  <w:style w:type="paragraph" w:styleId="ListParagraph">
    <w:name w:val="List Paragraph"/>
    <w:basedOn w:val="Normal"/>
    <w:uiPriority w:val="34"/>
    <w:qFormat/>
    <w:rsid w:val="00755721"/>
    <w:pPr>
      <w:ind w:left="720"/>
      <w:contextualSpacing/>
    </w:pPr>
  </w:style>
  <w:style w:type="paragraph" w:customStyle="1" w:styleId="Title1">
    <w:name w:val="Title 1"/>
    <w:basedOn w:val="Title"/>
    <w:link w:val="Title1Char"/>
    <w:qFormat/>
    <w:rsid w:val="006D39A6"/>
    <w:pPr>
      <w:keepLines w:val="0"/>
      <w:spacing w:before="180" w:after="60"/>
      <w:contextualSpacing w:val="0"/>
    </w:pPr>
    <w:rPr>
      <w:rFonts w:ascii="Arial" w:hAnsi="Arial" w:cs="Arial"/>
      <w:bCs w:val="0"/>
      <w:szCs w:val="40"/>
    </w:rPr>
  </w:style>
  <w:style w:type="character" w:customStyle="1" w:styleId="Title1Char">
    <w:name w:val="Title 1 Char"/>
    <w:basedOn w:val="TitleChar"/>
    <w:link w:val="Title1"/>
    <w:rsid w:val="006D39A6"/>
    <w:rPr>
      <w:rFonts w:ascii="Arial" w:eastAsiaTheme="majorEastAsia" w:hAnsi="Arial" w:cs="Arial"/>
      <w:bCs w:val="0"/>
      <w:color w:val="1C1C1C" w:themeColor="text2"/>
      <w:kern w:val="28"/>
      <w:sz w:val="40"/>
      <w:szCs w:val="40"/>
    </w:rPr>
  </w:style>
  <w:style w:type="table" w:styleId="GridTable5Dark-Accent3">
    <w:name w:val="Grid Table 5 Dark Accent 3"/>
    <w:basedOn w:val="TableNormal"/>
    <w:uiPriority w:val="50"/>
    <w:rsid w:val="00DB4A9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9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E4B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E4B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E4B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E4BA" w:themeFill="accent3"/>
      </w:tcPr>
    </w:tblStylePr>
    <w:tblStylePr w:type="band1Vert">
      <w:tblPr/>
      <w:tcPr>
        <w:shd w:val="clear" w:color="auto" w:fill="F5F4E3" w:themeFill="accent3" w:themeFillTint="66"/>
      </w:tcPr>
    </w:tblStylePr>
    <w:tblStylePr w:type="band1Horz">
      <w:tblPr/>
      <w:tcPr>
        <w:shd w:val="clear" w:color="auto" w:fill="F5F4E3" w:themeFill="accent3" w:themeFillTint="66"/>
      </w:tcPr>
    </w:tblStylePr>
  </w:style>
  <w:style w:type="character" w:styleId="FollowedHyperlink">
    <w:name w:val="FollowedHyperlink"/>
    <w:basedOn w:val="DefaultParagraphFont"/>
    <w:uiPriority w:val="99"/>
    <w:semiHidden/>
    <w:unhideWhenUsed/>
    <w:rsid w:val="009E3665"/>
    <w:rPr>
      <w:color w:val="954F72" w:themeColor="followedHyperlink"/>
      <w:u w:val="single"/>
    </w:rPr>
  </w:style>
  <w:style w:type="character" w:styleId="CommentReference">
    <w:name w:val="annotation reference"/>
    <w:basedOn w:val="DefaultParagraphFont"/>
    <w:uiPriority w:val="99"/>
    <w:semiHidden/>
    <w:unhideWhenUsed/>
    <w:rsid w:val="009E3665"/>
    <w:rPr>
      <w:sz w:val="16"/>
      <w:szCs w:val="16"/>
    </w:rPr>
  </w:style>
  <w:style w:type="paragraph" w:styleId="CommentText">
    <w:name w:val="annotation text"/>
    <w:basedOn w:val="Normal"/>
    <w:link w:val="CommentTextChar"/>
    <w:uiPriority w:val="99"/>
    <w:semiHidden/>
    <w:unhideWhenUsed/>
    <w:rsid w:val="009E3665"/>
    <w:pPr>
      <w:spacing w:line="240" w:lineRule="auto"/>
    </w:pPr>
    <w:rPr>
      <w:sz w:val="20"/>
      <w:szCs w:val="20"/>
    </w:rPr>
  </w:style>
  <w:style w:type="character" w:customStyle="1" w:styleId="CommentTextChar">
    <w:name w:val="Comment Text Char"/>
    <w:basedOn w:val="DefaultParagraphFont"/>
    <w:link w:val="CommentText"/>
    <w:uiPriority w:val="99"/>
    <w:semiHidden/>
    <w:rsid w:val="009E3665"/>
    <w:rPr>
      <w:sz w:val="20"/>
      <w:szCs w:val="20"/>
    </w:rPr>
  </w:style>
  <w:style w:type="paragraph" w:styleId="CommentSubject">
    <w:name w:val="annotation subject"/>
    <w:basedOn w:val="CommentText"/>
    <w:next w:val="CommentText"/>
    <w:link w:val="CommentSubjectChar"/>
    <w:uiPriority w:val="99"/>
    <w:semiHidden/>
    <w:unhideWhenUsed/>
    <w:rsid w:val="009E3665"/>
    <w:rPr>
      <w:b/>
      <w:bCs/>
    </w:rPr>
  </w:style>
  <w:style w:type="character" w:customStyle="1" w:styleId="CommentSubjectChar">
    <w:name w:val="Comment Subject Char"/>
    <w:basedOn w:val="CommentTextChar"/>
    <w:link w:val="CommentSubject"/>
    <w:uiPriority w:val="99"/>
    <w:semiHidden/>
    <w:rsid w:val="009E3665"/>
    <w:rPr>
      <w:b/>
      <w:bCs/>
      <w:sz w:val="20"/>
      <w:szCs w:val="20"/>
    </w:rPr>
  </w:style>
  <w:style w:type="paragraph" w:styleId="BalloonText">
    <w:name w:val="Balloon Text"/>
    <w:basedOn w:val="Normal"/>
    <w:link w:val="BalloonTextChar"/>
    <w:uiPriority w:val="99"/>
    <w:semiHidden/>
    <w:unhideWhenUsed/>
    <w:rsid w:val="009E366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6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96461">
      <w:bodyDiv w:val="1"/>
      <w:marLeft w:val="0"/>
      <w:marRight w:val="0"/>
      <w:marTop w:val="0"/>
      <w:marBottom w:val="0"/>
      <w:divBdr>
        <w:top w:val="none" w:sz="0" w:space="0" w:color="auto"/>
        <w:left w:val="none" w:sz="0" w:space="0" w:color="auto"/>
        <w:bottom w:val="none" w:sz="0" w:space="0" w:color="auto"/>
        <w:right w:val="none" w:sz="0" w:space="0" w:color="auto"/>
      </w:divBdr>
    </w:div>
    <w:div w:id="140124649">
      <w:bodyDiv w:val="1"/>
      <w:marLeft w:val="0"/>
      <w:marRight w:val="0"/>
      <w:marTop w:val="0"/>
      <w:marBottom w:val="0"/>
      <w:divBdr>
        <w:top w:val="none" w:sz="0" w:space="0" w:color="auto"/>
        <w:left w:val="none" w:sz="0" w:space="0" w:color="auto"/>
        <w:bottom w:val="none" w:sz="0" w:space="0" w:color="auto"/>
        <w:right w:val="none" w:sz="0" w:space="0" w:color="auto"/>
      </w:divBdr>
    </w:div>
    <w:div w:id="178206116">
      <w:bodyDiv w:val="1"/>
      <w:marLeft w:val="0"/>
      <w:marRight w:val="0"/>
      <w:marTop w:val="0"/>
      <w:marBottom w:val="0"/>
      <w:divBdr>
        <w:top w:val="none" w:sz="0" w:space="0" w:color="auto"/>
        <w:left w:val="none" w:sz="0" w:space="0" w:color="auto"/>
        <w:bottom w:val="none" w:sz="0" w:space="0" w:color="auto"/>
        <w:right w:val="none" w:sz="0" w:space="0" w:color="auto"/>
      </w:divBdr>
    </w:div>
    <w:div w:id="377510909">
      <w:bodyDiv w:val="1"/>
      <w:marLeft w:val="0"/>
      <w:marRight w:val="0"/>
      <w:marTop w:val="0"/>
      <w:marBottom w:val="0"/>
      <w:divBdr>
        <w:top w:val="none" w:sz="0" w:space="0" w:color="auto"/>
        <w:left w:val="none" w:sz="0" w:space="0" w:color="auto"/>
        <w:bottom w:val="none" w:sz="0" w:space="0" w:color="auto"/>
        <w:right w:val="none" w:sz="0" w:space="0" w:color="auto"/>
      </w:divBdr>
    </w:div>
    <w:div w:id="636300402">
      <w:bodyDiv w:val="1"/>
      <w:marLeft w:val="0"/>
      <w:marRight w:val="0"/>
      <w:marTop w:val="0"/>
      <w:marBottom w:val="0"/>
      <w:divBdr>
        <w:top w:val="none" w:sz="0" w:space="0" w:color="auto"/>
        <w:left w:val="none" w:sz="0" w:space="0" w:color="auto"/>
        <w:bottom w:val="none" w:sz="0" w:space="0" w:color="auto"/>
        <w:right w:val="none" w:sz="0" w:space="0" w:color="auto"/>
      </w:divBdr>
    </w:div>
    <w:div w:id="715660396">
      <w:bodyDiv w:val="1"/>
      <w:marLeft w:val="0"/>
      <w:marRight w:val="0"/>
      <w:marTop w:val="0"/>
      <w:marBottom w:val="0"/>
      <w:divBdr>
        <w:top w:val="none" w:sz="0" w:space="0" w:color="auto"/>
        <w:left w:val="none" w:sz="0" w:space="0" w:color="auto"/>
        <w:bottom w:val="none" w:sz="0" w:space="0" w:color="auto"/>
        <w:right w:val="none" w:sz="0" w:space="0" w:color="auto"/>
      </w:divBdr>
    </w:div>
    <w:div w:id="758796324">
      <w:bodyDiv w:val="1"/>
      <w:marLeft w:val="0"/>
      <w:marRight w:val="0"/>
      <w:marTop w:val="0"/>
      <w:marBottom w:val="0"/>
      <w:divBdr>
        <w:top w:val="none" w:sz="0" w:space="0" w:color="auto"/>
        <w:left w:val="none" w:sz="0" w:space="0" w:color="auto"/>
        <w:bottom w:val="none" w:sz="0" w:space="0" w:color="auto"/>
        <w:right w:val="none" w:sz="0" w:space="0" w:color="auto"/>
      </w:divBdr>
    </w:div>
    <w:div w:id="900868726">
      <w:bodyDiv w:val="1"/>
      <w:marLeft w:val="0"/>
      <w:marRight w:val="0"/>
      <w:marTop w:val="0"/>
      <w:marBottom w:val="0"/>
      <w:divBdr>
        <w:top w:val="none" w:sz="0" w:space="0" w:color="auto"/>
        <w:left w:val="none" w:sz="0" w:space="0" w:color="auto"/>
        <w:bottom w:val="none" w:sz="0" w:space="0" w:color="auto"/>
        <w:right w:val="none" w:sz="0" w:space="0" w:color="auto"/>
      </w:divBdr>
    </w:div>
    <w:div w:id="1092509559">
      <w:bodyDiv w:val="1"/>
      <w:marLeft w:val="0"/>
      <w:marRight w:val="0"/>
      <w:marTop w:val="0"/>
      <w:marBottom w:val="0"/>
      <w:divBdr>
        <w:top w:val="none" w:sz="0" w:space="0" w:color="auto"/>
        <w:left w:val="none" w:sz="0" w:space="0" w:color="auto"/>
        <w:bottom w:val="none" w:sz="0" w:space="0" w:color="auto"/>
        <w:right w:val="none" w:sz="0" w:space="0" w:color="auto"/>
      </w:divBdr>
    </w:div>
    <w:div w:id="1157847490">
      <w:bodyDiv w:val="1"/>
      <w:marLeft w:val="0"/>
      <w:marRight w:val="0"/>
      <w:marTop w:val="0"/>
      <w:marBottom w:val="0"/>
      <w:divBdr>
        <w:top w:val="none" w:sz="0" w:space="0" w:color="auto"/>
        <w:left w:val="none" w:sz="0" w:space="0" w:color="auto"/>
        <w:bottom w:val="none" w:sz="0" w:space="0" w:color="auto"/>
        <w:right w:val="none" w:sz="0" w:space="0" w:color="auto"/>
      </w:divBdr>
    </w:div>
    <w:div w:id="1315180268">
      <w:bodyDiv w:val="1"/>
      <w:marLeft w:val="0"/>
      <w:marRight w:val="0"/>
      <w:marTop w:val="0"/>
      <w:marBottom w:val="0"/>
      <w:divBdr>
        <w:top w:val="none" w:sz="0" w:space="0" w:color="auto"/>
        <w:left w:val="none" w:sz="0" w:space="0" w:color="auto"/>
        <w:bottom w:val="none" w:sz="0" w:space="0" w:color="auto"/>
        <w:right w:val="none" w:sz="0" w:space="0" w:color="auto"/>
      </w:divBdr>
    </w:div>
    <w:div w:id="1378432034">
      <w:bodyDiv w:val="1"/>
      <w:marLeft w:val="0"/>
      <w:marRight w:val="0"/>
      <w:marTop w:val="0"/>
      <w:marBottom w:val="0"/>
      <w:divBdr>
        <w:top w:val="none" w:sz="0" w:space="0" w:color="auto"/>
        <w:left w:val="none" w:sz="0" w:space="0" w:color="auto"/>
        <w:bottom w:val="none" w:sz="0" w:space="0" w:color="auto"/>
        <w:right w:val="none" w:sz="0" w:space="0" w:color="auto"/>
      </w:divBdr>
    </w:div>
    <w:div w:id="1646396438">
      <w:bodyDiv w:val="1"/>
      <w:marLeft w:val="0"/>
      <w:marRight w:val="0"/>
      <w:marTop w:val="0"/>
      <w:marBottom w:val="0"/>
      <w:divBdr>
        <w:top w:val="none" w:sz="0" w:space="0" w:color="auto"/>
        <w:left w:val="none" w:sz="0" w:space="0" w:color="auto"/>
        <w:bottom w:val="none" w:sz="0" w:space="0" w:color="auto"/>
        <w:right w:val="none" w:sz="0" w:space="0" w:color="auto"/>
      </w:divBdr>
    </w:div>
    <w:div w:id="1658268008">
      <w:bodyDiv w:val="1"/>
      <w:marLeft w:val="0"/>
      <w:marRight w:val="0"/>
      <w:marTop w:val="0"/>
      <w:marBottom w:val="0"/>
      <w:divBdr>
        <w:top w:val="none" w:sz="0" w:space="0" w:color="auto"/>
        <w:left w:val="none" w:sz="0" w:space="0" w:color="auto"/>
        <w:bottom w:val="none" w:sz="0" w:space="0" w:color="auto"/>
        <w:right w:val="none" w:sz="0" w:space="0" w:color="auto"/>
      </w:divBdr>
    </w:div>
    <w:div w:id="1775904057">
      <w:bodyDiv w:val="1"/>
      <w:marLeft w:val="0"/>
      <w:marRight w:val="0"/>
      <w:marTop w:val="0"/>
      <w:marBottom w:val="0"/>
      <w:divBdr>
        <w:top w:val="none" w:sz="0" w:space="0" w:color="auto"/>
        <w:left w:val="none" w:sz="0" w:space="0" w:color="auto"/>
        <w:bottom w:val="none" w:sz="0" w:space="0" w:color="auto"/>
        <w:right w:val="none" w:sz="0" w:space="0" w:color="auto"/>
      </w:divBdr>
    </w:div>
    <w:div w:id="1819960009">
      <w:bodyDiv w:val="1"/>
      <w:marLeft w:val="0"/>
      <w:marRight w:val="0"/>
      <w:marTop w:val="0"/>
      <w:marBottom w:val="0"/>
      <w:divBdr>
        <w:top w:val="none" w:sz="0" w:space="0" w:color="auto"/>
        <w:left w:val="none" w:sz="0" w:space="0" w:color="auto"/>
        <w:bottom w:val="none" w:sz="0" w:space="0" w:color="auto"/>
        <w:right w:val="none" w:sz="0" w:space="0" w:color="auto"/>
      </w:divBdr>
    </w:div>
    <w:div w:id="1878543123">
      <w:bodyDiv w:val="1"/>
      <w:marLeft w:val="0"/>
      <w:marRight w:val="0"/>
      <w:marTop w:val="0"/>
      <w:marBottom w:val="0"/>
      <w:divBdr>
        <w:top w:val="none" w:sz="0" w:space="0" w:color="auto"/>
        <w:left w:val="none" w:sz="0" w:space="0" w:color="auto"/>
        <w:bottom w:val="none" w:sz="0" w:space="0" w:color="auto"/>
        <w:right w:val="none" w:sz="0" w:space="0" w:color="auto"/>
      </w:divBdr>
    </w:div>
    <w:div w:id="211825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legislation.gov.au/Series/F2015L00131"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finance.gov.au/government/managing-commonwealth-resources/machinery-of-government-changes" TargetMode="External"/></Relationships>
</file>

<file path=word/theme/theme1.xml><?xml version="1.0" encoding="utf-8"?>
<a:theme xmlns:a="http://schemas.openxmlformats.org/drawingml/2006/main" name="Finance 1 Blue">
  <a:themeElements>
    <a:clrScheme name="Finance - Blue">
      <a:dk1>
        <a:sysClr val="windowText" lastClr="000000"/>
      </a:dk1>
      <a:lt1>
        <a:sysClr val="window" lastClr="FFFFFF"/>
      </a:lt1>
      <a:dk2>
        <a:srgbClr val="1C1C1C"/>
      </a:dk2>
      <a:lt2>
        <a:srgbClr val="E2E3E2"/>
      </a:lt2>
      <a:accent1>
        <a:srgbClr val="BDDCDF"/>
      </a:accent1>
      <a:accent2>
        <a:srgbClr val="BBBADB"/>
      </a:accent2>
      <a:accent3>
        <a:srgbClr val="E6E4BA"/>
      </a:accent3>
      <a:accent4>
        <a:srgbClr val="D78B83"/>
      </a:accent4>
      <a:accent5>
        <a:srgbClr val="BEBFC0"/>
      </a:accent5>
      <a:accent6>
        <a:srgbClr val="ED7D31"/>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75879E95-76ED-4952-8793-7BDF17E91F97}" vid="{CD9CE17E-63B8-45F8-B600-89410B4EF6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A081167BBC6DC4ABF111D5C0340450F" ma:contentTypeVersion="99" ma:contentTypeDescription="Create a new document." ma:contentTypeScope="" ma:versionID="ce3152a7dae9aed56f2dbf824386202c">
  <xsd:schema xmlns:xsd="http://www.w3.org/2001/XMLSchema" xmlns:xs="http://www.w3.org/2001/XMLSchema" xmlns:p="http://schemas.microsoft.com/office/2006/metadata/properties" xmlns:ns1="http://schemas.microsoft.com/sharepoint/v3" xmlns:ns2="82ff9d9b-d3fc-4aad-bc42-9949ee83b815" xmlns:ns3="fdd6b31f-a027-425f-adfa-a4194e98dae2" targetNamespace="http://schemas.microsoft.com/office/2006/metadata/properties" ma:root="true" ma:fieldsID="0368a387c6d7cf58ef0ae5949a84b49d" ns1:_="" ns2:_="" ns3:_="">
    <xsd:import namespace="http://schemas.microsoft.com/sharepoint/v3"/>
    <xsd:import namespace="82ff9d9b-d3fc-4aad-bc42-9949ee83b815"/>
    <xsd:import namespace="fdd6b31f-a027-425f-adfa-a4194e98dae2"/>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4d5b23f8-0019-49b4-80dc-328231206719}" ma:internalName="TaxCatchAll" ma:showField="CatchAllData" ma:web="fdd6b31f-a027-425f-adfa-a4194e98dae2">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4d5b23f8-0019-49b4-80dc-328231206719}" ma:internalName="TaxCatchAllLabel" ma:readOnly="true" ma:showField="CatchAllDataLabel" ma:web="fdd6b31f-a027-425f-adfa-a4194e98dae2">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dd6b31f-a027-425f-adfa-a4194e98dae2"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2</Value>
      <Value>1</Value>
    </TaxCatchAll>
    <TaxKeywordTaxHTField xmlns="82ff9d9b-d3fc-4aad-bc42-9949ee83b815">
      <Terms xmlns="http://schemas.microsoft.com/office/infopath/2007/PartnerControls"/>
    </TaxKeywordTaxHTField>
    <Original_x0020_Date_x0020_Created xmlns="82ff9d9b-d3fc-4aad-bc42-9949ee83b815" xsi:nil="true"/>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Accounting FW and Capability Support</TermName>
          <TermId xmlns="http://schemas.microsoft.com/office/infopath/2007/PartnerControls">17de058c-12f7-44f2-8e7d-03ff49305e52</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fdd6b31f-a027-425f-adfa-a4194e98dae2">FIN33506-77069739-39635</_dlc_DocId>
    <_dlc_DocIdUrl xmlns="fdd6b31f-a027-425f-adfa-a4194e98dae2">
      <Url>https://f1.prdmgd.finance.gov.au/sites/50033506/_layouts/15/DocIdRedir.aspx?ID=FIN33506-77069739-39635</Url>
      <Description>FIN33506-77069739-39635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5AE31-C01E-4357-B97F-EF013051C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fdd6b31f-a027-425f-adfa-a4194e98d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1D2D46-AFB1-4AB8-8D9A-A8CEFEFBCEFD}">
  <ds:schemaRefs>
    <ds:schemaRef ds:uri="Microsoft.SharePoint.Taxonomy.ContentTypeSync"/>
  </ds:schemaRefs>
</ds:datastoreItem>
</file>

<file path=customXml/itemProps3.xml><?xml version="1.0" encoding="utf-8"?>
<ds:datastoreItem xmlns:ds="http://schemas.openxmlformats.org/officeDocument/2006/customXml" ds:itemID="{9C8BDD07-0472-4D97-A838-A92F527BE0E0}">
  <ds:schemaRefs>
    <ds:schemaRef ds:uri="http://schemas.microsoft.com/sharepoint/events"/>
  </ds:schemaRefs>
</ds:datastoreItem>
</file>

<file path=customXml/itemProps4.xml><?xml version="1.0" encoding="utf-8"?>
<ds:datastoreItem xmlns:ds="http://schemas.openxmlformats.org/officeDocument/2006/customXml" ds:itemID="{1CF6217A-94B4-4F3A-BCD3-C088898BB5E4}">
  <ds:schemaRefs>
    <ds:schemaRef ds:uri="http://schemas.microsoft.com/sharepoint/v3/contenttype/forms"/>
  </ds:schemaRefs>
</ds:datastoreItem>
</file>

<file path=customXml/itemProps5.xml><?xml version="1.0" encoding="utf-8"?>
<ds:datastoreItem xmlns:ds="http://schemas.openxmlformats.org/officeDocument/2006/customXml" ds:itemID="{84479136-E613-4B87-B75F-D1505DBB9F8C}">
  <ds:schemaRefs>
    <ds:schemaRef ds:uri="http://schemas.openxmlformats.org/package/2006/metadata/core-properties"/>
    <ds:schemaRef ds:uri="http://schemas.microsoft.com/office/2006/documentManagement/types"/>
    <ds:schemaRef ds:uri="http://schemas.microsoft.com/office/infopath/2007/PartnerControls"/>
    <ds:schemaRef ds:uri="fdd6b31f-a027-425f-adfa-a4194e98dae2"/>
    <ds:schemaRef ds:uri="http://purl.org/dc/elements/1.1/"/>
    <ds:schemaRef ds:uri="http://schemas.microsoft.com/office/2006/metadata/properties"/>
    <ds:schemaRef ds:uri="82ff9d9b-d3fc-4aad-bc42-9949ee83b815"/>
    <ds:schemaRef ds:uri="http://schemas.microsoft.com/sharepoint/v3"/>
    <ds:schemaRef ds:uri="http://purl.org/dc/terms/"/>
    <ds:schemaRef ds:uri="http://www.w3.org/XML/1998/namespace"/>
    <ds:schemaRef ds:uri="http://purl.org/dc/dcmitype/"/>
  </ds:schemaRefs>
</ds:datastoreItem>
</file>

<file path=customXml/itemProps6.xml><?xml version="1.0" encoding="utf-8"?>
<ds:datastoreItem xmlns:ds="http://schemas.openxmlformats.org/officeDocument/2006/customXml" ds:itemID="{FF03595B-8AFB-4FBF-B955-8F2B7F756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Machinery of Government restructures</dc:title>
  <dc:subject/>
  <dc:creator/>
  <cp:keywords/>
  <dc:description/>
  <cp:lastModifiedBy/>
  <cp:revision>1</cp:revision>
  <dcterms:created xsi:type="dcterms:W3CDTF">2022-01-27T05:45:00Z</dcterms:created>
  <dcterms:modified xsi:type="dcterms:W3CDTF">2022-03-31T02:49:00Z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0x010100B321FEA60C5BA343A52BC94EC00ABC9E07002A081167BBC6DC4ABF111D5C0340450F</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1;#Accounting FW and Capability Support|17de058c-12f7-44f2-8e7d-03ff49305e52</vt:lpwstr>
  </property>
  <property fmtid="{D5CDD505-2E9C-101B-9397-08002B2CF9AE}" pid="8" name="_dlc_DocIdItemGuid">
    <vt:lpwstr>023e63bf-267c-4c62-9c52-32e988c071ce</vt:lpwstr>
  </property>
</Properties>
</file>