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CCE64" w14:textId="77777777" w:rsidR="00472799" w:rsidRPr="00472799" w:rsidRDefault="002F0EF8" w:rsidP="00460B9D">
      <w:pPr>
        <w:pStyle w:val="NormalIndented"/>
        <w:ind w:left="0"/>
        <w:rPr>
          <w:rFonts w:asciiTheme="majorHAnsi" w:eastAsiaTheme="majorEastAsia" w:hAnsiTheme="majorHAnsi" w:cstheme="majorBidi"/>
          <w:bCs/>
          <w:color w:val="1C1C1C" w:themeColor="text2"/>
          <w:kern w:val="28"/>
          <w:sz w:val="40"/>
          <w:szCs w:val="52"/>
        </w:rPr>
      </w:pPr>
      <w:bookmarkStart w:id="0" w:name="_GoBack"/>
      <w:r>
        <w:rPr>
          <w:rFonts w:asciiTheme="majorHAnsi" w:eastAsiaTheme="majorEastAsia" w:hAnsiTheme="majorHAnsi" w:cstheme="majorBidi"/>
          <w:bCs/>
          <w:color w:val="1C1C1C" w:themeColor="text2"/>
          <w:kern w:val="28"/>
          <w:sz w:val="40"/>
          <w:szCs w:val="52"/>
        </w:rPr>
        <w:t xml:space="preserve">Template: </w:t>
      </w:r>
      <w:r w:rsidRPr="002F0EF8">
        <w:rPr>
          <w:rFonts w:asciiTheme="majorHAnsi" w:eastAsiaTheme="majorEastAsia" w:hAnsiTheme="majorHAnsi" w:cstheme="majorBidi"/>
          <w:bCs/>
          <w:color w:val="1C1C1C" w:themeColor="text2"/>
          <w:kern w:val="28"/>
          <w:sz w:val="40"/>
          <w:szCs w:val="52"/>
        </w:rPr>
        <w:t>Audit assistance package</w:t>
      </w:r>
    </w:p>
    <w:bookmarkEnd w:id="0"/>
    <w:p w14:paraId="1EDCCE65" w14:textId="77777777" w:rsidR="00472799" w:rsidRPr="00E5630D" w:rsidRDefault="00472799" w:rsidP="00472799">
      <w:pPr>
        <w:pStyle w:val="Boxed2Heading"/>
        <w:rPr>
          <w:b w:val="0"/>
          <w:sz w:val="30"/>
          <w:szCs w:val="30"/>
        </w:rPr>
      </w:pPr>
      <w:r w:rsidRPr="00E5630D">
        <w:rPr>
          <w:b w:val="0"/>
          <w:sz w:val="30"/>
          <w:szCs w:val="30"/>
        </w:rPr>
        <w:t>Foreword</w:t>
      </w:r>
    </w:p>
    <w:p w14:paraId="1EDCCE66" w14:textId="77777777" w:rsidR="00E5630D" w:rsidRDefault="002F0EF8" w:rsidP="002F0EF8">
      <w:pPr>
        <w:pStyle w:val="Boxed2Text"/>
      </w:pPr>
      <w:r>
        <w:t>An audit assistance package may be</w:t>
      </w:r>
      <w:r w:rsidR="00E5630D">
        <w:t xml:space="preserve"> developed in conjunction with t</w:t>
      </w:r>
      <w:r>
        <w:t xml:space="preserve">he </w:t>
      </w:r>
      <w:r w:rsidR="00E5630D">
        <w:t>Australian National Audit Office (</w:t>
      </w:r>
      <w:r>
        <w:t>ANAO</w:t>
      </w:r>
      <w:r w:rsidR="00E5630D">
        <w:t xml:space="preserve">) </w:t>
      </w:r>
      <w:r>
        <w:t>and i</w:t>
      </w:r>
      <w:r w:rsidR="00E5630D">
        <w:t xml:space="preserve">nternal audit, where applicable, </w:t>
      </w:r>
      <w:r>
        <w:t xml:space="preserve">to facilitate the audit process in an efficient and timely manner. </w:t>
      </w:r>
    </w:p>
    <w:p w14:paraId="1EDCCE67" w14:textId="77777777" w:rsidR="002F0EF8" w:rsidRDefault="002F0EF8" w:rsidP="002F0EF8">
      <w:pPr>
        <w:pStyle w:val="Boxed2Text"/>
      </w:pPr>
      <w:r>
        <w:t>In particular, the package outl</w:t>
      </w:r>
      <w:r w:rsidR="00E5630D">
        <w:t>ines information required by</w:t>
      </w:r>
      <w:r>
        <w:t xml:space="preserve"> auditors for </w:t>
      </w:r>
      <w:r w:rsidR="00E5630D">
        <w:t>the audit p</w:t>
      </w:r>
      <w:r w:rsidR="00587D32">
        <w:t>rocess</w:t>
      </w:r>
      <w:r w:rsidR="00E5630D">
        <w:t xml:space="preserve">, </w:t>
      </w:r>
      <w:r>
        <w:t>the relevant</w:t>
      </w:r>
      <w:r w:rsidR="00E5630D">
        <w:t xml:space="preserve"> contacts and timelines for required </w:t>
      </w:r>
      <w:r>
        <w:t>information.</w:t>
      </w:r>
    </w:p>
    <w:p w14:paraId="1EDCCE68" w14:textId="77777777" w:rsidR="00E5630D" w:rsidRDefault="00E5630D" w:rsidP="002F0EF8">
      <w:pPr>
        <w:pStyle w:val="Boxed2Text"/>
      </w:pPr>
      <w:r>
        <w:t xml:space="preserve">The example package does not necessarily cover all aspects required for all entities. </w:t>
      </w:r>
    </w:p>
    <w:p w14:paraId="1EDCCE69" w14:textId="77777777" w:rsidR="00472799" w:rsidRDefault="002F0EF8" w:rsidP="002F0EF8">
      <w:pPr>
        <w:pStyle w:val="Boxed2Text"/>
      </w:pPr>
      <w:r>
        <w:t xml:space="preserve">The audit assistance package should be tailored to meet the entity’s particular circumstances. </w:t>
      </w:r>
    </w:p>
    <w:p w14:paraId="1EDCCE6A" w14:textId="77777777" w:rsidR="002F0EF8" w:rsidRDefault="00472799" w:rsidP="002F0EF8">
      <w:pPr>
        <w:pStyle w:val="Title"/>
      </w:pPr>
      <w:r>
        <w:br w:type="page"/>
      </w:r>
      <w:r w:rsidR="003751AA">
        <w:rPr>
          <w:color w:val="FF0000"/>
        </w:rPr>
        <w:t>[Entity</w:t>
      </w:r>
      <w:r w:rsidR="002F0EF8" w:rsidRPr="002F0EF8">
        <w:rPr>
          <w:color w:val="FF0000"/>
        </w:rPr>
        <w:t xml:space="preserve"> name] </w:t>
      </w:r>
      <w:r w:rsidR="003751AA">
        <w:t>audit assistance p</w:t>
      </w:r>
      <w:r w:rsidR="002F0EF8" w:rsidRPr="002F0EF8">
        <w:t xml:space="preserve">ackage </w:t>
      </w:r>
      <w:r w:rsidR="003751AA">
        <w:br/>
        <w:t>year-</w:t>
      </w:r>
      <w:r w:rsidR="002F0EF8" w:rsidRPr="002F0EF8">
        <w:t xml:space="preserve">ended 30 June </w:t>
      </w:r>
      <w:r w:rsidR="00DD7278">
        <w:rPr>
          <w:color w:val="FF0000"/>
        </w:rPr>
        <w:t>20</w:t>
      </w:r>
      <w:r w:rsidR="003751AA">
        <w:rPr>
          <w:color w:val="FF0000"/>
        </w:rPr>
        <w:t>YY</w:t>
      </w:r>
    </w:p>
    <w:p w14:paraId="1EDCCE6B" w14:textId="77777777" w:rsidR="002F0EF8" w:rsidRPr="002F0EF8" w:rsidRDefault="002F0EF8" w:rsidP="002F0EF8">
      <w:pPr>
        <w:pStyle w:val="Heading3"/>
        <w:rPr>
          <w:rFonts w:eastAsia="Times New Roman"/>
          <w:lang w:eastAsia="en-AU"/>
        </w:rPr>
      </w:pPr>
      <w:r w:rsidRPr="002F0EF8">
        <w:rPr>
          <w:rFonts w:eastAsia="Times New Roman"/>
          <w:lang w:eastAsia="en-AU"/>
        </w:rPr>
        <w:t>Objectives</w:t>
      </w:r>
    </w:p>
    <w:p w14:paraId="1EDCCE6C" w14:textId="77777777" w:rsidR="002F0EF8" w:rsidRPr="002F0EF8" w:rsidRDefault="002F0EF8" w:rsidP="002F0EF8">
      <w:pPr>
        <w:rPr>
          <w:lang w:eastAsia="en-AU"/>
        </w:rPr>
      </w:pPr>
      <w:r w:rsidRPr="002F0EF8">
        <w:rPr>
          <w:lang w:eastAsia="en-AU"/>
        </w:rPr>
        <w:t>The following audit assistance package is designed to improve audit efficiency by providing guidance on the specific needs of the auditors.</w:t>
      </w:r>
    </w:p>
    <w:p w14:paraId="1EDCCE6D" w14:textId="77777777" w:rsidR="002F0EF8" w:rsidRPr="002F0EF8" w:rsidRDefault="002F0EF8" w:rsidP="002F0EF8">
      <w:pPr>
        <w:rPr>
          <w:lang w:eastAsia="en-AU"/>
        </w:rPr>
      </w:pPr>
      <w:r w:rsidRPr="002F0EF8">
        <w:rPr>
          <w:lang w:eastAsia="en-AU"/>
        </w:rPr>
        <w:t>The attached list of information requirements (section 4 below) has been agreed with the ANAO and they have planned their final audit based on the delivery of schedules by the specified dates and on the basis that the information supplied</w:t>
      </w:r>
      <w:r w:rsidR="003751AA">
        <w:rPr>
          <w:lang w:eastAsia="en-AU"/>
        </w:rPr>
        <w:t xml:space="preserve"> is complete and accurate. The accountable a</w:t>
      </w:r>
      <w:r w:rsidRPr="002F0EF8">
        <w:rPr>
          <w:lang w:eastAsia="en-AU"/>
        </w:rPr>
        <w:t>uthority is committed to sign the financial statemen</w:t>
      </w:r>
      <w:r w:rsidR="003751AA">
        <w:rPr>
          <w:lang w:eastAsia="en-AU"/>
        </w:rPr>
        <w:t>ts on [signing date], with the Whole-of-G</w:t>
      </w:r>
      <w:r w:rsidRPr="002F0EF8">
        <w:rPr>
          <w:lang w:eastAsia="en-AU"/>
        </w:rPr>
        <w:t>overnment submission on the same day.</w:t>
      </w:r>
    </w:p>
    <w:p w14:paraId="1EDCCE6E" w14:textId="77777777" w:rsidR="002F0EF8" w:rsidRPr="002F0EF8" w:rsidRDefault="002F0EF8" w:rsidP="002F0EF8">
      <w:pPr>
        <w:rPr>
          <w:lang w:eastAsia="en-AU"/>
        </w:rPr>
      </w:pPr>
      <w:r w:rsidRPr="002F0EF8">
        <w:rPr>
          <w:lang w:eastAsia="en-AU"/>
        </w:rPr>
        <w:t>Our efforts are focused on achieving both corporate and audit objectives within a minimal response time. Specifically, the package is designed to format existing accounting and management data in a way that will facilitate an efficient audit. Responsibility for data preparation will therefore be assigned to the people who are skilled in these functions and who know our organisation best. This will facilitate the ANAO personnel undertaking their work of sampling, testing and analysis of the data.</w:t>
      </w:r>
    </w:p>
    <w:p w14:paraId="1EDCCE6F" w14:textId="77777777" w:rsidR="002F0EF8" w:rsidRPr="002F0EF8" w:rsidRDefault="002F0EF8" w:rsidP="002F0EF8">
      <w:pPr>
        <w:rPr>
          <w:lang w:eastAsia="en-AU"/>
        </w:rPr>
      </w:pPr>
      <w:r w:rsidRPr="002F0EF8">
        <w:rPr>
          <w:lang w:eastAsia="en-AU"/>
        </w:rPr>
        <w:t>In the course of preparing the required schedules, we anticipate that we will use the list of information requirements as a control mechanism to ensure that:</w:t>
      </w:r>
    </w:p>
    <w:p w14:paraId="1EDCCE70" w14:textId="77777777" w:rsidR="002F0EF8" w:rsidRPr="002F0EF8" w:rsidRDefault="002F0EF8" w:rsidP="002F0EF8">
      <w:pPr>
        <w:pStyle w:val="Bullet1"/>
        <w:rPr>
          <w:lang w:eastAsia="en-AU"/>
        </w:rPr>
      </w:pPr>
      <w:r w:rsidRPr="002F0EF8">
        <w:rPr>
          <w:lang w:eastAsia="en-AU"/>
        </w:rPr>
        <w:t>all general ledger accounts have been analysed and adjusted as required</w:t>
      </w:r>
    </w:p>
    <w:p w14:paraId="1EDCCE71" w14:textId="77777777" w:rsidR="002F0EF8" w:rsidRPr="002F0EF8" w:rsidRDefault="002F0EF8" w:rsidP="002F0EF8">
      <w:pPr>
        <w:pStyle w:val="Bullet1"/>
        <w:rPr>
          <w:lang w:eastAsia="en-AU"/>
        </w:rPr>
      </w:pPr>
      <w:r w:rsidRPr="002F0EF8">
        <w:rPr>
          <w:lang w:eastAsia="en-AU"/>
        </w:rPr>
        <w:t>reasons for variances from prior year and Budget are known and documented</w:t>
      </w:r>
    </w:p>
    <w:p w14:paraId="1EDCCE72" w14:textId="77777777" w:rsidR="002F0EF8" w:rsidRPr="002F0EF8" w:rsidRDefault="002F0EF8" w:rsidP="002F0EF8">
      <w:pPr>
        <w:pStyle w:val="Bullet1"/>
        <w:rPr>
          <w:lang w:eastAsia="en-AU"/>
        </w:rPr>
      </w:pPr>
      <w:r w:rsidRPr="002F0EF8">
        <w:rPr>
          <w:lang w:eastAsia="en-AU"/>
        </w:rPr>
        <w:t>financial reporting deadlines are met, and</w:t>
      </w:r>
    </w:p>
    <w:p w14:paraId="1EDCCE73" w14:textId="77777777" w:rsidR="002F0EF8" w:rsidRPr="002F0EF8" w:rsidRDefault="002F0EF8" w:rsidP="002F0EF8">
      <w:pPr>
        <w:pStyle w:val="Bullet1"/>
        <w:rPr>
          <w:lang w:eastAsia="en-AU"/>
        </w:rPr>
      </w:pPr>
      <w:r w:rsidRPr="002F0EF8">
        <w:rPr>
          <w:lang w:eastAsia="en-AU"/>
        </w:rPr>
        <w:t>audit services are cost-effective.</w:t>
      </w:r>
    </w:p>
    <w:p w14:paraId="1EDCCE74" w14:textId="77777777" w:rsidR="002F0EF8" w:rsidRPr="002F0EF8" w:rsidRDefault="002F0EF8" w:rsidP="002F0EF8">
      <w:pPr>
        <w:rPr>
          <w:lang w:eastAsia="en-AU"/>
        </w:rPr>
      </w:pPr>
      <w:r w:rsidRPr="002F0EF8">
        <w:rPr>
          <w:lang w:eastAsia="en-AU"/>
        </w:rPr>
        <w:t>The list should be read in conjunction with the work plan.</w:t>
      </w:r>
    </w:p>
    <w:p w14:paraId="1EDCCE75" w14:textId="77777777" w:rsidR="002F0EF8" w:rsidRPr="002F0EF8" w:rsidRDefault="002F0EF8" w:rsidP="002F0EF8">
      <w:pPr>
        <w:pStyle w:val="Heading3"/>
        <w:rPr>
          <w:rFonts w:eastAsia="Times New Roman"/>
          <w:lang w:eastAsia="en-AU"/>
        </w:rPr>
      </w:pPr>
      <w:r w:rsidRPr="002F0EF8">
        <w:rPr>
          <w:rFonts w:eastAsia="Times New Roman"/>
          <w:lang w:eastAsia="en-AU"/>
        </w:rPr>
        <w:t>Feedback</w:t>
      </w:r>
    </w:p>
    <w:p w14:paraId="1EDCCE76" w14:textId="77777777" w:rsidR="002F0EF8" w:rsidRPr="002F0EF8" w:rsidRDefault="002F0EF8" w:rsidP="002F0EF8">
      <w:pPr>
        <w:rPr>
          <w:lang w:eastAsia="en-AU"/>
        </w:rPr>
      </w:pPr>
      <w:r w:rsidRPr="002F0EF8">
        <w:rPr>
          <w:lang w:eastAsia="en-AU"/>
        </w:rPr>
        <w:t xml:space="preserve">In using this package, it is anticipated that you will have suggestions and comments regarding ways in which it may be improved. Please pass your suggestions and comments to the audit liaison officer </w:t>
      </w:r>
      <w:r w:rsidRPr="002F0EF8">
        <w:rPr>
          <w:color w:val="FF0000"/>
          <w:lang w:eastAsia="en-AU"/>
        </w:rPr>
        <w:t>[name and contact number]</w:t>
      </w:r>
      <w:r w:rsidRPr="002F0EF8">
        <w:rPr>
          <w:lang w:eastAsia="en-AU"/>
        </w:rPr>
        <w:t>.</w:t>
      </w:r>
    </w:p>
    <w:p w14:paraId="1EDCCE77" w14:textId="77777777" w:rsidR="002F0EF8" w:rsidRPr="002F0EF8" w:rsidRDefault="002F0EF8" w:rsidP="002F0EF8">
      <w:pPr>
        <w:pStyle w:val="Heading3"/>
        <w:rPr>
          <w:rFonts w:eastAsia="Times New Roman"/>
          <w:lang w:eastAsia="en-AU"/>
        </w:rPr>
      </w:pPr>
      <w:r w:rsidRPr="002F0EF8">
        <w:rPr>
          <w:rFonts w:eastAsia="Times New Roman"/>
          <w:lang w:eastAsia="en-AU"/>
        </w:rPr>
        <w:t>General instructions on completion of the package</w:t>
      </w:r>
    </w:p>
    <w:p w14:paraId="1EDCCE78" w14:textId="4C3F4061" w:rsidR="002F0EF8" w:rsidRPr="002F0EF8" w:rsidRDefault="002F0EF8" w:rsidP="002F0EF8">
      <w:pPr>
        <w:rPr>
          <w:lang w:eastAsia="en-AU"/>
        </w:rPr>
      </w:pPr>
      <w:r w:rsidRPr="002F0EF8">
        <w:rPr>
          <w:lang w:eastAsia="en-AU"/>
        </w:rPr>
        <w:t>The schedules should be prepared and then reviewed by a person responsible for</w:t>
      </w:r>
      <w:r w:rsidR="003751AA">
        <w:rPr>
          <w:lang w:eastAsia="en-AU"/>
        </w:rPr>
        <w:t xml:space="preserve"> the accounts and given to the financ</w:t>
      </w:r>
      <w:r w:rsidR="007D60C5">
        <w:rPr>
          <w:lang w:eastAsia="en-AU"/>
        </w:rPr>
        <w:t>ial statements</w:t>
      </w:r>
      <w:r w:rsidR="003751AA">
        <w:rPr>
          <w:lang w:eastAsia="en-AU"/>
        </w:rPr>
        <w:t xml:space="preserve"> t</w:t>
      </w:r>
      <w:r w:rsidRPr="002F0EF8">
        <w:rPr>
          <w:lang w:eastAsia="en-AU"/>
        </w:rPr>
        <w:t>eam who will collate the documentation and present it to the auditors.</w:t>
      </w:r>
    </w:p>
    <w:p w14:paraId="1EDCCE79" w14:textId="09D4132A" w:rsidR="002F0EF8" w:rsidRPr="002F0EF8" w:rsidRDefault="002F0EF8" w:rsidP="002F0EF8">
      <w:pPr>
        <w:rPr>
          <w:lang w:eastAsia="en-AU"/>
        </w:rPr>
      </w:pPr>
      <w:r w:rsidRPr="002F0EF8">
        <w:rPr>
          <w:lang w:eastAsia="en-AU"/>
        </w:rPr>
        <w:t>The auditors’ objective is to form an opinion on whether the entity’s financial statements comply with accounting standards and any other requirements prescribed by the PGPA Rules and present fairly the financial position, financial performance and cash flows.</w:t>
      </w:r>
    </w:p>
    <w:p w14:paraId="1EDCCE7A" w14:textId="77777777" w:rsidR="002F0EF8" w:rsidRPr="002F0EF8" w:rsidRDefault="002F0EF8" w:rsidP="002F0EF8">
      <w:pPr>
        <w:rPr>
          <w:lang w:eastAsia="en-AU"/>
        </w:rPr>
      </w:pPr>
      <w:r w:rsidRPr="002F0EF8">
        <w:rPr>
          <w:lang w:eastAsia="en-AU"/>
        </w:rPr>
        <w:t>Supporting schedules should show how the final figures have been derived from those which appear on the trial balance. Details of reconciling items and journal entries should be included to facilitate the review.</w:t>
      </w:r>
    </w:p>
    <w:p w14:paraId="1EDCCE7B" w14:textId="77777777" w:rsidR="002F0EF8" w:rsidRPr="002F0EF8" w:rsidRDefault="002F0EF8" w:rsidP="002F0EF8">
      <w:pPr>
        <w:rPr>
          <w:lang w:eastAsia="en-AU"/>
        </w:rPr>
      </w:pPr>
      <w:r w:rsidRPr="002F0EF8">
        <w:rPr>
          <w:lang w:eastAsia="en-AU"/>
        </w:rPr>
        <w:t xml:space="preserve">If there are any queries, please contact the audit liaison officer </w:t>
      </w:r>
      <w:r w:rsidRPr="002F0EF8">
        <w:rPr>
          <w:color w:val="FF0000"/>
          <w:lang w:eastAsia="en-AU"/>
        </w:rPr>
        <w:t>[name and contact number].</w:t>
      </w:r>
    </w:p>
    <w:p w14:paraId="1EDCCE7C" w14:textId="77777777" w:rsidR="002F0EF8" w:rsidRDefault="002F0EF8" w:rsidP="002F0EF8">
      <w:pPr>
        <w:pStyle w:val="Heading3"/>
        <w:rPr>
          <w:rFonts w:eastAsia="Times New Roman"/>
          <w:lang w:eastAsia="en-AU"/>
        </w:rPr>
      </w:pPr>
      <w:r w:rsidRPr="002F0EF8">
        <w:rPr>
          <w:rFonts w:eastAsia="Times New Roman"/>
          <w:lang w:eastAsia="en-AU"/>
        </w:rPr>
        <w:t>List of information requirements</w:t>
      </w:r>
    </w:p>
    <w:tbl>
      <w:tblPr>
        <w:tblW w:w="8995" w:type="dxa"/>
        <w:tblLook w:val="04A0" w:firstRow="1" w:lastRow="0" w:firstColumn="1" w:lastColumn="0" w:noHBand="0" w:noVBand="1"/>
        <w:tblCaption w:val="List of information requirements"/>
        <w:tblDescription w:val="This template provides an example list of information requirements of an auditor. It setout what the requirements are, who the entity's contact is, what time of year the information will be required, external audit contact and the requests status. "/>
      </w:tblPr>
      <w:tblGrid>
        <w:gridCol w:w="4440"/>
        <w:gridCol w:w="997"/>
        <w:gridCol w:w="862"/>
        <w:gridCol w:w="862"/>
        <w:gridCol w:w="1006"/>
        <w:gridCol w:w="828"/>
      </w:tblGrid>
      <w:tr w:rsidR="002F0EF8" w:rsidRPr="002F0EF8" w14:paraId="1EDCCE83" w14:textId="77777777" w:rsidTr="003751AA">
        <w:trPr>
          <w:trHeight w:val="780"/>
        </w:trPr>
        <w:tc>
          <w:tcPr>
            <w:tcW w:w="4440" w:type="dxa"/>
            <w:tcBorders>
              <w:top w:val="single" w:sz="8" w:space="0" w:color="auto"/>
              <w:left w:val="nil"/>
              <w:bottom w:val="nil"/>
              <w:right w:val="nil"/>
            </w:tcBorders>
            <w:shd w:val="clear" w:color="000000" w:fill="1C1C1C"/>
            <w:noWrap/>
            <w:vAlign w:val="center"/>
            <w:hideMark/>
          </w:tcPr>
          <w:p w14:paraId="1EDCCE7D" w14:textId="77777777" w:rsidR="002F0EF8" w:rsidRPr="002F0EF8" w:rsidRDefault="002F0EF8" w:rsidP="002F0EF8">
            <w:pPr>
              <w:suppressAutoHyphens w:val="0"/>
              <w:spacing w:before="0" w:after="0" w:line="240" w:lineRule="auto"/>
              <w:rPr>
                <w:rFonts w:ascii="Arial" w:eastAsia="Times New Roman" w:hAnsi="Arial" w:cs="Arial"/>
                <w:b/>
                <w:bCs/>
                <w:color w:val="FFFFFF"/>
                <w:sz w:val="20"/>
                <w:szCs w:val="20"/>
                <w:lang w:eastAsia="en-AU"/>
              </w:rPr>
            </w:pPr>
            <w:r w:rsidRPr="002F0EF8">
              <w:rPr>
                <w:rFonts w:ascii="Arial" w:eastAsia="Times New Roman" w:hAnsi="Arial" w:cs="Arial"/>
                <w:b/>
                <w:bCs/>
                <w:color w:val="FFFFFF"/>
                <w:sz w:val="20"/>
                <w:lang w:val="en-US" w:eastAsia="en-AU"/>
              </w:rPr>
              <w:t>Requirements</w:t>
            </w:r>
          </w:p>
        </w:tc>
        <w:tc>
          <w:tcPr>
            <w:tcW w:w="997" w:type="dxa"/>
            <w:tcBorders>
              <w:top w:val="single" w:sz="8" w:space="0" w:color="auto"/>
              <w:left w:val="nil"/>
              <w:bottom w:val="nil"/>
              <w:right w:val="nil"/>
            </w:tcBorders>
            <w:shd w:val="clear" w:color="000000" w:fill="1C1C1C"/>
            <w:vAlign w:val="center"/>
            <w:hideMark/>
          </w:tcPr>
          <w:p w14:paraId="1EDCCE7E" w14:textId="77777777" w:rsidR="002F0EF8" w:rsidRPr="002F0EF8" w:rsidRDefault="002F0EF8" w:rsidP="002F0EF8">
            <w:pPr>
              <w:suppressAutoHyphens w:val="0"/>
              <w:spacing w:before="0" w:after="0" w:line="240" w:lineRule="auto"/>
              <w:jc w:val="center"/>
              <w:rPr>
                <w:rFonts w:ascii="Arial" w:eastAsia="Times New Roman" w:hAnsi="Arial" w:cs="Arial"/>
                <w:b/>
                <w:bCs/>
                <w:color w:val="FFFFFF"/>
                <w:sz w:val="20"/>
                <w:szCs w:val="20"/>
                <w:lang w:eastAsia="en-AU"/>
              </w:rPr>
            </w:pPr>
            <w:r w:rsidRPr="002F0EF8">
              <w:rPr>
                <w:rFonts w:ascii="Arial" w:eastAsia="Times New Roman" w:hAnsi="Arial" w:cs="Arial"/>
                <w:b/>
                <w:bCs/>
                <w:color w:val="FFFFFF"/>
                <w:sz w:val="20"/>
                <w:lang w:val="en-US" w:eastAsia="en-AU"/>
              </w:rPr>
              <w:t>Entity’s Contact</w:t>
            </w:r>
          </w:p>
        </w:tc>
        <w:tc>
          <w:tcPr>
            <w:tcW w:w="862" w:type="dxa"/>
            <w:tcBorders>
              <w:top w:val="single" w:sz="8" w:space="0" w:color="auto"/>
              <w:left w:val="nil"/>
              <w:bottom w:val="nil"/>
              <w:right w:val="nil"/>
            </w:tcBorders>
            <w:shd w:val="clear" w:color="000000" w:fill="1C1C1C"/>
            <w:vAlign w:val="center"/>
            <w:hideMark/>
          </w:tcPr>
          <w:p w14:paraId="1EDCCE7F" w14:textId="77777777" w:rsidR="002F0EF8" w:rsidRPr="002F0EF8" w:rsidRDefault="002F0EF8" w:rsidP="002F0EF8">
            <w:pPr>
              <w:suppressAutoHyphens w:val="0"/>
              <w:spacing w:before="0" w:after="0" w:line="240" w:lineRule="auto"/>
              <w:jc w:val="center"/>
              <w:rPr>
                <w:rFonts w:ascii="Arial" w:eastAsia="Times New Roman" w:hAnsi="Arial" w:cs="Arial"/>
                <w:b/>
                <w:bCs/>
                <w:color w:val="FFFFFF"/>
                <w:sz w:val="20"/>
                <w:szCs w:val="20"/>
                <w:lang w:eastAsia="en-AU"/>
              </w:rPr>
            </w:pPr>
            <w:r w:rsidRPr="002F0EF8">
              <w:rPr>
                <w:rFonts w:ascii="Arial" w:eastAsia="Times New Roman" w:hAnsi="Arial" w:cs="Arial"/>
                <w:b/>
                <w:bCs/>
                <w:color w:val="FFFFFF"/>
                <w:sz w:val="20"/>
                <w:lang w:val="en-US" w:eastAsia="en-AU"/>
              </w:rPr>
              <w:t>Pre year- end</w:t>
            </w:r>
          </w:p>
        </w:tc>
        <w:tc>
          <w:tcPr>
            <w:tcW w:w="862" w:type="dxa"/>
            <w:tcBorders>
              <w:top w:val="single" w:sz="8" w:space="0" w:color="auto"/>
              <w:left w:val="nil"/>
              <w:bottom w:val="nil"/>
              <w:right w:val="nil"/>
            </w:tcBorders>
            <w:shd w:val="clear" w:color="000000" w:fill="1C1C1C"/>
            <w:vAlign w:val="center"/>
            <w:hideMark/>
          </w:tcPr>
          <w:p w14:paraId="1EDCCE80" w14:textId="77777777" w:rsidR="002F0EF8" w:rsidRPr="002F0EF8" w:rsidRDefault="002F0EF8" w:rsidP="002F0EF8">
            <w:pPr>
              <w:suppressAutoHyphens w:val="0"/>
              <w:spacing w:before="0" w:after="0" w:line="240" w:lineRule="auto"/>
              <w:jc w:val="center"/>
              <w:rPr>
                <w:rFonts w:ascii="Arial" w:eastAsia="Times New Roman" w:hAnsi="Arial" w:cs="Arial"/>
                <w:b/>
                <w:bCs/>
                <w:color w:val="FFFFFF"/>
                <w:sz w:val="20"/>
                <w:szCs w:val="20"/>
                <w:lang w:eastAsia="en-AU"/>
              </w:rPr>
            </w:pPr>
            <w:r w:rsidRPr="002F0EF8">
              <w:rPr>
                <w:rFonts w:ascii="Arial" w:eastAsia="Times New Roman" w:hAnsi="Arial" w:cs="Arial"/>
                <w:b/>
                <w:bCs/>
                <w:color w:val="FFFFFF"/>
                <w:sz w:val="20"/>
                <w:lang w:val="en-US" w:eastAsia="en-AU"/>
              </w:rPr>
              <w:t>Year end</w:t>
            </w:r>
          </w:p>
        </w:tc>
        <w:tc>
          <w:tcPr>
            <w:tcW w:w="1006" w:type="dxa"/>
            <w:tcBorders>
              <w:top w:val="single" w:sz="8" w:space="0" w:color="auto"/>
              <w:left w:val="nil"/>
              <w:bottom w:val="nil"/>
              <w:right w:val="nil"/>
            </w:tcBorders>
            <w:shd w:val="clear" w:color="000000" w:fill="1C1C1C"/>
            <w:vAlign w:val="center"/>
            <w:hideMark/>
          </w:tcPr>
          <w:p w14:paraId="1EDCCE81" w14:textId="77777777" w:rsidR="002F0EF8" w:rsidRPr="002F0EF8" w:rsidRDefault="002F0EF8" w:rsidP="002F0EF8">
            <w:pPr>
              <w:suppressAutoHyphens w:val="0"/>
              <w:spacing w:before="0" w:after="0" w:line="240" w:lineRule="auto"/>
              <w:rPr>
                <w:rFonts w:ascii="Arial" w:eastAsia="Times New Roman" w:hAnsi="Arial" w:cs="Arial"/>
                <w:b/>
                <w:bCs/>
                <w:color w:val="FFFFFF"/>
                <w:sz w:val="20"/>
                <w:szCs w:val="20"/>
                <w:lang w:eastAsia="en-AU"/>
              </w:rPr>
            </w:pPr>
            <w:r w:rsidRPr="002F0EF8">
              <w:rPr>
                <w:rFonts w:ascii="Arial" w:eastAsia="Times New Roman" w:hAnsi="Arial" w:cs="Arial"/>
                <w:b/>
                <w:bCs/>
                <w:color w:val="FFFFFF"/>
                <w:sz w:val="20"/>
                <w:lang w:val="en-US" w:eastAsia="en-AU"/>
              </w:rPr>
              <w:t>External audit contact</w:t>
            </w:r>
          </w:p>
        </w:tc>
        <w:tc>
          <w:tcPr>
            <w:tcW w:w="828" w:type="dxa"/>
            <w:tcBorders>
              <w:top w:val="single" w:sz="8" w:space="0" w:color="auto"/>
              <w:left w:val="nil"/>
              <w:bottom w:val="nil"/>
              <w:right w:val="nil"/>
            </w:tcBorders>
            <w:shd w:val="clear" w:color="000000" w:fill="1C1C1C"/>
            <w:vAlign w:val="center"/>
            <w:hideMark/>
          </w:tcPr>
          <w:p w14:paraId="1EDCCE82" w14:textId="77777777" w:rsidR="002F0EF8" w:rsidRPr="002F0EF8" w:rsidRDefault="002F0EF8" w:rsidP="002F0EF8">
            <w:pPr>
              <w:suppressAutoHyphens w:val="0"/>
              <w:spacing w:before="0" w:after="0" w:line="240" w:lineRule="auto"/>
              <w:rPr>
                <w:rFonts w:ascii="Arial" w:eastAsia="Times New Roman" w:hAnsi="Arial" w:cs="Arial"/>
                <w:b/>
                <w:bCs/>
                <w:color w:val="FFFFFF"/>
                <w:sz w:val="20"/>
                <w:szCs w:val="20"/>
                <w:lang w:eastAsia="en-AU"/>
              </w:rPr>
            </w:pPr>
            <w:r w:rsidRPr="002F0EF8">
              <w:rPr>
                <w:rFonts w:ascii="Arial" w:eastAsia="Times New Roman" w:hAnsi="Arial" w:cs="Arial"/>
                <w:b/>
                <w:bCs/>
                <w:color w:val="FFFFFF"/>
                <w:sz w:val="20"/>
                <w:lang w:val="en-US" w:eastAsia="en-AU"/>
              </w:rPr>
              <w:t>Status</w:t>
            </w:r>
          </w:p>
        </w:tc>
      </w:tr>
      <w:tr w:rsidR="002F0EF8" w:rsidRPr="002F0EF8" w14:paraId="1EDCCE8A" w14:textId="77777777" w:rsidTr="003751AA">
        <w:trPr>
          <w:trHeight w:val="315"/>
        </w:trPr>
        <w:tc>
          <w:tcPr>
            <w:tcW w:w="4440" w:type="dxa"/>
            <w:tcBorders>
              <w:top w:val="single" w:sz="8" w:space="0" w:color="FFFFFF"/>
              <w:left w:val="single" w:sz="8" w:space="0" w:color="FFFFFF"/>
              <w:bottom w:val="nil"/>
              <w:right w:val="single" w:sz="8" w:space="0" w:color="FFFFFF"/>
            </w:tcBorders>
            <w:shd w:val="clear" w:color="000000" w:fill="E2E3E2"/>
            <w:hideMark/>
          </w:tcPr>
          <w:p w14:paraId="1EDCCE84"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lang w:val="en-US" w:eastAsia="en-AU"/>
              </w:rPr>
              <w:t>General</w:t>
            </w:r>
          </w:p>
        </w:tc>
        <w:tc>
          <w:tcPr>
            <w:tcW w:w="997" w:type="dxa"/>
            <w:tcBorders>
              <w:top w:val="single" w:sz="8" w:space="0" w:color="FFFFFF"/>
              <w:left w:val="nil"/>
              <w:bottom w:val="nil"/>
              <w:right w:val="single" w:sz="8" w:space="0" w:color="FFFFFF"/>
            </w:tcBorders>
            <w:shd w:val="clear" w:color="000000" w:fill="E2E3E2"/>
            <w:hideMark/>
          </w:tcPr>
          <w:p w14:paraId="1EDCCE85"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62" w:type="dxa"/>
            <w:tcBorders>
              <w:top w:val="single" w:sz="8" w:space="0" w:color="FFFFFF"/>
              <w:left w:val="nil"/>
              <w:bottom w:val="nil"/>
              <w:right w:val="single" w:sz="8" w:space="0" w:color="FFFFFF"/>
            </w:tcBorders>
            <w:shd w:val="clear" w:color="000000" w:fill="E2E3E2"/>
            <w:hideMark/>
          </w:tcPr>
          <w:p w14:paraId="1EDCCE86"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62" w:type="dxa"/>
            <w:tcBorders>
              <w:top w:val="single" w:sz="8" w:space="0" w:color="FFFFFF"/>
              <w:left w:val="nil"/>
              <w:bottom w:val="nil"/>
              <w:right w:val="single" w:sz="8" w:space="0" w:color="FFFFFF"/>
            </w:tcBorders>
            <w:shd w:val="clear" w:color="000000" w:fill="E2E3E2"/>
            <w:hideMark/>
          </w:tcPr>
          <w:p w14:paraId="1EDCCE87"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1006" w:type="dxa"/>
            <w:tcBorders>
              <w:top w:val="single" w:sz="8" w:space="0" w:color="FFFFFF"/>
              <w:left w:val="nil"/>
              <w:bottom w:val="nil"/>
              <w:right w:val="single" w:sz="8" w:space="0" w:color="FFFFFF"/>
            </w:tcBorders>
            <w:shd w:val="clear" w:color="000000" w:fill="E2E3E2"/>
            <w:hideMark/>
          </w:tcPr>
          <w:p w14:paraId="1EDCCE88"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28" w:type="dxa"/>
            <w:tcBorders>
              <w:top w:val="single" w:sz="8" w:space="0" w:color="FFFFFF"/>
              <w:left w:val="nil"/>
              <w:bottom w:val="nil"/>
              <w:right w:val="single" w:sz="8" w:space="0" w:color="FFFFFF"/>
            </w:tcBorders>
            <w:shd w:val="clear" w:color="000000" w:fill="E2E3E2"/>
            <w:hideMark/>
          </w:tcPr>
          <w:p w14:paraId="1EDCCE89"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r>
      <w:tr w:rsidR="002F0EF8" w:rsidRPr="002F0EF8" w14:paraId="1EDCCE91" w14:textId="77777777" w:rsidTr="003751AA">
        <w:trPr>
          <w:trHeight w:val="49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8B"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Conference call updates with the ANAO, ALO, and DFR.</w:t>
            </w:r>
          </w:p>
        </w:tc>
        <w:tc>
          <w:tcPr>
            <w:tcW w:w="997" w:type="dxa"/>
            <w:tcBorders>
              <w:top w:val="single" w:sz="8" w:space="0" w:color="FFFFFF"/>
              <w:left w:val="nil"/>
              <w:bottom w:val="nil"/>
              <w:right w:val="single" w:sz="8" w:space="0" w:color="FFFFFF"/>
            </w:tcBorders>
            <w:shd w:val="clear" w:color="000000" w:fill="F2F2F2"/>
            <w:vAlign w:val="center"/>
            <w:hideMark/>
          </w:tcPr>
          <w:p w14:paraId="1EDCCE8C"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ALO / DFR</w:t>
            </w:r>
          </w:p>
        </w:tc>
        <w:tc>
          <w:tcPr>
            <w:tcW w:w="862" w:type="dxa"/>
            <w:tcBorders>
              <w:top w:val="single" w:sz="8" w:space="0" w:color="FFFFFF"/>
              <w:left w:val="nil"/>
              <w:bottom w:val="nil"/>
              <w:right w:val="single" w:sz="8" w:space="0" w:color="FFFFFF"/>
            </w:tcBorders>
            <w:shd w:val="clear" w:color="000000" w:fill="F2F2F2"/>
            <w:vAlign w:val="center"/>
            <w:hideMark/>
          </w:tcPr>
          <w:p w14:paraId="1EDCCE8D"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8E"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Daily at 8.30am</w:t>
            </w:r>
          </w:p>
        </w:tc>
        <w:tc>
          <w:tcPr>
            <w:tcW w:w="1006" w:type="dxa"/>
            <w:tcBorders>
              <w:top w:val="single" w:sz="8" w:space="0" w:color="FFFFFF"/>
              <w:left w:val="nil"/>
              <w:bottom w:val="nil"/>
              <w:right w:val="single" w:sz="8" w:space="0" w:color="FFFFFF"/>
            </w:tcBorders>
            <w:shd w:val="clear" w:color="000000" w:fill="F2F2F2"/>
            <w:vAlign w:val="center"/>
            <w:hideMark/>
          </w:tcPr>
          <w:p w14:paraId="1EDCCE8F"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E90"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98" w14:textId="77777777" w:rsidTr="003751AA">
        <w:trPr>
          <w:trHeight w:val="49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92"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 xml:space="preserve">Agreement from </w:t>
            </w:r>
            <w:r w:rsidR="003751AA">
              <w:rPr>
                <w:rFonts w:ascii="Arial" w:eastAsia="Times New Roman" w:hAnsi="Arial" w:cs="Arial"/>
                <w:sz w:val="18"/>
                <w:lang w:val="en-US" w:eastAsia="en-AU"/>
              </w:rPr>
              <w:t>the ANAO and the audit c</w:t>
            </w:r>
            <w:r w:rsidRPr="002F0EF8">
              <w:rPr>
                <w:rFonts w:ascii="Arial" w:eastAsia="Times New Roman" w:hAnsi="Arial" w:cs="Arial"/>
                <w:sz w:val="18"/>
                <w:lang w:val="en-US" w:eastAsia="en-AU"/>
              </w:rPr>
              <w:t>ommittee on shell financial statements and</w:t>
            </w:r>
          </w:p>
        </w:tc>
        <w:tc>
          <w:tcPr>
            <w:tcW w:w="997" w:type="dxa"/>
            <w:tcBorders>
              <w:top w:val="single" w:sz="8" w:space="0" w:color="FFFFFF"/>
              <w:left w:val="nil"/>
              <w:bottom w:val="nil"/>
              <w:right w:val="single" w:sz="8" w:space="0" w:color="FFFFFF"/>
            </w:tcBorders>
            <w:shd w:val="clear" w:color="000000" w:fill="F2F2F2"/>
            <w:vAlign w:val="center"/>
            <w:hideMark/>
          </w:tcPr>
          <w:p w14:paraId="1EDCCE93"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w w:val="105"/>
                <w:sz w:val="18"/>
                <w:lang w:val="en-US" w:eastAsia="en-AU"/>
              </w:rPr>
              <w:t>CFO / DFR</w:t>
            </w:r>
          </w:p>
        </w:tc>
        <w:tc>
          <w:tcPr>
            <w:tcW w:w="862" w:type="dxa"/>
            <w:tcBorders>
              <w:top w:val="single" w:sz="8" w:space="0" w:color="FFFFFF"/>
              <w:left w:val="nil"/>
              <w:bottom w:val="nil"/>
              <w:right w:val="single" w:sz="8" w:space="0" w:color="FFFFFF"/>
            </w:tcBorders>
            <w:shd w:val="clear" w:color="000000" w:fill="F2F2F2"/>
            <w:vAlign w:val="center"/>
            <w:hideMark/>
          </w:tcPr>
          <w:p w14:paraId="1EDCCE94"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End of March</w:t>
            </w:r>
          </w:p>
        </w:tc>
        <w:tc>
          <w:tcPr>
            <w:tcW w:w="862" w:type="dxa"/>
            <w:tcBorders>
              <w:top w:val="single" w:sz="8" w:space="0" w:color="FFFFFF"/>
              <w:left w:val="nil"/>
              <w:bottom w:val="nil"/>
              <w:right w:val="single" w:sz="8" w:space="0" w:color="FFFFFF"/>
            </w:tcBorders>
            <w:shd w:val="clear" w:color="000000" w:fill="F2F2F2"/>
            <w:vAlign w:val="center"/>
            <w:hideMark/>
          </w:tcPr>
          <w:p w14:paraId="1EDCCE95"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1006" w:type="dxa"/>
            <w:tcBorders>
              <w:top w:val="single" w:sz="8" w:space="0" w:color="FFFFFF"/>
              <w:left w:val="nil"/>
              <w:bottom w:val="nil"/>
              <w:right w:val="single" w:sz="8" w:space="0" w:color="FFFFFF"/>
            </w:tcBorders>
            <w:shd w:val="clear" w:color="000000" w:fill="F2F2F2"/>
            <w:vAlign w:val="center"/>
            <w:hideMark/>
          </w:tcPr>
          <w:p w14:paraId="1EDCCE96"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ASO</w:t>
            </w:r>
          </w:p>
        </w:tc>
        <w:tc>
          <w:tcPr>
            <w:tcW w:w="828" w:type="dxa"/>
            <w:tcBorders>
              <w:top w:val="single" w:sz="8" w:space="0" w:color="FFFFFF"/>
              <w:left w:val="nil"/>
              <w:bottom w:val="nil"/>
              <w:right w:val="single" w:sz="8" w:space="0" w:color="FFFFFF"/>
            </w:tcBorders>
            <w:shd w:val="clear" w:color="000000" w:fill="F2F2F2"/>
            <w:vAlign w:val="center"/>
            <w:hideMark/>
          </w:tcPr>
          <w:p w14:paraId="1EDCCE97"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A0" w14:textId="77777777" w:rsidTr="003751AA">
        <w:trPr>
          <w:trHeight w:val="49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99"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proposed accounting treatment of significant or contentious transactions.</w:t>
            </w:r>
          </w:p>
        </w:tc>
        <w:tc>
          <w:tcPr>
            <w:tcW w:w="997" w:type="dxa"/>
            <w:tcBorders>
              <w:top w:val="single" w:sz="8" w:space="0" w:color="FFFFFF"/>
              <w:left w:val="nil"/>
              <w:bottom w:val="nil"/>
              <w:right w:val="single" w:sz="8" w:space="0" w:color="FFFFFF"/>
            </w:tcBorders>
            <w:shd w:val="clear" w:color="000000" w:fill="F2F2F2"/>
            <w:vAlign w:val="center"/>
            <w:hideMark/>
          </w:tcPr>
          <w:p w14:paraId="1EDCCE9A"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9B" w14:textId="77777777" w:rsidR="003751AA" w:rsidRDefault="003751AA" w:rsidP="002F0EF8">
            <w:pPr>
              <w:suppressAutoHyphens w:val="0"/>
              <w:spacing w:before="0" w:after="0" w:line="240" w:lineRule="auto"/>
              <w:rPr>
                <w:rFonts w:ascii="Arial" w:eastAsia="Times New Roman" w:hAnsi="Arial" w:cs="Arial"/>
                <w:w w:val="95"/>
                <w:sz w:val="18"/>
                <w:lang w:val="en-US" w:eastAsia="en-AU"/>
              </w:rPr>
            </w:pPr>
            <w:r>
              <w:rPr>
                <w:rFonts w:ascii="Arial" w:eastAsia="Times New Roman" w:hAnsi="Arial" w:cs="Arial"/>
                <w:w w:val="95"/>
                <w:sz w:val="18"/>
                <w:lang w:val="en-US" w:eastAsia="en-AU"/>
              </w:rPr>
              <w:t>Updated Mid</w:t>
            </w:r>
          </w:p>
          <w:p w14:paraId="1EDCCE9C"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w w:val="95"/>
                <w:sz w:val="18"/>
                <w:lang w:val="en-US" w:eastAsia="en-AU"/>
              </w:rPr>
              <w:t>June</w:t>
            </w:r>
          </w:p>
        </w:tc>
        <w:tc>
          <w:tcPr>
            <w:tcW w:w="862" w:type="dxa"/>
            <w:tcBorders>
              <w:top w:val="single" w:sz="8" w:space="0" w:color="FFFFFF"/>
              <w:left w:val="nil"/>
              <w:bottom w:val="nil"/>
              <w:right w:val="single" w:sz="8" w:space="0" w:color="FFFFFF"/>
            </w:tcBorders>
            <w:shd w:val="clear" w:color="000000" w:fill="F2F2F2"/>
            <w:vAlign w:val="center"/>
            <w:hideMark/>
          </w:tcPr>
          <w:p w14:paraId="1EDCCE9D"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1006" w:type="dxa"/>
            <w:tcBorders>
              <w:top w:val="single" w:sz="8" w:space="0" w:color="FFFFFF"/>
              <w:left w:val="nil"/>
              <w:bottom w:val="nil"/>
              <w:right w:val="single" w:sz="8" w:space="0" w:color="FFFFFF"/>
            </w:tcBorders>
            <w:shd w:val="clear" w:color="000000" w:fill="F2F2F2"/>
            <w:vAlign w:val="center"/>
            <w:hideMark/>
          </w:tcPr>
          <w:p w14:paraId="1EDCCE9E"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828" w:type="dxa"/>
            <w:tcBorders>
              <w:top w:val="single" w:sz="8" w:space="0" w:color="FFFFFF"/>
              <w:left w:val="nil"/>
              <w:bottom w:val="nil"/>
              <w:right w:val="single" w:sz="8" w:space="0" w:color="FFFFFF"/>
            </w:tcBorders>
            <w:shd w:val="clear" w:color="000000" w:fill="F2F2F2"/>
            <w:vAlign w:val="center"/>
            <w:hideMark/>
          </w:tcPr>
          <w:p w14:paraId="1EDCCE9F"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r>
      <w:tr w:rsidR="002F0EF8" w:rsidRPr="002F0EF8" w14:paraId="1EDCCEA7" w14:textId="77777777" w:rsidTr="003751AA">
        <w:trPr>
          <w:trHeight w:val="49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A1" w14:textId="77777777" w:rsidR="002F0EF8" w:rsidRPr="002F0EF8" w:rsidRDefault="003751AA" w:rsidP="002F0EF8">
            <w:pPr>
              <w:suppressAutoHyphens w:val="0"/>
              <w:spacing w:before="0" w:after="0" w:line="240" w:lineRule="auto"/>
              <w:rPr>
                <w:rFonts w:ascii="Arial" w:eastAsia="Times New Roman" w:hAnsi="Arial" w:cs="Arial"/>
                <w:sz w:val="18"/>
                <w:szCs w:val="18"/>
                <w:lang w:eastAsia="en-AU"/>
              </w:rPr>
            </w:pPr>
            <w:r>
              <w:rPr>
                <w:rFonts w:ascii="Arial" w:eastAsia="Times New Roman" w:hAnsi="Arial" w:cs="Arial"/>
                <w:sz w:val="18"/>
                <w:lang w:val="en-US" w:eastAsia="en-AU"/>
              </w:rPr>
              <w:t>Access to minutes of audit committee and b</w:t>
            </w:r>
            <w:r w:rsidR="002F0EF8" w:rsidRPr="002F0EF8">
              <w:rPr>
                <w:rFonts w:ascii="Arial" w:eastAsia="Times New Roman" w:hAnsi="Arial" w:cs="Arial"/>
                <w:sz w:val="18"/>
                <w:lang w:val="en-US" w:eastAsia="en-AU"/>
              </w:rPr>
              <w:t>oard meetings.</w:t>
            </w:r>
          </w:p>
        </w:tc>
        <w:tc>
          <w:tcPr>
            <w:tcW w:w="997" w:type="dxa"/>
            <w:tcBorders>
              <w:top w:val="single" w:sz="8" w:space="0" w:color="FFFFFF"/>
              <w:left w:val="nil"/>
              <w:bottom w:val="nil"/>
              <w:right w:val="single" w:sz="8" w:space="0" w:color="FFFFFF"/>
            </w:tcBorders>
            <w:shd w:val="clear" w:color="000000" w:fill="F2F2F2"/>
            <w:vAlign w:val="center"/>
            <w:hideMark/>
          </w:tcPr>
          <w:p w14:paraId="1EDCCEA2"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ALO/ACS</w:t>
            </w:r>
          </w:p>
        </w:tc>
        <w:tc>
          <w:tcPr>
            <w:tcW w:w="862" w:type="dxa"/>
            <w:tcBorders>
              <w:top w:val="single" w:sz="8" w:space="0" w:color="FFFFFF"/>
              <w:left w:val="nil"/>
              <w:bottom w:val="nil"/>
              <w:right w:val="single" w:sz="8" w:space="0" w:color="FFFFFF"/>
            </w:tcBorders>
            <w:shd w:val="clear" w:color="000000" w:fill="F2F2F2"/>
            <w:vAlign w:val="center"/>
            <w:hideMark/>
          </w:tcPr>
          <w:p w14:paraId="1EDCCEA3"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Early May</w:t>
            </w:r>
          </w:p>
        </w:tc>
        <w:tc>
          <w:tcPr>
            <w:tcW w:w="862" w:type="dxa"/>
            <w:tcBorders>
              <w:top w:val="single" w:sz="8" w:space="0" w:color="FFFFFF"/>
              <w:left w:val="nil"/>
              <w:bottom w:val="nil"/>
              <w:right w:val="single" w:sz="8" w:space="0" w:color="FFFFFF"/>
            </w:tcBorders>
            <w:shd w:val="clear" w:color="000000" w:fill="F2F2F2"/>
            <w:vAlign w:val="center"/>
            <w:hideMark/>
          </w:tcPr>
          <w:p w14:paraId="1EDCCEA4"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w w:val="95"/>
                <w:sz w:val="18"/>
                <w:lang w:val="en-US" w:eastAsia="en-AU"/>
              </w:rPr>
              <w:t>Updated Day 5</w:t>
            </w:r>
          </w:p>
        </w:tc>
        <w:tc>
          <w:tcPr>
            <w:tcW w:w="1006" w:type="dxa"/>
            <w:tcBorders>
              <w:top w:val="single" w:sz="8" w:space="0" w:color="FFFFFF"/>
              <w:left w:val="nil"/>
              <w:bottom w:val="nil"/>
              <w:right w:val="single" w:sz="8" w:space="0" w:color="FFFFFF"/>
            </w:tcBorders>
            <w:shd w:val="clear" w:color="000000" w:fill="F2F2F2"/>
            <w:vAlign w:val="center"/>
            <w:hideMark/>
          </w:tcPr>
          <w:p w14:paraId="1EDCCEA5"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EA6"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AE" w14:textId="77777777" w:rsidTr="003751AA">
        <w:trPr>
          <w:trHeight w:val="315"/>
        </w:trPr>
        <w:tc>
          <w:tcPr>
            <w:tcW w:w="4440" w:type="dxa"/>
            <w:tcBorders>
              <w:top w:val="single" w:sz="8" w:space="0" w:color="FFFFFF"/>
              <w:left w:val="single" w:sz="8" w:space="0" w:color="FFFFFF"/>
              <w:bottom w:val="nil"/>
              <w:right w:val="single" w:sz="8" w:space="0" w:color="FFFFFF"/>
            </w:tcBorders>
            <w:shd w:val="clear" w:color="000000" w:fill="E2E3E2"/>
            <w:hideMark/>
          </w:tcPr>
          <w:p w14:paraId="1EDCCEA8"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lang w:val="en-US" w:eastAsia="en-AU"/>
              </w:rPr>
              <w:t>Computer systems:</w:t>
            </w:r>
          </w:p>
        </w:tc>
        <w:tc>
          <w:tcPr>
            <w:tcW w:w="997" w:type="dxa"/>
            <w:tcBorders>
              <w:top w:val="single" w:sz="8" w:space="0" w:color="FFFFFF"/>
              <w:left w:val="nil"/>
              <w:bottom w:val="nil"/>
              <w:right w:val="single" w:sz="8" w:space="0" w:color="FFFFFF"/>
            </w:tcBorders>
            <w:shd w:val="clear" w:color="000000" w:fill="E2E3E2"/>
            <w:hideMark/>
          </w:tcPr>
          <w:p w14:paraId="1EDCCEA9"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62" w:type="dxa"/>
            <w:tcBorders>
              <w:top w:val="single" w:sz="8" w:space="0" w:color="FFFFFF"/>
              <w:left w:val="nil"/>
              <w:bottom w:val="nil"/>
              <w:right w:val="single" w:sz="8" w:space="0" w:color="FFFFFF"/>
            </w:tcBorders>
            <w:shd w:val="clear" w:color="000000" w:fill="E2E3E2"/>
            <w:hideMark/>
          </w:tcPr>
          <w:p w14:paraId="1EDCCEAA"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62" w:type="dxa"/>
            <w:tcBorders>
              <w:top w:val="single" w:sz="8" w:space="0" w:color="FFFFFF"/>
              <w:left w:val="nil"/>
              <w:bottom w:val="nil"/>
              <w:right w:val="single" w:sz="8" w:space="0" w:color="FFFFFF"/>
            </w:tcBorders>
            <w:shd w:val="clear" w:color="000000" w:fill="E2E3E2"/>
            <w:hideMark/>
          </w:tcPr>
          <w:p w14:paraId="1EDCCEAB"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1006" w:type="dxa"/>
            <w:tcBorders>
              <w:top w:val="single" w:sz="8" w:space="0" w:color="FFFFFF"/>
              <w:left w:val="nil"/>
              <w:bottom w:val="nil"/>
              <w:right w:val="single" w:sz="8" w:space="0" w:color="FFFFFF"/>
            </w:tcBorders>
            <w:shd w:val="clear" w:color="000000" w:fill="E2E3E2"/>
            <w:hideMark/>
          </w:tcPr>
          <w:p w14:paraId="1EDCCEAC"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28" w:type="dxa"/>
            <w:tcBorders>
              <w:top w:val="single" w:sz="8" w:space="0" w:color="FFFFFF"/>
              <w:left w:val="nil"/>
              <w:bottom w:val="nil"/>
              <w:right w:val="single" w:sz="8" w:space="0" w:color="FFFFFF"/>
            </w:tcBorders>
            <w:shd w:val="clear" w:color="000000" w:fill="E2E3E2"/>
            <w:hideMark/>
          </w:tcPr>
          <w:p w14:paraId="1EDCCEAD"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r>
      <w:tr w:rsidR="002F0EF8" w:rsidRPr="002F0EF8" w14:paraId="1EDCCEB5" w14:textId="77777777" w:rsidTr="003751AA">
        <w:trPr>
          <w:trHeight w:val="73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AF"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Update understanding of IT processes, program changes and logical access controls through discussion and conduct of walkthroughs / testing with IT management.</w:t>
            </w:r>
          </w:p>
        </w:tc>
        <w:tc>
          <w:tcPr>
            <w:tcW w:w="997" w:type="dxa"/>
            <w:tcBorders>
              <w:top w:val="single" w:sz="8" w:space="0" w:color="FFFFFF"/>
              <w:left w:val="nil"/>
              <w:bottom w:val="nil"/>
              <w:right w:val="single" w:sz="8" w:space="0" w:color="FFFFFF"/>
            </w:tcBorders>
            <w:shd w:val="clear" w:color="000000" w:fill="F2F2F2"/>
            <w:vAlign w:val="center"/>
            <w:hideMark/>
          </w:tcPr>
          <w:p w14:paraId="1EDCCEB0"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ALO</w:t>
            </w:r>
          </w:p>
        </w:tc>
        <w:tc>
          <w:tcPr>
            <w:tcW w:w="862" w:type="dxa"/>
            <w:tcBorders>
              <w:top w:val="single" w:sz="8" w:space="0" w:color="FFFFFF"/>
              <w:left w:val="nil"/>
              <w:bottom w:val="nil"/>
              <w:right w:val="single" w:sz="8" w:space="0" w:color="FFFFFF"/>
            </w:tcBorders>
            <w:shd w:val="clear" w:color="000000" w:fill="F2F2F2"/>
            <w:vAlign w:val="center"/>
            <w:hideMark/>
          </w:tcPr>
          <w:p w14:paraId="1EDCCEB1"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Feb</w:t>
            </w:r>
          </w:p>
        </w:tc>
        <w:tc>
          <w:tcPr>
            <w:tcW w:w="862" w:type="dxa"/>
            <w:tcBorders>
              <w:top w:val="single" w:sz="8" w:space="0" w:color="FFFFFF"/>
              <w:left w:val="nil"/>
              <w:bottom w:val="nil"/>
              <w:right w:val="single" w:sz="8" w:space="0" w:color="FFFFFF"/>
            </w:tcBorders>
            <w:shd w:val="clear" w:color="000000" w:fill="F2F2F2"/>
            <w:vAlign w:val="center"/>
            <w:hideMark/>
          </w:tcPr>
          <w:p w14:paraId="1EDCCEB2"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1006" w:type="dxa"/>
            <w:tcBorders>
              <w:top w:val="single" w:sz="8" w:space="0" w:color="FFFFFF"/>
              <w:left w:val="nil"/>
              <w:bottom w:val="nil"/>
              <w:right w:val="single" w:sz="8" w:space="0" w:color="FFFFFF"/>
            </w:tcBorders>
            <w:shd w:val="clear" w:color="000000" w:fill="F2F2F2"/>
            <w:vAlign w:val="center"/>
            <w:hideMark/>
          </w:tcPr>
          <w:p w14:paraId="1EDCCEB3" w14:textId="77777777" w:rsidR="002F0EF8" w:rsidRPr="002F0EF8" w:rsidRDefault="00F77977" w:rsidP="002F0EF8">
            <w:pPr>
              <w:suppressAutoHyphens w:val="0"/>
              <w:spacing w:before="0" w:after="0" w:line="240" w:lineRule="auto"/>
              <w:rPr>
                <w:rFonts w:ascii="Arial" w:eastAsia="Times New Roman" w:hAnsi="Arial" w:cs="Arial"/>
                <w:sz w:val="18"/>
                <w:szCs w:val="18"/>
                <w:lang w:eastAsia="en-AU"/>
              </w:rPr>
            </w:pPr>
            <w:r>
              <w:rPr>
                <w:rFonts w:ascii="Arial" w:eastAsia="Times New Roman" w:hAnsi="Arial" w:cs="Arial"/>
                <w:sz w:val="18"/>
                <w:lang w:val="en-US" w:eastAsia="en-AU"/>
              </w:rPr>
              <w:t>SAD</w:t>
            </w:r>
            <w:r w:rsidR="002F0EF8" w:rsidRPr="002F0EF8">
              <w:rPr>
                <w:rFonts w:ascii="Arial" w:eastAsia="Times New Roman" w:hAnsi="Arial" w:cs="Arial"/>
                <w:sz w:val="18"/>
                <w:lang w:val="en-US" w:eastAsia="en-AU"/>
              </w:rPr>
              <w:t>A</w:t>
            </w:r>
          </w:p>
        </w:tc>
        <w:tc>
          <w:tcPr>
            <w:tcW w:w="828" w:type="dxa"/>
            <w:tcBorders>
              <w:top w:val="single" w:sz="8" w:space="0" w:color="FFFFFF"/>
              <w:left w:val="nil"/>
              <w:bottom w:val="nil"/>
              <w:right w:val="single" w:sz="8" w:space="0" w:color="FFFFFF"/>
            </w:tcBorders>
            <w:shd w:val="clear" w:color="000000" w:fill="F2F2F2"/>
            <w:vAlign w:val="center"/>
            <w:hideMark/>
          </w:tcPr>
          <w:p w14:paraId="1EDCCEB4"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BC" w14:textId="77777777" w:rsidTr="003751AA">
        <w:trPr>
          <w:trHeight w:val="315"/>
        </w:trPr>
        <w:tc>
          <w:tcPr>
            <w:tcW w:w="4440" w:type="dxa"/>
            <w:tcBorders>
              <w:top w:val="single" w:sz="8" w:space="0" w:color="FFFFFF"/>
              <w:left w:val="single" w:sz="8" w:space="0" w:color="FFFFFF"/>
              <w:bottom w:val="nil"/>
              <w:right w:val="single" w:sz="8" w:space="0" w:color="FFFFFF"/>
            </w:tcBorders>
            <w:shd w:val="clear" w:color="000000" w:fill="E2E3E2"/>
            <w:hideMark/>
          </w:tcPr>
          <w:p w14:paraId="1EDCCEB6"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lang w:val="en-US" w:eastAsia="en-AU"/>
              </w:rPr>
              <w:t>Interim audit:</w:t>
            </w:r>
          </w:p>
        </w:tc>
        <w:tc>
          <w:tcPr>
            <w:tcW w:w="997" w:type="dxa"/>
            <w:tcBorders>
              <w:top w:val="single" w:sz="8" w:space="0" w:color="FFFFFF"/>
              <w:left w:val="nil"/>
              <w:bottom w:val="nil"/>
              <w:right w:val="single" w:sz="8" w:space="0" w:color="FFFFFF"/>
            </w:tcBorders>
            <w:shd w:val="clear" w:color="000000" w:fill="E2E3E2"/>
            <w:hideMark/>
          </w:tcPr>
          <w:p w14:paraId="1EDCCEB7"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62" w:type="dxa"/>
            <w:tcBorders>
              <w:top w:val="single" w:sz="8" w:space="0" w:color="FFFFFF"/>
              <w:left w:val="nil"/>
              <w:bottom w:val="nil"/>
              <w:right w:val="single" w:sz="8" w:space="0" w:color="FFFFFF"/>
            </w:tcBorders>
            <w:shd w:val="clear" w:color="000000" w:fill="E2E3E2"/>
            <w:hideMark/>
          </w:tcPr>
          <w:p w14:paraId="1EDCCEB8"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62" w:type="dxa"/>
            <w:tcBorders>
              <w:top w:val="single" w:sz="8" w:space="0" w:color="FFFFFF"/>
              <w:left w:val="nil"/>
              <w:bottom w:val="nil"/>
              <w:right w:val="single" w:sz="8" w:space="0" w:color="FFFFFF"/>
            </w:tcBorders>
            <w:shd w:val="clear" w:color="000000" w:fill="E2E3E2"/>
            <w:hideMark/>
          </w:tcPr>
          <w:p w14:paraId="1EDCCEB9"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1006" w:type="dxa"/>
            <w:tcBorders>
              <w:top w:val="single" w:sz="8" w:space="0" w:color="FFFFFF"/>
              <w:left w:val="nil"/>
              <w:bottom w:val="nil"/>
              <w:right w:val="single" w:sz="8" w:space="0" w:color="FFFFFF"/>
            </w:tcBorders>
            <w:shd w:val="clear" w:color="000000" w:fill="E2E3E2"/>
            <w:hideMark/>
          </w:tcPr>
          <w:p w14:paraId="1EDCCEBA"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28" w:type="dxa"/>
            <w:tcBorders>
              <w:top w:val="single" w:sz="8" w:space="0" w:color="FFFFFF"/>
              <w:left w:val="nil"/>
              <w:bottom w:val="nil"/>
              <w:right w:val="single" w:sz="8" w:space="0" w:color="FFFFFF"/>
            </w:tcBorders>
            <w:shd w:val="clear" w:color="000000" w:fill="E2E3E2"/>
            <w:hideMark/>
          </w:tcPr>
          <w:p w14:paraId="1EDCCEBB"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val="en-US" w:eastAsia="en-AU"/>
              </w:rPr>
              <w:t> </w:t>
            </w:r>
          </w:p>
        </w:tc>
      </w:tr>
      <w:tr w:rsidR="002F0EF8" w:rsidRPr="002F0EF8" w14:paraId="1EDCCEC3" w14:textId="77777777" w:rsidTr="003751AA">
        <w:trPr>
          <w:trHeight w:val="73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BD"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For example, access to accounting reconciliations, supporting system documentation and soft copies of transaction listing(s).</w:t>
            </w:r>
          </w:p>
        </w:tc>
        <w:tc>
          <w:tcPr>
            <w:tcW w:w="997" w:type="dxa"/>
            <w:tcBorders>
              <w:top w:val="single" w:sz="8" w:space="0" w:color="FFFFFF"/>
              <w:left w:val="nil"/>
              <w:bottom w:val="nil"/>
              <w:right w:val="single" w:sz="8" w:space="0" w:color="FFFFFF"/>
            </w:tcBorders>
            <w:shd w:val="clear" w:color="000000" w:fill="F2F2F2"/>
            <w:vAlign w:val="center"/>
            <w:hideMark/>
          </w:tcPr>
          <w:p w14:paraId="1EDCCEBE"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DFR</w:t>
            </w:r>
          </w:p>
        </w:tc>
        <w:tc>
          <w:tcPr>
            <w:tcW w:w="862" w:type="dxa"/>
            <w:tcBorders>
              <w:top w:val="single" w:sz="8" w:space="0" w:color="FFFFFF"/>
              <w:left w:val="nil"/>
              <w:bottom w:val="nil"/>
              <w:right w:val="single" w:sz="8" w:space="0" w:color="FFFFFF"/>
            </w:tcBorders>
            <w:shd w:val="clear" w:color="000000" w:fill="F2F2F2"/>
            <w:vAlign w:val="center"/>
            <w:hideMark/>
          </w:tcPr>
          <w:p w14:paraId="1EDCCEBF"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Feb</w:t>
            </w:r>
          </w:p>
        </w:tc>
        <w:tc>
          <w:tcPr>
            <w:tcW w:w="862" w:type="dxa"/>
            <w:tcBorders>
              <w:top w:val="single" w:sz="8" w:space="0" w:color="FFFFFF"/>
              <w:left w:val="nil"/>
              <w:bottom w:val="nil"/>
              <w:right w:val="single" w:sz="8" w:space="0" w:color="FFFFFF"/>
            </w:tcBorders>
            <w:shd w:val="clear" w:color="000000" w:fill="F2F2F2"/>
            <w:vAlign w:val="center"/>
            <w:hideMark/>
          </w:tcPr>
          <w:p w14:paraId="1EDCCEC0"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1006" w:type="dxa"/>
            <w:tcBorders>
              <w:top w:val="single" w:sz="8" w:space="0" w:color="FFFFFF"/>
              <w:left w:val="nil"/>
              <w:bottom w:val="nil"/>
              <w:right w:val="single" w:sz="8" w:space="0" w:color="FFFFFF"/>
            </w:tcBorders>
            <w:shd w:val="clear" w:color="000000" w:fill="F2F2F2"/>
            <w:vAlign w:val="center"/>
            <w:hideMark/>
          </w:tcPr>
          <w:p w14:paraId="1EDCCEC1"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EC2"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r>
      <w:tr w:rsidR="002F0EF8" w:rsidRPr="002F0EF8" w14:paraId="1EDCCECA" w14:textId="77777777" w:rsidTr="003751AA">
        <w:trPr>
          <w:trHeight w:val="315"/>
        </w:trPr>
        <w:tc>
          <w:tcPr>
            <w:tcW w:w="4440" w:type="dxa"/>
            <w:tcBorders>
              <w:top w:val="single" w:sz="8" w:space="0" w:color="FFFFFF"/>
              <w:left w:val="single" w:sz="8" w:space="0" w:color="FFFFFF"/>
              <w:bottom w:val="nil"/>
              <w:right w:val="single" w:sz="8" w:space="0" w:color="FFFFFF"/>
            </w:tcBorders>
            <w:shd w:val="clear" w:color="000000" w:fill="E2E3E2"/>
            <w:hideMark/>
          </w:tcPr>
          <w:p w14:paraId="1EDCCEC4"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lang w:val="en-US" w:eastAsia="en-AU"/>
              </w:rPr>
              <w:t>Financial</w:t>
            </w:r>
          </w:p>
        </w:tc>
        <w:tc>
          <w:tcPr>
            <w:tcW w:w="997" w:type="dxa"/>
            <w:tcBorders>
              <w:top w:val="single" w:sz="8" w:space="0" w:color="FFFFFF"/>
              <w:left w:val="nil"/>
              <w:bottom w:val="nil"/>
              <w:right w:val="single" w:sz="8" w:space="0" w:color="FFFFFF"/>
            </w:tcBorders>
            <w:shd w:val="clear" w:color="000000" w:fill="E2E3E2"/>
            <w:hideMark/>
          </w:tcPr>
          <w:p w14:paraId="1EDCCEC5"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62" w:type="dxa"/>
            <w:tcBorders>
              <w:top w:val="single" w:sz="8" w:space="0" w:color="FFFFFF"/>
              <w:left w:val="nil"/>
              <w:bottom w:val="nil"/>
              <w:right w:val="single" w:sz="8" w:space="0" w:color="FFFFFF"/>
            </w:tcBorders>
            <w:shd w:val="clear" w:color="000000" w:fill="E2E3E2"/>
            <w:hideMark/>
          </w:tcPr>
          <w:p w14:paraId="1EDCCEC6"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62" w:type="dxa"/>
            <w:tcBorders>
              <w:top w:val="single" w:sz="8" w:space="0" w:color="FFFFFF"/>
              <w:left w:val="nil"/>
              <w:bottom w:val="nil"/>
              <w:right w:val="single" w:sz="8" w:space="0" w:color="FFFFFF"/>
            </w:tcBorders>
            <w:shd w:val="clear" w:color="000000" w:fill="E2E3E2"/>
            <w:hideMark/>
          </w:tcPr>
          <w:p w14:paraId="1EDCCEC7"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1006" w:type="dxa"/>
            <w:tcBorders>
              <w:top w:val="single" w:sz="8" w:space="0" w:color="FFFFFF"/>
              <w:left w:val="nil"/>
              <w:bottom w:val="nil"/>
              <w:right w:val="single" w:sz="8" w:space="0" w:color="FFFFFF"/>
            </w:tcBorders>
            <w:shd w:val="clear" w:color="000000" w:fill="E2E3E2"/>
            <w:hideMark/>
          </w:tcPr>
          <w:p w14:paraId="1EDCCEC8"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c>
          <w:tcPr>
            <w:tcW w:w="828" w:type="dxa"/>
            <w:tcBorders>
              <w:top w:val="single" w:sz="8" w:space="0" w:color="FFFFFF"/>
              <w:left w:val="nil"/>
              <w:bottom w:val="nil"/>
              <w:right w:val="single" w:sz="8" w:space="0" w:color="FFFFFF"/>
            </w:tcBorders>
            <w:shd w:val="clear" w:color="000000" w:fill="E2E3E2"/>
            <w:hideMark/>
          </w:tcPr>
          <w:p w14:paraId="1EDCCEC9" w14:textId="77777777" w:rsidR="002F0EF8" w:rsidRPr="002F0EF8" w:rsidRDefault="002F0EF8" w:rsidP="002F0EF8">
            <w:pPr>
              <w:suppressAutoHyphens w:val="0"/>
              <w:spacing w:before="0" w:after="0" w:line="240" w:lineRule="auto"/>
              <w:rPr>
                <w:rFonts w:ascii="Arial" w:eastAsia="Times New Roman" w:hAnsi="Arial" w:cs="Arial"/>
                <w:b/>
                <w:bCs/>
                <w:i/>
                <w:iCs/>
                <w:color w:val="000000"/>
                <w:sz w:val="18"/>
                <w:szCs w:val="18"/>
                <w:lang w:eastAsia="en-AU"/>
              </w:rPr>
            </w:pPr>
            <w:r w:rsidRPr="002F0EF8">
              <w:rPr>
                <w:rFonts w:ascii="Arial" w:eastAsia="Times New Roman" w:hAnsi="Arial" w:cs="Arial"/>
                <w:b/>
                <w:bCs/>
                <w:i/>
                <w:iCs/>
                <w:color w:val="000000"/>
                <w:sz w:val="18"/>
                <w:szCs w:val="18"/>
                <w:lang w:eastAsia="en-AU"/>
              </w:rPr>
              <w:t> </w:t>
            </w:r>
          </w:p>
        </w:tc>
      </w:tr>
      <w:tr w:rsidR="002F0EF8" w:rsidRPr="002F0EF8" w14:paraId="1EDCCED1" w14:textId="77777777" w:rsidTr="003751AA">
        <w:trPr>
          <w:trHeight w:val="49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CB"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Submission of the financial statements for the period ended 30 April to the ANAO, i</w:t>
            </w:r>
            <w:r w:rsidR="003751AA">
              <w:rPr>
                <w:rFonts w:ascii="Arial" w:eastAsia="Times New Roman" w:hAnsi="Arial" w:cs="Arial"/>
                <w:sz w:val="18"/>
                <w:lang w:val="en-US" w:eastAsia="en-AU"/>
              </w:rPr>
              <w:t>ncorporating comments from the audit c</w:t>
            </w:r>
            <w:r w:rsidRPr="002F0EF8">
              <w:rPr>
                <w:rFonts w:ascii="Arial" w:eastAsia="Times New Roman" w:hAnsi="Arial" w:cs="Arial"/>
                <w:sz w:val="18"/>
                <w:lang w:val="en-US" w:eastAsia="en-AU"/>
              </w:rPr>
              <w:t>ommittee.</w:t>
            </w:r>
          </w:p>
        </w:tc>
        <w:tc>
          <w:tcPr>
            <w:tcW w:w="997" w:type="dxa"/>
            <w:tcBorders>
              <w:top w:val="single" w:sz="8" w:space="0" w:color="FFFFFF"/>
              <w:left w:val="nil"/>
              <w:bottom w:val="nil"/>
              <w:right w:val="single" w:sz="8" w:space="0" w:color="FFFFFF"/>
            </w:tcBorders>
            <w:shd w:val="clear" w:color="000000" w:fill="F2F2F2"/>
            <w:vAlign w:val="center"/>
            <w:hideMark/>
          </w:tcPr>
          <w:p w14:paraId="1EDCCECC"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ALO</w:t>
            </w:r>
          </w:p>
        </w:tc>
        <w:tc>
          <w:tcPr>
            <w:tcW w:w="862" w:type="dxa"/>
            <w:tcBorders>
              <w:top w:val="single" w:sz="8" w:space="0" w:color="FFFFFF"/>
              <w:left w:val="nil"/>
              <w:bottom w:val="nil"/>
              <w:right w:val="single" w:sz="8" w:space="0" w:color="FFFFFF"/>
            </w:tcBorders>
            <w:shd w:val="clear" w:color="000000" w:fill="F2F2F2"/>
            <w:vAlign w:val="center"/>
            <w:hideMark/>
          </w:tcPr>
          <w:p w14:paraId="1EDCCECD"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Late May</w:t>
            </w:r>
          </w:p>
        </w:tc>
        <w:tc>
          <w:tcPr>
            <w:tcW w:w="862" w:type="dxa"/>
            <w:tcBorders>
              <w:top w:val="single" w:sz="8" w:space="0" w:color="FFFFFF"/>
              <w:left w:val="nil"/>
              <w:bottom w:val="nil"/>
              <w:right w:val="single" w:sz="8" w:space="0" w:color="FFFFFF"/>
            </w:tcBorders>
            <w:shd w:val="clear" w:color="000000" w:fill="F2F2F2"/>
            <w:vAlign w:val="center"/>
            <w:hideMark/>
          </w:tcPr>
          <w:p w14:paraId="1EDCCECE"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1006" w:type="dxa"/>
            <w:tcBorders>
              <w:top w:val="single" w:sz="8" w:space="0" w:color="FFFFFF"/>
              <w:left w:val="nil"/>
              <w:bottom w:val="nil"/>
              <w:right w:val="single" w:sz="8" w:space="0" w:color="FFFFFF"/>
            </w:tcBorders>
            <w:shd w:val="clear" w:color="000000" w:fill="F2F2F2"/>
            <w:vAlign w:val="center"/>
            <w:hideMark/>
          </w:tcPr>
          <w:p w14:paraId="1EDCCECF"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ED0"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D8" w14:textId="77777777" w:rsidTr="003751AA">
        <w:trPr>
          <w:trHeight w:val="31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D2"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First trial balance as at 30 June</w:t>
            </w:r>
          </w:p>
        </w:tc>
        <w:tc>
          <w:tcPr>
            <w:tcW w:w="997" w:type="dxa"/>
            <w:tcBorders>
              <w:top w:val="single" w:sz="8" w:space="0" w:color="FFFFFF"/>
              <w:left w:val="nil"/>
              <w:bottom w:val="nil"/>
              <w:right w:val="single" w:sz="8" w:space="0" w:color="FFFFFF"/>
            </w:tcBorders>
            <w:shd w:val="clear" w:color="000000" w:fill="F2F2F2"/>
            <w:vAlign w:val="center"/>
            <w:hideMark/>
          </w:tcPr>
          <w:p w14:paraId="1EDCCED3"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ALO</w:t>
            </w:r>
          </w:p>
        </w:tc>
        <w:tc>
          <w:tcPr>
            <w:tcW w:w="862" w:type="dxa"/>
            <w:tcBorders>
              <w:top w:val="single" w:sz="8" w:space="0" w:color="FFFFFF"/>
              <w:left w:val="nil"/>
              <w:bottom w:val="nil"/>
              <w:right w:val="single" w:sz="8" w:space="0" w:color="FFFFFF"/>
            </w:tcBorders>
            <w:shd w:val="clear" w:color="000000" w:fill="F2F2F2"/>
            <w:vAlign w:val="center"/>
            <w:hideMark/>
          </w:tcPr>
          <w:p w14:paraId="1EDCCED4"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D5"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Day 4</w:t>
            </w:r>
          </w:p>
        </w:tc>
        <w:tc>
          <w:tcPr>
            <w:tcW w:w="1006" w:type="dxa"/>
            <w:tcBorders>
              <w:top w:val="single" w:sz="8" w:space="0" w:color="FFFFFF"/>
              <w:left w:val="nil"/>
              <w:bottom w:val="nil"/>
              <w:right w:val="single" w:sz="8" w:space="0" w:color="FFFFFF"/>
            </w:tcBorders>
            <w:shd w:val="clear" w:color="000000" w:fill="F2F2F2"/>
            <w:vAlign w:val="center"/>
            <w:hideMark/>
          </w:tcPr>
          <w:p w14:paraId="1EDCCED6"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ED7"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DF" w14:textId="77777777" w:rsidTr="003751AA">
        <w:trPr>
          <w:trHeight w:val="31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D9"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Final trial balances as at 30 June</w:t>
            </w:r>
          </w:p>
        </w:tc>
        <w:tc>
          <w:tcPr>
            <w:tcW w:w="997" w:type="dxa"/>
            <w:tcBorders>
              <w:top w:val="single" w:sz="8" w:space="0" w:color="FFFFFF"/>
              <w:left w:val="nil"/>
              <w:bottom w:val="nil"/>
              <w:right w:val="single" w:sz="8" w:space="0" w:color="FFFFFF"/>
            </w:tcBorders>
            <w:shd w:val="clear" w:color="000000" w:fill="F2F2F2"/>
            <w:vAlign w:val="center"/>
            <w:hideMark/>
          </w:tcPr>
          <w:p w14:paraId="1EDCCEDA"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ALO</w:t>
            </w:r>
          </w:p>
        </w:tc>
        <w:tc>
          <w:tcPr>
            <w:tcW w:w="862" w:type="dxa"/>
            <w:tcBorders>
              <w:top w:val="single" w:sz="8" w:space="0" w:color="FFFFFF"/>
              <w:left w:val="nil"/>
              <w:bottom w:val="nil"/>
              <w:right w:val="single" w:sz="8" w:space="0" w:color="FFFFFF"/>
            </w:tcBorders>
            <w:shd w:val="clear" w:color="000000" w:fill="F2F2F2"/>
            <w:vAlign w:val="center"/>
            <w:hideMark/>
          </w:tcPr>
          <w:p w14:paraId="1EDCCEDB"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DC"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Day 11</w:t>
            </w:r>
          </w:p>
        </w:tc>
        <w:tc>
          <w:tcPr>
            <w:tcW w:w="1006" w:type="dxa"/>
            <w:tcBorders>
              <w:top w:val="single" w:sz="8" w:space="0" w:color="FFFFFF"/>
              <w:left w:val="nil"/>
              <w:bottom w:val="nil"/>
              <w:right w:val="single" w:sz="8" w:space="0" w:color="FFFFFF"/>
            </w:tcBorders>
            <w:shd w:val="clear" w:color="000000" w:fill="F2F2F2"/>
            <w:vAlign w:val="center"/>
            <w:hideMark/>
          </w:tcPr>
          <w:p w14:paraId="1EDCCEDD"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EDE"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E6" w14:textId="77777777" w:rsidTr="003751AA">
        <w:trPr>
          <w:trHeight w:val="73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E0"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Schedule of expenses and revenues for the period ended 30 April and compared with corresponding period in prior year. Provide explanation of any material fluctuations.</w:t>
            </w:r>
          </w:p>
        </w:tc>
        <w:tc>
          <w:tcPr>
            <w:tcW w:w="997" w:type="dxa"/>
            <w:tcBorders>
              <w:top w:val="single" w:sz="8" w:space="0" w:color="FFFFFF"/>
              <w:left w:val="nil"/>
              <w:bottom w:val="nil"/>
              <w:right w:val="single" w:sz="8" w:space="0" w:color="FFFFFF"/>
            </w:tcBorders>
            <w:shd w:val="clear" w:color="000000" w:fill="F2F2F2"/>
            <w:vAlign w:val="center"/>
            <w:hideMark/>
          </w:tcPr>
          <w:p w14:paraId="1EDCCEE1"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ALO</w:t>
            </w:r>
          </w:p>
        </w:tc>
        <w:tc>
          <w:tcPr>
            <w:tcW w:w="862" w:type="dxa"/>
            <w:tcBorders>
              <w:top w:val="single" w:sz="8" w:space="0" w:color="FFFFFF"/>
              <w:left w:val="nil"/>
              <w:bottom w:val="nil"/>
              <w:right w:val="single" w:sz="8" w:space="0" w:color="FFFFFF"/>
            </w:tcBorders>
            <w:shd w:val="clear" w:color="000000" w:fill="F2F2F2"/>
            <w:vAlign w:val="center"/>
            <w:hideMark/>
          </w:tcPr>
          <w:p w14:paraId="1EDCCEE2"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Mid May</w:t>
            </w:r>
          </w:p>
        </w:tc>
        <w:tc>
          <w:tcPr>
            <w:tcW w:w="862" w:type="dxa"/>
            <w:tcBorders>
              <w:top w:val="single" w:sz="8" w:space="0" w:color="FFFFFF"/>
              <w:left w:val="nil"/>
              <w:bottom w:val="nil"/>
              <w:right w:val="single" w:sz="8" w:space="0" w:color="FFFFFF"/>
            </w:tcBorders>
            <w:shd w:val="clear" w:color="000000" w:fill="F2F2F2"/>
            <w:vAlign w:val="center"/>
            <w:hideMark/>
          </w:tcPr>
          <w:p w14:paraId="1EDCCEE3"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Day 11</w:t>
            </w:r>
          </w:p>
        </w:tc>
        <w:tc>
          <w:tcPr>
            <w:tcW w:w="1006" w:type="dxa"/>
            <w:tcBorders>
              <w:top w:val="single" w:sz="8" w:space="0" w:color="FFFFFF"/>
              <w:left w:val="nil"/>
              <w:bottom w:val="nil"/>
              <w:right w:val="single" w:sz="8" w:space="0" w:color="FFFFFF"/>
            </w:tcBorders>
            <w:shd w:val="clear" w:color="000000" w:fill="F2F2F2"/>
            <w:vAlign w:val="center"/>
            <w:hideMark/>
          </w:tcPr>
          <w:p w14:paraId="1EDCCEE4"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EE5"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ED" w14:textId="77777777" w:rsidTr="003751AA">
        <w:trPr>
          <w:trHeight w:val="49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E7"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Update schedule as at 30 June. Provide explanation for any material fluctuations between 1 May and 30 June.</w:t>
            </w:r>
          </w:p>
        </w:tc>
        <w:tc>
          <w:tcPr>
            <w:tcW w:w="997" w:type="dxa"/>
            <w:tcBorders>
              <w:top w:val="single" w:sz="8" w:space="0" w:color="FFFFFF"/>
              <w:left w:val="nil"/>
              <w:bottom w:val="nil"/>
              <w:right w:val="single" w:sz="8" w:space="0" w:color="FFFFFF"/>
            </w:tcBorders>
            <w:shd w:val="clear" w:color="000000" w:fill="F2F2F2"/>
            <w:vAlign w:val="center"/>
            <w:hideMark/>
          </w:tcPr>
          <w:p w14:paraId="1EDCCEE8"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E9"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EA"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1006" w:type="dxa"/>
            <w:tcBorders>
              <w:top w:val="single" w:sz="8" w:space="0" w:color="FFFFFF"/>
              <w:left w:val="nil"/>
              <w:bottom w:val="nil"/>
              <w:right w:val="single" w:sz="8" w:space="0" w:color="FFFFFF"/>
            </w:tcBorders>
            <w:shd w:val="clear" w:color="000000" w:fill="F2F2F2"/>
            <w:vAlign w:val="center"/>
            <w:hideMark/>
          </w:tcPr>
          <w:p w14:paraId="1EDCCEEB"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828" w:type="dxa"/>
            <w:tcBorders>
              <w:top w:val="single" w:sz="8" w:space="0" w:color="FFFFFF"/>
              <w:left w:val="nil"/>
              <w:bottom w:val="nil"/>
              <w:right w:val="single" w:sz="8" w:space="0" w:color="FFFFFF"/>
            </w:tcBorders>
            <w:shd w:val="clear" w:color="000000" w:fill="F2F2F2"/>
            <w:vAlign w:val="center"/>
            <w:hideMark/>
          </w:tcPr>
          <w:p w14:paraId="1EDCCEEC"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r>
      <w:tr w:rsidR="002F0EF8" w:rsidRPr="002F0EF8" w14:paraId="1EDCCEF4" w14:textId="77777777" w:rsidTr="003751AA">
        <w:trPr>
          <w:trHeight w:val="31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EE"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Statement of financial position analysis as at 30 April and</w:t>
            </w:r>
          </w:p>
        </w:tc>
        <w:tc>
          <w:tcPr>
            <w:tcW w:w="997" w:type="dxa"/>
            <w:tcBorders>
              <w:top w:val="single" w:sz="8" w:space="0" w:color="FFFFFF"/>
              <w:left w:val="nil"/>
              <w:bottom w:val="nil"/>
              <w:right w:val="single" w:sz="8" w:space="0" w:color="FFFFFF"/>
            </w:tcBorders>
            <w:shd w:val="clear" w:color="000000" w:fill="F2F2F2"/>
            <w:vAlign w:val="center"/>
            <w:hideMark/>
          </w:tcPr>
          <w:p w14:paraId="1EDCCEEF"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DFR</w:t>
            </w:r>
          </w:p>
        </w:tc>
        <w:tc>
          <w:tcPr>
            <w:tcW w:w="862" w:type="dxa"/>
            <w:tcBorders>
              <w:top w:val="single" w:sz="8" w:space="0" w:color="FFFFFF"/>
              <w:left w:val="nil"/>
              <w:bottom w:val="nil"/>
              <w:right w:val="single" w:sz="8" w:space="0" w:color="FFFFFF"/>
            </w:tcBorders>
            <w:shd w:val="clear" w:color="000000" w:fill="F2F2F2"/>
            <w:vAlign w:val="center"/>
            <w:hideMark/>
          </w:tcPr>
          <w:p w14:paraId="1EDCCEF0"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Mid May</w:t>
            </w:r>
          </w:p>
        </w:tc>
        <w:tc>
          <w:tcPr>
            <w:tcW w:w="862" w:type="dxa"/>
            <w:tcBorders>
              <w:top w:val="single" w:sz="8" w:space="0" w:color="FFFFFF"/>
              <w:left w:val="nil"/>
              <w:bottom w:val="nil"/>
              <w:right w:val="single" w:sz="8" w:space="0" w:color="FFFFFF"/>
            </w:tcBorders>
            <w:shd w:val="clear" w:color="000000" w:fill="F2F2F2"/>
            <w:vAlign w:val="center"/>
            <w:hideMark/>
          </w:tcPr>
          <w:p w14:paraId="1EDCCEF1"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Day 11</w:t>
            </w:r>
          </w:p>
        </w:tc>
        <w:tc>
          <w:tcPr>
            <w:tcW w:w="1006" w:type="dxa"/>
            <w:tcBorders>
              <w:top w:val="single" w:sz="8" w:space="0" w:color="FFFFFF"/>
              <w:left w:val="nil"/>
              <w:bottom w:val="nil"/>
              <w:right w:val="single" w:sz="8" w:space="0" w:color="FFFFFF"/>
            </w:tcBorders>
            <w:shd w:val="clear" w:color="000000" w:fill="F2F2F2"/>
            <w:vAlign w:val="center"/>
            <w:hideMark/>
          </w:tcPr>
          <w:p w14:paraId="1EDCCEF2"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EF3"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EFB" w14:textId="77777777" w:rsidTr="003751AA">
        <w:trPr>
          <w:trHeight w:val="31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F5"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30 June with explanations for material fluctuations.</w:t>
            </w:r>
          </w:p>
        </w:tc>
        <w:tc>
          <w:tcPr>
            <w:tcW w:w="997" w:type="dxa"/>
            <w:tcBorders>
              <w:top w:val="single" w:sz="8" w:space="0" w:color="FFFFFF"/>
              <w:left w:val="nil"/>
              <w:bottom w:val="nil"/>
              <w:right w:val="single" w:sz="8" w:space="0" w:color="FFFFFF"/>
            </w:tcBorders>
            <w:shd w:val="clear" w:color="000000" w:fill="F2F2F2"/>
            <w:vAlign w:val="center"/>
            <w:hideMark/>
          </w:tcPr>
          <w:p w14:paraId="1EDCCEF6"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F7"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F8"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1006" w:type="dxa"/>
            <w:tcBorders>
              <w:top w:val="single" w:sz="8" w:space="0" w:color="FFFFFF"/>
              <w:left w:val="nil"/>
              <w:bottom w:val="nil"/>
              <w:right w:val="single" w:sz="8" w:space="0" w:color="FFFFFF"/>
            </w:tcBorders>
            <w:shd w:val="clear" w:color="000000" w:fill="F2F2F2"/>
            <w:vAlign w:val="center"/>
            <w:hideMark/>
          </w:tcPr>
          <w:p w14:paraId="1EDCCEF9"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c>
          <w:tcPr>
            <w:tcW w:w="828" w:type="dxa"/>
            <w:tcBorders>
              <w:top w:val="single" w:sz="8" w:space="0" w:color="FFFFFF"/>
              <w:left w:val="nil"/>
              <w:bottom w:val="nil"/>
              <w:right w:val="single" w:sz="8" w:space="0" w:color="FFFFFF"/>
            </w:tcBorders>
            <w:shd w:val="clear" w:color="000000" w:fill="F2F2F2"/>
            <w:vAlign w:val="center"/>
            <w:hideMark/>
          </w:tcPr>
          <w:p w14:paraId="1EDCCEFA"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eastAsia="en-AU"/>
              </w:rPr>
              <w:t> </w:t>
            </w:r>
          </w:p>
        </w:tc>
      </w:tr>
      <w:tr w:rsidR="002F0EF8" w:rsidRPr="002F0EF8" w14:paraId="1EDCCF02" w14:textId="77777777" w:rsidTr="003751AA">
        <w:trPr>
          <w:trHeight w:val="495"/>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EFC"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Worksheet for cash flow statement for the period ended 30 June, including supporting documentation.</w:t>
            </w:r>
          </w:p>
        </w:tc>
        <w:tc>
          <w:tcPr>
            <w:tcW w:w="997" w:type="dxa"/>
            <w:tcBorders>
              <w:top w:val="single" w:sz="8" w:space="0" w:color="FFFFFF"/>
              <w:left w:val="nil"/>
              <w:bottom w:val="nil"/>
              <w:right w:val="single" w:sz="8" w:space="0" w:color="FFFFFF"/>
            </w:tcBorders>
            <w:shd w:val="clear" w:color="000000" w:fill="F2F2F2"/>
            <w:vAlign w:val="center"/>
            <w:hideMark/>
          </w:tcPr>
          <w:p w14:paraId="1EDCCEFD"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ALO</w:t>
            </w:r>
          </w:p>
        </w:tc>
        <w:tc>
          <w:tcPr>
            <w:tcW w:w="862" w:type="dxa"/>
            <w:tcBorders>
              <w:top w:val="single" w:sz="8" w:space="0" w:color="FFFFFF"/>
              <w:left w:val="nil"/>
              <w:bottom w:val="nil"/>
              <w:right w:val="single" w:sz="8" w:space="0" w:color="FFFFFF"/>
            </w:tcBorders>
            <w:shd w:val="clear" w:color="000000" w:fill="F2F2F2"/>
            <w:vAlign w:val="center"/>
            <w:hideMark/>
          </w:tcPr>
          <w:p w14:paraId="1EDCCEFE"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EFF"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Day 13</w:t>
            </w:r>
          </w:p>
        </w:tc>
        <w:tc>
          <w:tcPr>
            <w:tcW w:w="1006" w:type="dxa"/>
            <w:tcBorders>
              <w:top w:val="single" w:sz="8" w:space="0" w:color="FFFFFF"/>
              <w:left w:val="nil"/>
              <w:bottom w:val="nil"/>
              <w:right w:val="single" w:sz="8" w:space="0" w:color="FFFFFF"/>
            </w:tcBorders>
            <w:shd w:val="clear" w:color="000000" w:fill="F2F2F2"/>
            <w:vAlign w:val="center"/>
            <w:hideMark/>
          </w:tcPr>
          <w:p w14:paraId="1EDCCF00"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F01"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r w:rsidR="002F0EF8" w:rsidRPr="002F0EF8" w14:paraId="1EDCCF09" w14:textId="77777777" w:rsidTr="003751AA">
        <w:trPr>
          <w:trHeight w:val="480"/>
        </w:trPr>
        <w:tc>
          <w:tcPr>
            <w:tcW w:w="4440" w:type="dxa"/>
            <w:tcBorders>
              <w:top w:val="single" w:sz="8" w:space="0" w:color="FFFFFF"/>
              <w:left w:val="single" w:sz="8" w:space="0" w:color="FFFFFF"/>
              <w:bottom w:val="nil"/>
              <w:right w:val="single" w:sz="8" w:space="0" w:color="FFFFFF"/>
            </w:tcBorders>
            <w:shd w:val="clear" w:color="000000" w:fill="F2F2F2"/>
            <w:vAlign w:val="center"/>
            <w:hideMark/>
          </w:tcPr>
          <w:p w14:paraId="1EDCCF03"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Submission of first draft of financial statements to the ANAO.</w:t>
            </w:r>
          </w:p>
        </w:tc>
        <w:tc>
          <w:tcPr>
            <w:tcW w:w="997" w:type="dxa"/>
            <w:tcBorders>
              <w:top w:val="single" w:sz="8" w:space="0" w:color="FFFFFF"/>
              <w:left w:val="nil"/>
              <w:bottom w:val="nil"/>
              <w:right w:val="single" w:sz="8" w:space="0" w:color="FFFFFF"/>
            </w:tcBorders>
            <w:shd w:val="clear" w:color="000000" w:fill="F2F2F2"/>
            <w:vAlign w:val="center"/>
            <w:hideMark/>
          </w:tcPr>
          <w:p w14:paraId="1EDCCF04"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DFR</w:t>
            </w:r>
          </w:p>
        </w:tc>
        <w:tc>
          <w:tcPr>
            <w:tcW w:w="862" w:type="dxa"/>
            <w:tcBorders>
              <w:top w:val="single" w:sz="8" w:space="0" w:color="FFFFFF"/>
              <w:left w:val="nil"/>
              <w:bottom w:val="nil"/>
              <w:right w:val="single" w:sz="8" w:space="0" w:color="FFFFFF"/>
            </w:tcBorders>
            <w:shd w:val="clear" w:color="000000" w:fill="F2F2F2"/>
            <w:vAlign w:val="center"/>
            <w:hideMark/>
          </w:tcPr>
          <w:p w14:paraId="1EDCCF05"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c>
          <w:tcPr>
            <w:tcW w:w="862" w:type="dxa"/>
            <w:tcBorders>
              <w:top w:val="single" w:sz="8" w:space="0" w:color="FFFFFF"/>
              <w:left w:val="nil"/>
              <w:bottom w:val="nil"/>
              <w:right w:val="single" w:sz="8" w:space="0" w:color="FFFFFF"/>
            </w:tcBorders>
            <w:shd w:val="clear" w:color="000000" w:fill="F2F2F2"/>
            <w:vAlign w:val="center"/>
            <w:hideMark/>
          </w:tcPr>
          <w:p w14:paraId="1EDCCF06"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Day 13</w:t>
            </w:r>
          </w:p>
        </w:tc>
        <w:tc>
          <w:tcPr>
            <w:tcW w:w="1006" w:type="dxa"/>
            <w:tcBorders>
              <w:top w:val="single" w:sz="8" w:space="0" w:color="FFFFFF"/>
              <w:left w:val="nil"/>
              <w:bottom w:val="nil"/>
              <w:right w:val="single" w:sz="8" w:space="0" w:color="FFFFFF"/>
            </w:tcBorders>
            <w:shd w:val="clear" w:color="000000" w:fill="F2F2F2"/>
            <w:vAlign w:val="center"/>
            <w:hideMark/>
          </w:tcPr>
          <w:p w14:paraId="1EDCCF07"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lang w:val="en-US" w:eastAsia="en-AU"/>
              </w:rPr>
              <w:t>ATL</w:t>
            </w:r>
          </w:p>
        </w:tc>
        <w:tc>
          <w:tcPr>
            <w:tcW w:w="828" w:type="dxa"/>
            <w:tcBorders>
              <w:top w:val="single" w:sz="8" w:space="0" w:color="FFFFFF"/>
              <w:left w:val="nil"/>
              <w:bottom w:val="nil"/>
              <w:right w:val="single" w:sz="8" w:space="0" w:color="FFFFFF"/>
            </w:tcBorders>
            <w:shd w:val="clear" w:color="000000" w:fill="F2F2F2"/>
            <w:vAlign w:val="center"/>
            <w:hideMark/>
          </w:tcPr>
          <w:p w14:paraId="1EDCCF08" w14:textId="77777777" w:rsidR="002F0EF8" w:rsidRPr="002F0EF8" w:rsidRDefault="002F0EF8" w:rsidP="002F0EF8">
            <w:pPr>
              <w:suppressAutoHyphens w:val="0"/>
              <w:spacing w:before="0" w:after="0" w:line="240" w:lineRule="auto"/>
              <w:rPr>
                <w:rFonts w:ascii="Arial" w:eastAsia="Times New Roman" w:hAnsi="Arial" w:cs="Arial"/>
                <w:sz w:val="18"/>
                <w:szCs w:val="18"/>
                <w:lang w:eastAsia="en-AU"/>
              </w:rPr>
            </w:pPr>
            <w:r w:rsidRPr="002F0EF8">
              <w:rPr>
                <w:rFonts w:ascii="Arial" w:eastAsia="Times New Roman" w:hAnsi="Arial" w:cs="Arial"/>
                <w:sz w:val="18"/>
                <w:szCs w:val="18"/>
                <w:lang w:val="en-US" w:eastAsia="en-AU"/>
              </w:rPr>
              <w:t> </w:t>
            </w:r>
          </w:p>
        </w:tc>
      </w:tr>
    </w:tbl>
    <w:p w14:paraId="1EDCCF0A" w14:textId="77777777" w:rsidR="00C072B0" w:rsidRDefault="00C072B0">
      <w:pPr>
        <w:suppressAutoHyphens w:val="0"/>
        <w:spacing w:before="0" w:after="120" w:line="440" w:lineRule="atLeast"/>
        <w:rPr>
          <w:lang w:eastAsia="en-AU"/>
        </w:rPr>
      </w:pPr>
      <w:r>
        <w:rPr>
          <w:lang w:eastAsia="en-AU"/>
        </w:rPr>
        <w:br w:type="page"/>
      </w:r>
    </w:p>
    <w:tbl>
      <w:tblPr>
        <w:tblW w:w="7513" w:type="dxa"/>
        <w:tblLook w:val="04A0" w:firstRow="1" w:lastRow="0" w:firstColumn="1" w:lastColumn="0" w:noHBand="0" w:noVBand="1"/>
        <w:tblCaption w:val="Key for Responsible officer"/>
        <w:tblDescription w:val="This table is a key for the above table providing responisble officers names and positions."/>
      </w:tblPr>
      <w:tblGrid>
        <w:gridCol w:w="960"/>
        <w:gridCol w:w="3520"/>
        <w:gridCol w:w="3033"/>
      </w:tblGrid>
      <w:tr w:rsidR="00C072B0" w:rsidRPr="00C072B0" w14:paraId="1EDCCF0E" w14:textId="77777777" w:rsidTr="00C072B0">
        <w:trPr>
          <w:trHeight w:val="315"/>
        </w:trPr>
        <w:tc>
          <w:tcPr>
            <w:tcW w:w="960" w:type="dxa"/>
            <w:tcBorders>
              <w:top w:val="single" w:sz="8" w:space="0" w:color="auto"/>
              <w:left w:val="nil"/>
              <w:bottom w:val="nil"/>
              <w:right w:val="nil"/>
            </w:tcBorders>
            <w:shd w:val="clear" w:color="000000" w:fill="1C1C1C"/>
            <w:noWrap/>
            <w:vAlign w:val="center"/>
            <w:hideMark/>
          </w:tcPr>
          <w:p w14:paraId="1EDCCF0B" w14:textId="77777777" w:rsidR="00C072B0" w:rsidRPr="00C072B0" w:rsidRDefault="00C072B0" w:rsidP="00C072B0">
            <w:pPr>
              <w:suppressAutoHyphens w:val="0"/>
              <w:spacing w:before="0" w:after="0" w:line="240" w:lineRule="auto"/>
              <w:rPr>
                <w:rFonts w:ascii="Arial" w:eastAsia="Times New Roman" w:hAnsi="Arial" w:cs="Arial"/>
                <w:b/>
                <w:bCs/>
                <w:color w:val="FFFFFF"/>
                <w:sz w:val="20"/>
                <w:szCs w:val="20"/>
                <w:lang w:eastAsia="en-AU"/>
              </w:rPr>
            </w:pPr>
            <w:r w:rsidRPr="00C072B0">
              <w:rPr>
                <w:rFonts w:ascii="Arial" w:eastAsia="Times New Roman" w:hAnsi="Arial" w:cs="Arial"/>
                <w:b/>
                <w:bCs/>
                <w:color w:val="FFFFFF"/>
                <w:sz w:val="20"/>
                <w:lang w:val="en-US" w:eastAsia="en-AU"/>
              </w:rPr>
              <w:t>Key</w:t>
            </w:r>
          </w:p>
        </w:tc>
        <w:tc>
          <w:tcPr>
            <w:tcW w:w="3520" w:type="dxa"/>
            <w:tcBorders>
              <w:top w:val="single" w:sz="8" w:space="0" w:color="auto"/>
              <w:left w:val="nil"/>
              <w:bottom w:val="nil"/>
              <w:right w:val="nil"/>
            </w:tcBorders>
            <w:shd w:val="clear" w:color="000000" w:fill="1C1C1C"/>
            <w:noWrap/>
            <w:vAlign w:val="center"/>
            <w:hideMark/>
          </w:tcPr>
          <w:p w14:paraId="1EDCCF0C" w14:textId="77777777" w:rsidR="00C072B0" w:rsidRPr="00C072B0" w:rsidRDefault="00C072B0" w:rsidP="00C072B0">
            <w:pPr>
              <w:suppressAutoHyphens w:val="0"/>
              <w:spacing w:before="0" w:after="0" w:line="240" w:lineRule="auto"/>
              <w:rPr>
                <w:rFonts w:ascii="Arial" w:eastAsia="Times New Roman" w:hAnsi="Arial" w:cs="Arial"/>
                <w:b/>
                <w:bCs/>
                <w:color w:val="FFFFFF"/>
                <w:sz w:val="20"/>
                <w:szCs w:val="20"/>
                <w:lang w:eastAsia="en-AU"/>
              </w:rPr>
            </w:pPr>
            <w:r w:rsidRPr="00C072B0">
              <w:rPr>
                <w:rFonts w:ascii="Arial" w:eastAsia="Times New Roman" w:hAnsi="Arial" w:cs="Arial"/>
                <w:b/>
                <w:bCs/>
                <w:color w:val="FFFFFF"/>
                <w:sz w:val="20"/>
                <w:szCs w:val="20"/>
                <w:lang w:eastAsia="en-AU"/>
              </w:rPr>
              <w:t> </w:t>
            </w:r>
          </w:p>
        </w:tc>
        <w:tc>
          <w:tcPr>
            <w:tcW w:w="3033" w:type="dxa"/>
            <w:tcBorders>
              <w:top w:val="single" w:sz="8" w:space="0" w:color="auto"/>
              <w:left w:val="nil"/>
              <w:bottom w:val="nil"/>
              <w:right w:val="nil"/>
            </w:tcBorders>
            <w:shd w:val="clear" w:color="000000" w:fill="1C1C1C"/>
            <w:noWrap/>
            <w:vAlign w:val="center"/>
            <w:hideMark/>
          </w:tcPr>
          <w:p w14:paraId="1EDCCF0D" w14:textId="77777777" w:rsidR="00C072B0" w:rsidRPr="00C072B0" w:rsidRDefault="00C072B0" w:rsidP="00C072B0">
            <w:pPr>
              <w:suppressAutoHyphens w:val="0"/>
              <w:spacing w:before="0" w:after="0" w:line="240" w:lineRule="auto"/>
              <w:rPr>
                <w:rFonts w:ascii="Arial" w:eastAsia="Times New Roman" w:hAnsi="Arial" w:cs="Arial"/>
                <w:b/>
                <w:bCs/>
                <w:color w:val="FFFFFF"/>
                <w:sz w:val="20"/>
                <w:szCs w:val="20"/>
                <w:lang w:eastAsia="en-AU"/>
              </w:rPr>
            </w:pPr>
            <w:r w:rsidRPr="00C072B0">
              <w:rPr>
                <w:rFonts w:ascii="Arial" w:eastAsia="Times New Roman" w:hAnsi="Arial" w:cs="Arial"/>
                <w:b/>
                <w:bCs/>
                <w:color w:val="FFFFFF"/>
                <w:sz w:val="20"/>
                <w:szCs w:val="20"/>
                <w:lang w:eastAsia="en-AU"/>
              </w:rPr>
              <w:t> </w:t>
            </w:r>
          </w:p>
        </w:tc>
      </w:tr>
      <w:tr w:rsidR="00C072B0" w:rsidRPr="00C072B0" w14:paraId="1EDCCF12" w14:textId="77777777" w:rsidTr="00C072B0">
        <w:trPr>
          <w:trHeight w:val="315"/>
        </w:trPr>
        <w:tc>
          <w:tcPr>
            <w:tcW w:w="960" w:type="dxa"/>
            <w:tcBorders>
              <w:top w:val="single" w:sz="8" w:space="0" w:color="FFFFFF"/>
              <w:left w:val="single" w:sz="8" w:space="0" w:color="FFFFFF"/>
              <w:bottom w:val="nil"/>
              <w:right w:val="single" w:sz="8" w:space="0" w:color="FFFFFF"/>
            </w:tcBorders>
            <w:shd w:val="clear" w:color="000000" w:fill="E2E3E2"/>
            <w:hideMark/>
          </w:tcPr>
          <w:p w14:paraId="1EDCCF0F" w14:textId="77777777" w:rsidR="00C072B0" w:rsidRPr="00C072B0" w:rsidRDefault="00C072B0" w:rsidP="00C072B0">
            <w:pPr>
              <w:suppressAutoHyphens w:val="0"/>
              <w:spacing w:before="0" w:after="0" w:line="240" w:lineRule="auto"/>
              <w:rPr>
                <w:rFonts w:ascii="Arial" w:eastAsia="Times New Roman" w:hAnsi="Arial" w:cs="Arial"/>
                <w:b/>
                <w:bCs/>
                <w:i/>
                <w:iCs/>
                <w:color w:val="000000"/>
                <w:sz w:val="18"/>
                <w:szCs w:val="18"/>
                <w:lang w:eastAsia="en-AU"/>
              </w:rPr>
            </w:pPr>
            <w:r w:rsidRPr="00C072B0">
              <w:rPr>
                <w:rFonts w:ascii="Arial" w:eastAsia="Times New Roman" w:hAnsi="Arial" w:cs="Arial"/>
                <w:b/>
                <w:bCs/>
                <w:i/>
                <w:iCs/>
                <w:color w:val="000000"/>
                <w:sz w:val="18"/>
                <w:lang w:val="en-US" w:eastAsia="en-AU"/>
              </w:rPr>
              <w:t>Initial</w:t>
            </w:r>
          </w:p>
        </w:tc>
        <w:tc>
          <w:tcPr>
            <w:tcW w:w="3520" w:type="dxa"/>
            <w:tcBorders>
              <w:top w:val="single" w:sz="8" w:space="0" w:color="FFFFFF"/>
              <w:left w:val="nil"/>
              <w:bottom w:val="nil"/>
              <w:right w:val="single" w:sz="8" w:space="0" w:color="FFFFFF"/>
            </w:tcBorders>
            <w:shd w:val="clear" w:color="000000" w:fill="E2E3E2"/>
            <w:hideMark/>
          </w:tcPr>
          <w:p w14:paraId="1EDCCF10" w14:textId="77777777" w:rsidR="00C072B0" w:rsidRPr="00C072B0" w:rsidRDefault="00C072B0" w:rsidP="00C072B0">
            <w:pPr>
              <w:suppressAutoHyphens w:val="0"/>
              <w:spacing w:before="0" w:after="0" w:line="240" w:lineRule="auto"/>
              <w:rPr>
                <w:rFonts w:ascii="Arial" w:eastAsia="Times New Roman" w:hAnsi="Arial" w:cs="Arial"/>
                <w:b/>
                <w:bCs/>
                <w:i/>
                <w:iCs/>
                <w:color w:val="000000"/>
                <w:sz w:val="18"/>
                <w:szCs w:val="18"/>
                <w:lang w:eastAsia="en-AU"/>
              </w:rPr>
            </w:pPr>
            <w:r w:rsidRPr="00C072B0">
              <w:rPr>
                <w:rFonts w:ascii="Arial" w:eastAsia="Times New Roman" w:hAnsi="Arial" w:cs="Arial"/>
                <w:b/>
                <w:bCs/>
                <w:i/>
                <w:iCs/>
                <w:color w:val="000000"/>
                <w:sz w:val="18"/>
                <w:lang w:val="en-US" w:eastAsia="en-AU"/>
              </w:rPr>
              <w:t>Position</w:t>
            </w:r>
          </w:p>
        </w:tc>
        <w:tc>
          <w:tcPr>
            <w:tcW w:w="3033" w:type="dxa"/>
            <w:tcBorders>
              <w:top w:val="single" w:sz="8" w:space="0" w:color="FFFFFF"/>
              <w:left w:val="nil"/>
              <w:bottom w:val="nil"/>
              <w:right w:val="single" w:sz="8" w:space="0" w:color="FFFFFF"/>
            </w:tcBorders>
            <w:shd w:val="clear" w:color="000000" w:fill="E2E3E2"/>
            <w:hideMark/>
          </w:tcPr>
          <w:p w14:paraId="1EDCCF11" w14:textId="77777777" w:rsidR="00C072B0" w:rsidRPr="00C072B0" w:rsidRDefault="00C072B0" w:rsidP="00C072B0">
            <w:pPr>
              <w:suppressAutoHyphens w:val="0"/>
              <w:spacing w:before="0" w:after="0" w:line="240" w:lineRule="auto"/>
              <w:rPr>
                <w:rFonts w:ascii="Arial" w:eastAsia="Times New Roman" w:hAnsi="Arial" w:cs="Arial"/>
                <w:b/>
                <w:bCs/>
                <w:i/>
                <w:iCs/>
                <w:color w:val="000000"/>
                <w:sz w:val="18"/>
                <w:szCs w:val="18"/>
                <w:lang w:eastAsia="en-AU"/>
              </w:rPr>
            </w:pPr>
            <w:r w:rsidRPr="00C072B0">
              <w:rPr>
                <w:rFonts w:ascii="Arial" w:eastAsia="Times New Roman" w:hAnsi="Arial" w:cs="Arial"/>
                <w:b/>
                <w:bCs/>
                <w:i/>
                <w:iCs/>
                <w:color w:val="000000"/>
                <w:sz w:val="18"/>
                <w:lang w:val="en-US" w:eastAsia="en-AU"/>
              </w:rPr>
              <w:t>Name</w:t>
            </w:r>
          </w:p>
        </w:tc>
      </w:tr>
      <w:tr w:rsidR="00C072B0" w:rsidRPr="00C072B0" w14:paraId="1EDCCF16" w14:textId="77777777" w:rsidTr="00C072B0">
        <w:trPr>
          <w:trHeight w:val="300"/>
        </w:trPr>
        <w:tc>
          <w:tcPr>
            <w:tcW w:w="960" w:type="dxa"/>
            <w:tcBorders>
              <w:top w:val="single" w:sz="8" w:space="0" w:color="FFFFFF"/>
              <w:left w:val="single" w:sz="8" w:space="0" w:color="FFFFFF"/>
              <w:bottom w:val="nil"/>
              <w:right w:val="single" w:sz="8" w:space="0" w:color="FFFFFF"/>
            </w:tcBorders>
            <w:shd w:val="clear" w:color="000000" w:fill="F2F2F2"/>
            <w:vAlign w:val="center"/>
            <w:hideMark/>
          </w:tcPr>
          <w:p w14:paraId="1EDCCF13"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ALO</w:t>
            </w:r>
          </w:p>
        </w:tc>
        <w:tc>
          <w:tcPr>
            <w:tcW w:w="3520" w:type="dxa"/>
            <w:tcBorders>
              <w:top w:val="single" w:sz="8" w:space="0" w:color="FFFFFF"/>
              <w:left w:val="nil"/>
              <w:bottom w:val="nil"/>
              <w:right w:val="single" w:sz="8" w:space="0" w:color="FFFFFF"/>
            </w:tcBorders>
            <w:shd w:val="clear" w:color="000000" w:fill="F2F2F2"/>
            <w:vAlign w:val="center"/>
            <w:hideMark/>
          </w:tcPr>
          <w:p w14:paraId="1EDCCF14"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Audit Liaison Officer</w:t>
            </w:r>
          </w:p>
        </w:tc>
        <w:tc>
          <w:tcPr>
            <w:tcW w:w="3033" w:type="dxa"/>
            <w:tcBorders>
              <w:top w:val="single" w:sz="8" w:space="0" w:color="FFFFFF"/>
              <w:left w:val="nil"/>
              <w:bottom w:val="nil"/>
              <w:right w:val="single" w:sz="8" w:space="0" w:color="FFFFFF"/>
            </w:tcBorders>
            <w:shd w:val="clear" w:color="000000" w:fill="F2F2F2"/>
            <w:vAlign w:val="center"/>
            <w:hideMark/>
          </w:tcPr>
          <w:p w14:paraId="1EDCCF15"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szCs w:val="18"/>
                <w:lang w:eastAsia="en-AU"/>
              </w:rPr>
              <w:t> </w:t>
            </w:r>
          </w:p>
        </w:tc>
      </w:tr>
      <w:tr w:rsidR="00C072B0" w:rsidRPr="00C072B0" w14:paraId="1EDCCF1A" w14:textId="77777777" w:rsidTr="00C072B0">
        <w:trPr>
          <w:trHeight w:val="315"/>
        </w:trPr>
        <w:tc>
          <w:tcPr>
            <w:tcW w:w="960" w:type="dxa"/>
            <w:tcBorders>
              <w:top w:val="single" w:sz="8" w:space="0" w:color="FFFFFF"/>
              <w:left w:val="single" w:sz="8" w:space="0" w:color="FFFFFF"/>
              <w:bottom w:val="nil"/>
              <w:right w:val="single" w:sz="8" w:space="0" w:color="FFFFFF"/>
            </w:tcBorders>
            <w:shd w:val="clear" w:color="000000" w:fill="F2F2F2"/>
            <w:vAlign w:val="center"/>
            <w:hideMark/>
          </w:tcPr>
          <w:p w14:paraId="1EDCCF17"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DFR</w:t>
            </w:r>
          </w:p>
        </w:tc>
        <w:tc>
          <w:tcPr>
            <w:tcW w:w="3520" w:type="dxa"/>
            <w:tcBorders>
              <w:top w:val="single" w:sz="8" w:space="0" w:color="FFFFFF"/>
              <w:left w:val="nil"/>
              <w:bottom w:val="nil"/>
              <w:right w:val="single" w:sz="8" w:space="0" w:color="FFFFFF"/>
            </w:tcBorders>
            <w:shd w:val="clear" w:color="000000" w:fill="F2F2F2"/>
            <w:vAlign w:val="center"/>
            <w:hideMark/>
          </w:tcPr>
          <w:p w14:paraId="1EDCCF18"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Director Financial Reporting</w:t>
            </w:r>
          </w:p>
        </w:tc>
        <w:tc>
          <w:tcPr>
            <w:tcW w:w="3033" w:type="dxa"/>
            <w:tcBorders>
              <w:top w:val="single" w:sz="8" w:space="0" w:color="FFFFFF"/>
              <w:left w:val="nil"/>
              <w:bottom w:val="nil"/>
              <w:right w:val="single" w:sz="8" w:space="0" w:color="FFFFFF"/>
            </w:tcBorders>
            <w:shd w:val="clear" w:color="000000" w:fill="F2F2F2"/>
            <w:vAlign w:val="center"/>
            <w:hideMark/>
          </w:tcPr>
          <w:p w14:paraId="1EDCCF19"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szCs w:val="18"/>
                <w:lang w:eastAsia="en-AU"/>
              </w:rPr>
              <w:t> </w:t>
            </w:r>
          </w:p>
        </w:tc>
      </w:tr>
      <w:tr w:rsidR="00C072B0" w:rsidRPr="00C072B0" w14:paraId="1EDCCF1E" w14:textId="77777777" w:rsidTr="00C072B0">
        <w:trPr>
          <w:trHeight w:val="315"/>
        </w:trPr>
        <w:tc>
          <w:tcPr>
            <w:tcW w:w="960" w:type="dxa"/>
            <w:tcBorders>
              <w:top w:val="single" w:sz="8" w:space="0" w:color="FFFFFF"/>
              <w:left w:val="single" w:sz="8" w:space="0" w:color="FFFFFF"/>
              <w:bottom w:val="nil"/>
              <w:right w:val="single" w:sz="8" w:space="0" w:color="FFFFFF"/>
            </w:tcBorders>
            <w:shd w:val="clear" w:color="000000" w:fill="F2F2F2"/>
            <w:vAlign w:val="center"/>
            <w:hideMark/>
          </w:tcPr>
          <w:p w14:paraId="1EDCCF1B"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ACS</w:t>
            </w:r>
          </w:p>
        </w:tc>
        <w:tc>
          <w:tcPr>
            <w:tcW w:w="3520" w:type="dxa"/>
            <w:tcBorders>
              <w:top w:val="single" w:sz="8" w:space="0" w:color="FFFFFF"/>
              <w:left w:val="nil"/>
              <w:bottom w:val="nil"/>
              <w:right w:val="single" w:sz="8" w:space="0" w:color="FFFFFF"/>
            </w:tcBorders>
            <w:shd w:val="clear" w:color="000000" w:fill="F2F2F2"/>
            <w:vAlign w:val="center"/>
            <w:hideMark/>
          </w:tcPr>
          <w:p w14:paraId="1EDCCF1C"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Audit Committee Secretariat</w:t>
            </w:r>
          </w:p>
        </w:tc>
        <w:tc>
          <w:tcPr>
            <w:tcW w:w="3033" w:type="dxa"/>
            <w:tcBorders>
              <w:top w:val="single" w:sz="8" w:space="0" w:color="FFFFFF"/>
              <w:left w:val="nil"/>
              <w:bottom w:val="nil"/>
              <w:right w:val="single" w:sz="8" w:space="0" w:color="FFFFFF"/>
            </w:tcBorders>
            <w:shd w:val="clear" w:color="000000" w:fill="F2F2F2"/>
            <w:vAlign w:val="center"/>
            <w:hideMark/>
          </w:tcPr>
          <w:p w14:paraId="1EDCCF1D"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szCs w:val="18"/>
                <w:lang w:eastAsia="en-AU"/>
              </w:rPr>
              <w:t> </w:t>
            </w:r>
          </w:p>
        </w:tc>
      </w:tr>
      <w:tr w:rsidR="00C072B0" w:rsidRPr="00C072B0" w14:paraId="1EDCCF22" w14:textId="77777777" w:rsidTr="00C072B0">
        <w:trPr>
          <w:trHeight w:val="315"/>
        </w:trPr>
        <w:tc>
          <w:tcPr>
            <w:tcW w:w="960" w:type="dxa"/>
            <w:tcBorders>
              <w:top w:val="single" w:sz="8" w:space="0" w:color="FFFFFF"/>
              <w:left w:val="single" w:sz="8" w:space="0" w:color="FFFFFF"/>
              <w:bottom w:val="nil"/>
              <w:right w:val="single" w:sz="8" w:space="0" w:color="FFFFFF"/>
            </w:tcBorders>
            <w:shd w:val="clear" w:color="000000" w:fill="F2F2F2"/>
            <w:vAlign w:val="center"/>
            <w:hideMark/>
          </w:tcPr>
          <w:p w14:paraId="1EDCCF1F"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CFO</w:t>
            </w:r>
          </w:p>
        </w:tc>
        <w:tc>
          <w:tcPr>
            <w:tcW w:w="3520" w:type="dxa"/>
            <w:tcBorders>
              <w:top w:val="single" w:sz="8" w:space="0" w:color="FFFFFF"/>
              <w:left w:val="nil"/>
              <w:bottom w:val="nil"/>
              <w:right w:val="single" w:sz="8" w:space="0" w:color="FFFFFF"/>
            </w:tcBorders>
            <w:shd w:val="clear" w:color="000000" w:fill="F2F2F2"/>
            <w:vAlign w:val="center"/>
            <w:hideMark/>
          </w:tcPr>
          <w:p w14:paraId="1EDCCF20"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Chief Financial Officer</w:t>
            </w:r>
          </w:p>
        </w:tc>
        <w:tc>
          <w:tcPr>
            <w:tcW w:w="3033" w:type="dxa"/>
            <w:tcBorders>
              <w:top w:val="single" w:sz="8" w:space="0" w:color="FFFFFF"/>
              <w:left w:val="nil"/>
              <w:bottom w:val="nil"/>
              <w:right w:val="single" w:sz="8" w:space="0" w:color="FFFFFF"/>
            </w:tcBorders>
            <w:shd w:val="clear" w:color="000000" w:fill="F2F2F2"/>
            <w:vAlign w:val="center"/>
            <w:hideMark/>
          </w:tcPr>
          <w:p w14:paraId="1EDCCF21"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szCs w:val="18"/>
                <w:lang w:eastAsia="en-AU"/>
              </w:rPr>
              <w:t> </w:t>
            </w:r>
          </w:p>
        </w:tc>
      </w:tr>
      <w:tr w:rsidR="00C072B0" w:rsidRPr="00C072B0" w14:paraId="1EDCCF26" w14:textId="77777777" w:rsidTr="00C072B0">
        <w:trPr>
          <w:trHeight w:val="315"/>
        </w:trPr>
        <w:tc>
          <w:tcPr>
            <w:tcW w:w="960" w:type="dxa"/>
            <w:tcBorders>
              <w:top w:val="single" w:sz="8" w:space="0" w:color="FFFFFF"/>
              <w:left w:val="single" w:sz="8" w:space="0" w:color="FFFFFF"/>
              <w:bottom w:val="nil"/>
              <w:right w:val="single" w:sz="8" w:space="0" w:color="FFFFFF"/>
            </w:tcBorders>
            <w:shd w:val="clear" w:color="000000" w:fill="F2F2F2"/>
            <w:vAlign w:val="center"/>
            <w:hideMark/>
          </w:tcPr>
          <w:p w14:paraId="1EDCCF23"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ATL</w:t>
            </w:r>
          </w:p>
        </w:tc>
        <w:tc>
          <w:tcPr>
            <w:tcW w:w="3520" w:type="dxa"/>
            <w:tcBorders>
              <w:top w:val="single" w:sz="8" w:space="0" w:color="FFFFFF"/>
              <w:left w:val="nil"/>
              <w:bottom w:val="nil"/>
              <w:right w:val="single" w:sz="8" w:space="0" w:color="FFFFFF"/>
            </w:tcBorders>
            <w:shd w:val="clear" w:color="000000" w:fill="F2F2F2"/>
            <w:vAlign w:val="center"/>
            <w:hideMark/>
          </w:tcPr>
          <w:p w14:paraId="1EDCCF24"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Audit Team Leader</w:t>
            </w:r>
          </w:p>
        </w:tc>
        <w:tc>
          <w:tcPr>
            <w:tcW w:w="3033" w:type="dxa"/>
            <w:tcBorders>
              <w:top w:val="single" w:sz="8" w:space="0" w:color="FFFFFF"/>
              <w:left w:val="nil"/>
              <w:bottom w:val="nil"/>
              <w:right w:val="single" w:sz="8" w:space="0" w:color="FFFFFF"/>
            </w:tcBorders>
            <w:shd w:val="clear" w:color="000000" w:fill="F2F2F2"/>
            <w:vAlign w:val="center"/>
            <w:hideMark/>
          </w:tcPr>
          <w:p w14:paraId="1EDCCF25"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szCs w:val="18"/>
                <w:lang w:eastAsia="en-AU"/>
              </w:rPr>
              <w:t> </w:t>
            </w:r>
          </w:p>
        </w:tc>
      </w:tr>
      <w:tr w:rsidR="00C072B0" w:rsidRPr="00C072B0" w14:paraId="1EDCCF2A" w14:textId="77777777" w:rsidTr="00C072B0">
        <w:trPr>
          <w:trHeight w:val="315"/>
        </w:trPr>
        <w:tc>
          <w:tcPr>
            <w:tcW w:w="960" w:type="dxa"/>
            <w:tcBorders>
              <w:top w:val="single" w:sz="8" w:space="0" w:color="FFFFFF"/>
              <w:left w:val="single" w:sz="8" w:space="0" w:color="FFFFFF"/>
              <w:bottom w:val="nil"/>
              <w:right w:val="single" w:sz="8" w:space="0" w:color="FFFFFF"/>
            </w:tcBorders>
            <w:shd w:val="clear" w:color="000000" w:fill="F2F2F2"/>
            <w:vAlign w:val="center"/>
            <w:hideMark/>
          </w:tcPr>
          <w:p w14:paraId="1EDCCF27" w14:textId="77777777" w:rsidR="00C072B0" w:rsidRPr="00C072B0" w:rsidRDefault="00F77977" w:rsidP="00F77977">
            <w:pPr>
              <w:suppressAutoHyphens w:val="0"/>
              <w:spacing w:before="0" w:after="0" w:line="240" w:lineRule="auto"/>
              <w:rPr>
                <w:rFonts w:ascii="Arial" w:eastAsia="Times New Roman" w:hAnsi="Arial" w:cs="Arial"/>
                <w:sz w:val="18"/>
                <w:szCs w:val="18"/>
                <w:lang w:eastAsia="en-AU"/>
              </w:rPr>
            </w:pPr>
            <w:r>
              <w:rPr>
                <w:rFonts w:ascii="Arial" w:eastAsia="Times New Roman" w:hAnsi="Arial" w:cs="Arial"/>
                <w:sz w:val="18"/>
                <w:lang w:val="en-US" w:eastAsia="en-AU"/>
              </w:rPr>
              <w:t>SADA</w:t>
            </w:r>
          </w:p>
        </w:tc>
        <w:tc>
          <w:tcPr>
            <w:tcW w:w="3520" w:type="dxa"/>
            <w:tcBorders>
              <w:top w:val="single" w:sz="8" w:space="0" w:color="FFFFFF"/>
              <w:left w:val="nil"/>
              <w:bottom w:val="nil"/>
              <w:right w:val="single" w:sz="8" w:space="0" w:color="FFFFFF"/>
            </w:tcBorders>
            <w:shd w:val="clear" w:color="000000" w:fill="F2F2F2"/>
            <w:vAlign w:val="center"/>
            <w:hideMark/>
          </w:tcPr>
          <w:p w14:paraId="1EDCCF28" w14:textId="77777777" w:rsidR="00C072B0" w:rsidRPr="00C072B0" w:rsidRDefault="00F77977" w:rsidP="00F77977">
            <w:pPr>
              <w:suppressAutoHyphens w:val="0"/>
              <w:spacing w:before="0" w:after="0" w:line="240" w:lineRule="auto"/>
              <w:rPr>
                <w:rFonts w:ascii="Arial" w:eastAsia="Times New Roman" w:hAnsi="Arial" w:cs="Arial"/>
                <w:sz w:val="18"/>
                <w:szCs w:val="18"/>
                <w:lang w:eastAsia="en-AU"/>
              </w:rPr>
            </w:pPr>
            <w:r>
              <w:rPr>
                <w:rFonts w:ascii="Arial" w:eastAsia="Times New Roman" w:hAnsi="Arial" w:cs="Arial"/>
                <w:sz w:val="18"/>
                <w:lang w:val="en-US" w:eastAsia="en-AU"/>
              </w:rPr>
              <w:t xml:space="preserve">System Assurance and Data Analytics </w:t>
            </w:r>
            <w:r w:rsidR="00C072B0" w:rsidRPr="00C072B0">
              <w:rPr>
                <w:rFonts w:ascii="Arial" w:eastAsia="Times New Roman" w:hAnsi="Arial" w:cs="Arial"/>
                <w:sz w:val="18"/>
                <w:lang w:val="en-US" w:eastAsia="en-AU"/>
              </w:rPr>
              <w:t>Auditor</w:t>
            </w:r>
          </w:p>
        </w:tc>
        <w:tc>
          <w:tcPr>
            <w:tcW w:w="3033" w:type="dxa"/>
            <w:tcBorders>
              <w:top w:val="single" w:sz="8" w:space="0" w:color="FFFFFF"/>
              <w:left w:val="nil"/>
              <w:bottom w:val="nil"/>
              <w:right w:val="single" w:sz="8" w:space="0" w:color="FFFFFF"/>
            </w:tcBorders>
            <w:shd w:val="clear" w:color="000000" w:fill="F2F2F2"/>
            <w:vAlign w:val="center"/>
            <w:hideMark/>
          </w:tcPr>
          <w:p w14:paraId="1EDCCF29"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szCs w:val="18"/>
                <w:lang w:eastAsia="en-AU"/>
              </w:rPr>
              <w:t> </w:t>
            </w:r>
          </w:p>
        </w:tc>
      </w:tr>
      <w:tr w:rsidR="00C072B0" w:rsidRPr="00C072B0" w14:paraId="1EDCCF2E" w14:textId="77777777" w:rsidTr="00C072B0">
        <w:trPr>
          <w:trHeight w:val="300"/>
        </w:trPr>
        <w:tc>
          <w:tcPr>
            <w:tcW w:w="960" w:type="dxa"/>
            <w:tcBorders>
              <w:top w:val="single" w:sz="8" w:space="0" w:color="FFFFFF"/>
              <w:left w:val="single" w:sz="8" w:space="0" w:color="FFFFFF"/>
              <w:bottom w:val="nil"/>
              <w:right w:val="single" w:sz="8" w:space="0" w:color="FFFFFF"/>
            </w:tcBorders>
            <w:shd w:val="clear" w:color="000000" w:fill="F2F2F2"/>
            <w:vAlign w:val="center"/>
            <w:hideMark/>
          </w:tcPr>
          <w:p w14:paraId="1EDCCF2B"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ASO</w:t>
            </w:r>
          </w:p>
        </w:tc>
        <w:tc>
          <w:tcPr>
            <w:tcW w:w="3520" w:type="dxa"/>
            <w:tcBorders>
              <w:top w:val="single" w:sz="8" w:space="0" w:color="FFFFFF"/>
              <w:left w:val="nil"/>
              <w:bottom w:val="nil"/>
              <w:right w:val="single" w:sz="8" w:space="0" w:color="FFFFFF"/>
            </w:tcBorders>
            <w:shd w:val="clear" w:color="000000" w:fill="F2F2F2"/>
            <w:vAlign w:val="center"/>
            <w:hideMark/>
          </w:tcPr>
          <w:p w14:paraId="1EDCCF2C"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lang w:val="en-US" w:eastAsia="en-AU"/>
              </w:rPr>
              <w:t>Audit Signing Officer</w:t>
            </w:r>
          </w:p>
        </w:tc>
        <w:tc>
          <w:tcPr>
            <w:tcW w:w="3033" w:type="dxa"/>
            <w:tcBorders>
              <w:top w:val="single" w:sz="8" w:space="0" w:color="FFFFFF"/>
              <w:left w:val="nil"/>
              <w:bottom w:val="nil"/>
              <w:right w:val="single" w:sz="8" w:space="0" w:color="FFFFFF"/>
            </w:tcBorders>
            <w:shd w:val="clear" w:color="000000" w:fill="F2F2F2"/>
            <w:vAlign w:val="center"/>
            <w:hideMark/>
          </w:tcPr>
          <w:p w14:paraId="1EDCCF2D" w14:textId="77777777" w:rsidR="00C072B0" w:rsidRPr="00C072B0" w:rsidRDefault="00C072B0" w:rsidP="00C072B0">
            <w:pPr>
              <w:suppressAutoHyphens w:val="0"/>
              <w:spacing w:before="0" w:after="0" w:line="240" w:lineRule="auto"/>
              <w:rPr>
                <w:rFonts w:ascii="Arial" w:eastAsia="Times New Roman" w:hAnsi="Arial" w:cs="Arial"/>
                <w:sz w:val="18"/>
                <w:szCs w:val="18"/>
                <w:lang w:eastAsia="en-AU"/>
              </w:rPr>
            </w:pPr>
            <w:r w:rsidRPr="00C072B0">
              <w:rPr>
                <w:rFonts w:ascii="Arial" w:eastAsia="Times New Roman" w:hAnsi="Arial" w:cs="Arial"/>
                <w:sz w:val="18"/>
                <w:szCs w:val="18"/>
                <w:lang w:eastAsia="en-AU"/>
              </w:rPr>
              <w:t> </w:t>
            </w:r>
          </w:p>
        </w:tc>
      </w:tr>
    </w:tbl>
    <w:p w14:paraId="1EDCCF2F" w14:textId="77777777" w:rsidR="00C072B0" w:rsidRDefault="003751AA" w:rsidP="00C072B0">
      <w:pPr>
        <w:pStyle w:val="Heading3"/>
        <w:rPr>
          <w:lang w:eastAsia="en-AU"/>
        </w:rPr>
      </w:pPr>
      <w:r>
        <w:rPr>
          <w:lang w:eastAsia="en-AU"/>
        </w:rPr>
        <w:t>Financial statement i</w:t>
      </w:r>
      <w:r w:rsidR="00C072B0">
        <w:rPr>
          <w:lang w:eastAsia="en-AU"/>
        </w:rPr>
        <w:t>tems</w:t>
      </w:r>
    </w:p>
    <w:p w14:paraId="1EDCCF30" w14:textId="77777777" w:rsidR="00C072B0" w:rsidRDefault="00C072B0" w:rsidP="00C072B0">
      <w:pPr>
        <w:rPr>
          <w:lang w:eastAsia="en-AU"/>
        </w:rPr>
      </w:pPr>
      <w:r w:rsidRPr="00C072B0">
        <w:t>Example documentation requirements should be tailored to meet the ANAO’s requirements for each financial statement item</w:t>
      </w:r>
      <w:r>
        <w:rPr>
          <w:lang w:eastAsia="en-AU"/>
        </w:rPr>
        <w:t>.</w:t>
      </w:r>
    </w:p>
    <w:p w14:paraId="1EDCCF31" w14:textId="77777777" w:rsidR="00C072B0" w:rsidRPr="002F0EF8" w:rsidRDefault="00C072B0" w:rsidP="002F0EF8">
      <w:pPr>
        <w:rPr>
          <w:lang w:eastAsia="en-AU"/>
        </w:rPr>
      </w:pPr>
    </w:p>
    <w:sectPr w:rsidR="00C072B0" w:rsidRPr="002F0EF8" w:rsidSect="003D6E64">
      <w:headerReference w:type="default" r:id="rId13"/>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CCF34" w14:textId="77777777" w:rsidR="006B209A" w:rsidRDefault="006B209A" w:rsidP="00EF4574">
      <w:pPr>
        <w:spacing w:before="0" w:after="0" w:line="240" w:lineRule="auto"/>
      </w:pPr>
      <w:r>
        <w:separator/>
      </w:r>
    </w:p>
  </w:endnote>
  <w:endnote w:type="continuationSeparator" w:id="0">
    <w:p w14:paraId="1EDCCF35" w14:textId="77777777" w:rsidR="006B209A" w:rsidRDefault="006B209A"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CF32" w14:textId="77777777" w:rsidR="006B209A" w:rsidRDefault="006B209A" w:rsidP="0020122A">
      <w:pPr>
        <w:pStyle w:val="FootnoteSeparator"/>
      </w:pPr>
    </w:p>
  </w:footnote>
  <w:footnote w:type="continuationSeparator" w:id="0">
    <w:p w14:paraId="1EDCCF33" w14:textId="77777777" w:rsidR="006B209A" w:rsidRDefault="006B209A"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CF37" w14:textId="77777777" w:rsidR="00084FE1" w:rsidRPr="0090743D" w:rsidRDefault="00084FE1" w:rsidP="00084FE1">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1EDCCF38" w14:textId="77777777" w:rsidR="00084FE1" w:rsidRDefault="00084FE1">
    <w:pPr>
      <w:pStyle w:val="Header"/>
    </w:pPr>
    <w:r w:rsidRPr="0090743D">
      <w:rPr>
        <w:szCs w:val="14"/>
      </w:rPr>
      <w:tab/>
    </w:r>
    <w:r w:rsidRPr="0090743D">
      <w:rPr>
        <w:szCs w:val="14"/>
      </w:rPr>
      <w:tab/>
    </w:r>
    <w:r w:rsidRPr="00084FE1">
      <w:rPr>
        <w:szCs w:val="14"/>
      </w:rPr>
      <w:t>Template: Audit assistance package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282518C"/>
    <w:multiLevelType w:val="hybridMultilevel"/>
    <w:tmpl w:val="C0C874DE"/>
    <w:lvl w:ilvl="0" w:tplc="8594F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530A09"/>
    <w:multiLevelType w:val="hybridMultilevel"/>
    <w:tmpl w:val="7AD2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E0F57C3"/>
    <w:multiLevelType w:val="hybridMultilevel"/>
    <w:tmpl w:val="372ACE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num>
  <w:num w:numId="23">
    <w:abstractNumId w:val="17"/>
  </w:num>
  <w:num w:numId="24">
    <w:abstractNumId w:val="17"/>
  </w:num>
  <w:num w:numId="25">
    <w:abstractNumId w:val="16"/>
  </w:num>
  <w:num w:numId="26">
    <w:abstractNumId w:val="12"/>
  </w:num>
  <w:num w:numId="27">
    <w:abstractNumId w:val="12"/>
  </w:num>
  <w:num w:numId="28">
    <w:abstractNumId w:val="12"/>
  </w:num>
  <w:num w:numId="29">
    <w:abstractNumId w:val="12"/>
  </w:num>
  <w:num w:numId="30">
    <w:abstractNumId w:val="10"/>
  </w:num>
  <w:num w:numId="31">
    <w:abstractNumId w:val="10"/>
  </w:num>
  <w:num w:numId="32">
    <w:abstractNumId w:val="10"/>
  </w:num>
  <w:num w:numId="33">
    <w:abstractNumId w:val="10"/>
  </w:num>
  <w:num w:numId="34">
    <w:abstractNumId w:val="15"/>
  </w:num>
  <w:num w:numId="35">
    <w:abstractNumId w:val="17"/>
  </w:num>
  <w:num w:numId="36">
    <w:abstractNumId w:val="14"/>
  </w:num>
  <w:num w:numId="37">
    <w:abstractNumId w:val="13"/>
  </w:num>
  <w:num w:numId="38">
    <w:abstractNumId w:val="18"/>
  </w:num>
  <w:num w:numId="39">
    <w:abstractNumId w:val="1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02259"/>
    <w:rsid w:val="00021B85"/>
    <w:rsid w:val="0002782F"/>
    <w:rsid w:val="00054E4D"/>
    <w:rsid w:val="00060073"/>
    <w:rsid w:val="00084FE1"/>
    <w:rsid w:val="000A4B30"/>
    <w:rsid w:val="000A6A8B"/>
    <w:rsid w:val="000C2A48"/>
    <w:rsid w:val="000D60B1"/>
    <w:rsid w:val="001541EA"/>
    <w:rsid w:val="00160C9E"/>
    <w:rsid w:val="001612A4"/>
    <w:rsid w:val="001973D5"/>
    <w:rsid w:val="001E1DC0"/>
    <w:rsid w:val="0020122A"/>
    <w:rsid w:val="0028602A"/>
    <w:rsid w:val="002F0EF8"/>
    <w:rsid w:val="00301144"/>
    <w:rsid w:val="003148B7"/>
    <w:rsid w:val="003158C3"/>
    <w:rsid w:val="003273BE"/>
    <w:rsid w:val="003274CD"/>
    <w:rsid w:val="0035119D"/>
    <w:rsid w:val="00364BF8"/>
    <w:rsid w:val="003751AA"/>
    <w:rsid w:val="00394A42"/>
    <w:rsid w:val="0039715A"/>
    <w:rsid w:val="003B4F12"/>
    <w:rsid w:val="003D6E64"/>
    <w:rsid w:val="00423F31"/>
    <w:rsid w:val="00431899"/>
    <w:rsid w:val="00460B9D"/>
    <w:rsid w:val="00472799"/>
    <w:rsid w:val="00486804"/>
    <w:rsid w:val="004B3775"/>
    <w:rsid w:val="004E058F"/>
    <w:rsid w:val="004E3B87"/>
    <w:rsid w:val="00510921"/>
    <w:rsid w:val="00510AD3"/>
    <w:rsid w:val="00513348"/>
    <w:rsid w:val="00533B5D"/>
    <w:rsid w:val="005506BA"/>
    <w:rsid w:val="00587D32"/>
    <w:rsid w:val="005970EA"/>
    <w:rsid w:val="005A6C78"/>
    <w:rsid w:val="005C37F0"/>
    <w:rsid w:val="005E45E3"/>
    <w:rsid w:val="00623BA1"/>
    <w:rsid w:val="006346BC"/>
    <w:rsid w:val="0066652A"/>
    <w:rsid w:val="0067727F"/>
    <w:rsid w:val="0068028B"/>
    <w:rsid w:val="00682167"/>
    <w:rsid w:val="006B209A"/>
    <w:rsid w:val="006C42AF"/>
    <w:rsid w:val="006C4DD1"/>
    <w:rsid w:val="00711D8E"/>
    <w:rsid w:val="00712672"/>
    <w:rsid w:val="0072728A"/>
    <w:rsid w:val="00734E3F"/>
    <w:rsid w:val="00736985"/>
    <w:rsid w:val="00755721"/>
    <w:rsid w:val="007B6200"/>
    <w:rsid w:val="007D134E"/>
    <w:rsid w:val="007D60C5"/>
    <w:rsid w:val="007E38E8"/>
    <w:rsid w:val="00801B9F"/>
    <w:rsid w:val="00802117"/>
    <w:rsid w:val="00880B3F"/>
    <w:rsid w:val="009222BC"/>
    <w:rsid w:val="009B4D3B"/>
    <w:rsid w:val="009B53C8"/>
    <w:rsid w:val="009B5E3F"/>
    <w:rsid w:val="009D7407"/>
    <w:rsid w:val="009E0866"/>
    <w:rsid w:val="00A24A62"/>
    <w:rsid w:val="00A31C9F"/>
    <w:rsid w:val="00A76378"/>
    <w:rsid w:val="00AC164A"/>
    <w:rsid w:val="00AF2050"/>
    <w:rsid w:val="00B00E2A"/>
    <w:rsid w:val="00B44792"/>
    <w:rsid w:val="00BB26C5"/>
    <w:rsid w:val="00BF4DE6"/>
    <w:rsid w:val="00C072B0"/>
    <w:rsid w:val="00C42CDE"/>
    <w:rsid w:val="00C7334F"/>
    <w:rsid w:val="00CA37B1"/>
    <w:rsid w:val="00CB1959"/>
    <w:rsid w:val="00CB32DB"/>
    <w:rsid w:val="00D0296C"/>
    <w:rsid w:val="00D76E1A"/>
    <w:rsid w:val="00DB35A3"/>
    <w:rsid w:val="00DB6D69"/>
    <w:rsid w:val="00DC430B"/>
    <w:rsid w:val="00DD7278"/>
    <w:rsid w:val="00E24DAC"/>
    <w:rsid w:val="00E25FBA"/>
    <w:rsid w:val="00E357B7"/>
    <w:rsid w:val="00E53800"/>
    <w:rsid w:val="00E5630D"/>
    <w:rsid w:val="00E6081F"/>
    <w:rsid w:val="00EA04B2"/>
    <w:rsid w:val="00EA20F3"/>
    <w:rsid w:val="00ED43D1"/>
    <w:rsid w:val="00EE4EE1"/>
    <w:rsid w:val="00EF4574"/>
    <w:rsid w:val="00F0219E"/>
    <w:rsid w:val="00F2684E"/>
    <w:rsid w:val="00F33736"/>
    <w:rsid w:val="00F729EF"/>
    <w:rsid w:val="00F77977"/>
    <w:rsid w:val="00F77CAE"/>
    <w:rsid w:val="00F96BB9"/>
    <w:rsid w:val="00FD7F41"/>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DC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75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9601">
      <w:bodyDiv w:val="1"/>
      <w:marLeft w:val="0"/>
      <w:marRight w:val="0"/>
      <w:marTop w:val="0"/>
      <w:marBottom w:val="0"/>
      <w:divBdr>
        <w:top w:val="none" w:sz="0" w:space="0" w:color="auto"/>
        <w:left w:val="none" w:sz="0" w:space="0" w:color="auto"/>
        <w:bottom w:val="none" w:sz="0" w:space="0" w:color="auto"/>
        <w:right w:val="none" w:sz="0" w:space="0" w:color="auto"/>
      </w:divBdr>
    </w:div>
    <w:div w:id="131296461">
      <w:bodyDiv w:val="1"/>
      <w:marLeft w:val="0"/>
      <w:marRight w:val="0"/>
      <w:marTop w:val="0"/>
      <w:marBottom w:val="0"/>
      <w:divBdr>
        <w:top w:val="none" w:sz="0" w:space="0" w:color="auto"/>
        <w:left w:val="none" w:sz="0" w:space="0" w:color="auto"/>
        <w:bottom w:val="none" w:sz="0" w:space="0" w:color="auto"/>
        <w:right w:val="none" w:sz="0" w:space="0" w:color="auto"/>
      </w:divBdr>
    </w:div>
    <w:div w:id="140124649">
      <w:bodyDiv w:val="1"/>
      <w:marLeft w:val="0"/>
      <w:marRight w:val="0"/>
      <w:marTop w:val="0"/>
      <w:marBottom w:val="0"/>
      <w:divBdr>
        <w:top w:val="none" w:sz="0" w:space="0" w:color="auto"/>
        <w:left w:val="none" w:sz="0" w:space="0" w:color="auto"/>
        <w:bottom w:val="none" w:sz="0" w:space="0" w:color="auto"/>
        <w:right w:val="none" w:sz="0" w:space="0" w:color="auto"/>
      </w:divBdr>
    </w:div>
    <w:div w:id="178206116">
      <w:bodyDiv w:val="1"/>
      <w:marLeft w:val="0"/>
      <w:marRight w:val="0"/>
      <w:marTop w:val="0"/>
      <w:marBottom w:val="0"/>
      <w:divBdr>
        <w:top w:val="none" w:sz="0" w:space="0" w:color="auto"/>
        <w:left w:val="none" w:sz="0" w:space="0" w:color="auto"/>
        <w:bottom w:val="none" w:sz="0" w:space="0" w:color="auto"/>
        <w:right w:val="none" w:sz="0" w:space="0" w:color="auto"/>
      </w:divBdr>
    </w:div>
    <w:div w:id="259071857">
      <w:bodyDiv w:val="1"/>
      <w:marLeft w:val="0"/>
      <w:marRight w:val="0"/>
      <w:marTop w:val="0"/>
      <w:marBottom w:val="0"/>
      <w:divBdr>
        <w:top w:val="none" w:sz="0" w:space="0" w:color="auto"/>
        <w:left w:val="none" w:sz="0" w:space="0" w:color="auto"/>
        <w:bottom w:val="none" w:sz="0" w:space="0" w:color="auto"/>
        <w:right w:val="none" w:sz="0" w:space="0" w:color="auto"/>
      </w:divBdr>
    </w:div>
    <w:div w:id="377510909">
      <w:bodyDiv w:val="1"/>
      <w:marLeft w:val="0"/>
      <w:marRight w:val="0"/>
      <w:marTop w:val="0"/>
      <w:marBottom w:val="0"/>
      <w:divBdr>
        <w:top w:val="none" w:sz="0" w:space="0" w:color="auto"/>
        <w:left w:val="none" w:sz="0" w:space="0" w:color="auto"/>
        <w:bottom w:val="none" w:sz="0" w:space="0" w:color="auto"/>
        <w:right w:val="none" w:sz="0" w:space="0" w:color="auto"/>
      </w:divBdr>
    </w:div>
    <w:div w:id="636300402">
      <w:bodyDiv w:val="1"/>
      <w:marLeft w:val="0"/>
      <w:marRight w:val="0"/>
      <w:marTop w:val="0"/>
      <w:marBottom w:val="0"/>
      <w:divBdr>
        <w:top w:val="none" w:sz="0" w:space="0" w:color="auto"/>
        <w:left w:val="none" w:sz="0" w:space="0" w:color="auto"/>
        <w:bottom w:val="none" w:sz="0" w:space="0" w:color="auto"/>
        <w:right w:val="none" w:sz="0" w:space="0" w:color="auto"/>
      </w:divBdr>
    </w:div>
    <w:div w:id="685521556">
      <w:bodyDiv w:val="1"/>
      <w:marLeft w:val="0"/>
      <w:marRight w:val="0"/>
      <w:marTop w:val="0"/>
      <w:marBottom w:val="0"/>
      <w:divBdr>
        <w:top w:val="none" w:sz="0" w:space="0" w:color="auto"/>
        <w:left w:val="none" w:sz="0" w:space="0" w:color="auto"/>
        <w:bottom w:val="none" w:sz="0" w:space="0" w:color="auto"/>
        <w:right w:val="none" w:sz="0" w:space="0" w:color="auto"/>
      </w:divBdr>
    </w:div>
    <w:div w:id="758796324">
      <w:bodyDiv w:val="1"/>
      <w:marLeft w:val="0"/>
      <w:marRight w:val="0"/>
      <w:marTop w:val="0"/>
      <w:marBottom w:val="0"/>
      <w:divBdr>
        <w:top w:val="none" w:sz="0" w:space="0" w:color="auto"/>
        <w:left w:val="none" w:sz="0" w:space="0" w:color="auto"/>
        <w:bottom w:val="none" w:sz="0" w:space="0" w:color="auto"/>
        <w:right w:val="none" w:sz="0" w:space="0" w:color="auto"/>
      </w:divBdr>
    </w:div>
    <w:div w:id="900868726">
      <w:bodyDiv w:val="1"/>
      <w:marLeft w:val="0"/>
      <w:marRight w:val="0"/>
      <w:marTop w:val="0"/>
      <w:marBottom w:val="0"/>
      <w:divBdr>
        <w:top w:val="none" w:sz="0" w:space="0" w:color="auto"/>
        <w:left w:val="none" w:sz="0" w:space="0" w:color="auto"/>
        <w:bottom w:val="none" w:sz="0" w:space="0" w:color="auto"/>
        <w:right w:val="none" w:sz="0" w:space="0" w:color="auto"/>
      </w:divBdr>
    </w:div>
    <w:div w:id="1092509559">
      <w:bodyDiv w:val="1"/>
      <w:marLeft w:val="0"/>
      <w:marRight w:val="0"/>
      <w:marTop w:val="0"/>
      <w:marBottom w:val="0"/>
      <w:divBdr>
        <w:top w:val="none" w:sz="0" w:space="0" w:color="auto"/>
        <w:left w:val="none" w:sz="0" w:space="0" w:color="auto"/>
        <w:bottom w:val="none" w:sz="0" w:space="0" w:color="auto"/>
        <w:right w:val="none" w:sz="0" w:space="0" w:color="auto"/>
      </w:divBdr>
    </w:div>
    <w:div w:id="1157847490">
      <w:bodyDiv w:val="1"/>
      <w:marLeft w:val="0"/>
      <w:marRight w:val="0"/>
      <w:marTop w:val="0"/>
      <w:marBottom w:val="0"/>
      <w:divBdr>
        <w:top w:val="none" w:sz="0" w:space="0" w:color="auto"/>
        <w:left w:val="none" w:sz="0" w:space="0" w:color="auto"/>
        <w:bottom w:val="none" w:sz="0" w:space="0" w:color="auto"/>
        <w:right w:val="none" w:sz="0" w:space="0" w:color="auto"/>
      </w:divBdr>
    </w:div>
    <w:div w:id="1341739990">
      <w:bodyDiv w:val="1"/>
      <w:marLeft w:val="0"/>
      <w:marRight w:val="0"/>
      <w:marTop w:val="0"/>
      <w:marBottom w:val="0"/>
      <w:divBdr>
        <w:top w:val="none" w:sz="0" w:space="0" w:color="auto"/>
        <w:left w:val="none" w:sz="0" w:space="0" w:color="auto"/>
        <w:bottom w:val="none" w:sz="0" w:space="0" w:color="auto"/>
        <w:right w:val="none" w:sz="0" w:space="0" w:color="auto"/>
      </w:divBdr>
    </w:div>
    <w:div w:id="1378432034">
      <w:bodyDiv w:val="1"/>
      <w:marLeft w:val="0"/>
      <w:marRight w:val="0"/>
      <w:marTop w:val="0"/>
      <w:marBottom w:val="0"/>
      <w:divBdr>
        <w:top w:val="none" w:sz="0" w:space="0" w:color="auto"/>
        <w:left w:val="none" w:sz="0" w:space="0" w:color="auto"/>
        <w:bottom w:val="none" w:sz="0" w:space="0" w:color="auto"/>
        <w:right w:val="none" w:sz="0" w:space="0" w:color="auto"/>
      </w:divBdr>
    </w:div>
    <w:div w:id="1479490039">
      <w:bodyDiv w:val="1"/>
      <w:marLeft w:val="0"/>
      <w:marRight w:val="0"/>
      <w:marTop w:val="0"/>
      <w:marBottom w:val="0"/>
      <w:divBdr>
        <w:top w:val="none" w:sz="0" w:space="0" w:color="auto"/>
        <w:left w:val="none" w:sz="0" w:space="0" w:color="auto"/>
        <w:bottom w:val="none" w:sz="0" w:space="0" w:color="auto"/>
        <w:right w:val="none" w:sz="0" w:space="0" w:color="auto"/>
      </w:divBdr>
    </w:div>
    <w:div w:id="1658268008">
      <w:bodyDiv w:val="1"/>
      <w:marLeft w:val="0"/>
      <w:marRight w:val="0"/>
      <w:marTop w:val="0"/>
      <w:marBottom w:val="0"/>
      <w:divBdr>
        <w:top w:val="none" w:sz="0" w:space="0" w:color="auto"/>
        <w:left w:val="none" w:sz="0" w:space="0" w:color="auto"/>
        <w:bottom w:val="none" w:sz="0" w:space="0" w:color="auto"/>
        <w:right w:val="none" w:sz="0" w:space="0" w:color="auto"/>
      </w:divBdr>
    </w:div>
    <w:div w:id="1775904057">
      <w:bodyDiv w:val="1"/>
      <w:marLeft w:val="0"/>
      <w:marRight w:val="0"/>
      <w:marTop w:val="0"/>
      <w:marBottom w:val="0"/>
      <w:divBdr>
        <w:top w:val="none" w:sz="0" w:space="0" w:color="auto"/>
        <w:left w:val="none" w:sz="0" w:space="0" w:color="auto"/>
        <w:bottom w:val="none" w:sz="0" w:space="0" w:color="auto"/>
        <w:right w:val="none" w:sz="0" w:space="0" w:color="auto"/>
      </w:divBdr>
    </w:div>
    <w:div w:id="1783963137">
      <w:bodyDiv w:val="1"/>
      <w:marLeft w:val="0"/>
      <w:marRight w:val="0"/>
      <w:marTop w:val="0"/>
      <w:marBottom w:val="0"/>
      <w:divBdr>
        <w:top w:val="none" w:sz="0" w:space="0" w:color="auto"/>
        <w:left w:val="none" w:sz="0" w:space="0" w:color="auto"/>
        <w:bottom w:val="none" w:sz="0" w:space="0" w:color="auto"/>
        <w:right w:val="none" w:sz="0" w:space="0" w:color="auto"/>
      </w:divBdr>
    </w:div>
    <w:div w:id="1819960009">
      <w:bodyDiv w:val="1"/>
      <w:marLeft w:val="0"/>
      <w:marRight w:val="0"/>
      <w:marTop w:val="0"/>
      <w:marBottom w:val="0"/>
      <w:divBdr>
        <w:top w:val="none" w:sz="0" w:space="0" w:color="auto"/>
        <w:left w:val="none" w:sz="0" w:space="0" w:color="auto"/>
        <w:bottom w:val="none" w:sz="0" w:space="0" w:color="auto"/>
        <w:right w:val="none" w:sz="0" w:space="0" w:color="auto"/>
      </w:divBdr>
    </w:div>
    <w:div w:id="1853764419">
      <w:bodyDiv w:val="1"/>
      <w:marLeft w:val="0"/>
      <w:marRight w:val="0"/>
      <w:marTop w:val="0"/>
      <w:marBottom w:val="0"/>
      <w:divBdr>
        <w:top w:val="none" w:sz="0" w:space="0" w:color="auto"/>
        <w:left w:val="none" w:sz="0" w:space="0" w:color="auto"/>
        <w:bottom w:val="none" w:sz="0" w:space="0" w:color="auto"/>
        <w:right w:val="none" w:sz="0" w:space="0" w:color="auto"/>
      </w:divBdr>
    </w:div>
    <w:div w:id="1878543123">
      <w:bodyDiv w:val="1"/>
      <w:marLeft w:val="0"/>
      <w:marRight w:val="0"/>
      <w:marTop w:val="0"/>
      <w:marBottom w:val="0"/>
      <w:divBdr>
        <w:top w:val="none" w:sz="0" w:space="0" w:color="auto"/>
        <w:left w:val="none" w:sz="0" w:space="0" w:color="auto"/>
        <w:bottom w:val="none" w:sz="0" w:space="0" w:color="auto"/>
        <w:right w:val="none" w:sz="0" w:space="0" w:color="auto"/>
      </w:divBdr>
    </w:div>
    <w:div w:id="1927424205">
      <w:bodyDiv w:val="1"/>
      <w:marLeft w:val="0"/>
      <w:marRight w:val="0"/>
      <w:marTop w:val="0"/>
      <w:marBottom w:val="0"/>
      <w:divBdr>
        <w:top w:val="none" w:sz="0" w:space="0" w:color="auto"/>
        <w:left w:val="none" w:sz="0" w:space="0" w:color="auto"/>
        <w:bottom w:val="none" w:sz="0" w:space="0" w:color="auto"/>
        <w:right w:val="none" w:sz="0" w:space="0" w:color="auto"/>
      </w:divBdr>
    </w:div>
    <w:div w:id="1966278514">
      <w:bodyDiv w:val="1"/>
      <w:marLeft w:val="0"/>
      <w:marRight w:val="0"/>
      <w:marTop w:val="0"/>
      <w:marBottom w:val="0"/>
      <w:divBdr>
        <w:top w:val="none" w:sz="0" w:space="0" w:color="auto"/>
        <w:left w:val="none" w:sz="0" w:space="0" w:color="auto"/>
        <w:bottom w:val="none" w:sz="0" w:space="0" w:color="auto"/>
        <w:right w:val="none" w:sz="0" w:space="0" w:color="auto"/>
      </w:divBdr>
    </w:div>
    <w:div w:id="2118256489">
      <w:bodyDiv w:val="1"/>
      <w:marLeft w:val="0"/>
      <w:marRight w:val="0"/>
      <w:marTop w:val="0"/>
      <w:marBottom w:val="0"/>
      <w:divBdr>
        <w:top w:val="none" w:sz="0" w:space="0" w:color="auto"/>
        <w:left w:val="none" w:sz="0" w:space="0" w:color="auto"/>
        <w:bottom w:val="none" w:sz="0" w:space="0" w:color="auto"/>
        <w:right w:val="none" w:sz="0" w:space="0" w:color="auto"/>
      </w:divBdr>
    </w:div>
    <w:div w:id="21418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FIN33506-77069739-39651</_dlc_DocId>
    <_dlc_DocIdUrl xmlns="fdd6b31f-a027-425f-adfa-a4194e98dae2">
      <Url>https://f1.prdmgd.finance.gov.au/sites/50033506/_layouts/15/DocIdRedir.aspx?ID=FIN33506-77069739-39651</Url>
      <Description>FIN33506-77069739-39651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CA35-68E9-4472-8819-2AB3501F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C3BE8-FA42-4093-941A-77D7CFB08B2B}">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072DAC0-C862-434C-B065-A0C60741E594}">
  <ds:schemaRefs>
    <ds:schemaRef ds:uri="http://schemas.microsoft.com/sharepoint/v3/contenttype/forms"/>
  </ds:schemaRefs>
</ds:datastoreItem>
</file>

<file path=customXml/itemProps4.xml><?xml version="1.0" encoding="utf-8"?>
<ds:datastoreItem xmlns:ds="http://schemas.openxmlformats.org/officeDocument/2006/customXml" ds:itemID="{F5F18455-8917-4CA4-A566-5863F1EAA6E7}">
  <ds:schemaRefs>
    <ds:schemaRef ds:uri="http://schemas.microsoft.com/sharepoint/events"/>
  </ds:schemaRefs>
</ds:datastoreItem>
</file>

<file path=customXml/itemProps5.xml><?xml version="1.0" encoding="utf-8"?>
<ds:datastoreItem xmlns:ds="http://schemas.openxmlformats.org/officeDocument/2006/customXml" ds:itemID="{DD8F32F1-0032-41EC-AE8E-2D32B8F4A5C6}">
  <ds:schemaRefs>
    <ds:schemaRef ds:uri="Microsoft.SharePoint.Taxonomy.ContentTypeSync"/>
  </ds:schemaRefs>
</ds:datastoreItem>
</file>

<file path=customXml/itemProps6.xml><?xml version="1.0" encoding="utf-8"?>
<ds:datastoreItem xmlns:ds="http://schemas.openxmlformats.org/officeDocument/2006/customXml" ds:itemID="{06DD8FA5-12A7-4944-8AD9-9F226F5D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Audit assistance package</dc:title>
  <dc:subject/>
  <dc:creator/>
  <cp:keywords/>
  <dc:description/>
  <cp:lastModifiedBy/>
  <cp:revision>1</cp:revision>
  <dcterms:created xsi:type="dcterms:W3CDTF">2022-02-02T05:42:00Z</dcterms:created>
  <dcterms:modified xsi:type="dcterms:W3CDTF">2022-03-31T02:56:00Z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49171307-625a-4560-9eb7-cd37fada2acb</vt:lpwstr>
  </property>
</Properties>
</file>