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DB" w:rsidRPr="004111A7" w:rsidRDefault="00771EDB" w:rsidP="00771EDB">
      <w:pPr>
        <w:pStyle w:val="PartHeading"/>
      </w:pPr>
      <w:r w:rsidRPr="004111A7">
        <w:t>Independent Parliamentary Expenses Authority</w:t>
      </w:r>
    </w:p>
    <w:p w:rsidR="00771EDB" w:rsidRPr="004111A7" w:rsidRDefault="00771EDB" w:rsidP="00771EDB">
      <w:pPr>
        <w:pStyle w:val="PartHeading"/>
      </w:pPr>
    </w:p>
    <w:p w:rsidR="00771EDB" w:rsidRPr="004111A7" w:rsidRDefault="00771EDB" w:rsidP="00771EDB">
      <w:pPr>
        <w:pStyle w:val="PartHeading"/>
      </w:pPr>
    </w:p>
    <w:p w:rsidR="00771EDB" w:rsidRPr="004111A7" w:rsidRDefault="00771EDB" w:rsidP="00771EDB">
      <w:pPr>
        <w:pStyle w:val="PartHeading-TOC"/>
      </w:pPr>
      <w:bookmarkStart w:id="0" w:name="_Toc69212632"/>
      <w:bookmarkStart w:id="1" w:name="_Toc69905684"/>
      <w:bookmarkStart w:id="2" w:name="_Toc97893022"/>
      <w:r w:rsidRPr="004111A7">
        <w:t>Entity resources and planned performance</w:t>
      </w:r>
      <w:bookmarkEnd w:id="0"/>
      <w:bookmarkEnd w:id="1"/>
      <w:bookmarkEnd w:id="2"/>
    </w:p>
    <w:p w:rsidR="00771EDB" w:rsidRPr="004111A7" w:rsidRDefault="00771EDB" w:rsidP="00771EDB">
      <w:pPr>
        <w:pStyle w:val="PartHeading"/>
        <w:sectPr w:rsidR="00771EDB" w:rsidRPr="004111A7" w:rsidSect="00BA127F">
          <w:footerReference w:type="even" r:id="rId14"/>
          <w:footerReference w:type="default" r:id="rId15"/>
          <w:footerReference w:type="first" r:id="rId16"/>
          <w:type w:val="oddPage"/>
          <w:pgSz w:w="11906" w:h="16838" w:code="9"/>
          <w:pgMar w:top="2466" w:right="2098" w:bottom="2466" w:left="2098" w:header="1814" w:footer="1814" w:gutter="0"/>
          <w:cols w:space="708"/>
          <w:vAlign w:val="center"/>
          <w:titlePg/>
          <w:docGrid w:linePitch="360"/>
        </w:sectPr>
      </w:pPr>
      <w:bookmarkStart w:id="3" w:name="_GoBack"/>
      <w:bookmarkEnd w:id="3"/>
    </w:p>
    <w:p w:rsidR="00771EDB" w:rsidRPr="00B87B28" w:rsidRDefault="00771EDB" w:rsidP="00771EDB">
      <w:pPr>
        <w:pStyle w:val="Heading1-NoTOC"/>
        <w:rPr>
          <w:rFonts w:ascii="Arial Bold" w:hAnsi="Arial Bold"/>
          <w:smallCaps w:val="0"/>
          <w:kern w:val="0"/>
          <w:sz w:val="36"/>
          <w:szCs w:val="36"/>
          <w:lang w:val="en-AU"/>
        </w:rPr>
      </w:pPr>
      <w:r w:rsidRPr="00B87B28">
        <w:rPr>
          <w:rFonts w:ascii="Arial Bold" w:hAnsi="Arial Bold"/>
          <w:smallCaps w:val="0"/>
          <w:kern w:val="0"/>
          <w:sz w:val="36"/>
          <w:lang w:val="en-AU"/>
        </w:rPr>
        <w:lastRenderedPageBreak/>
        <w:t xml:space="preserve">Independent Parliamentary Expenses </w:t>
      </w:r>
      <w:r w:rsidRPr="00B87B28">
        <w:rPr>
          <w:rFonts w:ascii="Arial Bold" w:hAnsi="Arial Bold"/>
          <w:smallCaps w:val="0"/>
          <w:kern w:val="0"/>
          <w:sz w:val="36"/>
          <w:szCs w:val="36"/>
          <w:lang w:val="en-AU"/>
        </w:rPr>
        <w:t>Authority</w:t>
      </w:r>
    </w:p>
    <w:p w:rsidR="00891154" w:rsidRDefault="00771EDB">
      <w:pPr>
        <w:pStyle w:val="TOC1"/>
        <w:rPr>
          <w:rFonts w:asciiTheme="minorHAnsi" w:eastAsiaTheme="minorEastAsia" w:hAnsiTheme="minorHAnsi" w:cstheme="minorBidi"/>
          <w:b w:val="0"/>
          <w:caps w:val="0"/>
          <w:noProof/>
          <w:sz w:val="22"/>
          <w:szCs w:val="22"/>
          <w:lang w:eastAsia="zh-CN"/>
        </w:rPr>
      </w:pPr>
      <w:r w:rsidRPr="004111A7">
        <w:fldChar w:fldCharType="begin"/>
      </w:r>
      <w:r w:rsidRPr="004111A7">
        <w:instrText xml:space="preserve"> TOC \h \z \t "Heading 2,1,Heading 3,2"</w:instrText>
      </w:r>
      <w:r w:rsidR="00ED61E7">
        <w:instrText xml:space="preserve"> \b ipea</w:instrText>
      </w:r>
      <w:r w:rsidRPr="004111A7">
        <w:instrText xml:space="preserve"> </w:instrText>
      </w:r>
      <w:r w:rsidRPr="004111A7">
        <w:fldChar w:fldCharType="separate"/>
      </w:r>
      <w:hyperlink w:anchor="_Toc98182103" w:history="1">
        <w:r w:rsidR="00891154" w:rsidRPr="0099347E">
          <w:rPr>
            <w:rStyle w:val="Hyperlink"/>
            <w:noProof/>
          </w:rPr>
          <w:t>Section 1: Entity overview and resources</w:t>
        </w:r>
        <w:r w:rsidR="00891154">
          <w:rPr>
            <w:noProof/>
            <w:webHidden/>
          </w:rPr>
          <w:tab/>
        </w:r>
        <w:r w:rsidR="00891154">
          <w:rPr>
            <w:noProof/>
            <w:webHidden/>
          </w:rPr>
          <w:fldChar w:fldCharType="begin"/>
        </w:r>
        <w:r w:rsidR="00891154">
          <w:rPr>
            <w:noProof/>
            <w:webHidden/>
          </w:rPr>
          <w:instrText xml:space="preserve"> PAGEREF _Toc98182103 \h </w:instrText>
        </w:r>
        <w:r w:rsidR="00891154">
          <w:rPr>
            <w:noProof/>
            <w:webHidden/>
          </w:rPr>
        </w:r>
        <w:r w:rsidR="00891154">
          <w:rPr>
            <w:noProof/>
            <w:webHidden/>
          </w:rPr>
          <w:fldChar w:fldCharType="separate"/>
        </w:r>
        <w:r w:rsidR="003B3D60">
          <w:rPr>
            <w:noProof/>
            <w:webHidden/>
          </w:rPr>
          <w:t>141</w:t>
        </w:r>
        <w:r w:rsidR="00891154">
          <w:rPr>
            <w:noProof/>
            <w:webHidden/>
          </w:rPr>
          <w:fldChar w:fldCharType="end"/>
        </w:r>
      </w:hyperlink>
    </w:p>
    <w:p w:rsidR="00891154" w:rsidRDefault="00277D43">
      <w:pPr>
        <w:pStyle w:val="TOC2"/>
        <w:tabs>
          <w:tab w:val="left" w:pos="800"/>
        </w:tabs>
        <w:rPr>
          <w:rFonts w:asciiTheme="minorHAnsi" w:eastAsiaTheme="minorEastAsia" w:hAnsiTheme="minorHAnsi" w:cstheme="minorBidi"/>
          <w:noProof/>
          <w:sz w:val="22"/>
          <w:szCs w:val="22"/>
          <w:lang w:eastAsia="zh-CN"/>
        </w:rPr>
      </w:pPr>
      <w:hyperlink w:anchor="_Toc98182104" w:history="1">
        <w:r w:rsidR="00891154" w:rsidRPr="0099347E">
          <w:rPr>
            <w:rStyle w:val="Hyperlink"/>
            <w:noProof/>
          </w:rPr>
          <w:t>1.1</w:t>
        </w:r>
        <w:r w:rsidR="00891154">
          <w:rPr>
            <w:rFonts w:asciiTheme="minorHAnsi" w:eastAsiaTheme="minorEastAsia" w:hAnsiTheme="minorHAnsi" w:cstheme="minorBidi"/>
            <w:noProof/>
            <w:sz w:val="22"/>
            <w:szCs w:val="22"/>
            <w:lang w:eastAsia="zh-CN"/>
          </w:rPr>
          <w:tab/>
        </w:r>
        <w:r w:rsidR="00891154" w:rsidRPr="0099347E">
          <w:rPr>
            <w:rStyle w:val="Hyperlink"/>
            <w:noProof/>
          </w:rPr>
          <w:t>Strategic direction statement</w:t>
        </w:r>
        <w:r w:rsidR="00891154">
          <w:rPr>
            <w:noProof/>
            <w:webHidden/>
          </w:rPr>
          <w:tab/>
        </w:r>
        <w:r w:rsidR="00891154">
          <w:rPr>
            <w:noProof/>
            <w:webHidden/>
          </w:rPr>
          <w:fldChar w:fldCharType="begin"/>
        </w:r>
        <w:r w:rsidR="00891154">
          <w:rPr>
            <w:noProof/>
            <w:webHidden/>
          </w:rPr>
          <w:instrText xml:space="preserve"> PAGEREF _Toc98182104 \h </w:instrText>
        </w:r>
        <w:r w:rsidR="00891154">
          <w:rPr>
            <w:noProof/>
            <w:webHidden/>
          </w:rPr>
        </w:r>
        <w:r w:rsidR="00891154">
          <w:rPr>
            <w:noProof/>
            <w:webHidden/>
          </w:rPr>
          <w:fldChar w:fldCharType="separate"/>
        </w:r>
        <w:r w:rsidR="003B3D60">
          <w:rPr>
            <w:noProof/>
            <w:webHidden/>
          </w:rPr>
          <w:t>141</w:t>
        </w:r>
        <w:r w:rsidR="00891154">
          <w:rPr>
            <w:noProof/>
            <w:webHidden/>
          </w:rPr>
          <w:fldChar w:fldCharType="end"/>
        </w:r>
      </w:hyperlink>
    </w:p>
    <w:p w:rsidR="00891154" w:rsidRDefault="00277D43">
      <w:pPr>
        <w:pStyle w:val="TOC2"/>
        <w:tabs>
          <w:tab w:val="left" w:pos="800"/>
        </w:tabs>
        <w:rPr>
          <w:rFonts w:asciiTheme="minorHAnsi" w:eastAsiaTheme="minorEastAsia" w:hAnsiTheme="minorHAnsi" w:cstheme="minorBidi"/>
          <w:noProof/>
          <w:sz w:val="22"/>
          <w:szCs w:val="22"/>
          <w:lang w:eastAsia="zh-CN"/>
        </w:rPr>
      </w:pPr>
      <w:hyperlink w:anchor="_Toc98182105" w:history="1">
        <w:r w:rsidR="00891154" w:rsidRPr="0099347E">
          <w:rPr>
            <w:rStyle w:val="Hyperlink"/>
            <w:noProof/>
          </w:rPr>
          <w:t>1.2</w:t>
        </w:r>
        <w:r w:rsidR="00891154">
          <w:rPr>
            <w:rFonts w:asciiTheme="minorHAnsi" w:eastAsiaTheme="minorEastAsia" w:hAnsiTheme="minorHAnsi" w:cstheme="minorBidi"/>
            <w:noProof/>
            <w:sz w:val="22"/>
            <w:szCs w:val="22"/>
            <w:lang w:eastAsia="zh-CN"/>
          </w:rPr>
          <w:tab/>
        </w:r>
        <w:r w:rsidR="00891154" w:rsidRPr="0099347E">
          <w:rPr>
            <w:rStyle w:val="Hyperlink"/>
            <w:noProof/>
          </w:rPr>
          <w:t>Entity resource statement</w:t>
        </w:r>
        <w:r w:rsidR="00891154">
          <w:rPr>
            <w:noProof/>
            <w:webHidden/>
          </w:rPr>
          <w:tab/>
        </w:r>
        <w:r w:rsidR="00891154">
          <w:rPr>
            <w:noProof/>
            <w:webHidden/>
          </w:rPr>
          <w:fldChar w:fldCharType="begin"/>
        </w:r>
        <w:r w:rsidR="00891154">
          <w:rPr>
            <w:noProof/>
            <w:webHidden/>
          </w:rPr>
          <w:instrText xml:space="preserve"> PAGEREF _Toc98182105 \h </w:instrText>
        </w:r>
        <w:r w:rsidR="00891154">
          <w:rPr>
            <w:noProof/>
            <w:webHidden/>
          </w:rPr>
        </w:r>
        <w:r w:rsidR="00891154">
          <w:rPr>
            <w:noProof/>
            <w:webHidden/>
          </w:rPr>
          <w:fldChar w:fldCharType="separate"/>
        </w:r>
        <w:r w:rsidR="003B3D60">
          <w:rPr>
            <w:noProof/>
            <w:webHidden/>
          </w:rPr>
          <w:t>142</w:t>
        </w:r>
        <w:r w:rsidR="00891154">
          <w:rPr>
            <w:noProof/>
            <w:webHidden/>
          </w:rPr>
          <w:fldChar w:fldCharType="end"/>
        </w:r>
      </w:hyperlink>
    </w:p>
    <w:p w:rsidR="00891154" w:rsidRDefault="00277D43">
      <w:pPr>
        <w:pStyle w:val="TOC2"/>
        <w:tabs>
          <w:tab w:val="left" w:pos="800"/>
        </w:tabs>
        <w:rPr>
          <w:rFonts w:asciiTheme="minorHAnsi" w:eastAsiaTheme="minorEastAsia" w:hAnsiTheme="minorHAnsi" w:cstheme="minorBidi"/>
          <w:noProof/>
          <w:sz w:val="22"/>
          <w:szCs w:val="22"/>
          <w:lang w:eastAsia="zh-CN"/>
        </w:rPr>
      </w:pPr>
      <w:hyperlink w:anchor="_Toc98182106" w:history="1">
        <w:r w:rsidR="00891154" w:rsidRPr="0099347E">
          <w:rPr>
            <w:rStyle w:val="Hyperlink"/>
            <w:noProof/>
          </w:rPr>
          <w:t>1.3</w:t>
        </w:r>
        <w:r w:rsidR="00891154">
          <w:rPr>
            <w:rFonts w:asciiTheme="minorHAnsi" w:eastAsiaTheme="minorEastAsia" w:hAnsiTheme="minorHAnsi" w:cstheme="minorBidi"/>
            <w:noProof/>
            <w:sz w:val="22"/>
            <w:szCs w:val="22"/>
            <w:lang w:eastAsia="zh-CN"/>
          </w:rPr>
          <w:tab/>
        </w:r>
        <w:r w:rsidR="00891154" w:rsidRPr="0099347E">
          <w:rPr>
            <w:rStyle w:val="Hyperlink"/>
            <w:noProof/>
          </w:rPr>
          <w:t>Budget measures</w:t>
        </w:r>
        <w:r w:rsidR="00891154">
          <w:rPr>
            <w:noProof/>
            <w:webHidden/>
          </w:rPr>
          <w:tab/>
        </w:r>
        <w:r w:rsidR="00891154">
          <w:rPr>
            <w:noProof/>
            <w:webHidden/>
          </w:rPr>
          <w:fldChar w:fldCharType="begin"/>
        </w:r>
        <w:r w:rsidR="00891154">
          <w:rPr>
            <w:noProof/>
            <w:webHidden/>
          </w:rPr>
          <w:instrText xml:space="preserve"> PAGEREF _Toc98182106 \h </w:instrText>
        </w:r>
        <w:r w:rsidR="00891154">
          <w:rPr>
            <w:noProof/>
            <w:webHidden/>
          </w:rPr>
        </w:r>
        <w:r w:rsidR="00891154">
          <w:rPr>
            <w:noProof/>
            <w:webHidden/>
          </w:rPr>
          <w:fldChar w:fldCharType="separate"/>
        </w:r>
        <w:r w:rsidR="003B3D60">
          <w:rPr>
            <w:noProof/>
            <w:webHidden/>
          </w:rPr>
          <w:t>143</w:t>
        </w:r>
        <w:r w:rsidR="00891154">
          <w:rPr>
            <w:noProof/>
            <w:webHidden/>
          </w:rPr>
          <w:fldChar w:fldCharType="end"/>
        </w:r>
      </w:hyperlink>
    </w:p>
    <w:p w:rsidR="00891154" w:rsidRDefault="00277D43">
      <w:pPr>
        <w:pStyle w:val="TOC1"/>
        <w:rPr>
          <w:rFonts w:asciiTheme="minorHAnsi" w:eastAsiaTheme="minorEastAsia" w:hAnsiTheme="minorHAnsi" w:cstheme="minorBidi"/>
          <w:b w:val="0"/>
          <w:caps w:val="0"/>
          <w:noProof/>
          <w:sz w:val="22"/>
          <w:szCs w:val="22"/>
          <w:lang w:eastAsia="zh-CN"/>
        </w:rPr>
      </w:pPr>
      <w:hyperlink w:anchor="_Toc98182107" w:history="1">
        <w:r w:rsidR="00891154" w:rsidRPr="0099347E">
          <w:rPr>
            <w:rStyle w:val="Hyperlink"/>
            <w:noProof/>
          </w:rPr>
          <w:t>Section 2: Outcomes and planned performance</w:t>
        </w:r>
        <w:r w:rsidR="00891154">
          <w:rPr>
            <w:noProof/>
            <w:webHidden/>
          </w:rPr>
          <w:tab/>
        </w:r>
        <w:r w:rsidR="00891154">
          <w:rPr>
            <w:noProof/>
            <w:webHidden/>
          </w:rPr>
          <w:fldChar w:fldCharType="begin"/>
        </w:r>
        <w:r w:rsidR="00891154">
          <w:rPr>
            <w:noProof/>
            <w:webHidden/>
          </w:rPr>
          <w:instrText xml:space="preserve"> PAGEREF _Toc98182107 \h </w:instrText>
        </w:r>
        <w:r w:rsidR="00891154">
          <w:rPr>
            <w:noProof/>
            <w:webHidden/>
          </w:rPr>
        </w:r>
        <w:r w:rsidR="00891154">
          <w:rPr>
            <w:noProof/>
            <w:webHidden/>
          </w:rPr>
          <w:fldChar w:fldCharType="separate"/>
        </w:r>
        <w:r w:rsidR="003B3D60">
          <w:rPr>
            <w:noProof/>
            <w:webHidden/>
          </w:rPr>
          <w:t>143</w:t>
        </w:r>
        <w:r w:rsidR="00891154">
          <w:rPr>
            <w:noProof/>
            <w:webHidden/>
          </w:rPr>
          <w:fldChar w:fldCharType="end"/>
        </w:r>
      </w:hyperlink>
    </w:p>
    <w:p w:rsidR="00891154" w:rsidRDefault="00277D43">
      <w:pPr>
        <w:pStyle w:val="TOC2"/>
        <w:tabs>
          <w:tab w:val="left" w:pos="800"/>
        </w:tabs>
        <w:rPr>
          <w:rFonts w:asciiTheme="minorHAnsi" w:eastAsiaTheme="minorEastAsia" w:hAnsiTheme="minorHAnsi" w:cstheme="minorBidi"/>
          <w:noProof/>
          <w:sz w:val="22"/>
          <w:szCs w:val="22"/>
          <w:lang w:eastAsia="zh-CN"/>
        </w:rPr>
      </w:pPr>
      <w:hyperlink w:anchor="_Toc98182108" w:history="1">
        <w:r w:rsidR="00891154" w:rsidRPr="0099347E">
          <w:rPr>
            <w:rStyle w:val="Hyperlink"/>
            <w:noProof/>
          </w:rPr>
          <w:t xml:space="preserve">2.1 </w:t>
        </w:r>
        <w:r w:rsidR="00891154">
          <w:rPr>
            <w:rFonts w:asciiTheme="minorHAnsi" w:eastAsiaTheme="minorEastAsia" w:hAnsiTheme="minorHAnsi" w:cstheme="minorBidi"/>
            <w:noProof/>
            <w:sz w:val="22"/>
            <w:szCs w:val="22"/>
            <w:lang w:eastAsia="zh-CN"/>
          </w:rPr>
          <w:tab/>
        </w:r>
        <w:r w:rsidR="00891154" w:rsidRPr="0099347E">
          <w:rPr>
            <w:rStyle w:val="Hyperlink"/>
            <w:noProof/>
          </w:rPr>
          <w:t>Budgeted expenses and performance for Outcome 1</w:t>
        </w:r>
        <w:r w:rsidR="00891154">
          <w:rPr>
            <w:noProof/>
            <w:webHidden/>
          </w:rPr>
          <w:tab/>
        </w:r>
        <w:r w:rsidR="00891154">
          <w:rPr>
            <w:noProof/>
            <w:webHidden/>
          </w:rPr>
          <w:fldChar w:fldCharType="begin"/>
        </w:r>
        <w:r w:rsidR="00891154">
          <w:rPr>
            <w:noProof/>
            <w:webHidden/>
          </w:rPr>
          <w:instrText xml:space="preserve"> PAGEREF _Toc98182108 \h </w:instrText>
        </w:r>
        <w:r w:rsidR="00891154">
          <w:rPr>
            <w:noProof/>
            <w:webHidden/>
          </w:rPr>
        </w:r>
        <w:r w:rsidR="00891154">
          <w:rPr>
            <w:noProof/>
            <w:webHidden/>
          </w:rPr>
          <w:fldChar w:fldCharType="separate"/>
        </w:r>
        <w:r w:rsidR="003B3D60">
          <w:rPr>
            <w:noProof/>
            <w:webHidden/>
          </w:rPr>
          <w:t>144</w:t>
        </w:r>
        <w:r w:rsidR="00891154">
          <w:rPr>
            <w:noProof/>
            <w:webHidden/>
          </w:rPr>
          <w:fldChar w:fldCharType="end"/>
        </w:r>
      </w:hyperlink>
    </w:p>
    <w:p w:rsidR="00891154" w:rsidRDefault="00277D43">
      <w:pPr>
        <w:pStyle w:val="TOC1"/>
        <w:rPr>
          <w:rFonts w:asciiTheme="minorHAnsi" w:eastAsiaTheme="minorEastAsia" w:hAnsiTheme="minorHAnsi" w:cstheme="minorBidi"/>
          <w:b w:val="0"/>
          <w:caps w:val="0"/>
          <w:noProof/>
          <w:sz w:val="22"/>
          <w:szCs w:val="22"/>
          <w:lang w:eastAsia="zh-CN"/>
        </w:rPr>
      </w:pPr>
      <w:hyperlink w:anchor="_Toc98182109" w:history="1">
        <w:r w:rsidR="00891154" w:rsidRPr="0099347E">
          <w:rPr>
            <w:rStyle w:val="Hyperlink"/>
            <w:noProof/>
          </w:rPr>
          <w:t>Section 3: Budgeted financial statements</w:t>
        </w:r>
        <w:r w:rsidR="00891154">
          <w:rPr>
            <w:noProof/>
            <w:webHidden/>
          </w:rPr>
          <w:tab/>
        </w:r>
        <w:r w:rsidR="00891154">
          <w:rPr>
            <w:noProof/>
            <w:webHidden/>
          </w:rPr>
          <w:fldChar w:fldCharType="begin"/>
        </w:r>
        <w:r w:rsidR="00891154">
          <w:rPr>
            <w:noProof/>
            <w:webHidden/>
          </w:rPr>
          <w:instrText xml:space="preserve"> PAGEREF _Toc98182109 \h </w:instrText>
        </w:r>
        <w:r w:rsidR="00891154">
          <w:rPr>
            <w:noProof/>
            <w:webHidden/>
          </w:rPr>
        </w:r>
        <w:r w:rsidR="00891154">
          <w:rPr>
            <w:noProof/>
            <w:webHidden/>
          </w:rPr>
          <w:fldChar w:fldCharType="separate"/>
        </w:r>
        <w:r w:rsidR="003B3D60">
          <w:rPr>
            <w:noProof/>
            <w:webHidden/>
          </w:rPr>
          <w:t>149</w:t>
        </w:r>
        <w:r w:rsidR="00891154">
          <w:rPr>
            <w:noProof/>
            <w:webHidden/>
          </w:rPr>
          <w:fldChar w:fldCharType="end"/>
        </w:r>
      </w:hyperlink>
    </w:p>
    <w:p w:rsidR="00891154" w:rsidRDefault="00277D43">
      <w:pPr>
        <w:pStyle w:val="TOC2"/>
        <w:tabs>
          <w:tab w:val="left" w:pos="800"/>
        </w:tabs>
        <w:rPr>
          <w:rFonts w:asciiTheme="minorHAnsi" w:eastAsiaTheme="minorEastAsia" w:hAnsiTheme="minorHAnsi" w:cstheme="minorBidi"/>
          <w:noProof/>
          <w:sz w:val="22"/>
          <w:szCs w:val="22"/>
          <w:lang w:eastAsia="zh-CN"/>
        </w:rPr>
      </w:pPr>
      <w:hyperlink w:anchor="_Toc98182110" w:history="1">
        <w:r w:rsidR="00891154" w:rsidRPr="0099347E">
          <w:rPr>
            <w:rStyle w:val="Hyperlink"/>
            <w:noProof/>
          </w:rPr>
          <w:t>3.1</w:t>
        </w:r>
        <w:r w:rsidR="00891154">
          <w:rPr>
            <w:rFonts w:asciiTheme="minorHAnsi" w:eastAsiaTheme="minorEastAsia" w:hAnsiTheme="minorHAnsi" w:cstheme="minorBidi"/>
            <w:noProof/>
            <w:sz w:val="22"/>
            <w:szCs w:val="22"/>
            <w:lang w:eastAsia="zh-CN"/>
          </w:rPr>
          <w:tab/>
        </w:r>
        <w:r w:rsidR="00891154" w:rsidRPr="0099347E">
          <w:rPr>
            <w:rStyle w:val="Hyperlink"/>
            <w:noProof/>
          </w:rPr>
          <w:t>Budgeted financial statements</w:t>
        </w:r>
        <w:r w:rsidR="00891154">
          <w:rPr>
            <w:noProof/>
            <w:webHidden/>
          </w:rPr>
          <w:tab/>
        </w:r>
        <w:r w:rsidR="00891154">
          <w:rPr>
            <w:noProof/>
            <w:webHidden/>
          </w:rPr>
          <w:fldChar w:fldCharType="begin"/>
        </w:r>
        <w:r w:rsidR="00891154">
          <w:rPr>
            <w:noProof/>
            <w:webHidden/>
          </w:rPr>
          <w:instrText xml:space="preserve"> PAGEREF _Toc98182110 \h </w:instrText>
        </w:r>
        <w:r w:rsidR="00891154">
          <w:rPr>
            <w:noProof/>
            <w:webHidden/>
          </w:rPr>
        </w:r>
        <w:r w:rsidR="00891154">
          <w:rPr>
            <w:noProof/>
            <w:webHidden/>
          </w:rPr>
          <w:fldChar w:fldCharType="separate"/>
        </w:r>
        <w:r w:rsidR="003B3D60">
          <w:rPr>
            <w:noProof/>
            <w:webHidden/>
          </w:rPr>
          <w:t>149</w:t>
        </w:r>
        <w:r w:rsidR="00891154">
          <w:rPr>
            <w:noProof/>
            <w:webHidden/>
          </w:rPr>
          <w:fldChar w:fldCharType="end"/>
        </w:r>
      </w:hyperlink>
    </w:p>
    <w:p w:rsidR="00771EDB" w:rsidRPr="004111A7" w:rsidRDefault="00771EDB" w:rsidP="00771EDB">
      <w:pPr>
        <w:pStyle w:val="TOC1"/>
      </w:pPr>
      <w:r w:rsidRPr="004111A7">
        <w:fldChar w:fldCharType="end"/>
      </w:r>
    </w:p>
    <w:p w:rsidR="00771EDB" w:rsidRPr="004111A7" w:rsidRDefault="00771EDB" w:rsidP="00771EDB"/>
    <w:p w:rsidR="00E576C6" w:rsidRDefault="00E576C6" w:rsidP="00771EDB"/>
    <w:p w:rsidR="00E576C6" w:rsidRPr="00E576C6" w:rsidRDefault="00E576C6" w:rsidP="00E576C6"/>
    <w:p w:rsidR="00E576C6" w:rsidRPr="00E576C6" w:rsidRDefault="00E576C6" w:rsidP="00E576C6"/>
    <w:p w:rsidR="00E576C6" w:rsidRDefault="00E576C6" w:rsidP="00E576C6">
      <w:pPr>
        <w:tabs>
          <w:tab w:val="left" w:pos="6440"/>
        </w:tabs>
      </w:pPr>
      <w:r>
        <w:tab/>
      </w:r>
    </w:p>
    <w:p w:rsidR="00771EDB" w:rsidRPr="00E576C6" w:rsidRDefault="00E576C6" w:rsidP="00E576C6">
      <w:pPr>
        <w:tabs>
          <w:tab w:val="left" w:pos="6440"/>
        </w:tabs>
        <w:sectPr w:rsidR="00771EDB" w:rsidRPr="00E576C6" w:rsidSect="00BA127F">
          <w:headerReference w:type="default" r:id="rId17"/>
          <w:footerReference w:type="even" r:id="rId18"/>
          <w:footerReference w:type="default" r:id="rId19"/>
          <w:headerReference w:type="first" r:id="rId20"/>
          <w:footerReference w:type="first" r:id="rId21"/>
          <w:type w:val="oddPage"/>
          <w:pgSz w:w="11906" w:h="16838" w:code="9"/>
          <w:pgMar w:top="2466" w:right="2098" w:bottom="2466" w:left="2098" w:header="1814" w:footer="1814" w:gutter="0"/>
          <w:cols w:space="708"/>
          <w:titlePg/>
          <w:docGrid w:linePitch="360"/>
        </w:sectPr>
      </w:pPr>
      <w:r>
        <w:tab/>
      </w:r>
    </w:p>
    <w:p w:rsidR="00771EDB" w:rsidRPr="004111A7" w:rsidRDefault="00771EDB" w:rsidP="00771EDB">
      <w:pPr>
        <w:pStyle w:val="Heading1"/>
      </w:pPr>
      <w:bookmarkStart w:id="4" w:name="_Toc69905685"/>
      <w:bookmarkStart w:id="5" w:name="_Toc97893023"/>
      <w:r w:rsidRPr="004111A7">
        <w:lastRenderedPageBreak/>
        <w:t>Independent Parliamentary Expenses Authority</w:t>
      </w:r>
      <w:bookmarkEnd w:id="4"/>
      <w:bookmarkEnd w:id="5"/>
    </w:p>
    <w:p w:rsidR="00771EDB" w:rsidRPr="004111A7" w:rsidRDefault="00771EDB" w:rsidP="00771EDB">
      <w:pPr>
        <w:pStyle w:val="Heading2"/>
      </w:pPr>
      <w:bookmarkStart w:id="6" w:name="_Toc69385125"/>
      <w:bookmarkStart w:id="7" w:name="_Toc69457228"/>
      <w:bookmarkStart w:id="8" w:name="_Toc69735863"/>
      <w:bookmarkStart w:id="9" w:name="_Toc70603500"/>
      <w:bookmarkStart w:id="10" w:name="_Toc98182103"/>
      <w:bookmarkStart w:id="11" w:name="IPEA"/>
      <w:r w:rsidRPr="004111A7">
        <w:t>Section 1: Entity overview and resources</w:t>
      </w:r>
      <w:bookmarkEnd w:id="6"/>
      <w:bookmarkEnd w:id="7"/>
      <w:bookmarkEnd w:id="8"/>
      <w:bookmarkEnd w:id="9"/>
      <w:bookmarkEnd w:id="10"/>
    </w:p>
    <w:p w:rsidR="00771EDB" w:rsidRPr="004111A7" w:rsidRDefault="00771EDB" w:rsidP="00771EDB">
      <w:pPr>
        <w:pStyle w:val="Heading3"/>
      </w:pPr>
      <w:bookmarkStart w:id="12" w:name="_Toc69385052"/>
      <w:bookmarkStart w:id="13" w:name="_Toc69385126"/>
      <w:bookmarkStart w:id="14" w:name="_Toc69457229"/>
      <w:bookmarkStart w:id="15" w:name="_Toc69735864"/>
      <w:bookmarkStart w:id="16" w:name="_Toc70603501"/>
      <w:bookmarkStart w:id="17" w:name="_Toc98182104"/>
      <w:r w:rsidRPr="004111A7">
        <w:t>1.1</w:t>
      </w:r>
      <w:r w:rsidRPr="004111A7">
        <w:tab/>
        <w:t>Strategic direction statement</w:t>
      </w:r>
      <w:bookmarkEnd w:id="12"/>
      <w:bookmarkEnd w:id="13"/>
      <w:bookmarkEnd w:id="14"/>
      <w:bookmarkEnd w:id="15"/>
      <w:bookmarkEnd w:id="16"/>
      <w:bookmarkEnd w:id="17"/>
    </w:p>
    <w:p w:rsidR="00771EDB" w:rsidRPr="004111A7" w:rsidRDefault="00771EDB" w:rsidP="006667D5">
      <w:pPr>
        <w:pStyle w:val="Exampletext"/>
        <w:spacing w:line="240" w:lineRule="exact"/>
        <w:rPr>
          <w:i w:val="0"/>
          <w:color w:val="auto"/>
        </w:rPr>
      </w:pPr>
      <w:r w:rsidRPr="004111A7">
        <w:rPr>
          <w:i w:val="0"/>
          <w:color w:val="auto"/>
        </w:rPr>
        <w:t xml:space="preserve">The Independent Parliamentary Expenses Authority (IPEA) was established by the </w:t>
      </w:r>
      <w:r w:rsidRPr="004111A7">
        <w:rPr>
          <w:color w:val="auto"/>
        </w:rPr>
        <w:t xml:space="preserve">Independent Parliamentary Expenses Authority Act 2017 </w:t>
      </w:r>
      <w:r w:rsidRPr="004111A7">
        <w:rPr>
          <w:i w:val="0"/>
          <w:color w:val="auto"/>
        </w:rPr>
        <w:t xml:space="preserve">(IPEA Act). </w:t>
      </w:r>
    </w:p>
    <w:p w:rsidR="00771EDB" w:rsidRPr="004111A7" w:rsidRDefault="00771EDB" w:rsidP="006667D5">
      <w:pPr>
        <w:autoSpaceDE w:val="0"/>
        <w:autoSpaceDN w:val="0"/>
        <w:adjustRightInd w:val="0"/>
        <w:spacing w:line="240" w:lineRule="exact"/>
        <w:rPr>
          <w:lang w:val="x-none" w:eastAsia="x-none"/>
        </w:rPr>
      </w:pPr>
      <w:r w:rsidRPr="004111A7">
        <w:rPr>
          <w:lang w:val="x-none" w:eastAsia="x-none"/>
        </w:rPr>
        <w:t xml:space="preserve">As an organisation, IPEA strives to deliver its primary functions as established by the IPEA Act, which relate to advice, reporting and audit. These functions include: </w:t>
      </w:r>
    </w:p>
    <w:p w:rsidR="006667D5"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providing personal advice to</w:t>
      </w:r>
      <w:r w:rsidRPr="006667D5">
        <w:rPr>
          <w:lang w:eastAsia="x-none"/>
        </w:rPr>
        <w:t xml:space="preserve"> </w:t>
      </w:r>
      <w:r w:rsidRPr="006667D5">
        <w:rPr>
          <w:lang w:val="x-none" w:eastAsia="x-none"/>
        </w:rPr>
        <w:t xml:space="preserve">members of parliament </w:t>
      </w:r>
      <w:r w:rsidRPr="006667D5">
        <w:rPr>
          <w:lang w:eastAsia="x-none"/>
        </w:rPr>
        <w:t>(</w:t>
      </w:r>
      <w:r w:rsidRPr="006667D5">
        <w:rPr>
          <w:lang w:val="x-none" w:eastAsia="x-none"/>
        </w:rPr>
        <w:t>parliamentarians</w:t>
      </w:r>
      <w:r w:rsidRPr="006667D5">
        <w:rPr>
          <w:lang w:eastAsia="x-none"/>
        </w:rPr>
        <w:t>)</w:t>
      </w:r>
      <w:r w:rsidRPr="006667D5">
        <w:rPr>
          <w:lang w:val="x-none" w:eastAsia="x-none"/>
        </w:rPr>
        <w:t xml:space="preserve"> and persons employed under the </w:t>
      </w:r>
      <w:r w:rsidRPr="006667D5">
        <w:rPr>
          <w:i/>
          <w:lang w:val="x-none" w:eastAsia="x-none"/>
        </w:rPr>
        <w:t>Members of Parliament (Staff) Act 1984</w:t>
      </w:r>
      <w:r w:rsidRPr="006667D5">
        <w:rPr>
          <w:lang w:val="x-none" w:eastAsia="x-none"/>
        </w:rPr>
        <w:t xml:space="preserve"> </w:t>
      </w:r>
      <w:r w:rsidRPr="006667D5">
        <w:rPr>
          <w:lang w:eastAsia="x-none"/>
        </w:rPr>
        <w:t>(</w:t>
      </w:r>
      <w:r w:rsidRPr="006667D5">
        <w:rPr>
          <w:lang w:val="x-none" w:eastAsia="x-none"/>
        </w:rPr>
        <w:t>MOP(S) staff</w:t>
      </w:r>
      <w:r w:rsidRPr="006667D5">
        <w:rPr>
          <w:lang w:eastAsia="x-none"/>
        </w:rPr>
        <w:t>)</w:t>
      </w:r>
      <w:r w:rsidRPr="006667D5">
        <w:rPr>
          <w:lang w:val="x-none" w:eastAsia="x-none"/>
        </w:rPr>
        <w:t xml:space="preserve"> on travel expenses, allowances, and related expenses</w:t>
      </w:r>
    </w:p>
    <w:p w:rsidR="00771EDB"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monitoring parliamentarians and MOP(S) staff regarding travel expenses, allowances, and related expenses</w:t>
      </w:r>
    </w:p>
    <w:p w:rsidR="00771EDB"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administering travel expenses, allowances, and related expenses, including processing of these claims</w:t>
      </w:r>
    </w:p>
    <w:p w:rsidR="00771EDB"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 xml:space="preserve">publicly reporting on work expenses under the applicable framework </w:t>
      </w:r>
    </w:p>
    <w:p w:rsidR="00771EDB"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auditing work expense claims.</w:t>
      </w:r>
    </w:p>
    <w:p w:rsidR="00771EDB" w:rsidRPr="004111A7" w:rsidRDefault="00771EDB" w:rsidP="004E0294">
      <w:pPr>
        <w:autoSpaceDE w:val="0"/>
        <w:autoSpaceDN w:val="0"/>
        <w:adjustRightInd w:val="0"/>
        <w:spacing w:after="100" w:line="181" w:lineRule="atLeast"/>
        <w:rPr>
          <w:lang w:val="x-none" w:eastAsia="x-none"/>
        </w:rPr>
      </w:pPr>
    </w:p>
    <w:p w:rsidR="00771EDB" w:rsidRPr="004111A7" w:rsidRDefault="00771EDB" w:rsidP="004E0294">
      <w:pPr>
        <w:autoSpaceDE w:val="0"/>
        <w:autoSpaceDN w:val="0"/>
        <w:adjustRightInd w:val="0"/>
        <w:spacing w:after="100" w:line="181" w:lineRule="atLeast"/>
        <w:rPr>
          <w:lang w:val="x-none" w:eastAsia="x-none"/>
        </w:rPr>
      </w:pPr>
      <w:r w:rsidRPr="004111A7">
        <w:rPr>
          <w:lang w:val="x-none" w:eastAsia="x-none"/>
        </w:rPr>
        <w:t xml:space="preserve">Consistent with its primary functions, IPEA’s activities seek to provide: </w:t>
      </w:r>
    </w:p>
    <w:p w:rsidR="00771EDB" w:rsidRPr="004111A7" w:rsidRDefault="00771EDB" w:rsidP="00DA1F4B">
      <w:pPr>
        <w:numPr>
          <w:ilvl w:val="0"/>
          <w:numId w:val="28"/>
        </w:numPr>
        <w:autoSpaceDE w:val="0"/>
        <w:autoSpaceDN w:val="0"/>
        <w:spacing w:after="200" w:line="240" w:lineRule="auto"/>
        <w:ind w:left="567"/>
        <w:contextualSpacing/>
        <w:rPr>
          <w:lang w:val="x-none" w:eastAsia="x-none"/>
        </w:rPr>
      </w:pPr>
      <w:r w:rsidRPr="004111A7">
        <w:rPr>
          <w:lang w:val="x-none" w:eastAsia="x-none"/>
        </w:rPr>
        <w:t xml:space="preserve">clear advice to parliamentarians and MOP(S) staff on travel and work related expenses to help support them in their respective roles </w:t>
      </w:r>
    </w:p>
    <w:p w:rsidR="00771EDB" w:rsidRPr="004111A7" w:rsidRDefault="00771EDB" w:rsidP="00DA1F4B">
      <w:pPr>
        <w:numPr>
          <w:ilvl w:val="0"/>
          <w:numId w:val="29"/>
        </w:numPr>
        <w:autoSpaceDE w:val="0"/>
        <w:autoSpaceDN w:val="0"/>
        <w:adjustRightInd w:val="0"/>
        <w:spacing w:after="200" w:line="240" w:lineRule="auto"/>
        <w:ind w:left="567" w:hanging="357"/>
        <w:rPr>
          <w:lang w:val="x-none" w:eastAsia="x-none"/>
        </w:rPr>
      </w:pPr>
      <w:r w:rsidRPr="004111A7">
        <w:rPr>
          <w:lang w:val="x-none" w:eastAsia="x-none"/>
        </w:rPr>
        <w:t>independent oversight of the work expenses accessed by current and former parliamentarians and MOP(S) staff through IPEA’s reporting</w:t>
      </w:r>
      <w:r w:rsidRPr="004111A7">
        <w:rPr>
          <w:lang w:eastAsia="x-none"/>
        </w:rPr>
        <w:t xml:space="preserve"> and auditing</w:t>
      </w:r>
      <w:r w:rsidRPr="004111A7">
        <w:rPr>
          <w:lang w:val="x-none" w:eastAsia="x-none"/>
        </w:rPr>
        <w:t xml:space="preserve"> activities. </w:t>
      </w:r>
    </w:p>
    <w:p w:rsidR="00771EDB" w:rsidRPr="004111A7" w:rsidRDefault="00771EDB" w:rsidP="006667D5">
      <w:pPr>
        <w:spacing w:after="200" w:line="240" w:lineRule="auto"/>
        <w:ind w:left="567" w:hanging="357"/>
        <w:rPr>
          <w:rFonts w:ascii="Arial Bold" w:hAnsi="Arial Bold"/>
          <w:b/>
          <w:sz w:val="22"/>
        </w:rPr>
      </w:pPr>
      <w:r w:rsidRPr="004111A7">
        <w:br w:type="page"/>
      </w:r>
    </w:p>
    <w:p w:rsidR="00771EDB" w:rsidRPr="004111A7" w:rsidRDefault="00771EDB" w:rsidP="00771EDB">
      <w:pPr>
        <w:pStyle w:val="Heading3"/>
      </w:pPr>
      <w:bookmarkStart w:id="18" w:name="_Toc69385053"/>
      <w:bookmarkStart w:id="19" w:name="_Toc69385127"/>
      <w:bookmarkStart w:id="20" w:name="_Toc69457230"/>
      <w:bookmarkStart w:id="21" w:name="_Toc69735865"/>
      <w:bookmarkStart w:id="22" w:name="_Toc70603502"/>
      <w:bookmarkStart w:id="23" w:name="_Toc98182105"/>
      <w:r w:rsidRPr="004111A7">
        <w:lastRenderedPageBreak/>
        <w:t>1.2</w:t>
      </w:r>
      <w:r w:rsidRPr="004111A7">
        <w:tab/>
        <w:t>Entity resource statement</w:t>
      </w:r>
      <w:bookmarkEnd w:id="18"/>
      <w:bookmarkEnd w:id="19"/>
      <w:bookmarkEnd w:id="20"/>
      <w:bookmarkEnd w:id="21"/>
      <w:bookmarkEnd w:id="22"/>
      <w:bookmarkEnd w:id="23"/>
    </w:p>
    <w:p w:rsidR="00771EDB" w:rsidRPr="004111A7" w:rsidRDefault="00771EDB" w:rsidP="00771EDB">
      <w:r w:rsidRPr="004111A7">
        <w:t>Table 1.1 shows the total funding from all sources available to the entity for its operations and to deliver programs and services on behalf of the Government.</w:t>
      </w:r>
    </w:p>
    <w:p w:rsidR="00771EDB" w:rsidRPr="004111A7" w:rsidRDefault="00771EDB" w:rsidP="00771EDB">
      <w:r w:rsidRPr="004111A7">
        <w:t>The table summarises how resources will be applied by outcome (government strategic policy objectives) and by administered (on behalf of the Government or the public) and departmental (for the entity’s operations) classification.</w:t>
      </w:r>
    </w:p>
    <w:p w:rsidR="00771EDB" w:rsidRPr="004111A7" w:rsidRDefault="00771EDB" w:rsidP="00771EDB">
      <w:r w:rsidRPr="004111A7">
        <w:t xml:space="preserve">For more detailed information on special accounts and special appropriations, please refer to </w:t>
      </w:r>
      <w:r w:rsidRPr="004111A7">
        <w:rPr>
          <w:i/>
        </w:rPr>
        <w:t>Budget Paper No. 4 – Agency Resourcing</w:t>
      </w:r>
      <w:r w:rsidRPr="004111A7">
        <w:t>.</w:t>
      </w:r>
    </w:p>
    <w:p w:rsidR="00771EDB" w:rsidRDefault="00771EDB" w:rsidP="00771EDB">
      <w:r w:rsidRPr="004111A7">
        <w:t>Information in this table is presented on a resourcing (that is, appropriations/cash available) basis, whilst the ‘Budgeted expenses by Outcome’ tables in Section 2 and the financial statements in Section 3 are presented on an accrual basis.</w:t>
      </w:r>
    </w:p>
    <w:p w:rsidR="00771EDB" w:rsidRPr="004111A7" w:rsidRDefault="00771EDB" w:rsidP="00771EDB">
      <w:pPr>
        <w:pStyle w:val="TableHeading"/>
        <w:rPr>
          <w:b w:val="0"/>
          <w:lang w:val="en-AU"/>
        </w:rPr>
      </w:pPr>
      <w:r w:rsidRPr="004111A7">
        <w:t xml:space="preserve">Table 1.1: </w:t>
      </w:r>
      <w:r w:rsidRPr="004111A7">
        <w:rPr>
          <w:lang w:val="en-AU"/>
        </w:rPr>
        <w:t>Independent Parliamentary Expenses Authority</w:t>
      </w:r>
      <w:r w:rsidRPr="004111A7">
        <w:t xml:space="preserve"> resource statement — Budget estimates for </w:t>
      </w:r>
      <w:r w:rsidRPr="004111A7">
        <w:rPr>
          <w:lang w:val="en-AU"/>
        </w:rPr>
        <w:t>202</w:t>
      </w:r>
      <w:r>
        <w:rPr>
          <w:lang w:val="en-AU"/>
        </w:rPr>
        <w:t>2</w:t>
      </w:r>
      <w:r w:rsidRPr="004111A7">
        <w:rPr>
          <w:lang w:val="en-AU"/>
        </w:rPr>
        <w:t>-2</w:t>
      </w:r>
      <w:r>
        <w:rPr>
          <w:lang w:val="en-AU"/>
        </w:rPr>
        <w:t>3</w:t>
      </w:r>
      <w:r w:rsidRPr="004111A7">
        <w:t xml:space="preserve"> as at Budget </w:t>
      </w:r>
      <w:r>
        <w:rPr>
          <w:lang w:val="en-AU"/>
        </w:rPr>
        <w:t>March</w:t>
      </w:r>
      <w:r w:rsidRPr="004111A7">
        <w:t xml:space="preserve"> </w:t>
      </w:r>
      <w:r w:rsidRPr="004111A7">
        <w:rPr>
          <w:lang w:val="en-AU"/>
        </w:rPr>
        <w:t>202</w:t>
      </w:r>
      <w:r>
        <w:rPr>
          <w:lang w:val="en-AU"/>
        </w:rPr>
        <w:t>2</w:t>
      </w:r>
    </w:p>
    <w:p w:rsidR="00771EDB" w:rsidRDefault="00771EDB" w:rsidP="00771EDB">
      <w:pPr>
        <w:pStyle w:val="ChartandTableFootnote"/>
        <w:rPr>
          <w:noProof/>
          <w:lang w:val="en-AU" w:eastAsia="en-AU"/>
        </w:rPr>
      </w:pPr>
      <w:r w:rsidRPr="00831725">
        <w:rPr>
          <w:noProof/>
          <w:lang w:val="en-AU" w:eastAsia="zh-CN"/>
        </w:rPr>
        <w:drawing>
          <wp:inline distT="0" distB="0" distL="0" distR="0" wp14:anchorId="760BA37B" wp14:editId="378B8FB5">
            <wp:extent cx="4895850" cy="31527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3152775"/>
                    </a:xfrm>
                    <a:prstGeom prst="rect">
                      <a:avLst/>
                    </a:prstGeom>
                    <a:noFill/>
                    <a:ln>
                      <a:noFill/>
                    </a:ln>
                  </pic:spPr>
                </pic:pic>
              </a:graphicData>
            </a:graphic>
          </wp:inline>
        </w:drawing>
      </w:r>
    </w:p>
    <w:p w:rsidR="00B01553" w:rsidRPr="004111A7" w:rsidRDefault="00B01553" w:rsidP="00B81BF7">
      <w:pPr>
        <w:pStyle w:val="ChartandTableFootnote"/>
      </w:pPr>
      <w:r w:rsidRPr="004111A7">
        <w:t>All figures shown above are GST exclusive - these may not match figures in the cash flow statement.</w:t>
      </w:r>
    </w:p>
    <w:p w:rsidR="00B01553" w:rsidRPr="004111A7" w:rsidRDefault="00B01553" w:rsidP="00B81BF7">
      <w:pPr>
        <w:pStyle w:val="ChartandTableFootnote"/>
      </w:pPr>
      <w:r w:rsidRPr="004111A7">
        <w:t>Prepared on a resourcing (</w:t>
      </w:r>
      <w:r w:rsidRPr="004111A7">
        <w:rPr>
          <w:lang w:val="en-AU"/>
        </w:rPr>
        <w:t>that is,</w:t>
      </w:r>
      <w:r w:rsidRPr="004111A7">
        <w:t xml:space="preserve"> appropriations available) basis.</w:t>
      </w:r>
    </w:p>
    <w:p w:rsidR="00B01553" w:rsidRPr="004111A7" w:rsidRDefault="00B01553" w:rsidP="00DA1F4B">
      <w:pPr>
        <w:pStyle w:val="ChartandTableFootnoteAlpha"/>
        <w:numPr>
          <w:ilvl w:val="0"/>
          <w:numId w:val="55"/>
        </w:numPr>
      </w:pPr>
      <w:r w:rsidRPr="004111A7">
        <w:t>Appropriation Bill (No. 1) 202</w:t>
      </w:r>
      <w:r>
        <w:t>2</w:t>
      </w:r>
      <w:r w:rsidRPr="004111A7">
        <w:t>-2</w:t>
      </w:r>
      <w:r>
        <w:t>3</w:t>
      </w:r>
      <w:r w:rsidRPr="004111A7">
        <w:t>.</w:t>
      </w:r>
    </w:p>
    <w:p w:rsidR="00B01553" w:rsidRPr="006C7582" w:rsidRDefault="00B01553" w:rsidP="00DA1F4B">
      <w:pPr>
        <w:pStyle w:val="ChartandTableFootnoteAlpha"/>
        <w:numPr>
          <w:ilvl w:val="0"/>
          <w:numId w:val="55"/>
        </w:numPr>
        <w:rPr>
          <w:color w:val="000000"/>
        </w:rPr>
      </w:pPr>
      <w:r w:rsidRPr="006C7582">
        <w:rPr>
          <w:color w:val="000000"/>
        </w:rPr>
        <w:t xml:space="preserve">Excludes $1.3m in 2021-22 subject to administrative quarantine by Finance or withheld under section 51 of the </w:t>
      </w:r>
      <w:r w:rsidRPr="006C7582">
        <w:rPr>
          <w:i/>
          <w:color w:val="000000"/>
        </w:rPr>
        <w:t>Public Governance, Performance and Accountability Act 2013 (PGPA Act)</w:t>
      </w:r>
      <w:r w:rsidRPr="006C7582">
        <w:rPr>
          <w:color w:val="000000"/>
        </w:rPr>
        <w:t>.</w:t>
      </w:r>
    </w:p>
    <w:p w:rsidR="00B01553" w:rsidRDefault="00B01553" w:rsidP="00DA1F4B">
      <w:pPr>
        <w:pStyle w:val="ChartandTableFootnoteAlpha"/>
        <w:numPr>
          <w:ilvl w:val="0"/>
          <w:numId w:val="55"/>
        </w:numPr>
      </w:pPr>
      <w:r w:rsidRPr="006C7582">
        <w:t>Excludes departmental capital budget (DCB).</w:t>
      </w:r>
    </w:p>
    <w:p w:rsidR="00252A74" w:rsidRPr="00252A74" w:rsidRDefault="00252A74"/>
    <w:p w:rsidR="00771EDB" w:rsidRPr="004111A7" w:rsidRDefault="00771EDB" w:rsidP="00771EDB">
      <w:pPr>
        <w:pStyle w:val="Heading3"/>
        <w:spacing w:before="0"/>
      </w:pPr>
      <w:bookmarkStart w:id="24" w:name="_Toc69385054"/>
      <w:bookmarkStart w:id="25" w:name="_Toc69385128"/>
      <w:bookmarkStart w:id="26" w:name="_Toc69457231"/>
      <w:bookmarkStart w:id="27" w:name="_Toc69735866"/>
      <w:bookmarkStart w:id="28" w:name="_Toc70603503"/>
      <w:bookmarkStart w:id="29" w:name="_Toc98182106"/>
      <w:r w:rsidRPr="004111A7">
        <w:lastRenderedPageBreak/>
        <w:t>1.3</w:t>
      </w:r>
      <w:r w:rsidRPr="004111A7">
        <w:tab/>
        <w:t>Budget measures</w:t>
      </w:r>
      <w:bookmarkEnd w:id="24"/>
      <w:bookmarkEnd w:id="25"/>
      <w:bookmarkEnd w:id="26"/>
      <w:bookmarkEnd w:id="27"/>
      <w:bookmarkEnd w:id="28"/>
      <w:bookmarkEnd w:id="29"/>
    </w:p>
    <w:p w:rsidR="00771EDB" w:rsidRPr="004111A7" w:rsidRDefault="00771EDB" w:rsidP="00771EDB">
      <w:r w:rsidRPr="004111A7">
        <w:t>No Budget measures have been announced since the 202</w:t>
      </w:r>
      <w:r>
        <w:t>1-22</w:t>
      </w:r>
      <w:r w:rsidRPr="004111A7">
        <w:t xml:space="preserve"> Mid-Year Economic and Fiscal Outlook (MYEFO) that impact IPEA.</w:t>
      </w:r>
    </w:p>
    <w:p w:rsidR="00771EDB" w:rsidRPr="004111A7" w:rsidRDefault="00771EDB" w:rsidP="00771EDB"/>
    <w:p w:rsidR="00771EDB" w:rsidRPr="004111A7" w:rsidRDefault="00771EDB" w:rsidP="00771EDB">
      <w:pPr>
        <w:pStyle w:val="Heading2"/>
      </w:pPr>
      <w:bookmarkStart w:id="30" w:name="_Toc69385055"/>
      <w:bookmarkStart w:id="31" w:name="_Toc69385129"/>
      <w:bookmarkStart w:id="32" w:name="_Toc69457232"/>
      <w:bookmarkStart w:id="33" w:name="_Toc69735867"/>
      <w:bookmarkStart w:id="34" w:name="_Toc70603504"/>
      <w:bookmarkStart w:id="35" w:name="_Toc98182107"/>
      <w:r w:rsidRPr="004111A7">
        <w:t>Section 2: Outcomes and planned performance</w:t>
      </w:r>
      <w:bookmarkEnd w:id="30"/>
      <w:bookmarkEnd w:id="31"/>
      <w:bookmarkEnd w:id="32"/>
      <w:bookmarkEnd w:id="33"/>
      <w:bookmarkEnd w:id="34"/>
      <w:bookmarkEnd w:id="35"/>
    </w:p>
    <w:p w:rsidR="00771EDB" w:rsidRPr="004111A7" w:rsidRDefault="00771EDB" w:rsidP="00771EDB">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771EDB" w:rsidRPr="00B9672A" w:rsidRDefault="00771EDB" w:rsidP="00771EDB">
      <w:pPr>
        <w:rPr>
          <w:i/>
        </w:rPr>
      </w:pPr>
      <w:r w:rsidRPr="004111A7">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71EDB" w:rsidRPr="004111A7" w:rsidTr="00771EDB">
        <w:tc>
          <w:tcPr>
            <w:tcW w:w="7700" w:type="dxa"/>
          </w:tcPr>
          <w:p w:rsidR="00771EDB" w:rsidRPr="004111A7" w:rsidRDefault="00771EDB" w:rsidP="00771EDB">
            <w:pPr>
              <w:spacing w:before="120" w:after="120" w:line="240" w:lineRule="auto"/>
              <w:rPr>
                <w:b/>
              </w:rPr>
            </w:pPr>
            <w:r w:rsidRPr="004111A7">
              <w:rPr>
                <w:b/>
              </w:rPr>
              <w:t>Note:</w:t>
            </w:r>
          </w:p>
          <w:p w:rsidR="00771EDB" w:rsidRPr="004111A7" w:rsidRDefault="00771EDB" w:rsidP="00771EDB">
            <w:r w:rsidRPr="004111A7">
              <w:t>Performance reporting requirements in the Portfolio Budget Statements are part of the Commonwealth performance fra</w:t>
            </w:r>
            <w:r w:rsidR="00745217">
              <w:t xml:space="preserve">mework established by the PGPA Act. </w:t>
            </w:r>
            <w:r w:rsidRPr="004111A7">
              <w:t>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771EDB" w:rsidRPr="004111A7" w:rsidRDefault="00771EDB" w:rsidP="00771EDB">
            <w:r w:rsidRPr="004111A7">
              <w:t xml:space="preserve">The most recent corporate plan for Independent Parliamentary Expenses Authority can be found at: </w:t>
            </w:r>
            <w:hyperlink r:id="rId23" w:history="1">
              <w:r w:rsidRPr="004111A7">
                <w:rPr>
                  <w:rStyle w:val="Hyperlink"/>
                  <w:u w:val="single"/>
                </w:rPr>
                <w:t>https://www.ipea.gov.au/home/publications-fact-sheets</w:t>
              </w:r>
            </w:hyperlink>
            <w:r w:rsidRPr="004111A7">
              <w:t>.</w:t>
            </w:r>
          </w:p>
          <w:p w:rsidR="00771EDB" w:rsidRPr="004111A7" w:rsidRDefault="00771EDB" w:rsidP="00771EDB">
            <w:r w:rsidRPr="004111A7">
              <w:t xml:space="preserve">The most recent annual performance statement can be found at: </w:t>
            </w:r>
            <w:hyperlink r:id="rId24" w:history="1">
              <w:r w:rsidRPr="004111A7">
                <w:rPr>
                  <w:rStyle w:val="Hyperlink"/>
                  <w:u w:val="single"/>
                </w:rPr>
                <w:t>https://www.ipea.gov.au/home/publications-fact-sheets</w:t>
              </w:r>
            </w:hyperlink>
            <w:r w:rsidRPr="004111A7">
              <w:t>.</w:t>
            </w:r>
          </w:p>
        </w:tc>
      </w:tr>
    </w:tbl>
    <w:p w:rsidR="00771EDB" w:rsidRPr="004111A7" w:rsidRDefault="00771EDB" w:rsidP="00771EDB">
      <w:r w:rsidRPr="004111A7">
        <w:br w:type="page"/>
      </w:r>
    </w:p>
    <w:p w:rsidR="00771EDB" w:rsidRPr="004111A7" w:rsidRDefault="00771EDB" w:rsidP="00771EDB">
      <w:pPr>
        <w:pStyle w:val="Heading3"/>
      </w:pPr>
      <w:bookmarkStart w:id="36" w:name="_Toc69385056"/>
      <w:bookmarkStart w:id="37" w:name="_Toc69385130"/>
      <w:bookmarkStart w:id="38" w:name="_Toc69457233"/>
      <w:bookmarkStart w:id="39" w:name="_Toc69735868"/>
      <w:bookmarkStart w:id="40" w:name="_Toc70603505"/>
      <w:bookmarkStart w:id="41" w:name="_Toc98182108"/>
      <w:r w:rsidRPr="004111A7">
        <w:lastRenderedPageBreak/>
        <w:t xml:space="preserve">2.1 </w:t>
      </w:r>
      <w:r w:rsidRPr="004111A7">
        <w:tab/>
        <w:t>Budgeted expenses and performance for Outcome 1</w:t>
      </w:r>
      <w:bookmarkEnd w:id="36"/>
      <w:bookmarkEnd w:id="37"/>
      <w:bookmarkEnd w:id="38"/>
      <w:bookmarkEnd w:id="39"/>
      <w:bookmarkEnd w:id="40"/>
      <w:bookmarkEnd w:id="4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71EDB" w:rsidRPr="004111A7" w:rsidTr="00771EDB">
        <w:tc>
          <w:tcPr>
            <w:tcW w:w="7704" w:type="dxa"/>
            <w:shd w:val="clear" w:color="auto" w:fill="E6E6E6"/>
          </w:tcPr>
          <w:p w:rsidR="00771EDB" w:rsidRPr="00745217" w:rsidRDefault="00771EDB" w:rsidP="00771EDB">
            <w:pPr>
              <w:pStyle w:val="TableColumnHeadingLeft"/>
            </w:pPr>
            <w:r w:rsidRPr="00745217">
              <w:t xml:space="preserve">Outcome 1: </w:t>
            </w:r>
            <w:r w:rsidRPr="00745217">
              <w:rPr>
                <w:rFonts w:cs="Arial"/>
              </w:rPr>
              <w:t>Support for current and former parliamentarians and others as required by the Australian Government through the delivery of, independent oversight and advice on, work resources and travel resources.</w:t>
            </w:r>
          </w:p>
        </w:tc>
      </w:tr>
    </w:tbl>
    <w:p w:rsidR="00771EDB" w:rsidRPr="004111A7" w:rsidRDefault="00771EDB" w:rsidP="00771EDB">
      <w:pPr>
        <w:pStyle w:val="NoSpacing"/>
      </w:pPr>
    </w:p>
    <w:p w:rsidR="00771EDB" w:rsidRPr="004111A7" w:rsidRDefault="00771EDB" w:rsidP="00771EDB">
      <w:pPr>
        <w:pStyle w:val="Heading4"/>
      </w:pPr>
      <w:r w:rsidRPr="004111A7">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771EDB" w:rsidRPr="004111A7" w:rsidTr="00771EDB">
        <w:trPr>
          <w:trHeight w:val="113"/>
          <w:tblHeader/>
        </w:trPr>
        <w:tc>
          <w:tcPr>
            <w:tcW w:w="7700" w:type="dxa"/>
            <w:tcBorders>
              <w:bottom w:val="dotted" w:sz="4" w:space="0" w:color="auto"/>
            </w:tcBorders>
          </w:tcPr>
          <w:p w:rsidR="00771EDB" w:rsidRPr="00B87B28" w:rsidRDefault="00771EDB" w:rsidP="00771EDB">
            <w:pPr>
              <w:pStyle w:val="ExampleText0"/>
              <w:spacing w:before="60" w:after="60" w:line="240" w:lineRule="auto"/>
              <w:rPr>
                <w:color w:val="auto"/>
              </w:rPr>
            </w:pPr>
            <w:r w:rsidRPr="00B87B28">
              <w:rPr>
                <w:rStyle w:val="ExampletextCharChar"/>
                <w:b/>
                <w:color w:val="auto"/>
              </w:rPr>
              <w:t>Department of Finance</w:t>
            </w:r>
          </w:p>
        </w:tc>
      </w:tr>
      <w:tr w:rsidR="00771EDB" w:rsidRPr="004111A7" w:rsidTr="00771EDB">
        <w:trPr>
          <w:trHeight w:val="113"/>
        </w:trPr>
        <w:tc>
          <w:tcPr>
            <w:tcW w:w="7700" w:type="dxa"/>
            <w:tcBorders>
              <w:top w:val="dotted" w:sz="4" w:space="0" w:color="auto"/>
              <w:bottom w:val="single" w:sz="4" w:space="0" w:color="auto"/>
            </w:tcBorders>
          </w:tcPr>
          <w:p w:rsidR="00771EDB" w:rsidRPr="00B87B28" w:rsidRDefault="00771EDB" w:rsidP="00771EDB">
            <w:pPr>
              <w:spacing w:before="60" w:after="60" w:line="240" w:lineRule="auto"/>
              <w:rPr>
                <w:rStyle w:val="ExampletextCharChar"/>
                <w:b/>
                <w:i w:val="0"/>
                <w:color w:val="auto"/>
              </w:rPr>
            </w:pPr>
            <w:r w:rsidRPr="00B87B28">
              <w:rPr>
                <w:rStyle w:val="ExampletextCharChar"/>
                <w:b/>
                <w:i w:val="0"/>
                <w:color w:val="auto"/>
              </w:rPr>
              <w:t>Programs</w:t>
            </w:r>
          </w:p>
          <w:p w:rsidR="00771EDB" w:rsidRPr="00B87B28" w:rsidRDefault="00771EDB" w:rsidP="00F76FE4">
            <w:pPr>
              <w:numPr>
                <w:ilvl w:val="0"/>
                <w:numId w:val="7"/>
              </w:numPr>
              <w:spacing w:before="60" w:after="60" w:line="240" w:lineRule="auto"/>
              <w:ind w:left="714" w:hanging="357"/>
              <w:rPr>
                <w:rStyle w:val="ExampletextCharChar"/>
                <w:color w:val="auto"/>
              </w:rPr>
            </w:pPr>
            <w:r w:rsidRPr="00B87B28">
              <w:rPr>
                <w:rStyle w:val="ExampletextCharChar"/>
                <w:i w:val="0"/>
                <w:color w:val="auto"/>
              </w:rPr>
              <w:t>Program 3.1 – Ministerial and Parliamentary Services</w:t>
            </w:r>
          </w:p>
        </w:tc>
      </w:tr>
      <w:tr w:rsidR="00771EDB" w:rsidRPr="004111A7" w:rsidTr="00771EDB">
        <w:trPr>
          <w:trHeight w:val="113"/>
        </w:trPr>
        <w:tc>
          <w:tcPr>
            <w:tcW w:w="7700" w:type="dxa"/>
            <w:tcBorders>
              <w:bottom w:val="single" w:sz="4" w:space="0" w:color="auto"/>
            </w:tcBorders>
          </w:tcPr>
          <w:p w:rsidR="00771EDB" w:rsidRPr="00B87B28" w:rsidRDefault="00771EDB" w:rsidP="00771EDB">
            <w:pPr>
              <w:spacing w:before="60" w:after="60" w:line="240" w:lineRule="auto"/>
              <w:rPr>
                <w:rStyle w:val="ExampletextCharChar"/>
                <w:b/>
                <w:i w:val="0"/>
                <w:color w:val="auto"/>
              </w:rPr>
            </w:pPr>
            <w:r w:rsidRPr="00B87B28">
              <w:rPr>
                <w:rStyle w:val="ExampletextCharChar"/>
                <w:b/>
                <w:i w:val="0"/>
                <w:color w:val="auto"/>
              </w:rPr>
              <w:t>Contribution to Outcome 1 made by linked programs</w:t>
            </w:r>
          </w:p>
          <w:p w:rsidR="00771EDB" w:rsidRPr="00B87B28" w:rsidRDefault="00771EDB" w:rsidP="00771EDB">
            <w:pPr>
              <w:spacing w:before="60" w:after="60" w:line="240" w:lineRule="auto"/>
              <w:rPr>
                <w:rStyle w:val="ExampletextCharChar"/>
                <w:color w:val="auto"/>
              </w:rPr>
            </w:pPr>
            <w:r w:rsidRPr="00B87B28">
              <w:rPr>
                <w:rStyle w:val="ExampletextCharChar"/>
                <w:i w:val="0"/>
                <w:color w:val="auto"/>
              </w:rPr>
              <w:t>IPEA administers and advises on travel related work expenses, and provides independent oversight of the work expenses administered by the Department of Finance for current and former parliamentarians and their staff.</w:t>
            </w:r>
          </w:p>
        </w:tc>
      </w:tr>
    </w:tbl>
    <w:p w:rsidR="00B01553" w:rsidRDefault="00B01553" w:rsidP="00771EDB">
      <w:pPr>
        <w:pStyle w:val="Heading5"/>
      </w:pPr>
    </w:p>
    <w:p w:rsidR="00B01553" w:rsidRDefault="00B01553">
      <w:pPr>
        <w:spacing w:after="0" w:line="240" w:lineRule="auto"/>
        <w:jc w:val="left"/>
        <w:rPr>
          <w:rFonts w:ascii="Arial" w:hAnsi="Arial"/>
          <w:bCs/>
          <w:iCs/>
          <w:szCs w:val="26"/>
        </w:rPr>
      </w:pPr>
      <w:r>
        <w:br w:type="page"/>
      </w:r>
    </w:p>
    <w:p w:rsidR="00771EDB" w:rsidRPr="004111A7" w:rsidRDefault="00771EDB" w:rsidP="00771EDB">
      <w:pPr>
        <w:pStyle w:val="Heading5"/>
      </w:pPr>
      <w:r w:rsidRPr="004111A7">
        <w:lastRenderedPageBreak/>
        <w:t>Budgeted expenses for Outcome 1</w:t>
      </w:r>
    </w:p>
    <w:p w:rsidR="00771EDB" w:rsidRPr="004111A7" w:rsidRDefault="00771EDB" w:rsidP="00771EDB">
      <w:r w:rsidRPr="004111A7">
        <w:t>This table shows how much IPEA intends to spend (on an accrual basis) on achieving the outcome, broken down by program, as well as by Administered and Departmental funding sources.</w:t>
      </w:r>
    </w:p>
    <w:p w:rsidR="00771EDB" w:rsidRPr="00314B8B" w:rsidRDefault="00771EDB" w:rsidP="00314B8B">
      <w:pPr>
        <w:spacing w:after="0"/>
        <w:rPr>
          <w:rFonts w:ascii="Arial" w:hAnsi="Arial"/>
          <w:b/>
          <w:color w:val="000000"/>
          <w:lang w:val="x-none" w:eastAsia="x-none"/>
        </w:rPr>
      </w:pPr>
      <w:r w:rsidRPr="00314B8B">
        <w:rPr>
          <w:rFonts w:ascii="Arial" w:hAnsi="Arial"/>
          <w:b/>
          <w:color w:val="000000"/>
          <w:lang w:val="x-none" w:eastAsia="x-none"/>
        </w:rPr>
        <w:t xml:space="preserve">Table 2.1.1: Budgeted expenses for Outcome 1 </w:t>
      </w:r>
    </w:p>
    <w:p w:rsidR="00771EDB" w:rsidRDefault="008A7609" w:rsidP="00771EDB">
      <w:pPr>
        <w:pStyle w:val="ChartandTableFootnote"/>
        <w:jc w:val="left"/>
        <w:rPr>
          <w:noProof/>
          <w:lang w:val="en-AU" w:eastAsia="en-AU"/>
        </w:rPr>
      </w:pPr>
      <w:r w:rsidRPr="008A7609">
        <w:rPr>
          <w:noProof/>
          <w:lang w:val="en-AU" w:eastAsia="zh-CN"/>
        </w:rPr>
        <w:drawing>
          <wp:inline distT="0" distB="0" distL="0" distR="0">
            <wp:extent cx="4895850" cy="529664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5850" cy="5296644"/>
                    </a:xfrm>
                    <a:prstGeom prst="rect">
                      <a:avLst/>
                    </a:prstGeom>
                    <a:noFill/>
                    <a:ln>
                      <a:noFill/>
                    </a:ln>
                  </pic:spPr>
                </pic:pic>
              </a:graphicData>
            </a:graphic>
          </wp:inline>
        </w:drawing>
      </w:r>
    </w:p>
    <w:p w:rsidR="00B01553" w:rsidRDefault="00771EDB" w:rsidP="00FF6812">
      <w:pPr>
        <w:pStyle w:val="ChartandTableFootnote"/>
        <w:tabs>
          <w:tab w:val="clear" w:pos="284"/>
        </w:tabs>
        <w:ind w:left="357" w:hanging="357"/>
      </w:pPr>
      <w:r w:rsidRPr="004111A7">
        <w:t>(a)</w:t>
      </w:r>
      <w:r w:rsidRPr="004111A7">
        <w:tab/>
        <w:t xml:space="preserve">Expenses not requiring appropriation in the </w:t>
      </w:r>
      <w:r w:rsidR="002E3C88" w:rsidRPr="004111A7">
        <w:t>Budget</w:t>
      </w:r>
      <w:r w:rsidRPr="004111A7">
        <w:t xml:space="preserve"> year are made up of audit fees.</w:t>
      </w:r>
    </w:p>
    <w:p w:rsidR="00314B8B" w:rsidRDefault="00314B8B" w:rsidP="00B01553">
      <w:pPr>
        <w:pStyle w:val="ChartandTableFootnote"/>
        <w:jc w:val="left"/>
      </w:pPr>
    </w:p>
    <w:p w:rsidR="00771EDB" w:rsidRPr="004111A7" w:rsidRDefault="00771EDB" w:rsidP="00314B8B">
      <w:pPr>
        <w:pStyle w:val="ChartandTableFootnote"/>
      </w:pPr>
      <w:r w:rsidRPr="004111A7">
        <w:t xml:space="preserve">Note: Departmental appropriation splits and totals are indicative estimates and may change in the course of the </w:t>
      </w:r>
      <w:r w:rsidR="00314B8B" w:rsidRPr="004111A7">
        <w:t>Budget</w:t>
      </w:r>
      <w:r w:rsidRPr="004111A7">
        <w:t xml:space="preserve"> year as government priorities change.</w:t>
      </w:r>
      <w:r w:rsidRPr="004111A7">
        <w:br w:type="page"/>
      </w:r>
    </w:p>
    <w:p w:rsidR="00771EDB" w:rsidRPr="004111A7" w:rsidRDefault="00771EDB" w:rsidP="00771EDB">
      <w:pPr>
        <w:pStyle w:val="TableHeading"/>
      </w:pPr>
      <w:r w:rsidRPr="004111A7">
        <w:lastRenderedPageBreak/>
        <w:t>Table 2.</w:t>
      </w:r>
      <w:r w:rsidRPr="004111A7">
        <w:rPr>
          <w:lang w:val="en-AU"/>
        </w:rPr>
        <w:t>1</w:t>
      </w:r>
      <w:r w:rsidRPr="004111A7">
        <w:t>.</w:t>
      </w:r>
      <w:r w:rsidRPr="004111A7">
        <w:rPr>
          <w:lang w:val="en-AU"/>
        </w:rPr>
        <w:t>2</w:t>
      </w:r>
      <w:r w:rsidRPr="004111A7">
        <w:t xml:space="preserve">: Performance measures for Outcome </w:t>
      </w:r>
      <w:r w:rsidRPr="004111A7">
        <w:rPr>
          <w:lang w:val="en-AU"/>
        </w:rPr>
        <w:t>1</w:t>
      </w:r>
    </w:p>
    <w:p w:rsidR="00771EDB" w:rsidRPr="00D36F09" w:rsidRDefault="00771EDB" w:rsidP="00771EDB">
      <w:r w:rsidRPr="00D36F09">
        <w:t xml:space="preserve">Table 2.1.2 below details the performance measures for each program associated with Outcome 1. </w:t>
      </w:r>
      <w:r w:rsidRPr="00004A0D">
        <w:t>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9"/>
        <w:gridCol w:w="3163"/>
      </w:tblGrid>
      <w:tr w:rsidR="00771EDB" w:rsidRPr="00D36F09" w:rsidTr="00771EDB">
        <w:trPr>
          <w:tblHeader/>
        </w:trPr>
        <w:tc>
          <w:tcPr>
            <w:tcW w:w="7700" w:type="dxa"/>
            <w:gridSpan w:val="3"/>
            <w:shd w:val="clear" w:color="auto" w:fill="F2F2F2"/>
          </w:tcPr>
          <w:p w:rsidR="00771EDB" w:rsidRPr="00D36F09" w:rsidRDefault="00771EDB" w:rsidP="00771EDB">
            <w:pPr>
              <w:spacing w:before="60" w:after="60" w:line="240" w:lineRule="auto"/>
              <w:jc w:val="left"/>
              <w:rPr>
                <w:rFonts w:ascii="Arial" w:hAnsi="Arial" w:cs="Arial"/>
                <w:b/>
              </w:rPr>
            </w:pPr>
            <w:r w:rsidRPr="00D36F09">
              <w:rPr>
                <w:rFonts w:ascii="Arial" w:hAnsi="Arial" w:cs="Arial"/>
                <w:b/>
              </w:rPr>
              <w:t xml:space="preserve">Outcome 1 – </w:t>
            </w:r>
            <w:r w:rsidRPr="005B7C90">
              <w:rPr>
                <w:rFonts w:ascii="Arial" w:eastAsia="Cambria" w:hAnsi="Arial" w:cs="Arial"/>
                <w:lang w:val="x-none" w:eastAsia="en-US"/>
              </w:rPr>
              <w:t>Support for current and former p</w:t>
            </w:r>
            <w:r w:rsidRPr="00D36F09">
              <w:rPr>
                <w:rFonts w:ascii="Arial" w:eastAsia="Cambria" w:hAnsi="Arial" w:cs="Arial"/>
                <w:lang w:val="x-none" w:eastAsia="en-US"/>
              </w:rPr>
              <w:t>arliamentarians and others as required by the Australian Government through the delivery of, independent oversight and advice on, work resources and travel resources.</w:t>
            </w:r>
          </w:p>
        </w:tc>
      </w:tr>
      <w:tr w:rsidR="00771EDB" w:rsidRPr="00D36F09" w:rsidTr="00771EDB">
        <w:trPr>
          <w:tblHeader/>
        </w:trPr>
        <w:tc>
          <w:tcPr>
            <w:tcW w:w="7700" w:type="dxa"/>
            <w:gridSpan w:val="3"/>
            <w:shd w:val="clear" w:color="auto" w:fill="F2F2F2"/>
          </w:tcPr>
          <w:p w:rsidR="00745217" w:rsidRPr="00636AAB" w:rsidRDefault="00771EDB" w:rsidP="00022A1A">
            <w:pPr>
              <w:spacing w:before="60" w:after="60" w:line="240" w:lineRule="auto"/>
              <w:jc w:val="left"/>
              <w:rPr>
                <w:rFonts w:ascii="Arial" w:hAnsi="Arial"/>
                <w:b/>
                <w:sz w:val="18"/>
                <w:szCs w:val="18"/>
              </w:rPr>
            </w:pPr>
            <w:r w:rsidRPr="00636AAB">
              <w:rPr>
                <w:rFonts w:ascii="Arial" w:hAnsi="Arial"/>
                <w:b/>
                <w:sz w:val="18"/>
                <w:szCs w:val="18"/>
              </w:rPr>
              <w:t>Program 1.1 – Independent Parliamentary Expenses Authority – Travel Oversight and Reporting</w:t>
            </w:r>
            <w:r w:rsidR="00BB5283" w:rsidRPr="00636AAB">
              <w:rPr>
                <w:rFonts w:ascii="Arial" w:hAnsi="Arial"/>
                <w:b/>
                <w:sz w:val="18"/>
                <w:szCs w:val="18"/>
              </w:rPr>
              <w:t xml:space="preserve"> </w:t>
            </w:r>
          </w:p>
          <w:p w:rsidR="00771EDB" w:rsidRPr="00D36F09" w:rsidRDefault="00BB5283" w:rsidP="00022A1A">
            <w:pPr>
              <w:spacing w:before="60" w:after="60" w:line="240" w:lineRule="auto"/>
              <w:jc w:val="left"/>
              <w:rPr>
                <w:rFonts w:ascii="Arial" w:hAnsi="Arial"/>
                <w:b/>
                <w:sz w:val="14"/>
              </w:rPr>
            </w:pPr>
            <w:r w:rsidRPr="00745217">
              <w:rPr>
                <w:rFonts w:ascii="Arial" w:hAnsi="Arial"/>
                <w:sz w:val="18"/>
                <w:szCs w:val="18"/>
              </w:rPr>
              <w:t>IPEA provides services to parliamentarians and their staff and publicly reports on their expenditure.</w:t>
            </w:r>
          </w:p>
        </w:tc>
      </w:tr>
      <w:tr w:rsidR="00771EDB" w:rsidRPr="00D36F09" w:rsidTr="00DA0838">
        <w:tc>
          <w:tcPr>
            <w:tcW w:w="1418" w:type="dxa"/>
            <w:tcBorders>
              <w:bottom w:val="double" w:sz="4" w:space="0" w:color="auto"/>
            </w:tcBorders>
          </w:tcPr>
          <w:p w:rsidR="00771EDB" w:rsidRPr="00D36F09" w:rsidRDefault="00771EDB" w:rsidP="00DC1B09">
            <w:pPr>
              <w:tabs>
                <w:tab w:val="left" w:pos="709"/>
              </w:tabs>
              <w:autoSpaceDE w:val="0"/>
              <w:autoSpaceDN w:val="0"/>
              <w:adjustRightInd w:val="0"/>
              <w:spacing w:before="60" w:after="60" w:line="240" w:lineRule="auto"/>
              <w:contextualSpacing/>
              <w:jc w:val="left"/>
              <w:rPr>
                <w:rFonts w:ascii="Arial" w:hAnsi="Arial" w:cs="Arial"/>
                <w:b/>
                <w:sz w:val="16"/>
                <w:szCs w:val="16"/>
              </w:rPr>
            </w:pPr>
            <w:r>
              <w:rPr>
                <w:rFonts w:ascii="Arial" w:hAnsi="Arial" w:cs="Arial"/>
                <w:b/>
                <w:sz w:val="16"/>
                <w:szCs w:val="16"/>
              </w:rPr>
              <w:t>Key activities</w:t>
            </w:r>
          </w:p>
        </w:tc>
        <w:tc>
          <w:tcPr>
            <w:tcW w:w="6007" w:type="dxa"/>
            <w:gridSpan w:val="2"/>
            <w:tcBorders>
              <w:bottom w:val="double" w:sz="4" w:space="0" w:color="auto"/>
            </w:tcBorders>
          </w:tcPr>
          <w:p w:rsidR="00771EDB" w:rsidRPr="005B7C90" w:rsidRDefault="00771EDB" w:rsidP="00DC1B09">
            <w:pPr>
              <w:tabs>
                <w:tab w:val="left" w:pos="709"/>
              </w:tabs>
              <w:autoSpaceDE w:val="0"/>
              <w:autoSpaceDN w:val="0"/>
              <w:adjustRightInd w:val="0"/>
              <w:spacing w:before="60" w:after="60" w:line="240" w:lineRule="auto"/>
              <w:contextualSpacing/>
              <w:jc w:val="left"/>
              <w:rPr>
                <w:rFonts w:ascii="Arial" w:hAnsi="Arial" w:cs="Arial"/>
                <w:sz w:val="16"/>
                <w:szCs w:val="16"/>
              </w:rPr>
            </w:pPr>
            <w:r w:rsidRPr="005B7C90">
              <w:rPr>
                <w:rFonts w:ascii="Arial" w:hAnsi="Arial" w:cs="Arial"/>
                <w:sz w:val="16"/>
                <w:szCs w:val="16"/>
              </w:rPr>
              <w:t>Provide independent monitoring, auditing and reporting of the work resources accessed by current and former parliamentarians and MOP(S) staff.</w:t>
            </w:r>
          </w:p>
          <w:p w:rsidR="00771EDB" w:rsidRPr="00D36F09" w:rsidRDefault="00771EDB" w:rsidP="00DC1B09">
            <w:pPr>
              <w:tabs>
                <w:tab w:val="left" w:pos="709"/>
              </w:tabs>
              <w:autoSpaceDE w:val="0"/>
              <w:autoSpaceDN w:val="0"/>
              <w:adjustRightInd w:val="0"/>
              <w:spacing w:before="60" w:after="60" w:line="240" w:lineRule="auto"/>
              <w:contextualSpacing/>
              <w:jc w:val="left"/>
              <w:rPr>
                <w:rFonts w:ascii="Arial" w:hAnsi="Arial" w:cs="Arial"/>
                <w:i/>
                <w:sz w:val="16"/>
                <w:szCs w:val="16"/>
              </w:rPr>
            </w:pPr>
            <w:r w:rsidRPr="005B7C90">
              <w:rPr>
                <w:rFonts w:ascii="Arial" w:hAnsi="Arial" w:cs="Arial"/>
                <w:sz w:val="16"/>
                <w:szCs w:val="16"/>
              </w:rPr>
              <w:t>Deliver services relating to the administration of travel expenses, allowances, and related expenses including advice on, and processing of, these claims.</w:t>
            </w:r>
          </w:p>
        </w:tc>
      </w:tr>
      <w:tr w:rsidR="00771EDB" w:rsidRPr="00D36F09" w:rsidTr="00DA0838">
        <w:tc>
          <w:tcPr>
            <w:tcW w:w="1418" w:type="dxa"/>
            <w:tcBorders>
              <w:top w:val="double" w:sz="4" w:space="0" w:color="auto"/>
              <w:bottom w:val="single" w:sz="4" w:space="0" w:color="auto"/>
              <w:right w:val="single" w:sz="4" w:space="0" w:color="auto"/>
            </w:tcBorders>
          </w:tcPr>
          <w:p w:rsidR="00771EDB" w:rsidRPr="00D36F09" w:rsidRDefault="00771EDB" w:rsidP="00771EDB">
            <w:pPr>
              <w:tabs>
                <w:tab w:val="left" w:pos="709"/>
              </w:tabs>
              <w:spacing w:before="60" w:after="60" w:line="240" w:lineRule="auto"/>
              <w:jc w:val="left"/>
              <w:rPr>
                <w:rFonts w:ascii="Arial" w:hAnsi="Arial" w:cs="Arial"/>
                <w:b/>
                <w:sz w:val="16"/>
                <w:szCs w:val="16"/>
              </w:rPr>
            </w:pPr>
            <w:r w:rsidRPr="00D36F09">
              <w:rPr>
                <w:rFonts w:ascii="Arial" w:hAnsi="Arial" w:cs="Arial"/>
                <w:b/>
                <w:sz w:val="16"/>
                <w:szCs w:val="16"/>
              </w:rPr>
              <w:t>Year</w:t>
            </w:r>
          </w:p>
        </w:tc>
        <w:tc>
          <w:tcPr>
            <w:tcW w:w="3119" w:type="dxa"/>
            <w:tcBorders>
              <w:top w:val="double" w:sz="4" w:space="0" w:color="auto"/>
              <w:left w:val="single" w:sz="4" w:space="0" w:color="auto"/>
              <w:bottom w:val="single" w:sz="4" w:space="0" w:color="auto"/>
              <w:right w:val="single" w:sz="4" w:space="0" w:color="auto"/>
            </w:tcBorders>
          </w:tcPr>
          <w:p w:rsidR="00771EDB" w:rsidRPr="00D36F09" w:rsidRDefault="00771EDB" w:rsidP="00771EDB">
            <w:pPr>
              <w:tabs>
                <w:tab w:val="left" w:pos="709"/>
              </w:tabs>
              <w:spacing w:before="60" w:after="60" w:line="240" w:lineRule="auto"/>
              <w:jc w:val="left"/>
              <w:rPr>
                <w:rFonts w:ascii="Arial" w:hAnsi="Arial" w:cs="Arial"/>
                <w:b/>
                <w:sz w:val="16"/>
                <w:szCs w:val="16"/>
              </w:rPr>
            </w:pPr>
            <w:r w:rsidRPr="00D36F09">
              <w:rPr>
                <w:rFonts w:ascii="Arial" w:hAnsi="Arial" w:cs="Arial"/>
                <w:b/>
                <w:sz w:val="16"/>
                <w:szCs w:val="16"/>
              </w:rPr>
              <w:t>Performance measure</w:t>
            </w:r>
          </w:p>
        </w:tc>
        <w:tc>
          <w:tcPr>
            <w:tcW w:w="3119" w:type="dxa"/>
            <w:tcBorders>
              <w:top w:val="double" w:sz="4" w:space="0" w:color="auto"/>
              <w:left w:val="single" w:sz="4" w:space="0" w:color="auto"/>
              <w:bottom w:val="single" w:sz="4" w:space="0" w:color="auto"/>
            </w:tcBorders>
          </w:tcPr>
          <w:p w:rsidR="00771EDB" w:rsidRPr="00D36F09" w:rsidRDefault="00771EDB" w:rsidP="00771EDB">
            <w:pPr>
              <w:tabs>
                <w:tab w:val="left" w:pos="709"/>
              </w:tabs>
              <w:spacing w:before="60" w:after="60" w:line="240" w:lineRule="auto"/>
              <w:jc w:val="left"/>
              <w:rPr>
                <w:rFonts w:ascii="Arial" w:hAnsi="Arial" w:cs="Arial"/>
                <w:b/>
                <w:sz w:val="16"/>
                <w:szCs w:val="16"/>
              </w:rPr>
            </w:pPr>
            <w:r w:rsidRPr="005B7C90">
              <w:rPr>
                <w:rFonts w:ascii="Arial" w:hAnsi="Arial" w:cs="Arial"/>
                <w:b/>
                <w:sz w:val="16"/>
                <w:szCs w:val="16"/>
              </w:rPr>
              <w:t>Expected Performance Results</w:t>
            </w:r>
          </w:p>
        </w:tc>
      </w:tr>
      <w:tr w:rsidR="00771EDB" w:rsidRPr="00D36F09" w:rsidTr="00D2024C">
        <w:trPr>
          <w:trHeight w:val="4489"/>
        </w:trPr>
        <w:tc>
          <w:tcPr>
            <w:tcW w:w="1418" w:type="dxa"/>
            <w:tcBorders>
              <w:top w:val="single" w:sz="4" w:space="0" w:color="auto"/>
              <w:bottom w:val="single" w:sz="4" w:space="0" w:color="auto"/>
              <w:right w:val="single" w:sz="4" w:space="0" w:color="auto"/>
            </w:tcBorders>
          </w:tcPr>
          <w:p w:rsidR="00771EDB" w:rsidRPr="00D36F09" w:rsidRDefault="00771EDB" w:rsidP="001E4B0F">
            <w:pPr>
              <w:tabs>
                <w:tab w:val="left" w:pos="709"/>
              </w:tabs>
              <w:spacing w:before="60" w:after="60" w:line="240" w:lineRule="auto"/>
              <w:jc w:val="left"/>
              <w:rPr>
                <w:rFonts w:ascii="Arial" w:hAnsi="Arial" w:cs="Arial"/>
                <w:sz w:val="16"/>
                <w:szCs w:val="16"/>
              </w:rPr>
            </w:pPr>
            <w:r>
              <w:rPr>
                <w:rFonts w:ascii="Arial" w:hAnsi="Arial" w:cs="Arial"/>
                <w:sz w:val="16"/>
                <w:szCs w:val="16"/>
              </w:rPr>
              <w:t>Current year</w:t>
            </w:r>
            <w:r w:rsidR="001E4B0F">
              <w:rPr>
                <w:rFonts w:ascii="Arial" w:hAnsi="Arial" w:cs="Arial"/>
                <w:sz w:val="16"/>
                <w:szCs w:val="16"/>
              </w:rPr>
              <w:br/>
            </w:r>
            <w:r w:rsidRPr="00D36F09">
              <w:rPr>
                <w:rFonts w:ascii="Arial" w:hAnsi="Arial" w:cs="Arial"/>
                <w:sz w:val="16"/>
                <w:szCs w:val="16"/>
              </w:rPr>
              <w:t>2021-22</w:t>
            </w:r>
          </w:p>
        </w:tc>
        <w:tc>
          <w:tcPr>
            <w:tcW w:w="3119" w:type="dxa"/>
            <w:tcBorders>
              <w:top w:val="single" w:sz="4" w:space="0" w:color="auto"/>
              <w:left w:val="single" w:sz="4" w:space="0" w:color="auto"/>
              <w:bottom w:val="single" w:sz="4" w:space="0" w:color="auto"/>
              <w:right w:val="single" w:sz="4" w:space="0" w:color="auto"/>
            </w:tcBorders>
          </w:tcPr>
          <w:p w:rsidR="00771EDB" w:rsidRPr="00D36F09" w:rsidRDefault="00771EDB" w:rsidP="00DA0838">
            <w:pPr>
              <w:tabs>
                <w:tab w:val="left" w:pos="709"/>
              </w:tabs>
              <w:spacing w:before="60" w:after="60" w:line="240" w:lineRule="auto"/>
              <w:jc w:val="left"/>
              <w:rPr>
                <w:rFonts w:ascii="Arial" w:eastAsia="Calibri" w:hAnsi="Arial" w:cs="Arial"/>
                <w:sz w:val="16"/>
                <w:szCs w:val="16"/>
                <w:lang w:val="en-US" w:eastAsia="x-none"/>
              </w:rPr>
            </w:pPr>
            <w:r w:rsidRPr="00D36F09">
              <w:rPr>
                <w:rFonts w:ascii="Arial" w:eastAsia="Calibri" w:hAnsi="Arial" w:cs="Arial"/>
                <w:b/>
                <w:sz w:val="16"/>
                <w:szCs w:val="16"/>
                <w:lang w:val="en-US" w:eastAsia="x-none"/>
              </w:rPr>
              <w:t>Travel — Advice</w:t>
            </w:r>
            <w:r w:rsidRPr="00D36F09">
              <w:rPr>
                <w:rFonts w:ascii="Arial" w:eastAsia="Calibri" w:hAnsi="Arial" w:cs="Arial"/>
                <w:sz w:val="16"/>
                <w:szCs w:val="16"/>
                <w:lang w:val="en-US" w:eastAsia="x-none"/>
              </w:rPr>
              <w:t xml:space="preserve"> </w:t>
            </w:r>
          </w:p>
          <w:p w:rsidR="00771EDB" w:rsidRPr="00141928" w:rsidRDefault="00771EDB" w:rsidP="00DA1F4B">
            <w:pPr>
              <w:numPr>
                <w:ilvl w:val="0"/>
                <w:numId w:val="30"/>
              </w:numPr>
              <w:autoSpaceDE w:val="0"/>
              <w:autoSpaceDN w:val="0"/>
              <w:spacing w:before="60" w:after="60" w:line="240" w:lineRule="auto"/>
              <w:ind w:left="352" w:hanging="352"/>
              <w:jc w:val="left"/>
              <w:rPr>
                <w:rFonts w:ascii="Arial" w:eastAsia="Calibri" w:hAnsi="Arial" w:cs="Arial"/>
                <w:sz w:val="16"/>
                <w:szCs w:val="16"/>
                <w:lang w:val="en-US" w:eastAsia="en-US"/>
              </w:rPr>
            </w:pPr>
            <w:r w:rsidRPr="00D36F09">
              <w:rPr>
                <w:rFonts w:ascii="Arial" w:eastAsia="Calibri" w:hAnsi="Arial" w:cs="Arial"/>
                <w:sz w:val="16"/>
                <w:szCs w:val="16"/>
                <w:lang w:val="en-US" w:eastAsia="en-US"/>
              </w:rPr>
              <w:t>Provide clear and timely advice to parliamentarians and MOP(S) staff on travel and related expenses.</w:t>
            </w:r>
          </w:p>
          <w:p w:rsidR="00141928" w:rsidRDefault="00141928" w:rsidP="00644847">
            <w:pPr>
              <w:autoSpaceDE w:val="0"/>
              <w:autoSpaceDN w:val="0"/>
              <w:spacing w:before="60" w:after="60" w:line="240" w:lineRule="auto"/>
              <w:jc w:val="left"/>
              <w:rPr>
                <w:rFonts w:ascii="Arial" w:eastAsia="Calibri" w:hAnsi="Arial" w:cs="Arial"/>
                <w:sz w:val="16"/>
                <w:szCs w:val="16"/>
                <w:lang w:val="en-US" w:eastAsia="en-US"/>
              </w:rPr>
            </w:pPr>
          </w:p>
          <w:p w:rsidR="00644847" w:rsidRPr="00644847" w:rsidRDefault="00644847" w:rsidP="00644847">
            <w:pPr>
              <w:autoSpaceDE w:val="0"/>
              <w:autoSpaceDN w:val="0"/>
              <w:spacing w:before="60" w:after="60" w:line="240" w:lineRule="auto"/>
              <w:jc w:val="left"/>
              <w:rPr>
                <w:rFonts w:ascii="Arial" w:eastAsia="Calibri" w:hAnsi="Arial" w:cs="Arial"/>
                <w:sz w:val="16"/>
                <w:szCs w:val="16"/>
                <w:lang w:val="en-US" w:eastAsia="en-US"/>
              </w:rPr>
            </w:pPr>
          </w:p>
          <w:p w:rsidR="00141928" w:rsidRPr="00D36F09" w:rsidRDefault="00141928" w:rsidP="00DA0838">
            <w:pPr>
              <w:tabs>
                <w:tab w:val="left" w:pos="709"/>
              </w:tabs>
              <w:spacing w:before="60" w:after="60" w:line="240" w:lineRule="auto"/>
              <w:jc w:val="left"/>
              <w:rPr>
                <w:rFonts w:ascii="Arial" w:eastAsia="Calibri" w:hAnsi="Arial" w:cs="Arial"/>
                <w:sz w:val="16"/>
                <w:szCs w:val="16"/>
                <w:lang w:val="en-US" w:eastAsia="en-US"/>
              </w:rPr>
            </w:pPr>
          </w:p>
          <w:p w:rsidR="00771EDB" w:rsidRPr="00D36F09" w:rsidRDefault="00771EDB" w:rsidP="00DA0838">
            <w:pPr>
              <w:tabs>
                <w:tab w:val="left" w:pos="709"/>
              </w:tabs>
              <w:spacing w:before="60" w:after="60" w:line="240" w:lineRule="auto"/>
              <w:jc w:val="left"/>
              <w:rPr>
                <w:rFonts w:ascii="Arial" w:eastAsia="Calibri" w:hAnsi="Arial" w:cs="Arial"/>
                <w:b/>
                <w:sz w:val="16"/>
                <w:szCs w:val="16"/>
                <w:lang w:val="en-US" w:eastAsia="x-none"/>
              </w:rPr>
            </w:pPr>
            <w:r w:rsidRPr="00D36F09">
              <w:rPr>
                <w:rFonts w:ascii="Arial" w:eastAsia="Calibri" w:hAnsi="Arial" w:cs="Arial"/>
                <w:b/>
                <w:sz w:val="16"/>
                <w:szCs w:val="16"/>
                <w:lang w:val="en-US" w:eastAsia="x-none"/>
              </w:rPr>
              <w:t xml:space="preserve">Travel — Claims </w:t>
            </w:r>
          </w:p>
          <w:p w:rsidR="00771EDB" w:rsidRPr="00D36F09" w:rsidRDefault="00771EDB" w:rsidP="00DA1F4B">
            <w:pPr>
              <w:numPr>
                <w:ilvl w:val="0"/>
                <w:numId w:val="30"/>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D36F09">
              <w:rPr>
                <w:rFonts w:ascii="Arial" w:eastAsia="Calibri" w:hAnsi="Arial" w:cs="Arial"/>
                <w:sz w:val="16"/>
                <w:szCs w:val="16"/>
                <w:lang w:val="en-US" w:eastAsia="en-US"/>
              </w:rPr>
              <w:t xml:space="preserve">Accurate and timely processing of claims for travel expenses and allowances relating </w:t>
            </w:r>
            <w:r>
              <w:rPr>
                <w:rFonts w:ascii="Arial" w:eastAsia="Calibri" w:hAnsi="Arial" w:cs="Arial"/>
                <w:sz w:val="16"/>
                <w:szCs w:val="16"/>
                <w:lang w:val="en-US" w:eastAsia="en-US"/>
              </w:rPr>
              <w:t xml:space="preserve">to </w:t>
            </w:r>
            <w:r w:rsidRPr="00D36F09">
              <w:rPr>
                <w:rFonts w:ascii="Arial" w:eastAsia="Calibri" w:hAnsi="Arial" w:cs="Arial"/>
                <w:sz w:val="16"/>
                <w:szCs w:val="16"/>
                <w:lang w:val="en-US" w:eastAsia="en-US"/>
              </w:rPr>
              <w:t>parliamentarians and MOP(S) staff.</w:t>
            </w:r>
          </w:p>
          <w:p w:rsidR="00771EDB" w:rsidRPr="00D36F09" w:rsidRDefault="00771EDB" w:rsidP="00141928">
            <w:pPr>
              <w:autoSpaceDE w:val="0"/>
              <w:autoSpaceDN w:val="0"/>
              <w:spacing w:before="60" w:after="60" w:line="240" w:lineRule="auto"/>
              <w:jc w:val="left"/>
              <w:rPr>
                <w:rFonts w:ascii="Arial" w:eastAsia="Calibri" w:hAnsi="Arial" w:cs="Arial"/>
                <w:sz w:val="16"/>
                <w:szCs w:val="16"/>
                <w:lang w:val="en-US" w:eastAsia="en-US"/>
              </w:rPr>
            </w:pPr>
          </w:p>
          <w:p w:rsidR="00771EDB" w:rsidRDefault="00771EDB" w:rsidP="00DA0838">
            <w:pPr>
              <w:tabs>
                <w:tab w:val="left" w:pos="709"/>
              </w:tabs>
              <w:spacing w:before="60" w:after="60" w:line="240" w:lineRule="auto"/>
              <w:jc w:val="left"/>
              <w:rPr>
                <w:rFonts w:ascii="Arial" w:eastAsia="Calibri" w:hAnsi="Arial" w:cs="Arial"/>
                <w:b/>
                <w:sz w:val="16"/>
                <w:szCs w:val="16"/>
                <w:lang w:val="en-US" w:eastAsia="x-none"/>
              </w:rPr>
            </w:pPr>
          </w:p>
          <w:p w:rsidR="00141928" w:rsidRPr="00D36F09" w:rsidRDefault="00141928" w:rsidP="00DA0838">
            <w:pPr>
              <w:tabs>
                <w:tab w:val="left" w:pos="709"/>
              </w:tabs>
              <w:spacing w:before="60" w:after="60" w:line="240" w:lineRule="auto"/>
              <w:jc w:val="left"/>
              <w:rPr>
                <w:rFonts w:ascii="Arial" w:eastAsia="Calibri" w:hAnsi="Arial" w:cs="Arial"/>
                <w:b/>
                <w:sz w:val="16"/>
                <w:szCs w:val="16"/>
                <w:lang w:val="en-US" w:eastAsia="x-none"/>
              </w:rPr>
            </w:pPr>
          </w:p>
          <w:p w:rsidR="00771EDB" w:rsidRPr="00D36F09" w:rsidRDefault="00771EDB" w:rsidP="00DA0838">
            <w:pPr>
              <w:tabs>
                <w:tab w:val="left" w:pos="709"/>
              </w:tabs>
              <w:spacing w:before="60" w:after="60" w:line="240" w:lineRule="auto"/>
              <w:jc w:val="left"/>
              <w:rPr>
                <w:rFonts w:ascii="Arial" w:eastAsia="Calibri" w:hAnsi="Arial" w:cs="Arial"/>
                <w:b/>
                <w:sz w:val="16"/>
                <w:szCs w:val="16"/>
                <w:lang w:val="en-US" w:eastAsia="x-none"/>
              </w:rPr>
            </w:pPr>
            <w:r w:rsidRPr="00D36F09">
              <w:rPr>
                <w:rFonts w:ascii="Arial" w:eastAsia="Calibri" w:hAnsi="Arial" w:cs="Arial"/>
                <w:b/>
                <w:sz w:val="16"/>
                <w:szCs w:val="16"/>
                <w:lang w:val="en-US" w:eastAsia="x-none"/>
              </w:rPr>
              <w:t xml:space="preserve">Data and Reporting </w:t>
            </w:r>
          </w:p>
          <w:p w:rsidR="00771EDB" w:rsidRPr="00D36F09" w:rsidRDefault="00771EDB" w:rsidP="00DA1F4B">
            <w:pPr>
              <w:numPr>
                <w:ilvl w:val="0"/>
                <w:numId w:val="30"/>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D36F09">
              <w:rPr>
                <w:rFonts w:ascii="Arial" w:eastAsia="Calibri" w:hAnsi="Arial" w:cs="Arial"/>
                <w:sz w:val="16"/>
                <w:szCs w:val="16"/>
                <w:lang w:val="en-US" w:eastAsia="en-US"/>
              </w:rPr>
              <w:t>Increasing transparency through the compilation of reports detailing the work resources of current and former parliamentarians and the travel resources of MOP(S) staff.</w:t>
            </w:r>
          </w:p>
          <w:p w:rsidR="00771EDB" w:rsidRPr="00D36F09" w:rsidRDefault="00771EDB" w:rsidP="00771EDB">
            <w:pPr>
              <w:tabs>
                <w:tab w:val="left" w:pos="709"/>
              </w:tabs>
              <w:spacing w:before="60" w:after="60" w:line="240" w:lineRule="auto"/>
              <w:jc w:val="left"/>
              <w:rPr>
                <w:rFonts w:ascii="Arial" w:hAnsi="Arial" w:cs="Arial"/>
                <w:i/>
                <w:sz w:val="16"/>
                <w:szCs w:val="16"/>
              </w:rPr>
            </w:pPr>
          </w:p>
        </w:tc>
        <w:tc>
          <w:tcPr>
            <w:tcW w:w="3119" w:type="dxa"/>
            <w:tcBorders>
              <w:top w:val="single" w:sz="4" w:space="0" w:color="auto"/>
              <w:left w:val="single" w:sz="4" w:space="0" w:color="auto"/>
              <w:bottom w:val="single" w:sz="4" w:space="0" w:color="auto"/>
            </w:tcBorders>
          </w:tcPr>
          <w:p w:rsidR="00141928" w:rsidRDefault="00141928" w:rsidP="00141928">
            <w:pPr>
              <w:tabs>
                <w:tab w:val="left" w:pos="198"/>
              </w:tabs>
              <w:autoSpaceDE w:val="0"/>
              <w:autoSpaceDN w:val="0"/>
              <w:spacing w:before="60" w:after="60" w:line="240" w:lineRule="auto"/>
              <w:ind w:left="198"/>
              <w:jc w:val="left"/>
              <w:rPr>
                <w:rFonts w:ascii="Arial" w:hAnsi="Arial" w:cs="Arial"/>
                <w:sz w:val="16"/>
                <w:szCs w:val="16"/>
              </w:rPr>
            </w:pPr>
          </w:p>
          <w:p w:rsidR="00771EDB" w:rsidRPr="00644847" w:rsidRDefault="00771EDB" w:rsidP="00DA1F4B">
            <w:pPr>
              <w:numPr>
                <w:ilvl w:val="0"/>
                <w:numId w:val="30"/>
              </w:numPr>
              <w:autoSpaceDE w:val="0"/>
              <w:autoSpaceDN w:val="0"/>
              <w:spacing w:before="60" w:after="60" w:line="240" w:lineRule="auto"/>
              <w:ind w:left="352" w:hanging="352"/>
              <w:jc w:val="left"/>
              <w:rPr>
                <w:rFonts w:ascii="Arial" w:eastAsia="Calibri" w:hAnsi="Arial" w:cs="Arial"/>
                <w:sz w:val="16"/>
                <w:szCs w:val="16"/>
                <w:lang w:val="en-US" w:eastAsia="en-US"/>
              </w:rPr>
            </w:pPr>
            <w:r w:rsidRPr="00644847">
              <w:rPr>
                <w:rFonts w:ascii="Arial" w:hAnsi="Arial" w:cs="Arial"/>
                <w:sz w:val="16"/>
                <w:szCs w:val="16"/>
              </w:rPr>
              <w:t>Advice</w:t>
            </w:r>
            <w:r w:rsidR="004E4BC8" w:rsidRPr="00644847">
              <w:rPr>
                <w:rFonts w:ascii="Arial" w:hAnsi="Arial" w:cs="Arial"/>
                <w:sz w:val="16"/>
                <w:szCs w:val="16"/>
              </w:rPr>
              <w:t xml:space="preserve"> is provided in accordance with</w:t>
            </w:r>
            <w:r w:rsidR="00644847">
              <w:rPr>
                <w:rFonts w:ascii="Arial" w:hAnsi="Arial" w:cs="Arial"/>
                <w:sz w:val="16"/>
                <w:szCs w:val="16"/>
              </w:rPr>
              <w:t xml:space="preserve"> </w:t>
            </w:r>
            <w:r w:rsidRPr="00644847">
              <w:rPr>
                <w:rFonts w:ascii="Arial" w:hAnsi="Arial" w:cs="Arial"/>
                <w:sz w:val="16"/>
                <w:szCs w:val="16"/>
              </w:rPr>
              <w:t>IPEA’s published service level standards, which include measurements for quality and timeliness.</w:t>
            </w:r>
          </w:p>
          <w:p w:rsidR="00771EDB" w:rsidRPr="00644847" w:rsidRDefault="00771EDB" w:rsidP="00644847">
            <w:pPr>
              <w:tabs>
                <w:tab w:val="left" w:pos="709"/>
              </w:tabs>
              <w:spacing w:before="60" w:after="60" w:line="240" w:lineRule="auto"/>
              <w:jc w:val="left"/>
              <w:rPr>
                <w:rFonts w:ascii="Arial" w:eastAsia="Calibri" w:hAnsi="Arial" w:cs="Arial"/>
                <w:sz w:val="16"/>
                <w:szCs w:val="16"/>
                <w:lang w:val="en-US" w:eastAsia="en-US"/>
              </w:rPr>
            </w:pPr>
            <w:r w:rsidRPr="00D36F09">
              <w:rPr>
                <w:rFonts w:ascii="Arial" w:hAnsi="Arial" w:cs="Arial"/>
                <w:b/>
                <w:sz w:val="16"/>
                <w:szCs w:val="16"/>
              </w:rPr>
              <w:t>On track</w:t>
            </w:r>
          </w:p>
          <w:p w:rsidR="00141928" w:rsidRPr="00644847" w:rsidRDefault="00141928" w:rsidP="00644847">
            <w:pPr>
              <w:tabs>
                <w:tab w:val="left" w:pos="709"/>
              </w:tabs>
              <w:spacing w:before="60" w:after="60" w:line="240" w:lineRule="auto"/>
              <w:jc w:val="left"/>
              <w:rPr>
                <w:rFonts w:ascii="Arial" w:eastAsia="Calibri" w:hAnsi="Arial" w:cs="Arial"/>
                <w:sz w:val="16"/>
                <w:szCs w:val="16"/>
                <w:lang w:val="en-US" w:eastAsia="en-US"/>
              </w:rPr>
            </w:pPr>
          </w:p>
          <w:p w:rsidR="00771EDB" w:rsidRPr="00644847" w:rsidRDefault="00771EDB" w:rsidP="00DA1F4B">
            <w:pPr>
              <w:numPr>
                <w:ilvl w:val="0"/>
                <w:numId w:val="30"/>
              </w:numPr>
              <w:autoSpaceDE w:val="0"/>
              <w:autoSpaceDN w:val="0"/>
              <w:spacing w:before="60" w:after="60" w:line="240" w:lineRule="auto"/>
              <w:ind w:left="352" w:hanging="352"/>
              <w:jc w:val="left"/>
              <w:rPr>
                <w:rFonts w:ascii="Arial" w:eastAsia="Calibri" w:hAnsi="Arial" w:cs="Arial"/>
                <w:sz w:val="16"/>
                <w:szCs w:val="16"/>
                <w:lang w:val="en-US" w:eastAsia="en-US"/>
              </w:rPr>
            </w:pPr>
            <w:r w:rsidRPr="00D36F09">
              <w:rPr>
                <w:rFonts w:ascii="Arial" w:hAnsi="Arial" w:cs="Arial"/>
                <w:sz w:val="16"/>
                <w:szCs w:val="16"/>
              </w:rPr>
              <w:t xml:space="preserve">Claims for travel expenses and allowances are processed in accordance with IPEA’s published service level standards, which include measurements for accuracy and timeliness. </w:t>
            </w:r>
          </w:p>
          <w:p w:rsidR="00771EDB" w:rsidRPr="00644847" w:rsidRDefault="00771EDB" w:rsidP="00644847">
            <w:pPr>
              <w:autoSpaceDE w:val="0"/>
              <w:autoSpaceDN w:val="0"/>
              <w:spacing w:before="60" w:after="60" w:line="240" w:lineRule="auto"/>
              <w:jc w:val="left"/>
              <w:rPr>
                <w:rFonts w:ascii="Arial" w:eastAsia="Calibri" w:hAnsi="Arial" w:cs="Arial"/>
                <w:b/>
                <w:sz w:val="16"/>
                <w:szCs w:val="16"/>
                <w:lang w:val="en-US" w:eastAsia="en-US"/>
              </w:rPr>
            </w:pPr>
            <w:r w:rsidRPr="00644847">
              <w:rPr>
                <w:rFonts w:ascii="Arial" w:eastAsia="Calibri" w:hAnsi="Arial" w:cs="Arial"/>
                <w:b/>
                <w:sz w:val="16"/>
                <w:szCs w:val="16"/>
                <w:lang w:val="en-US" w:eastAsia="en-US"/>
              </w:rPr>
              <w:t>On track</w:t>
            </w:r>
          </w:p>
          <w:p w:rsidR="00141928" w:rsidRDefault="00141928" w:rsidP="00DA0838">
            <w:pPr>
              <w:tabs>
                <w:tab w:val="left" w:pos="198"/>
              </w:tabs>
              <w:autoSpaceDE w:val="0"/>
              <w:autoSpaceDN w:val="0"/>
              <w:spacing w:before="60" w:after="0" w:line="240" w:lineRule="auto"/>
              <w:jc w:val="left"/>
              <w:rPr>
                <w:rFonts w:ascii="Arial" w:hAnsi="Arial" w:cs="Arial"/>
                <w:sz w:val="16"/>
                <w:szCs w:val="16"/>
              </w:rPr>
            </w:pPr>
          </w:p>
          <w:p w:rsidR="00FD7DE9" w:rsidRPr="00D36F09" w:rsidRDefault="00FD7DE9" w:rsidP="00DA0838">
            <w:pPr>
              <w:tabs>
                <w:tab w:val="left" w:pos="198"/>
              </w:tabs>
              <w:autoSpaceDE w:val="0"/>
              <w:autoSpaceDN w:val="0"/>
              <w:spacing w:before="60" w:after="0" w:line="240" w:lineRule="auto"/>
              <w:jc w:val="left"/>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i/>
                <w:sz w:val="16"/>
                <w:szCs w:val="16"/>
              </w:rPr>
            </w:pPr>
            <w:r w:rsidRPr="00D36F09">
              <w:rPr>
                <w:rFonts w:ascii="Arial" w:hAnsi="Arial" w:cs="Arial"/>
                <w:sz w:val="16"/>
                <w:szCs w:val="16"/>
              </w:rPr>
              <w:t>Reports relating to work expenses for parliamentarians and their staff are prepared and provided as per IPEA’s published service level standards.</w:t>
            </w:r>
          </w:p>
          <w:p w:rsidR="00DA0838" w:rsidRPr="00DA0838" w:rsidRDefault="00DA0838" w:rsidP="00DA0838">
            <w:pPr>
              <w:tabs>
                <w:tab w:val="left" w:pos="198"/>
              </w:tabs>
              <w:autoSpaceDE w:val="0"/>
              <w:autoSpaceDN w:val="0"/>
              <w:spacing w:before="60" w:after="60" w:line="240" w:lineRule="auto"/>
              <w:jc w:val="left"/>
              <w:rPr>
                <w:rFonts w:ascii="Arial" w:hAnsi="Arial" w:cs="Arial"/>
                <w:b/>
                <w:sz w:val="16"/>
                <w:szCs w:val="16"/>
              </w:rPr>
            </w:pPr>
            <w:r>
              <w:rPr>
                <w:rFonts w:ascii="Arial" w:hAnsi="Arial" w:cs="Arial"/>
                <w:b/>
                <w:sz w:val="16"/>
                <w:szCs w:val="16"/>
              </w:rPr>
              <w:t>On track</w:t>
            </w:r>
          </w:p>
        </w:tc>
      </w:tr>
    </w:tbl>
    <w:p w:rsidR="00771EDB" w:rsidRPr="004111A7" w:rsidRDefault="00771EDB" w:rsidP="00771EDB">
      <w:pPr>
        <w:autoSpaceDE w:val="0"/>
        <w:autoSpaceDN w:val="0"/>
        <w:spacing w:after="0" w:line="240" w:lineRule="auto"/>
      </w:pPr>
      <w:r w:rsidRPr="00D36F09">
        <w:rPr>
          <w:rFonts w:ascii="Arial" w:hAnsi="Arial" w:cs="Arial"/>
          <w:sz w:val="16"/>
          <w:szCs w:val="16"/>
        </w:rPr>
        <w:t>Table continues on next page</w:t>
      </w:r>
      <w:r w:rsidRPr="004111A7">
        <w:br w:type="page"/>
      </w:r>
    </w:p>
    <w:p w:rsidR="00771EDB" w:rsidRDefault="00771EDB" w:rsidP="00771EDB">
      <w:pPr>
        <w:pStyle w:val="TableHeading"/>
        <w:rPr>
          <w:lang w:val="en-AU"/>
        </w:rPr>
      </w:pPr>
      <w:r w:rsidRPr="004111A7">
        <w:lastRenderedPageBreak/>
        <w:t>Table 2.</w:t>
      </w:r>
      <w:r w:rsidRPr="004111A7">
        <w:rPr>
          <w:lang w:val="en-AU"/>
        </w:rPr>
        <w:t>1</w:t>
      </w:r>
      <w:r w:rsidRPr="004111A7">
        <w:t>.</w:t>
      </w:r>
      <w:r w:rsidRPr="004111A7">
        <w:rPr>
          <w:lang w:val="en-AU"/>
        </w:rPr>
        <w:t>2</w:t>
      </w:r>
      <w:r w:rsidRPr="004111A7">
        <w:t xml:space="preserve">: Performance measures for Outcome </w:t>
      </w:r>
      <w:r w:rsidRPr="004111A7">
        <w:rPr>
          <w:lang w:val="en-AU"/>
        </w:rPr>
        <w:t>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9"/>
        <w:gridCol w:w="3163"/>
      </w:tblGrid>
      <w:tr w:rsidR="00DA0838" w:rsidRPr="00D36F09" w:rsidTr="00DA0838">
        <w:tc>
          <w:tcPr>
            <w:tcW w:w="7700" w:type="dxa"/>
            <w:gridSpan w:val="3"/>
            <w:tcBorders>
              <w:top w:val="single" w:sz="4" w:space="0" w:color="auto"/>
              <w:left w:val="single" w:sz="4" w:space="0" w:color="auto"/>
              <w:bottom w:val="single" w:sz="4" w:space="0" w:color="auto"/>
              <w:right w:val="single" w:sz="4" w:space="0" w:color="auto"/>
            </w:tcBorders>
            <w:shd w:val="clear" w:color="auto" w:fill="F2F2F2"/>
          </w:tcPr>
          <w:p w:rsidR="00DA0838" w:rsidRPr="00C618E7" w:rsidRDefault="00DA0838" w:rsidP="00745217">
            <w:pPr>
              <w:spacing w:before="60" w:after="60" w:line="240" w:lineRule="auto"/>
              <w:jc w:val="left"/>
              <w:rPr>
                <w:rFonts w:ascii="Arial" w:hAnsi="Arial"/>
                <w:b/>
                <w:sz w:val="18"/>
                <w:szCs w:val="18"/>
              </w:rPr>
            </w:pPr>
            <w:r w:rsidRPr="00C618E7">
              <w:rPr>
                <w:rFonts w:ascii="Arial" w:hAnsi="Arial"/>
                <w:b/>
                <w:sz w:val="18"/>
                <w:szCs w:val="18"/>
              </w:rPr>
              <w:t xml:space="preserve">Program 1.1 – Independent Parliamentary Expenses Authority – </w:t>
            </w:r>
            <w:r w:rsidR="00B50177">
              <w:rPr>
                <w:rFonts w:ascii="Arial" w:hAnsi="Arial"/>
                <w:b/>
                <w:sz w:val="18"/>
                <w:szCs w:val="18"/>
              </w:rPr>
              <w:t>Travel Oversight and Reporting</w:t>
            </w:r>
          </w:p>
        </w:tc>
      </w:tr>
      <w:tr w:rsidR="00F978A6" w:rsidRPr="004111A7" w:rsidTr="00DA0838">
        <w:tc>
          <w:tcPr>
            <w:tcW w:w="1418" w:type="dxa"/>
            <w:tcBorders>
              <w:top w:val="single" w:sz="4" w:space="0" w:color="auto"/>
              <w:bottom w:val="single" w:sz="4" w:space="0" w:color="auto"/>
              <w:right w:val="single" w:sz="4" w:space="0" w:color="auto"/>
            </w:tcBorders>
          </w:tcPr>
          <w:p w:rsidR="00F978A6" w:rsidRPr="004111A7" w:rsidRDefault="00F978A6" w:rsidP="00372EBB">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119" w:type="dxa"/>
            <w:tcBorders>
              <w:top w:val="single" w:sz="4" w:space="0" w:color="auto"/>
              <w:left w:val="single" w:sz="4" w:space="0" w:color="auto"/>
              <w:bottom w:val="single" w:sz="4" w:space="0" w:color="auto"/>
              <w:right w:val="single" w:sz="4" w:space="0" w:color="auto"/>
            </w:tcBorders>
          </w:tcPr>
          <w:p w:rsidR="00F978A6" w:rsidRPr="004111A7" w:rsidRDefault="00F978A6" w:rsidP="00372EBB">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measure</w:t>
            </w:r>
            <w:r>
              <w:rPr>
                <w:rFonts w:ascii="Arial" w:hAnsi="Arial" w:cs="Arial"/>
                <w:sz w:val="16"/>
                <w:szCs w:val="16"/>
              </w:rPr>
              <w:t xml:space="preserve"> </w:t>
            </w:r>
          </w:p>
        </w:tc>
        <w:tc>
          <w:tcPr>
            <w:tcW w:w="3119" w:type="dxa"/>
            <w:tcBorders>
              <w:top w:val="single" w:sz="4" w:space="0" w:color="auto"/>
              <w:left w:val="single" w:sz="4" w:space="0" w:color="auto"/>
              <w:bottom w:val="single" w:sz="4" w:space="0" w:color="auto"/>
            </w:tcBorders>
          </w:tcPr>
          <w:p w:rsidR="00F978A6" w:rsidRPr="004111A7" w:rsidRDefault="00F978A6" w:rsidP="00372EBB">
            <w:pPr>
              <w:tabs>
                <w:tab w:val="left" w:pos="709"/>
              </w:tabs>
              <w:spacing w:before="60" w:after="60" w:line="240" w:lineRule="auto"/>
              <w:jc w:val="left"/>
              <w:rPr>
                <w:rFonts w:ascii="Arial" w:hAnsi="Arial" w:cs="Arial"/>
                <w:b/>
                <w:sz w:val="16"/>
                <w:szCs w:val="16"/>
              </w:rPr>
            </w:pPr>
            <w:r>
              <w:rPr>
                <w:rFonts w:ascii="Arial" w:hAnsi="Arial" w:cs="Arial"/>
                <w:b/>
                <w:sz w:val="16"/>
                <w:szCs w:val="16"/>
              </w:rPr>
              <w:t>Expected</w:t>
            </w:r>
            <w:r w:rsidRPr="00B87B28">
              <w:rPr>
                <w:rFonts w:ascii="Arial" w:hAnsi="Arial" w:cs="Arial"/>
                <w:b/>
                <w:sz w:val="16"/>
                <w:szCs w:val="16"/>
              </w:rPr>
              <w:t xml:space="preserve"> Performance Results</w:t>
            </w:r>
          </w:p>
        </w:tc>
      </w:tr>
      <w:tr w:rsidR="00F978A6" w:rsidRPr="004111A7" w:rsidTr="00DA0838">
        <w:tc>
          <w:tcPr>
            <w:tcW w:w="1418" w:type="dxa"/>
            <w:tcBorders>
              <w:top w:val="double" w:sz="4" w:space="0" w:color="auto"/>
              <w:bottom w:val="single" w:sz="4" w:space="0" w:color="auto"/>
              <w:right w:val="single" w:sz="4" w:space="0" w:color="auto"/>
            </w:tcBorders>
          </w:tcPr>
          <w:p w:rsidR="00536398" w:rsidRPr="004111A7" w:rsidRDefault="00F978A6" w:rsidP="00F95957">
            <w:pPr>
              <w:tabs>
                <w:tab w:val="left" w:pos="709"/>
              </w:tabs>
              <w:spacing w:before="60" w:after="60" w:line="240" w:lineRule="auto"/>
              <w:jc w:val="left"/>
              <w:rPr>
                <w:rFonts w:ascii="Arial" w:hAnsi="Arial" w:cs="Arial"/>
                <w:b/>
                <w:sz w:val="16"/>
                <w:szCs w:val="16"/>
              </w:rPr>
            </w:pPr>
            <w:r>
              <w:rPr>
                <w:rFonts w:ascii="Arial" w:hAnsi="Arial" w:cs="Arial"/>
                <w:sz w:val="16"/>
                <w:szCs w:val="16"/>
              </w:rPr>
              <w:t>Current year</w:t>
            </w:r>
            <w:r w:rsidR="00F95957">
              <w:rPr>
                <w:rFonts w:ascii="Arial" w:hAnsi="Arial" w:cs="Arial"/>
                <w:sz w:val="16"/>
                <w:szCs w:val="16"/>
              </w:rPr>
              <w:t xml:space="preserve"> </w:t>
            </w:r>
            <w:r w:rsidRPr="00D36F09">
              <w:rPr>
                <w:rFonts w:ascii="Arial" w:hAnsi="Arial" w:cs="Arial"/>
                <w:sz w:val="16"/>
                <w:szCs w:val="16"/>
              </w:rPr>
              <w:t>2021-22</w:t>
            </w:r>
            <w:r w:rsidR="00F95957">
              <w:rPr>
                <w:rFonts w:ascii="Arial" w:hAnsi="Arial" w:cs="Arial"/>
                <w:sz w:val="16"/>
                <w:szCs w:val="16"/>
              </w:rPr>
              <w:t xml:space="preserve"> </w:t>
            </w:r>
            <w:r w:rsidR="00536398">
              <w:rPr>
                <w:rFonts w:ascii="Arial" w:hAnsi="Arial" w:cs="Arial"/>
                <w:sz w:val="16"/>
                <w:szCs w:val="16"/>
              </w:rPr>
              <w:t>(continued)</w:t>
            </w:r>
          </w:p>
        </w:tc>
        <w:tc>
          <w:tcPr>
            <w:tcW w:w="3119" w:type="dxa"/>
            <w:tcBorders>
              <w:top w:val="double" w:sz="4" w:space="0" w:color="auto"/>
              <w:left w:val="single" w:sz="4" w:space="0" w:color="auto"/>
              <w:bottom w:val="single" w:sz="4" w:space="0" w:color="auto"/>
              <w:right w:val="single" w:sz="4" w:space="0" w:color="auto"/>
            </w:tcBorders>
          </w:tcPr>
          <w:p w:rsidR="00F978A6" w:rsidRPr="00D36F09" w:rsidRDefault="00F978A6" w:rsidP="006F53D0">
            <w:pPr>
              <w:tabs>
                <w:tab w:val="left" w:pos="709"/>
              </w:tabs>
              <w:autoSpaceDE w:val="0"/>
              <w:adjustRightInd w:val="0"/>
              <w:spacing w:before="60" w:after="60" w:line="240" w:lineRule="auto"/>
              <w:ind w:left="374" w:hanging="357"/>
              <w:contextualSpacing/>
              <w:jc w:val="left"/>
              <w:rPr>
                <w:rFonts w:ascii="Arial" w:eastAsia="Calibri" w:hAnsi="Arial" w:cs="Arial"/>
                <w:b/>
                <w:sz w:val="16"/>
                <w:szCs w:val="16"/>
                <w:lang w:val="en-US" w:eastAsia="x-none"/>
              </w:rPr>
            </w:pPr>
            <w:r w:rsidRPr="00D36F09">
              <w:rPr>
                <w:rFonts w:ascii="Arial" w:eastAsia="Calibri" w:hAnsi="Arial" w:cs="Arial"/>
                <w:b/>
                <w:sz w:val="16"/>
                <w:szCs w:val="16"/>
                <w:lang w:val="en-US" w:eastAsia="x-none"/>
              </w:rPr>
              <w:t xml:space="preserve">Audit and Assurance </w:t>
            </w:r>
          </w:p>
          <w:p w:rsidR="00F978A6" w:rsidRPr="00D36F09" w:rsidRDefault="00F978A6" w:rsidP="00DA1F4B">
            <w:pPr>
              <w:numPr>
                <w:ilvl w:val="0"/>
                <w:numId w:val="30"/>
              </w:numPr>
              <w:autoSpaceDE w:val="0"/>
              <w:adjustRightInd w:val="0"/>
              <w:spacing w:before="60" w:after="60" w:line="240" w:lineRule="auto"/>
              <w:ind w:left="374" w:hanging="357"/>
              <w:contextualSpacing/>
              <w:jc w:val="left"/>
              <w:rPr>
                <w:rFonts w:ascii="Arial" w:eastAsia="Calibri" w:hAnsi="Arial" w:cs="Arial"/>
                <w:i/>
                <w:sz w:val="16"/>
                <w:szCs w:val="16"/>
                <w:lang w:val="en-US" w:eastAsia="en-US"/>
              </w:rPr>
            </w:pPr>
            <w:r w:rsidRPr="00FB281C">
              <w:rPr>
                <w:rFonts w:ascii="Arial" w:eastAsia="Calibri" w:hAnsi="Arial" w:cs="Arial"/>
                <w:sz w:val="16"/>
                <w:szCs w:val="16"/>
                <w:lang w:val="en-US" w:eastAsia="en-US"/>
              </w:rPr>
              <w:t>Conducting assurance activities on</w:t>
            </w:r>
            <w:r w:rsidRPr="00D36F09">
              <w:rPr>
                <w:rFonts w:ascii="Arial" w:eastAsia="Calibri" w:hAnsi="Arial" w:cs="Arial"/>
                <w:sz w:val="16"/>
                <w:szCs w:val="16"/>
                <w:lang w:val="en-US" w:eastAsia="en-US"/>
              </w:rPr>
              <w:t xml:space="preserve"> the work resources of parliamentarians and the travel resources of MOP(S) staff.</w:t>
            </w:r>
          </w:p>
          <w:p w:rsidR="00F978A6" w:rsidRPr="004111A7" w:rsidRDefault="00F978A6" w:rsidP="00372EBB">
            <w:pPr>
              <w:tabs>
                <w:tab w:val="left" w:pos="709"/>
              </w:tabs>
              <w:spacing w:before="60" w:after="60" w:line="240" w:lineRule="auto"/>
              <w:jc w:val="left"/>
              <w:rPr>
                <w:rFonts w:ascii="Arial" w:hAnsi="Arial" w:cs="Arial"/>
                <w:b/>
                <w:sz w:val="16"/>
                <w:szCs w:val="16"/>
              </w:rPr>
            </w:pPr>
          </w:p>
        </w:tc>
        <w:tc>
          <w:tcPr>
            <w:tcW w:w="3119" w:type="dxa"/>
            <w:tcBorders>
              <w:top w:val="double" w:sz="4" w:space="0" w:color="auto"/>
              <w:left w:val="single" w:sz="4" w:space="0" w:color="auto"/>
              <w:bottom w:val="single" w:sz="4" w:space="0" w:color="auto"/>
            </w:tcBorders>
          </w:tcPr>
          <w:p w:rsidR="00F978A6" w:rsidRPr="00D2609F" w:rsidRDefault="00F978A6" w:rsidP="00644847">
            <w:pPr>
              <w:numPr>
                <w:ilvl w:val="0"/>
                <w:numId w:val="21"/>
              </w:numPr>
              <w:autoSpaceDE w:val="0"/>
              <w:autoSpaceDN w:val="0"/>
              <w:adjustRightInd w:val="0"/>
              <w:spacing w:before="60" w:after="60" w:line="240" w:lineRule="auto"/>
              <w:ind w:left="374" w:hanging="357"/>
              <w:contextualSpacing/>
              <w:jc w:val="left"/>
              <w:rPr>
                <w:rFonts w:ascii="Arial" w:hAnsi="Arial" w:cs="Arial"/>
                <w:i/>
                <w:sz w:val="16"/>
                <w:szCs w:val="16"/>
              </w:rPr>
            </w:pPr>
            <w:r w:rsidRPr="00D2609F">
              <w:rPr>
                <w:rFonts w:ascii="Arial" w:hAnsi="Arial" w:cs="Arial"/>
                <w:sz w:val="16"/>
                <w:szCs w:val="16"/>
              </w:rPr>
              <w:t>All parliamentarians’ offices are subject to one or more forms of assurance activities during the financial year in accordance with IPEA’s published service level standards and procedures</w:t>
            </w:r>
            <w:r>
              <w:rPr>
                <w:rFonts w:ascii="Arial" w:hAnsi="Arial" w:cs="Arial"/>
                <w:sz w:val="16"/>
                <w:szCs w:val="16"/>
              </w:rPr>
              <w:t xml:space="preserve"> </w:t>
            </w:r>
            <w:r w:rsidRPr="00D2609F">
              <w:rPr>
                <w:rFonts w:ascii="Arial" w:hAnsi="Arial" w:cs="Arial"/>
                <w:sz w:val="16"/>
                <w:szCs w:val="16"/>
              </w:rPr>
              <w:t>(protocols and factsheets).</w:t>
            </w:r>
          </w:p>
          <w:p w:rsidR="00F978A6" w:rsidRPr="00D2024C" w:rsidRDefault="00D2024C" w:rsidP="00D2024C">
            <w:pPr>
              <w:tabs>
                <w:tab w:val="left" w:pos="198"/>
              </w:tabs>
              <w:autoSpaceDE w:val="0"/>
              <w:autoSpaceDN w:val="0"/>
              <w:spacing w:before="120" w:after="60" w:line="240" w:lineRule="auto"/>
              <w:jc w:val="left"/>
              <w:rPr>
                <w:rFonts w:ascii="Arial" w:hAnsi="Arial" w:cs="Arial"/>
                <w:i/>
                <w:sz w:val="16"/>
                <w:szCs w:val="16"/>
              </w:rPr>
            </w:pPr>
            <w:r w:rsidRPr="00DA0838">
              <w:rPr>
                <w:rFonts w:ascii="Arial" w:hAnsi="Arial" w:cs="Arial"/>
                <w:b/>
                <w:sz w:val="16"/>
                <w:szCs w:val="16"/>
              </w:rPr>
              <w:t>On track</w:t>
            </w:r>
          </w:p>
        </w:tc>
      </w:tr>
      <w:tr w:rsidR="00F978A6" w:rsidRPr="00A94053" w:rsidTr="00DA0838">
        <w:tc>
          <w:tcPr>
            <w:tcW w:w="1418" w:type="dxa"/>
            <w:tcBorders>
              <w:top w:val="double" w:sz="4" w:space="0" w:color="auto"/>
              <w:left w:val="single" w:sz="4" w:space="0" w:color="auto"/>
              <w:bottom w:val="single" w:sz="4" w:space="0" w:color="auto"/>
              <w:right w:val="single" w:sz="4" w:space="0" w:color="auto"/>
            </w:tcBorders>
          </w:tcPr>
          <w:p w:rsidR="00F978A6" w:rsidRPr="00A94053" w:rsidRDefault="00F978A6" w:rsidP="00372EBB">
            <w:pPr>
              <w:tabs>
                <w:tab w:val="left" w:pos="709"/>
              </w:tabs>
              <w:spacing w:before="60" w:after="60" w:line="240" w:lineRule="auto"/>
              <w:jc w:val="left"/>
              <w:rPr>
                <w:rFonts w:ascii="Arial" w:hAnsi="Arial" w:cs="Arial"/>
                <w:b/>
                <w:sz w:val="16"/>
                <w:szCs w:val="16"/>
              </w:rPr>
            </w:pPr>
            <w:r w:rsidRPr="00A94053">
              <w:rPr>
                <w:rFonts w:ascii="Arial" w:hAnsi="Arial" w:cs="Arial"/>
                <w:b/>
                <w:sz w:val="16"/>
                <w:szCs w:val="16"/>
              </w:rPr>
              <w:t>Year</w:t>
            </w:r>
          </w:p>
        </w:tc>
        <w:tc>
          <w:tcPr>
            <w:tcW w:w="3119" w:type="dxa"/>
            <w:tcBorders>
              <w:top w:val="double" w:sz="4" w:space="0" w:color="auto"/>
              <w:left w:val="single" w:sz="4" w:space="0" w:color="auto"/>
              <w:bottom w:val="single" w:sz="4" w:space="0" w:color="auto"/>
              <w:right w:val="single" w:sz="4" w:space="0" w:color="auto"/>
            </w:tcBorders>
          </w:tcPr>
          <w:p w:rsidR="00F978A6" w:rsidRPr="00A94053" w:rsidRDefault="00F978A6" w:rsidP="00372EBB">
            <w:pPr>
              <w:tabs>
                <w:tab w:val="left" w:pos="709"/>
              </w:tabs>
              <w:spacing w:before="60" w:after="60" w:line="240" w:lineRule="auto"/>
              <w:jc w:val="left"/>
              <w:rPr>
                <w:rFonts w:ascii="Arial" w:hAnsi="Arial" w:cs="Arial"/>
                <w:b/>
                <w:sz w:val="16"/>
                <w:szCs w:val="16"/>
              </w:rPr>
            </w:pPr>
            <w:r w:rsidRPr="00A94053">
              <w:rPr>
                <w:rFonts w:ascii="Arial" w:hAnsi="Arial" w:cs="Arial"/>
                <w:b/>
                <w:sz w:val="16"/>
                <w:szCs w:val="16"/>
              </w:rPr>
              <w:t xml:space="preserve">Performance measure </w:t>
            </w:r>
          </w:p>
        </w:tc>
        <w:tc>
          <w:tcPr>
            <w:tcW w:w="3119" w:type="dxa"/>
            <w:tcBorders>
              <w:top w:val="double" w:sz="4" w:space="0" w:color="auto"/>
              <w:left w:val="single" w:sz="4" w:space="0" w:color="auto"/>
              <w:bottom w:val="single" w:sz="4" w:space="0" w:color="auto"/>
              <w:right w:val="single" w:sz="4" w:space="0" w:color="auto"/>
            </w:tcBorders>
          </w:tcPr>
          <w:p w:rsidR="00F978A6" w:rsidRPr="00A94053" w:rsidRDefault="00F978A6" w:rsidP="00372EBB">
            <w:pPr>
              <w:tabs>
                <w:tab w:val="left" w:pos="709"/>
              </w:tabs>
              <w:spacing w:before="60" w:after="60" w:line="240" w:lineRule="auto"/>
              <w:jc w:val="left"/>
              <w:rPr>
                <w:rFonts w:ascii="Arial" w:hAnsi="Arial" w:cs="Arial"/>
                <w:b/>
                <w:sz w:val="16"/>
                <w:szCs w:val="16"/>
              </w:rPr>
            </w:pPr>
            <w:r w:rsidRPr="00A94053">
              <w:rPr>
                <w:rFonts w:ascii="Arial" w:hAnsi="Arial" w:cs="Arial"/>
                <w:b/>
                <w:sz w:val="16"/>
                <w:szCs w:val="16"/>
              </w:rPr>
              <w:t>Planned Performance Results</w:t>
            </w:r>
          </w:p>
        </w:tc>
      </w:tr>
      <w:tr w:rsidR="00F978A6" w:rsidRPr="004111A7" w:rsidTr="00DA0838">
        <w:tc>
          <w:tcPr>
            <w:tcW w:w="1418" w:type="dxa"/>
            <w:tcBorders>
              <w:top w:val="dotted" w:sz="4" w:space="0" w:color="auto"/>
              <w:bottom w:val="single" w:sz="4" w:space="0" w:color="auto"/>
              <w:right w:val="single" w:sz="4" w:space="0" w:color="auto"/>
            </w:tcBorders>
          </w:tcPr>
          <w:p w:rsidR="00F978A6" w:rsidRPr="00DA0838" w:rsidRDefault="00F978A6" w:rsidP="00F95957">
            <w:pPr>
              <w:pStyle w:val="TableTextBase"/>
              <w:rPr>
                <w:rFonts w:cs="Arial"/>
                <w:sz w:val="16"/>
                <w:szCs w:val="16"/>
              </w:rPr>
            </w:pPr>
            <w:r w:rsidRPr="00DA0838">
              <w:rPr>
                <w:sz w:val="16"/>
                <w:szCs w:val="16"/>
              </w:rPr>
              <w:t xml:space="preserve">Budget Year </w:t>
            </w:r>
            <w:r w:rsidR="001E4B0F">
              <w:rPr>
                <w:sz w:val="16"/>
                <w:szCs w:val="16"/>
              </w:rPr>
              <w:br/>
            </w:r>
            <w:r w:rsidRPr="00DA0838">
              <w:rPr>
                <w:sz w:val="16"/>
                <w:szCs w:val="16"/>
              </w:rPr>
              <w:t>2022-23</w:t>
            </w:r>
          </w:p>
        </w:tc>
        <w:tc>
          <w:tcPr>
            <w:tcW w:w="3119" w:type="dxa"/>
            <w:tcBorders>
              <w:top w:val="dotted" w:sz="4" w:space="0" w:color="auto"/>
              <w:left w:val="single" w:sz="4" w:space="0" w:color="auto"/>
              <w:bottom w:val="single" w:sz="4" w:space="0" w:color="auto"/>
              <w:right w:val="single" w:sz="4" w:space="0" w:color="auto"/>
            </w:tcBorders>
          </w:tcPr>
          <w:p w:rsidR="00F978A6" w:rsidRPr="00DA0838" w:rsidRDefault="00F978A6" w:rsidP="00372EBB">
            <w:pPr>
              <w:tabs>
                <w:tab w:val="left" w:pos="709"/>
              </w:tabs>
              <w:spacing w:before="60" w:after="60" w:line="240" w:lineRule="auto"/>
              <w:jc w:val="left"/>
              <w:rPr>
                <w:rFonts w:ascii="Arial" w:eastAsia="Calibri" w:hAnsi="Arial" w:cs="Arial"/>
                <w:sz w:val="16"/>
                <w:szCs w:val="16"/>
                <w:lang w:val="en-US" w:eastAsia="x-none"/>
              </w:rPr>
            </w:pPr>
            <w:r w:rsidRPr="00DA0838">
              <w:rPr>
                <w:rFonts w:ascii="Arial" w:eastAsia="Calibri" w:hAnsi="Arial" w:cs="Arial"/>
                <w:b/>
                <w:sz w:val="16"/>
                <w:szCs w:val="16"/>
                <w:lang w:val="en-US" w:eastAsia="x-none"/>
              </w:rPr>
              <w:t>Travel — Advice</w:t>
            </w:r>
            <w:r w:rsidRPr="00DA0838">
              <w:rPr>
                <w:rFonts w:ascii="Arial" w:eastAsia="Calibri" w:hAnsi="Arial" w:cs="Arial"/>
                <w:sz w:val="16"/>
                <w:szCs w:val="16"/>
                <w:lang w:val="en-US" w:eastAsia="x-none"/>
              </w:rPr>
              <w:t xml:space="preserve"> </w:t>
            </w:r>
          </w:p>
          <w:p w:rsidR="00F978A6" w:rsidRPr="005166EF"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Provide accurate and timely advice to parliamentarians and MOP(S) staff on travel and related expenses.</w:t>
            </w:r>
          </w:p>
          <w:p w:rsidR="00F978A6" w:rsidRPr="00DA0838" w:rsidRDefault="00F978A6" w:rsidP="00372EBB">
            <w:pPr>
              <w:tabs>
                <w:tab w:val="left" w:pos="709"/>
              </w:tabs>
              <w:spacing w:before="60" w:after="60" w:line="240" w:lineRule="auto"/>
              <w:jc w:val="left"/>
              <w:rPr>
                <w:rFonts w:ascii="Arial" w:eastAsia="Calibri" w:hAnsi="Arial" w:cs="Arial"/>
                <w:sz w:val="16"/>
                <w:szCs w:val="16"/>
                <w:lang w:val="en-US" w:eastAsia="en-US"/>
              </w:rPr>
            </w:pPr>
          </w:p>
          <w:p w:rsidR="00F978A6" w:rsidRPr="00DA0838" w:rsidRDefault="00F978A6" w:rsidP="00372EB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Travel — Claims </w:t>
            </w:r>
          </w:p>
          <w:p w:rsidR="00F978A6" w:rsidRPr="00DA0838"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Accurate and timely processing of claims for travel expenses and allowances relating to parliamentarians and MOP(S) staff.</w:t>
            </w:r>
          </w:p>
          <w:p w:rsidR="00F978A6" w:rsidRPr="00DA0838" w:rsidRDefault="00F978A6" w:rsidP="00372EBB">
            <w:pPr>
              <w:pStyle w:val="ListParagraph"/>
              <w:autoSpaceDE w:val="0"/>
              <w:autoSpaceDN w:val="0"/>
              <w:spacing w:after="0" w:line="240" w:lineRule="auto"/>
              <w:ind w:left="349"/>
              <w:rPr>
                <w:rFonts w:ascii="Arial" w:hAnsi="Arial" w:cs="Arial"/>
                <w:sz w:val="16"/>
                <w:szCs w:val="16"/>
              </w:rPr>
            </w:pPr>
          </w:p>
          <w:p w:rsidR="00F978A6" w:rsidRPr="00DA0838" w:rsidRDefault="00F978A6" w:rsidP="00372EB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Data and Reporting </w:t>
            </w:r>
          </w:p>
          <w:p w:rsidR="00F978A6" w:rsidRPr="00DA0838"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Increasing transparency through the compilation of reports detailing the work resources of current and former parliamentarians and the travel resources of MOP(S) staff.</w:t>
            </w:r>
          </w:p>
          <w:p w:rsidR="00F978A6" w:rsidRPr="005166EF" w:rsidRDefault="00F978A6" w:rsidP="005166EF">
            <w:pPr>
              <w:autoSpaceDE w:val="0"/>
              <w:autoSpaceDN w:val="0"/>
              <w:spacing w:after="0" w:line="240" w:lineRule="auto"/>
              <w:rPr>
                <w:rFonts w:ascii="Arial" w:hAnsi="Arial" w:cs="Arial"/>
                <w:sz w:val="16"/>
                <w:szCs w:val="16"/>
              </w:rPr>
            </w:pPr>
          </w:p>
          <w:p w:rsidR="00F978A6" w:rsidRPr="00DA0838" w:rsidRDefault="00F978A6" w:rsidP="00372EB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Audit and Assurance </w:t>
            </w:r>
          </w:p>
          <w:p w:rsidR="00F978A6" w:rsidRPr="00DA0838"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i/>
                <w:sz w:val="16"/>
                <w:szCs w:val="16"/>
              </w:rPr>
            </w:pPr>
            <w:r w:rsidRPr="00DA0838">
              <w:rPr>
                <w:rFonts w:ascii="Arial" w:hAnsi="Arial" w:cs="Arial"/>
                <w:sz w:val="16"/>
                <w:szCs w:val="16"/>
              </w:rPr>
              <w:t>Conducting assurance activities on the work resources of parliamentarians and the travel resources of MOP(S) staff.</w:t>
            </w:r>
          </w:p>
          <w:p w:rsidR="00F978A6" w:rsidRPr="00DA0838" w:rsidRDefault="00F978A6" w:rsidP="00372EBB">
            <w:pPr>
              <w:tabs>
                <w:tab w:val="left" w:pos="709"/>
              </w:tabs>
              <w:spacing w:before="60" w:after="60" w:line="240" w:lineRule="auto"/>
              <w:jc w:val="left"/>
              <w:rPr>
                <w:rFonts w:ascii="Arial" w:hAnsi="Arial" w:cs="Arial"/>
                <w:i/>
                <w:sz w:val="16"/>
                <w:szCs w:val="16"/>
              </w:rPr>
            </w:pPr>
          </w:p>
          <w:p w:rsidR="00F978A6" w:rsidRPr="00DA0838" w:rsidRDefault="00F978A6" w:rsidP="00372EBB">
            <w:pPr>
              <w:tabs>
                <w:tab w:val="left" w:pos="709"/>
              </w:tabs>
              <w:spacing w:before="60" w:after="60" w:line="240" w:lineRule="auto"/>
              <w:jc w:val="left"/>
              <w:rPr>
                <w:rFonts w:ascii="Arial" w:hAnsi="Arial" w:cs="Arial"/>
                <w:i/>
                <w:sz w:val="16"/>
                <w:szCs w:val="16"/>
              </w:rPr>
            </w:pPr>
          </w:p>
        </w:tc>
        <w:tc>
          <w:tcPr>
            <w:tcW w:w="3119" w:type="dxa"/>
            <w:tcBorders>
              <w:top w:val="dotted" w:sz="4" w:space="0" w:color="auto"/>
              <w:left w:val="single" w:sz="4" w:space="0" w:color="auto"/>
              <w:bottom w:val="single" w:sz="4" w:space="0" w:color="auto"/>
            </w:tcBorders>
          </w:tcPr>
          <w:p w:rsidR="00DA0838" w:rsidRPr="00DA0838" w:rsidRDefault="00DA0838" w:rsidP="00DA0838">
            <w:pPr>
              <w:tabs>
                <w:tab w:val="left" w:pos="198"/>
              </w:tabs>
              <w:autoSpaceDE w:val="0"/>
              <w:autoSpaceDN w:val="0"/>
              <w:spacing w:after="0" w:line="240" w:lineRule="auto"/>
              <w:jc w:val="left"/>
              <w:rPr>
                <w:rFonts w:ascii="Arial" w:hAnsi="Arial" w:cs="Arial"/>
                <w:sz w:val="16"/>
                <w:szCs w:val="16"/>
              </w:rPr>
            </w:pPr>
          </w:p>
          <w:p w:rsidR="00F978A6" w:rsidRPr="00DA0838" w:rsidRDefault="00F978A6" w:rsidP="00644847">
            <w:pPr>
              <w:numPr>
                <w:ilvl w:val="0"/>
                <w:numId w:val="21"/>
              </w:numPr>
              <w:autoSpaceDE w:val="0"/>
              <w:autoSpaceDN w:val="0"/>
              <w:adjustRightInd w:val="0"/>
              <w:spacing w:before="60" w:after="60" w:line="240" w:lineRule="auto"/>
              <w:ind w:left="374" w:hanging="357"/>
              <w:contextualSpacing/>
              <w:jc w:val="left"/>
              <w:rPr>
                <w:rFonts w:ascii="Arial" w:hAnsi="Arial" w:cs="Arial"/>
                <w:sz w:val="16"/>
                <w:szCs w:val="16"/>
              </w:rPr>
            </w:pPr>
            <w:r w:rsidRPr="00DA0838">
              <w:rPr>
                <w:rFonts w:ascii="Arial" w:hAnsi="Arial" w:cs="Arial"/>
                <w:sz w:val="16"/>
                <w:szCs w:val="16"/>
              </w:rPr>
              <w:t>Advice is provided in accordance with IPEA’s published service level standards, which include measurements for quality and timeliness.</w:t>
            </w:r>
          </w:p>
          <w:p w:rsidR="00F978A6" w:rsidRPr="00644847" w:rsidRDefault="00F978A6" w:rsidP="00644847">
            <w:pPr>
              <w:tabs>
                <w:tab w:val="left" w:pos="709"/>
              </w:tabs>
              <w:spacing w:before="60" w:after="60" w:line="240" w:lineRule="auto"/>
              <w:jc w:val="left"/>
              <w:rPr>
                <w:rFonts w:ascii="Arial" w:eastAsia="Calibri" w:hAnsi="Arial" w:cs="Arial"/>
                <w:sz w:val="16"/>
                <w:szCs w:val="16"/>
                <w:lang w:val="en-US" w:eastAsia="en-US"/>
              </w:rPr>
            </w:pPr>
          </w:p>
          <w:p w:rsidR="005166EF" w:rsidRPr="00DA0838" w:rsidRDefault="005166EF" w:rsidP="00644847">
            <w:pPr>
              <w:autoSpaceDE w:val="0"/>
              <w:autoSpaceDN w:val="0"/>
              <w:adjustRightInd w:val="0"/>
              <w:spacing w:before="60" w:after="60" w:line="240" w:lineRule="auto"/>
              <w:ind w:left="374"/>
              <w:contextualSpacing/>
              <w:jc w:val="left"/>
              <w:rPr>
                <w:rFonts w:ascii="Arial" w:hAnsi="Arial" w:cs="Arial"/>
                <w:sz w:val="16"/>
                <w:szCs w:val="16"/>
              </w:rPr>
            </w:pPr>
          </w:p>
          <w:p w:rsidR="00F978A6" w:rsidRPr="005166EF" w:rsidRDefault="00F978A6" w:rsidP="00644847">
            <w:pPr>
              <w:numPr>
                <w:ilvl w:val="0"/>
                <w:numId w:val="21"/>
              </w:numPr>
              <w:autoSpaceDE w:val="0"/>
              <w:autoSpaceDN w:val="0"/>
              <w:adjustRightInd w:val="0"/>
              <w:spacing w:before="60" w:after="60" w:line="240" w:lineRule="auto"/>
              <w:ind w:left="374" w:hanging="357"/>
              <w:contextualSpacing/>
              <w:jc w:val="left"/>
              <w:rPr>
                <w:rFonts w:ascii="Arial" w:hAnsi="Arial" w:cs="Arial"/>
                <w:sz w:val="16"/>
                <w:szCs w:val="16"/>
              </w:rPr>
            </w:pPr>
            <w:r w:rsidRPr="00DA0838">
              <w:rPr>
                <w:rFonts w:ascii="Arial" w:hAnsi="Arial" w:cs="Arial"/>
                <w:sz w:val="16"/>
                <w:szCs w:val="16"/>
              </w:rPr>
              <w:t xml:space="preserve">Claims for travel expenses and allowances are processed in accordance with IPEA’s published service level standards, which include measurements for accuracy and timeliness. </w:t>
            </w:r>
          </w:p>
          <w:p w:rsidR="005166EF" w:rsidRPr="00DA0838" w:rsidRDefault="005166EF" w:rsidP="00644847">
            <w:pPr>
              <w:autoSpaceDE w:val="0"/>
              <w:autoSpaceDN w:val="0"/>
              <w:adjustRightInd w:val="0"/>
              <w:spacing w:before="60" w:after="60" w:line="240" w:lineRule="auto"/>
              <w:ind w:left="374"/>
              <w:contextualSpacing/>
              <w:jc w:val="left"/>
              <w:rPr>
                <w:rFonts w:ascii="Arial" w:hAnsi="Arial" w:cs="Arial"/>
                <w:sz w:val="16"/>
                <w:szCs w:val="16"/>
              </w:rPr>
            </w:pPr>
          </w:p>
          <w:p w:rsidR="00F978A6" w:rsidRPr="00644847"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Reports relating to work expenses for parliamentarians and their staff are prepared and provided as per IPEA’s published service level standards.</w:t>
            </w:r>
          </w:p>
          <w:p w:rsidR="00F978A6" w:rsidRPr="00644847" w:rsidRDefault="00F978A6" w:rsidP="00644847">
            <w:pPr>
              <w:pStyle w:val="ListParagraph"/>
              <w:autoSpaceDE w:val="0"/>
              <w:autoSpaceDN w:val="0"/>
              <w:adjustRightInd w:val="0"/>
              <w:spacing w:before="60" w:after="60" w:line="240" w:lineRule="auto"/>
              <w:ind w:left="374"/>
              <w:rPr>
                <w:rFonts w:ascii="Arial" w:hAnsi="Arial" w:cs="Arial"/>
                <w:sz w:val="16"/>
                <w:szCs w:val="16"/>
              </w:rPr>
            </w:pPr>
          </w:p>
          <w:p w:rsidR="005166EF" w:rsidRPr="00644847" w:rsidRDefault="005166EF" w:rsidP="00644847">
            <w:pPr>
              <w:pStyle w:val="ListParagraph"/>
              <w:autoSpaceDE w:val="0"/>
              <w:autoSpaceDN w:val="0"/>
              <w:adjustRightInd w:val="0"/>
              <w:spacing w:before="60" w:after="60" w:line="240" w:lineRule="auto"/>
              <w:ind w:left="374"/>
              <w:rPr>
                <w:rFonts w:ascii="Arial" w:hAnsi="Arial" w:cs="Arial"/>
                <w:sz w:val="16"/>
                <w:szCs w:val="16"/>
              </w:rPr>
            </w:pPr>
          </w:p>
          <w:p w:rsidR="00F978A6" w:rsidRPr="00DA0838" w:rsidRDefault="00F978A6" w:rsidP="00644847">
            <w:pPr>
              <w:numPr>
                <w:ilvl w:val="0"/>
                <w:numId w:val="21"/>
              </w:numPr>
              <w:autoSpaceDE w:val="0"/>
              <w:autoSpaceDN w:val="0"/>
              <w:adjustRightInd w:val="0"/>
              <w:spacing w:before="60" w:after="60" w:line="240" w:lineRule="auto"/>
              <w:ind w:left="374" w:hanging="357"/>
              <w:contextualSpacing/>
              <w:jc w:val="left"/>
              <w:rPr>
                <w:rFonts w:ascii="Arial" w:hAnsi="Arial" w:cs="Arial"/>
                <w:i/>
                <w:sz w:val="16"/>
                <w:szCs w:val="16"/>
              </w:rPr>
            </w:pPr>
            <w:r w:rsidRPr="00DA0838">
              <w:rPr>
                <w:rFonts w:ascii="Arial" w:hAnsi="Arial" w:cs="Arial"/>
                <w:sz w:val="16"/>
                <w:szCs w:val="16"/>
              </w:rPr>
              <w:t>All parliamentarians’ offices are subject to one or more forms of assurance activities during the financial year in accordance with IPEA’s published service level standards and procedures (protocols and factsheets).</w:t>
            </w:r>
          </w:p>
          <w:p w:rsidR="00F978A6" w:rsidRPr="00DA0838" w:rsidRDefault="00F978A6" w:rsidP="00372EBB">
            <w:pPr>
              <w:tabs>
                <w:tab w:val="left" w:pos="198"/>
              </w:tabs>
              <w:autoSpaceDE w:val="0"/>
              <w:autoSpaceDN w:val="0"/>
              <w:spacing w:after="0" w:line="240" w:lineRule="auto"/>
              <w:ind w:left="198"/>
              <w:jc w:val="left"/>
              <w:rPr>
                <w:rFonts w:ascii="Arial" w:hAnsi="Arial" w:cs="Arial"/>
                <w:i/>
                <w:sz w:val="16"/>
                <w:szCs w:val="16"/>
              </w:rPr>
            </w:pPr>
          </w:p>
        </w:tc>
      </w:tr>
    </w:tbl>
    <w:p w:rsidR="00F978A6" w:rsidRPr="00DA0838" w:rsidRDefault="00F978A6" w:rsidP="004E0294">
      <w:pPr>
        <w:pStyle w:val="TableGraphic"/>
        <w:rPr>
          <w:rFonts w:ascii="Arial" w:hAnsi="Arial" w:cs="Arial"/>
          <w:sz w:val="16"/>
          <w:szCs w:val="16"/>
        </w:rPr>
      </w:pPr>
      <w:r w:rsidRPr="00DA0838">
        <w:rPr>
          <w:rFonts w:ascii="Arial" w:hAnsi="Arial" w:cs="Arial"/>
          <w:sz w:val="16"/>
          <w:szCs w:val="16"/>
          <w:lang w:eastAsia="x-none"/>
        </w:rPr>
        <w:t>Table continues on next page</w:t>
      </w:r>
    </w:p>
    <w:p w:rsidR="00F978A6" w:rsidRDefault="00F978A6" w:rsidP="004E0294"/>
    <w:p w:rsidR="005166EF" w:rsidRDefault="005166EF" w:rsidP="004E0294"/>
    <w:p w:rsidR="00745217" w:rsidRDefault="00745217" w:rsidP="004E0294"/>
    <w:p w:rsidR="00DA0838" w:rsidRPr="00F61956" w:rsidRDefault="00DA0838" w:rsidP="004E0294"/>
    <w:p w:rsidR="00771EDB" w:rsidRDefault="00771EDB" w:rsidP="00771EDB">
      <w:pPr>
        <w:pStyle w:val="TableHeading"/>
        <w:rPr>
          <w:lang w:val="en-AU"/>
        </w:rPr>
      </w:pPr>
      <w:r w:rsidRPr="004111A7">
        <w:lastRenderedPageBreak/>
        <w:t>Table 2.</w:t>
      </w:r>
      <w:r w:rsidRPr="004111A7">
        <w:rPr>
          <w:lang w:val="en-AU"/>
        </w:rPr>
        <w:t>1</w:t>
      </w:r>
      <w:r w:rsidRPr="004111A7">
        <w:t>.</w:t>
      </w:r>
      <w:r w:rsidRPr="004111A7">
        <w:rPr>
          <w:lang w:val="en-AU"/>
        </w:rPr>
        <w:t>2</w:t>
      </w:r>
      <w:r w:rsidRPr="004111A7">
        <w:t xml:space="preserve">: Performance measures for Outcome </w:t>
      </w:r>
      <w:r w:rsidRPr="004111A7">
        <w:rPr>
          <w:lang w:val="en-AU"/>
        </w:rPr>
        <w:t>1 (continued)</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137"/>
        <w:gridCol w:w="3137"/>
        <w:gridCol w:w="7"/>
      </w:tblGrid>
      <w:tr w:rsidR="00DA0838" w:rsidRPr="00DA0838" w:rsidTr="001E4B0F">
        <w:tc>
          <w:tcPr>
            <w:tcW w:w="7700" w:type="dxa"/>
            <w:gridSpan w:val="4"/>
            <w:tcBorders>
              <w:top w:val="single" w:sz="4" w:space="0" w:color="auto"/>
              <w:left w:val="single" w:sz="4" w:space="0" w:color="auto"/>
              <w:bottom w:val="single" w:sz="4" w:space="0" w:color="auto"/>
              <w:right w:val="single" w:sz="4" w:space="0" w:color="auto"/>
            </w:tcBorders>
            <w:shd w:val="clear" w:color="auto" w:fill="F2F2F2"/>
          </w:tcPr>
          <w:p w:rsidR="00DA0838" w:rsidRPr="00744D7C" w:rsidRDefault="00DA0838" w:rsidP="00745217">
            <w:pPr>
              <w:spacing w:before="60" w:after="60" w:line="240" w:lineRule="auto"/>
              <w:jc w:val="left"/>
              <w:rPr>
                <w:rFonts w:ascii="Arial" w:hAnsi="Arial"/>
                <w:b/>
                <w:sz w:val="18"/>
                <w:szCs w:val="18"/>
              </w:rPr>
            </w:pPr>
            <w:r w:rsidRPr="00744D7C">
              <w:rPr>
                <w:rFonts w:ascii="Arial" w:hAnsi="Arial"/>
                <w:b/>
                <w:sz w:val="18"/>
                <w:szCs w:val="18"/>
              </w:rPr>
              <w:t>Program 1.1 – Independent Parliamentary Expenses Authority – Travel Oversight and Reporting.</w:t>
            </w:r>
          </w:p>
        </w:tc>
      </w:tr>
      <w:tr w:rsidR="00771EDB" w:rsidRPr="004111A7" w:rsidTr="001E4B0F">
        <w:trPr>
          <w:gridAfter w:val="1"/>
          <w:wAfter w:w="7" w:type="dxa"/>
        </w:trPr>
        <w:tc>
          <w:tcPr>
            <w:tcW w:w="1424" w:type="dxa"/>
            <w:tcBorders>
              <w:top w:val="single" w:sz="4" w:space="0" w:color="auto"/>
              <w:bottom w:val="single" w:sz="4" w:space="0" w:color="auto"/>
              <w:right w:val="single" w:sz="4" w:space="0" w:color="auto"/>
            </w:tcBorders>
          </w:tcPr>
          <w:p w:rsidR="00771EDB" w:rsidRPr="00DA0838" w:rsidRDefault="00771EDB" w:rsidP="00771EDB">
            <w:pPr>
              <w:tabs>
                <w:tab w:val="left" w:pos="709"/>
              </w:tabs>
              <w:spacing w:before="60" w:after="60" w:line="240" w:lineRule="auto"/>
              <w:jc w:val="left"/>
              <w:rPr>
                <w:rFonts w:ascii="Arial" w:hAnsi="Arial" w:cs="Arial"/>
                <w:b/>
                <w:sz w:val="16"/>
                <w:szCs w:val="16"/>
              </w:rPr>
            </w:pPr>
            <w:r w:rsidRPr="00DA0838">
              <w:rPr>
                <w:rFonts w:ascii="Arial" w:hAnsi="Arial" w:cs="Arial"/>
                <w:b/>
                <w:sz w:val="16"/>
                <w:szCs w:val="16"/>
              </w:rPr>
              <w:t>Year</w:t>
            </w:r>
          </w:p>
        </w:tc>
        <w:tc>
          <w:tcPr>
            <w:tcW w:w="3137" w:type="dxa"/>
            <w:tcBorders>
              <w:top w:val="single" w:sz="4" w:space="0" w:color="auto"/>
              <w:left w:val="single" w:sz="4" w:space="0" w:color="auto"/>
              <w:bottom w:val="single" w:sz="4" w:space="0" w:color="auto"/>
              <w:right w:val="single" w:sz="4" w:space="0" w:color="auto"/>
            </w:tcBorders>
          </w:tcPr>
          <w:p w:rsidR="00771EDB" w:rsidRPr="00DA0838" w:rsidRDefault="00771EDB" w:rsidP="00771EDB">
            <w:pPr>
              <w:tabs>
                <w:tab w:val="left" w:pos="709"/>
              </w:tabs>
              <w:spacing w:before="60" w:after="60" w:line="240" w:lineRule="auto"/>
              <w:jc w:val="left"/>
              <w:rPr>
                <w:rFonts w:ascii="Arial" w:hAnsi="Arial" w:cs="Arial"/>
                <w:b/>
                <w:sz w:val="16"/>
                <w:szCs w:val="16"/>
              </w:rPr>
            </w:pPr>
            <w:r w:rsidRPr="00DA0838">
              <w:rPr>
                <w:rFonts w:ascii="Arial" w:hAnsi="Arial" w:cs="Arial"/>
                <w:b/>
                <w:sz w:val="16"/>
                <w:szCs w:val="16"/>
              </w:rPr>
              <w:t>Performance measure</w:t>
            </w:r>
            <w:r w:rsidRPr="00DA0838">
              <w:rPr>
                <w:rFonts w:ascii="Arial" w:hAnsi="Arial" w:cs="Arial"/>
                <w:sz w:val="16"/>
                <w:szCs w:val="16"/>
              </w:rPr>
              <w:t xml:space="preserve"> </w:t>
            </w:r>
          </w:p>
        </w:tc>
        <w:tc>
          <w:tcPr>
            <w:tcW w:w="3137" w:type="dxa"/>
            <w:tcBorders>
              <w:top w:val="single" w:sz="4" w:space="0" w:color="auto"/>
              <w:left w:val="single" w:sz="4" w:space="0" w:color="auto"/>
              <w:bottom w:val="single" w:sz="4" w:space="0" w:color="auto"/>
            </w:tcBorders>
          </w:tcPr>
          <w:p w:rsidR="00771EDB" w:rsidRPr="00DA0838" w:rsidRDefault="00771EDB" w:rsidP="00771EDB">
            <w:pPr>
              <w:tabs>
                <w:tab w:val="left" w:pos="709"/>
              </w:tabs>
              <w:spacing w:before="60" w:after="60" w:line="240" w:lineRule="auto"/>
              <w:jc w:val="left"/>
              <w:rPr>
                <w:rFonts w:ascii="Arial" w:hAnsi="Arial" w:cs="Arial"/>
                <w:b/>
                <w:sz w:val="16"/>
                <w:szCs w:val="16"/>
              </w:rPr>
            </w:pPr>
            <w:r w:rsidRPr="00DA0838">
              <w:rPr>
                <w:rFonts w:ascii="Arial" w:hAnsi="Arial" w:cs="Arial"/>
                <w:b/>
                <w:sz w:val="16"/>
                <w:szCs w:val="16"/>
              </w:rPr>
              <w:t>Planned Performance Results</w:t>
            </w:r>
          </w:p>
        </w:tc>
      </w:tr>
      <w:tr w:rsidR="00771EDB" w:rsidRPr="004111A7" w:rsidTr="001E4B0F">
        <w:trPr>
          <w:gridAfter w:val="1"/>
          <w:wAfter w:w="7" w:type="dxa"/>
        </w:trPr>
        <w:tc>
          <w:tcPr>
            <w:tcW w:w="1424" w:type="dxa"/>
            <w:tcBorders>
              <w:top w:val="dotted" w:sz="4" w:space="0" w:color="auto"/>
              <w:right w:val="single" w:sz="4" w:space="0" w:color="auto"/>
            </w:tcBorders>
          </w:tcPr>
          <w:p w:rsidR="00771EDB" w:rsidRPr="00DA0838" w:rsidRDefault="00771EDB" w:rsidP="001E4B0F">
            <w:pPr>
              <w:tabs>
                <w:tab w:val="left" w:pos="709"/>
              </w:tabs>
              <w:spacing w:before="60" w:after="60" w:line="240" w:lineRule="auto"/>
              <w:jc w:val="left"/>
              <w:rPr>
                <w:rFonts w:ascii="Arial" w:hAnsi="Arial" w:cs="Arial"/>
                <w:sz w:val="16"/>
                <w:szCs w:val="16"/>
              </w:rPr>
            </w:pPr>
            <w:r w:rsidRPr="00DA0838">
              <w:rPr>
                <w:rFonts w:ascii="Arial" w:hAnsi="Arial" w:cs="Arial"/>
                <w:sz w:val="16"/>
                <w:szCs w:val="16"/>
              </w:rPr>
              <w:t>Forward Estimates</w:t>
            </w:r>
            <w:r w:rsidR="001E4B0F">
              <w:rPr>
                <w:rFonts w:ascii="Arial" w:hAnsi="Arial" w:cs="Arial"/>
                <w:sz w:val="16"/>
                <w:szCs w:val="16"/>
              </w:rPr>
              <w:br/>
            </w:r>
            <w:r w:rsidRPr="00DA0838">
              <w:rPr>
                <w:rFonts w:ascii="Arial" w:hAnsi="Arial" w:cs="Arial"/>
                <w:sz w:val="16"/>
                <w:szCs w:val="16"/>
              </w:rPr>
              <w:t xml:space="preserve">2023-26 </w:t>
            </w:r>
          </w:p>
        </w:tc>
        <w:tc>
          <w:tcPr>
            <w:tcW w:w="3137" w:type="dxa"/>
            <w:tcBorders>
              <w:top w:val="dotted" w:sz="4" w:space="0" w:color="auto"/>
              <w:left w:val="single" w:sz="4" w:space="0" w:color="auto"/>
              <w:right w:val="single" w:sz="4" w:space="0" w:color="auto"/>
            </w:tcBorders>
          </w:tcPr>
          <w:p w:rsidR="00771EDB" w:rsidRPr="00DA0838" w:rsidRDefault="00771EDB" w:rsidP="00771EDB">
            <w:pPr>
              <w:tabs>
                <w:tab w:val="left" w:pos="709"/>
              </w:tabs>
              <w:spacing w:before="60" w:after="60" w:line="240" w:lineRule="auto"/>
              <w:jc w:val="left"/>
              <w:rPr>
                <w:rFonts w:ascii="Arial" w:eastAsia="Calibri" w:hAnsi="Arial" w:cs="Arial"/>
                <w:sz w:val="16"/>
                <w:szCs w:val="16"/>
                <w:lang w:val="en-US" w:eastAsia="x-none"/>
              </w:rPr>
            </w:pPr>
            <w:r w:rsidRPr="00DA0838">
              <w:rPr>
                <w:rFonts w:ascii="Arial" w:eastAsia="Calibri" w:hAnsi="Arial" w:cs="Arial"/>
                <w:b/>
                <w:sz w:val="16"/>
                <w:szCs w:val="16"/>
                <w:lang w:val="en-US" w:eastAsia="x-none"/>
              </w:rPr>
              <w:t>Travel — Advice</w:t>
            </w:r>
            <w:r w:rsidRPr="00DA0838">
              <w:rPr>
                <w:rFonts w:ascii="Arial" w:eastAsia="Calibri" w:hAnsi="Arial" w:cs="Arial"/>
                <w:sz w:val="16"/>
                <w:szCs w:val="16"/>
                <w:lang w:val="en-US" w:eastAsia="x-none"/>
              </w:rPr>
              <w:t xml:space="preserve"> </w:t>
            </w:r>
          </w:p>
          <w:p w:rsidR="00771EDB" w:rsidRPr="00DA0838" w:rsidRDefault="00771EDB"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Provide accurate and timely advice to parliamentarians and MOP(S) staff on travel and related expenses.</w:t>
            </w:r>
          </w:p>
          <w:p w:rsidR="00771EDB" w:rsidRPr="00DA0838" w:rsidRDefault="00771EDB" w:rsidP="00771EDB">
            <w:pPr>
              <w:tabs>
                <w:tab w:val="left" w:pos="709"/>
              </w:tabs>
              <w:spacing w:before="60" w:after="60" w:line="240" w:lineRule="auto"/>
              <w:jc w:val="left"/>
              <w:rPr>
                <w:rFonts w:ascii="Arial" w:eastAsia="Calibri" w:hAnsi="Arial" w:cs="Arial"/>
                <w:sz w:val="16"/>
                <w:szCs w:val="16"/>
                <w:lang w:val="en-US" w:eastAsia="en-US"/>
              </w:rPr>
            </w:pPr>
          </w:p>
          <w:p w:rsidR="00771EDB" w:rsidRPr="00DA0838" w:rsidRDefault="00771EDB" w:rsidP="00771ED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Travel — Claims </w:t>
            </w:r>
          </w:p>
          <w:p w:rsidR="00771EDB" w:rsidRPr="00DA0838" w:rsidRDefault="00771EDB"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Accurate and timely processing of claims for travel expenses and allowances relating to parliamentarians and MOP(S) staff.</w:t>
            </w:r>
          </w:p>
          <w:p w:rsidR="00771EDB" w:rsidRPr="00DA0838" w:rsidRDefault="00771EDB" w:rsidP="00771EDB">
            <w:pPr>
              <w:pStyle w:val="ListParagraph"/>
              <w:autoSpaceDE w:val="0"/>
              <w:autoSpaceDN w:val="0"/>
              <w:spacing w:after="0" w:line="240" w:lineRule="auto"/>
              <w:ind w:left="349"/>
              <w:rPr>
                <w:rFonts w:ascii="Arial" w:hAnsi="Arial" w:cs="Arial"/>
                <w:sz w:val="16"/>
                <w:szCs w:val="16"/>
              </w:rPr>
            </w:pPr>
          </w:p>
          <w:p w:rsidR="00771EDB" w:rsidRPr="00DA0838" w:rsidRDefault="00771EDB" w:rsidP="00771EDB">
            <w:pPr>
              <w:tabs>
                <w:tab w:val="left" w:pos="709"/>
              </w:tabs>
              <w:spacing w:before="60" w:after="60" w:line="240" w:lineRule="auto"/>
              <w:jc w:val="left"/>
              <w:rPr>
                <w:rFonts w:ascii="Arial" w:eastAsia="Calibri" w:hAnsi="Arial" w:cs="Arial"/>
                <w:b/>
                <w:sz w:val="16"/>
                <w:szCs w:val="16"/>
                <w:lang w:val="en-US" w:eastAsia="x-none"/>
              </w:rPr>
            </w:pPr>
          </w:p>
          <w:p w:rsidR="00771EDB" w:rsidRPr="00DA0838" w:rsidRDefault="00771EDB" w:rsidP="00771ED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Data and Reporting </w:t>
            </w:r>
          </w:p>
          <w:p w:rsidR="00771EDB" w:rsidRPr="00DA0838" w:rsidRDefault="00771EDB"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Increasing transparency through the compilation of reports detailing the work resources of current and former parliamentarians and the travel resources of MOP(S) staff.</w:t>
            </w:r>
          </w:p>
          <w:p w:rsidR="00771EDB" w:rsidRPr="00DA0838" w:rsidRDefault="00771EDB" w:rsidP="00771EDB">
            <w:pPr>
              <w:pStyle w:val="ListParagraph"/>
              <w:autoSpaceDE w:val="0"/>
              <w:autoSpaceDN w:val="0"/>
              <w:spacing w:after="0" w:line="240" w:lineRule="auto"/>
              <w:ind w:left="349"/>
              <w:rPr>
                <w:rFonts w:ascii="Arial" w:hAnsi="Arial" w:cs="Arial"/>
                <w:sz w:val="16"/>
                <w:szCs w:val="16"/>
              </w:rPr>
            </w:pPr>
          </w:p>
          <w:p w:rsidR="00771EDB" w:rsidRPr="00DA0838" w:rsidRDefault="00771EDB" w:rsidP="00771EDB">
            <w:pPr>
              <w:pStyle w:val="ListParagraph"/>
              <w:autoSpaceDE w:val="0"/>
              <w:autoSpaceDN w:val="0"/>
              <w:spacing w:after="0" w:line="240" w:lineRule="auto"/>
              <w:ind w:left="349"/>
              <w:rPr>
                <w:rFonts w:ascii="Arial" w:hAnsi="Arial" w:cs="Arial"/>
                <w:sz w:val="16"/>
                <w:szCs w:val="16"/>
              </w:rPr>
            </w:pPr>
          </w:p>
          <w:p w:rsidR="00771EDB" w:rsidRPr="00DA0838" w:rsidRDefault="00771EDB" w:rsidP="00771ED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Audit and Assurance </w:t>
            </w:r>
          </w:p>
          <w:p w:rsidR="00771EDB" w:rsidRPr="00AF79D1" w:rsidRDefault="00771EDB"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Conducting assurance activities on the work resources of parliamentarians and the travel resources of MOP(S) staff.</w:t>
            </w:r>
          </w:p>
          <w:p w:rsidR="00771EDB" w:rsidRPr="00DA0838" w:rsidRDefault="00771EDB" w:rsidP="00771EDB">
            <w:pPr>
              <w:tabs>
                <w:tab w:val="left" w:pos="709"/>
              </w:tabs>
              <w:spacing w:before="60" w:after="60" w:line="240" w:lineRule="auto"/>
              <w:jc w:val="left"/>
              <w:rPr>
                <w:rFonts w:ascii="Arial" w:hAnsi="Arial" w:cs="Arial"/>
                <w:i/>
                <w:sz w:val="16"/>
                <w:szCs w:val="16"/>
              </w:rPr>
            </w:pPr>
          </w:p>
        </w:tc>
        <w:tc>
          <w:tcPr>
            <w:tcW w:w="3137" w:type="dxa"/>
            <w:tcBorders>
              <w:top w:val="dotted" w:sz="4" w:space="0" w:color="auto"/>
              <w:left w:val="single" w:sz="4" w:space="0" w:color="auto"/>
            </w:tcBorders>
          </w:tcPr>
          <w:p w:rsidR="004E25C9" w:rsidRPr="00DA0838" w:rsidRDefault="004E25C9" w:rsidP="00644847">
            <w:pPr>
              <w:tabs>
                <w:tab w:val="left" w:pos="709"/>
              </w:tabs>
              <w:spacing w:before="60" w:after="60" w:line="240" w:lineRule="auto"/>
              <w:jc w:val="left"/>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sz w:val="16"/>
                <w:szCs w:val="16"/>
              </w:rPr>
            </w:pPr>
            <w:r w:rsidRPr="00DA0838">
              <w:rPr>
                <w:rFonts w:ascii="Arial" w:hAnsi="Arial" w:cs="Arial"/>
                <w:sz w:val="16"/>
                <w:szCs w:val="16"/>
              </w:rPr>
              <w:t>Advice is provided in accordance with IPEA’s published service level standards, which include measurements for quality and timeliness.</w:t>
            </w:r>
          </w:p>
          <w:p w:rsidR="00771EDB" w:rsidRDefault="00771EDB" w:rsidP="00AF79D1">
            <w:pPr>
              <w:tabs>
                <w:tab w:val="left" w:pos="198"/>
              </w:tabs>
              <w:autoSpaceDE w:val="0"/>
              <w:autoSpaceDN w:val="0"/>
              <w:adjustRightInd w:val="0"/>
              <w:spacing w:before="60" w:after="60" w:line="240" w:lineRule="auto"/>
              <w:ind w:left="374" w:hanging="357"/>
              <w:contextualSpacing/>
              <w:jc w:val="left"/>
              <w:rPr>
                <w:rFonts w:ascii="Arial" w:hAnsi="Arial" w:cs="Arial"/>
                <w:sz w:val="16"/>
                <w:szCs w:val="16"/>
              </w:rPr>
            </w:pPr>
          </w:p>
          <w:p w:rsidR="004E25C9" w:rsidRPr="00DA0838" w:rsidRDefault="004E25C9" w:rsidP="00AF79D1">
            <w:pPr>
              <w:tabs>
                <w:tab w:val="left" w:pos="198"/>
              </w:tabs>
              <w:autoSpaceDE w:val="0"/>
              <w:autoSpaceDN w:val="0"/>
              <w:adjustRightInd w:val="0"/>
              <w:spacing w:before="60" w:after="60" w:line="240" w:lineRule="auto"/>
              <w:ind w:left="374" w:hanging="357"/>
              <w:contextualSpacing/>
              <w:jc w:val="left"/>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sz w:val="16"/>
                <w:szCs w:val="16"/>
              </w:rPr>
            </w:pPr>
            <w:r w:rsidRPr="00DA0838">
              <w:rPr>
                <w:rFonts w:ascii="Arial" w:hAnsi="Arial" w:cs="Arial"/>
                <w:sz w:val="16"/>
                <w:szCs w:val="16"/>
              </w:rPr>
              <w:t xml:space="preserve">Claims for travel expenses and allowances are processed in accordance with IPEA’s published service level standards, which include measurements for accuracy and timeliness. </w:t>
            </w:r>
          </w:p>
          <w:p w:rsidR="00E8733A" w:rsidRDefault="00E8733A" w:rsidP="00AF79D1">
            <w:pPr>
              <w:tabs>
                <w:tab w:val="left" w:pos="198"/>
              </w:tabs>
              <w:autoSpaceDE w:val="0"/>
              <w:autoSpaceDN w:val="0"/>
              <w:adjustRightInd w:val="0"/>
              <w:spacing w:before="60" w:after="60" w:line="240" w:lineRule="auto"/>
              <w:ind w:left="374" w:hanging="357"/>
              <w:contextualSpacing/>
              <w:jc w:val="left"/>
              <w:rPr>
                <w:rFonts w:ascii="Arial" w:hAnsi="Arial" w:cs="Arial"/>
                <w:sz w:val="16"/>
                <w:szCs w:val="16"/>
              </w:rPr>
            </w:pPr>
          </w:p>
          <w:p w:rsidR="004E25C9" w:rsidRPr="00DA0838" w:rsidRDefault="004E25C9" w:rsidP="00AF79D1">
            <w:pPr>
              <w:tabs>
                <w:tab w:val="left" w:pos="198"/>
              </w:tabs>
              <w:autoSpaceDE w:val="0"/>
              <w:autoSpaceDN w:val="0"/>
              <w:adjustRightInd w:val="0"/>
              <w:spacing w:before="60" w:after="60" w:line="240" w:lineRule="auto"/>
              <w:ind w:left="374" w:hanging="357"/>
              <w:contextualSpacing/>
              <w:jc w:val="left"/>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i/>
                <w:sz w:val="16"/>
                <w:szCs w:val="16"/>
              </w:rPr>
            </w:pPr>
            <w:r w:rsidRPr="00DA0838">
              <w:rPr>
                <w:rFonts w:ascii="Arial" w:hAnsi="Arial" w:cs="Arial"/>
                <w:sz w:val="16"/>
                <w:szCs w:val="16"/>
              </w:rPr>
              <w:t>Reports relating to work expenses for parliamentarians and their staff are prepared and provided as per IPEA’s published service level standards.</w:t>
            </w:r>
          </w:p>
          <w:p w:rsidR="00771EDB" w:rsidRPr="00644847" w:rsidRDefault="00771EDB" w:rsidP="00644847">
            <w:pPr>
              <w:pStyle w:val="ListParagraph"/>
              <w:autoSpaceDE w:val="0"/>
              <w:autoSpaceDN w:val="0"/>
              <w:spacing w:after="0" w:line="240" w:lineRule="auto"/>
              <w:ind w:left="349"/>
              <w:rPr>
                <w:rFonts w:ascii="Arial" w:hAnsi="Arial" w:cs="Arial"/>
                <w:sz w:val="16"/>
                <w:szCs w:val="16"/>
              </w:rPr>
            </w:pPr>
          </w:p>
          <w:p w:rsidR="00E8733A" w:rsidRPr="00644847" w:rsidRDefault="00E8733A" w:rsidP="00644847">
            <w:pPr>
              <w:pStyle w:val="ListParagraph"/>
              <w:autoSpaceDE w:val="0"/>
              <w:autoSpaceDN w:val="0"/>
              <w:spacing w:after="0" w:line="240" w:lineRule="auto"/>
              <w:ind w:left="349"/>
              <w:rPr>
                <w:rFonts w:ascii="Arial" w:hAnsi="Arial" w:cs="Arial"/>
                <w:sz w:val="16"/>
                <w:szCs w:val="16"/>
              </w:rPr>
            </w:pPr>
          </w:p>
          <w:p w:rsidR="00E8733A" w:rsidRPr="00644847" w:rsidRDefault="00E8733A" w:rsidP="00644847">
            <w:pPr>
              <w:pStyle w:val="ListParagraph"/>
              <w:autoSpaceDE w:val="0"/>
              <w:autoSpaceDN w:val="0"/>
              <w:spacing w:after="0" w:line="240" w:lineRule="auto"/>
              <w:ind w:left="349"/>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i/>
                <w:sz w:val="16"/>
                <w:szCs w:val="16"/>
              </w:rPr>
            </w:pPr>
            <w:r w:rsidRPr="00DA0838">
              <w:rPr>
                <w:rFonts w:ascii="Arial" w:hAnsi="Arial" w:cs="Arial"/>
                <w:sz w:val="16"/>
                <w:szCs w:val="16"/>
              </w:rPr>
              <w:t>All parliamentarians’ offices are subject to one or more forms of assurance activities during the financial year in accordance with IPEA’s published service level standards and procedures (protocols and factsheets).</w:t>
            </w:r>
          </w:p>
          <w:p w:rsidR="00771EDB" w:rsidRPr="00DA0838" w:rsidRDefault="00771EDB" w:rsidP="00771EDB">
            <w:pPr>
              <w:tabs>
                <w:tab w:val="left" w:pos="198"/>
              </w:tabs>
              <w:autoSpaceDE w:val="0"/>
              <w:autoSpaceDN w:val="0"/>
              <w:spacing w:after="0" w:line="240" w:lineRule="auto"/>
              <w:ind w:left="198"/>
              <w:jc w:val="left"/>
              <w:rPr>
                <w:rFonts w:ascii="Arial" w:hAnsi="Arial" w:cs="Arial"/>
                <w:i/>
                <w:sz w:val="16"/>
                <w:szCs w:val="16"/>
              </w:rPr>
            </w:pPr>
          </w:p>
        </w:tc>
      </w:tr>
      <w:tr w:rsidR="005412DC" w:rsidRPr="00160C23" w:rsidTr="001E4B0F">
        <w:trPr>
          <w:gridAfter w:val="1"/>
          <w:wAfter w:w="7" w:type="dxa"/>
          <w:trHeight w:val="291"/>
        </w:trPr>
        <w:tc>
          <w:tcPr>
            <w:tcW w:w="7698" w:type="dxa"/>
            <w:gridSpan w:val="3"/>
          </w:tcPr>
          <w:p w:rsidR="005412DC" w:rsidRPr="00160C23" w:rsidRDefault="005412DC" w:rsidP="00AD3119">
            <w:pPr>
              <w:pStyle w:val="TableTextBase"/>
              <w:rPr>
                <w:rFonts w:eastAsia="Cambria"/>
                <w:bCs/>
                <w:iCs/>
                <w:color w:val="0070C0"/>
                <w:spacing w:val="-6"/>
                <w:sz w:val="16"/>
                <w:szCs w:val="16"/>
                <w:lang w:val="x-none"/>
              </w:rPr>
            </w:pPr>
            <w:r w:rsidRPr="005412DC">
              <w:rPr>
                <w:sz w:val="16"/>
                <w:szCs w:val="16"/>
              </w:rPr>
              <w:t xml:space="preserve">Material changes to Program 1.1 resulting from 2022-23 Budget </w:t>
            </w:r>
            <w:r w:rsidRPr="00B70124">
              <w:rPr>
                <w:rFonts w:cs="Arial"/>
                <w:sz w:val="16"/>
                <w:szCs w:val="16"/>
              </w:rPr>
              <w:t>Measures:</w:t>
            </w:r>
            <w:r w:rsidRPr="00B70124">
              <w:rPr>
                <w:rStyle w:val="BodyTextChar"/>
                <w:bCs/>
                <w:iCs/>
                <w:spacing w:val="-6"/>
                <w:sz w:val="16"/>
                <w:szCs w:val="16"/>
              </w:rPr>
              <w:t xml:space="preserve"> N</w:t>
            </w:r>
            <w:r w:rsidRPr="00D65575">
              <w:rPr>
                <w:rStyle w:val="BodyTextChar"/>
                <w:bCs/>
                <w:iCs/>
                <w:spacing w:val="-6"/>
                <w:sz w:val="16"/>
                <w:szCs w:val="16"/>
              </w:rPr>
              <w:t>il</w:t>
            </w:r>
          </w:p>
        </w:tc>
      </w:tr>
    </w:tbl>
    <w:p w:rsidR="00771EDB" w:rsidRPr="005412DC" w:rsidRDefault="00771EDB" w:rsidP="00771EDB">
      <w:pPr>
        <w:pStyle w:val="ChartandTableFootnoteAlpha"/>
        <w:ind w:left="284"/>
        <w:rPr>
          <w:lang w:val="x-none"/>
        </w:rPr>
      </w:pPr>
    </w:p>
    <w:p w:rsidR="00771EDB" w:rsidRPr="004111A7" w:rsidRDefault="00771EDB" w:rsidP="00771EDB">
      <w:pPr>
        <w:rPr>
          <w:u w:val="single"/>
        </w:rPr>
      </w:pPr>
    </w:p>
    <w:p w:rsidR="00771EDB" w:rsidRPr="004111A7" w:rsidRDefault="00771EDB" w:rsidP="00771EDB">
      <w:pPr>
        <w:pStyle w:val="Heading2"/>
      </w:pPr>
      <w:r w:rsidRPr="004111A7">
        <w:rPr>
          <w:rFonts w:ascii="Book Antiqua" w:hAnsi="Book Antiqua"/>
          <w:i/>
          <w:color w:val="FF0000"/>
          <w:sz w:val="20"/>
        </w:rPr>
        <w:br w:type="page"/>
      </w:r>
      <w:bookmarkStart w:id="42" w:name="_Toc69385057"/>
      <w:bookmarkStart w:id="43" w:name="_Toc69385131"/>
      <w:bookmarkStart w:id="44" w:name="_Toc69457234"/>
      <w:bookmarkStart w:id="45" w:name="_Toc69735869"/>
      <w:bookmarkStart w:id="46" w:name="_Toc70603506"/>
      <w:bookmarkStart w:id="47" w:name="_Toc98182109"/>
      <w:r w:rsidRPr="004111A7">
        <w:lastRenderedPageBreak/>
        <w:t>Section 3: Budgeted financial statements</w:t>
      </w:r>
      <w:bookmarkEnd w:id="42"/>
      <w:bookmarkEnd w:id="43"/>
      <w:bookmarkEnd w:id="44"/>
      <w:bookmarkEnd w:id="45"/>
      <w:bookmarkEnd w:id="46"/>
      <w:bookmarkEnd w:id="47"/>
    </w:p>
    <w:p w:rsidR="00771EDB" w:rsidRPr="004111A7" w:rsidRDefault="00771EDB" w:rsidP="00771EDB">
      <w:r w:rsidRPr="004111A7">
        <w:t xml:space="preserve">Section 3 presents budgeted financial statements which provide a comprehensive snapshot of entity finances for the </w:t>
      </w:r>
      <w:r>
        <w:t>2022-23</w:t>
      </w:r>
      <w:r w:rsidRPr="00CD22EC">
        <w:t xml:space="preserve"> </w:t>
      </w:r>
      <w:r>
        <w:t>B</w:t>
      </w:r>
      <w:r w:rsidRPr="004111A7">
        <w:t xml:space="preserve">udget year, including the impact of </w:t>
      </w:r>
      <w:r>
        <w:t>B</w:t>
      </w:r>
      <w:r w:rsidRPr="004111A7">
        <w:t>udget measures and resourcing on financial statements.</w:t>
      </w:r>
    </w:p>
    <w:p w:rsidR="00771EDB" w:rsidRPr="004111A7" w:rsidRDefault="00771EDB" w:rsidP="00771EDB">
      <w:pPr>
        <w:pStyle w:val="Heading3"/>
      </w:pPr>
      <w:bookmarkStart w:id="48" w:name="_Toc69385058"/>
      <w:bookmarkStart w:id="49" w:name="_Toc69385132"/>
      <w:bookmarkStart w:id="50" w:name="_Toc69457235"/>
      <w:bookmarkStart w:id="51" w:name="_Toc69735870"/>
      <w:bookmarkStart w:id="52" w:name="_Toc70603507"/>
      <w:bookmarkStart w:id="53" w:name="_Toc98182110"/>
      <w:r w:rsidRPr="004111A7">
        <w:t>3.1</w:t>
      </w:r>
      <w:r w:rsidRPr="004111A7">
        <w:tab/>
        <w:t>Budgeted financial statements</w:t>
      </w:r>
      <w:bookmarkEnd w:id="48"/>
      <w:bookmarkEnd w:id="49"/>
      <w:bookmarkEnd w:id="50"/>
      <w:bookmarkEnd w:id="51"/>
      <w:bookmarkEnd w:id="52"/>
      <w:bookmarkEnd w:id="53"/>
    </w:p>
    <w:p w:rsidR="00771EDB" w:rsidRPr="004111A7" w:rsidRDefault="00771EDB" w:rsidP="00771EDB">
      <w:pPr>
        <w:pStyle w:val="Heading4"/>
      </w:pPr>
      <w:r w:rsidRPr="004111A7">
        <w:t>3.1.1</w:t>
      </w:r>
      <w:r w:rsidRPr="004111A7">
        <w:tab/>
        <w:t>Differences between entity resourcing and financial statements</w:t>
      </w:r>
    </w:p>
    <w:p w:rsidR="00771EDB" w:rsidRPr="00F4632C" w:rsidRDefault="00771EDB" w:rsidP="00771EDB">
      <w:pPr>
        <w:pStyle w:val="ExampleText0"/>
        <w:spacing w:after="160"/>
        <w:rPr>
          <w:i w:val="0"/>
          <w:color w:val="auto"/>
        </w:rPr>
      </w:pPr>
      <w:r w:rsidRPr="00F4632C">
        <w:rPr>
          <w:i w:val="0"/>
          <w:color w:val="auto"/>
        </w:rPr>
        <w:t>No material differences exist between entity resourcing and the financial statements.</w:t>
      </w:r>
    </w:p>
    <w:p w:rsidR="00771EDB" w:rsidRPr="004111A7" w:rsidRDefault="00771EDB" w:rsidP="00771EDB">
      <w:pPr>
        <w:pStyle w:val="Heading4"/>
      </w:pPr>
    </w:p>
    <w:p w:rsidR="00771EDB" w:rsidRPr="004111A7" w:rsidRDefault="00771EDB" w:rsidP="00771EDB">
      <w:pPr>
        <w:pStyle w:val="Heading4"/>
      </w:pPr>
      <w:r w:rsidRPr="004111A7">
        <w:t>3.1.2</w:t>
      </w:r>
      <w:r w:rsidRPr="004111A7">
        <w:tab/>
        <w:t>Explanatory notes and analysis of budgeted financial statements</w:t>
      </w:r>
    </w:p>
    <w:p w:rsidR="00771EDB" w:rsidRPr="004111A7" w:rsidRDefault="00771EDB" w:rsidP="00771EDB">
      <w:pPr>
        <w:pStyle w:val="ExampleText0"/>
        <w:rPr>
          <w:b/>
          <w:i w:val="0"/>
          <w:color w:val="auto"/>
        </w:rPr>
      </w:pPr>
      <w:r w:rsidRPr="004111A7">
        <w:rPr>
          <w:b/>
          <w:i w:val="0"/>
          <w:color w:val="auto"/>
        </w:rPr>
        <w:t>Departmental</w:t>
      </w:r>
    </w:p>
    <w:p w:rsidR="00771EDB" w:rsidRPr="004111A7" w:rsidRDefault="00771EDB" w:rsidP="00CD22EC">
      <w:pPr>
        <w:pStyle w:val="ExampleText0"/>
        <w:jc w:val="both"/>
        <w:rPr>
          <w:i w:val="0"/>
          <w:color w:val="auto"/>
        </w:rPr>
      </w:pPr>
      <w:r w:rsidRPr="00F4632C">
        <w:rPr>
          <w:i w:val="0"/>
          <w:color w:val="auto"/>
        </w:rPr>
        <w:t>IPEA is budgeting for a break-even result for 2022-23 and across the forward estimates.  Expenses and revenue from government increase in 2021-22 and 2022-23 due to additional funding being provided due to the delay of the implementation of the Parliamentary Expenses Management System</w:t>
      </w:r>
      <w:r w:rsidRPr="004111A7">
        <w:rPr>
          <w:i w:val="0"/>
          <w:color w:val="auto"/>
        </w:rPr>
        <w:t xml:space="preserve">. </w:t>
      </w:r>
    </w:p>
    <w:p w:rsidR="00771EDB" w:rsidRPr="004111A7" w:rsidRDefault="00771EDB" w:rsidP="00771EDB">
      <w:pPr>
        <w:pStyle w:val="ExampleText0"/>
        <w:rPr>
          <w:b/>
          <w:i w:val="0"/>
          <w:color w:val="auto"/>
        </w:rPr>
      </w:pPr>
      <w:r w:rsidRPr="004111A7">
        <w:rPr>
          <w:b/>
          <w:i w:val="0"/>
          <w:color w:val="auto"/>
        </w:rPr>
        <w:t>Administered</w:t>
      </w:r>
    </w:p>
    <w:p w:rsidR="00771EDB" w:rsidRPr="00F4632C" w:rsidRDefault="00771EDB" w:rsidP="00CD22EC">
      <w:pPr>
        <w:pStyle w:val="ExampleText0"/>
        <w:jc w:val="both"/>
        <w:rPr>
          <w:i w:val="0"/>
          <w:color w:val="auto"/>
        </w:rPr>
      </w:pPr>
      <w:r w:rsidRPr="00F4632C">
        <w:rPr>
          <w:i w:val="0"/>
          <w:color w:val="auto"/>
        </w:rPr>
        <w:t xml:space="preserve">In the schedule of budgeted income and expenses, the administered supplier expenses reflect estimated work and travel expenses for current and former parliamentarians and MOP(S) staff.  </w:t>
      </w:r>
    </w:p>
    <w:p w:rsidR="00771EDB" w:rsidRPr="00F4632C" w:rsidRDefault="00771EDB" w:rsidP="00771EDB">
      <w:pPr>
        <w:pStyle w:val="ExampleText0"/>
        <w:spacing w:after="160"/>
        <w:rPr>
          <w:i w:val="0"/>
          <w:color w:val="auto"/>
        </w:rPr>
      </w:pPr>
    </w:p>
    <w:p w:rsidR="00771EDB" w:rsidRPr="004111A7" w:rsidRDefault="00771EDB" w:rsidP="00771EDB">
      <w:pPr>
        <w:jc w:val="left"/>
      </w:pPr>
      <w:r w:rsidRPr="004111A7">
        <w:br w:type="page"/>
      </w:r>
      <w:r w:rsidRPr="004111A7">
        <w:rPr>
          <w:rStyle w:val="TableHeadingChar"/>
        </w:rPr>
        <w:lastRenderedPageBreak/>
        <w:t>3.2.</w:t>
      </w:r>
      <w:r w:rsidRPr="004111A7">
        <w:rPr>
          <w:rStyle w:val="TableHeadingChar"/>
        </w:rPr>
        <w:tab/>
        <w:t>Budgeted financial statements tables</w:t>
      </w:r>
    </w:p>
    <w:p w:rsidR="00771EDB" w:rsidRPr="004111A7" w:rsidRDefault="00771EDB" w:rsidP="00771EDB">
      <w:pPr>
        <w:pStyle w:val="TableHeading"/>
        <w:rPr>
          <w:snapToGrid w:val="0"/>
        </w:rPr>
      </w:pPr>
      <w:r w:rsidRPr="004111A7">
        <w:t xml:space="preserve">Table 3.1: Comprehensive income statement (showing net cost of services) </w:t>
      </w:r>
      <w:r w:rsidRPr="004111A7">
        <w:rPr>
          <w:snapToGrid w:val="0"/>
        </w:rPr>
        <w:t>for the period ended 30 June</w:t>
      </w:r>
    </w:p>
    <w:p w:rsidR="00771EDB" w:rsidRDefault="00771EDB" w:rsidP="00771EDB">
      <w:pPr>
        <w:pStyle w:val="TableGraphic"/>
        <w:rPr>
          <w:noProof/>
        </w:rPr>
      </w:pPr>
      <w:r w:rsidRPr="004111A7">
        <w:rPr>
          <w:noProof/>
        </w:rPr>
        <w:t xml:space="preserve"> </w:t>
      </w:r>
      <w:r w:rsidR="00B50177" w:rsidRPr="00B50177">
        <w:rPr>
          <w:noProof/>
          <w:lang w:eastAsia="zh-CN"/>
        </w:rPr>
        <w:drawing>
          <wp:inline distT="0" distB="0" distL="0" distR="0">
            <wp:extent cx="4818380" cy="3291840"/>
            <wp:effectExtent l="0" t="0" r="127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8380" cy="3291840"/>
                    </a:xfrm>
                    <a:prstGeom prst="rect">
                      <a:avLst/>
                    </a:prstGeom>
                    <a:noFill/>
                    <a:ln>
                      <a:noFill/>
                    </a:ln>
                  </pic:spPr>
                </pic:pic>
              </a:graphicData>
            </a:graphic>
          </wp:inline>
        </w:drawing>
      </w:r>
    </w:p>
    <w:p w:rsidR="00771EDB" w:rsidRPr="004111A7" w:rsidRDefault="00771EDB" w:rsidP="0052645C">
      <w:pPr>
        <w:pStyle w:val="Source"/>
        <w:rPr>
          <w:rFonts w:cs="Arial"/>
        </w:rPr>
      </w:pPr>
      <w:r w:rsidRPr="004111A7">
        <w:rPr>
          <w:rFonts w:cs="Arial"/>
        </w:rPr>
        <w:t>Prepared on Australian Accounting Standards basis.</w:t>
      </w:r>
    </w:p>
    <w:p w:rsidR="00771EDB" w:rsidRPr="004111A7" w:rsidRDefault="00771EDB" w:rsidP="00771EDB">
      <w:pPr>
        <w:pStyle w:val="Source"/>
        <w:rPr>
          <w:rFonts w:cs="Arial"/>
        </w:rPr>
      </w:pPr>
    </w:p>
    <w:p w:rsidR="00771EDB" w:rsidRPr="004111A7" w:rsidRDefault="00771EDB" w:rsidP="00771EDB">
      <w:pPr>
        <w:pStyle w:val="Source"/>
        <w:rPr>
          <w:rFonts w:cs="Arial"/>
        </w:rPr>
      </w:pPr>
    </w:p>
    <w:p w:rsidR="00771EDB" w:rsidRPr="004111A7" w:rsidRDefault="00771EDB" w:rsidP="00771EDB">
      <w:pPr>
        <w:pStyle w:val="TableHeading"/>
      </w:pPr>
      <w:r w:rsidRPr="004111A7">
        <w:br w:type="page"/>
      </w:r>
      <w:r w:rsidRPr="004111A7">
        <w:lastRenderedPageBreak/>
        <w:t>Table 3.2: Budgeted departmental balance sheet (as at 30 June)</w:t>
      </w:r>
    </w:p>
    <w:p w:rsidR="00771EDB" w:rsidRDefault="00771EDB" w:rsidP="00771EDB">
      <w:pPr>
        <w:pStyle w:val="TableGraphic"/>
        <w:rPr>
          <w:noProof/>
        </w:rPr>
      </w:pPr>
      <w:r w:rsidRPr="00550E66">
        <w:rPr>
          <w:noProof/>
          <w:lang w:eastAsia="zh-CN"/>
        </w:rPr>
        <w:drawing>
          <wp:inline distT="0" distB="0" distL="0" distR="0" wp14:anchorId="0D2FDFB0" wp14:editId="00A51452">
            <wp:extent cx="4819650" cy="425767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650" cy="4257675"/>
                    </a:xfrm>
                    <a:prstGeom prst="rect">
                      <a:avLst/>
                    </a:prstGeom>
                    <a:noFill/>
                    <a:ln>
                      <a:noFill/>
                    </a:ln>
                  </pic:spPr>
                </pic:pic>
              </a:graphicData>
            </a:graphic>
          </wp:inline>
        </w:drawing>
      </w:r>
    </w:p>
    <w:p w:rsidR="00771EDB" w:rsidRPr="004111A7" w:rsidRDefault="00771EDB" w:rsidP="0052645C">
      <w:pPr>
        <w:pStyle w:val="TableHeadingcontinued"/>
        <w:spacing w:after="0"/>
        <w:jc w:val="both"/>
        <w:rPr>
          <w:rFonts w:ascii="Arial" w:hAnsi="Arial" w:cs="Arial"/>
          <w:b w:val="0"/>
          <w:sz w:val="16"/>
        </w:rPr>
      </w:pPr>
      <w:r w:rsidRPr="004111A7">
        <w:rPr>
          <w:rFonts w:ascii="Arial" w:hAnsi="Arial" w:cs="Arial"/>
          <w:b w:val="0"/>
          <w:sz w:val="16"/>
        </w:rPr>
        <w:t>Prepared on Australian Accounting Standards basis.</w:t>
      </w:r>
    </w:p>
    <w:p w:rsidR="00771EDB" w:rsidRPr="004111A7" w:rsidRDefault="00771EDB" w:rsidP="0052645C">
      <w:pPr>
        <w:pStyle w:val="ChartandTableFootnote"/>
        <w:rPr>
          <w:rFonts w:cs="Arial"/>
        </w:rPr>
      </w:pPr>
      <w:r w:rsidRPr="004111A7">
        <w:rPr>
          <w:rFonts w:cs="Arial"/>
        </w:rPr>
        <w:t>*</w:t>
      </w:r>
      <w:r w:rsidRPr="004111A7">
        <w:rPr>
          <w:rFonts w:cs="Arial"/>
          <w:lang w:val="en-AU"/>
        </w:rPr>
        <w:t>‘</w:t>
      </w:r>
      <w:r w:rsidRPr="004111A7">
        <w:rPr>
          <w:rFonts w:cs="Arial"/>
        </w:rPr>
        <w:t>Equity’ is the residual interest in assets after deduction of liabilities.</w:t>
      </w:r>
    </w:p>
    <w:p w:rsidR="00771EDB" w:rsidRPr="004111A7" w:rsidRDefault="00771EDB" w:rsidP="00771EDB"/>
    <w:p w:rsidR="00771EDB" w:rsidRPr="004111A7" w:rsidRDefault="00771EDB" w:rsidP="00771EDB"/>
    <w:p w:rsidR="00771EDB" w:rsidRDefault="00771EDB" w:rsidP="00771EDB">
      <w:pPr>
        <w:pStyle w:val="TableHeading"/>
        <w:rPr>
          <w:noProof/>
          <w:lang w:val="en-AU" w:eastAsia="en-AU"/>
        </w:rPr>
      </w:pPr>
      <w:r w:rsidRPr="004111A7">
        <w:br w:type="page"/>
      </w:r>
      <w:r w:rsidRPr="004111A7">
        <w:lastRenderedPageBreak/>
        <w:t xml:space="preserve">Table 3.3: Departmental statement of changes in equity — summary of movement (Budget year </w:t>
      </w:r>
      <w:r w:rsidRPr="004111A7">
        <w:rPr>
          <w:lang w:val="en-AU"/>
        </w:rPr>
        <w:t>202</w:t>
      </w:r>
      <w:r>
        <w:rPr>
          <w:lang w:val="en-AU"/>
        </w:rPr>
        <w:t>2</w:t>
      </w:r>
      <w:r w:rsidRPr="004111A7">
        <w:rPr>
          <w:lang w:val="en-AU"/>
        </w:rPr>
        <w:t>-2</w:t>
      </w:r>
      <w:r>
        <w:rPr>
          <w:lang w:val="en-AU"/>
        </w:rPr>
        <w:t>3</w:t>
      </w:r>
      <w:r w:rsidRPr="004111A7">
        <w:t xml:space="preserve">) </w:t>
      </w:r>
    </w:p>
    <w:p w:rsidR="00771EDB" w:rsidRDefault="008C5669" w:rsidP="00771EDB">
      <w:pPr>
        <w:pStyle w:val="TableHeading"/>
        <w:rPr>
          <w:noProof/>
          <w:lang w:val="en-AU" w:eastAsia="en-AU"/>
        </w:rPr>
      </w:pPr>
      <w:r w:rsidRPr="008C5669">
        <w:rPr>
          <w:noProof/>
          <w:lang w:val="en-AU" w:eastAsia="zh-CN"/>
        </w:rPr>
        <w:drawing>
          <wp:inline distT="0" distB="0" distL="0" distR="0">
            <wp:extent cx="4857750" cy="21526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0" cy="2152650"/>
                    </a:xfrm>
                    <a:prstGeom prst="rect">
                      <a:avLst/>
                    </a:prstGeom>
                    <a:noFill/>
                    <a:ln>
                      <a:noFill/>
                    </a:ln>
                  </pic:spPr>
                </pic:pic>
              </a:graphicData>
            </a:graphic>
          </wp:inline>
        </w:drawing>
      </w:r>
    </w:p>
    <w:p w:rsidR="00771EDB" w:rsidRPr="009E5DDB" w:rsidRDefault="00771EDB" w:rsidP="0052645C">
      <w:pPr>
        <w:pStyle w:val="TableHeading"/>
        <w:spacing w:after="0"/>
        <w:jc w:val="both"/>
        <w:rPr>
          <w:rFonts w:cs="Arial"/>
          <w:sz w:val="16"/>
          <w:szCs w:val="16"/>
          <w:lang w:val="en-AU"/>
        </w:rPr>
      </w:pPr>
      <w:r w:rsidRPr="004111A7">
        <w:rPr>
          <w:rFonts w:cs="Arial"/>
          <w:b w:val="0"/>
          <w:sz w:val="16"/>
        </w:rPr>
        <w:t>Prepared on Australian Accounting Standards basis</w:t>
      </w:r>
      <w:r>
        <w:rPr>
          <w:rFonts w:cs="Arial"/>
          <w:b w:val="0"/>
          <w:sz w:val="16"/>
          <w:lang w:val="en-AU"/>
        </w:rPr>
        <w:t>.</w:t>
      </w:r>
    </w:p>
    <w:p w:rsidR="00771EDB" w:rsidRPr="004111A7" w:rsidRDefault="00771EDB" w:rsidP="00771EDB"/>
    <w:p w:rsidR="00771EDB" w:rsidRPr="004111A7" w:rsidRDefault="00771EDB" w:rsidP="00771EDB">
      <w:pPr>
        <w:pStyle w:val="TableHeading"/>
      </w:pPr>
      <w:r w:rsidRPr="004111A7">
        <w:br w:type="page"/>
      </w:r>
      <w:r w:rsidRPr="004111A7">
        <w:lastRenderedPageBreak/>
        <w:t>Table 3.4: Budgeted departmental statement of cash flows (for the period ended 30 June)</w:t>
      </w:r>
    </w:p>
    <w:p w:rsidR="00771EDB" w:rsidRDefault="00771EDB" w:rsidP="00771EDB">
      <w:pPr>
        <w:pStyle w:val="TableGraphic"/>
        <w:tabs>
          <w:tab w:val="left" w:pos="6237"/>
        </w:tabs>
        <w:rPr>
          <w:noProof/>
        </w:rPr>
      </w:pPr>
      <w:r w:rsidRPr="00550E66">
        <w:rPr>
          <w:noProof/>
          <w:lang w:eastAsia="zh-CN"/>
        </w:rPr>
        <w:drawing>
          <wp:inline distT="0" distB="0" distL="0" distR="0" wp14:anchorId="67EEC174" wp14:editId="4D807F31">
            <wp:extent cx="4819650" cy="2847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650" cy="2847975"/>
                    </a:xfrm>
                    <a:prstGeom prst="rect">
                      <a:avLst/>
                    </a:prstGeom>
                    <a:noFill/>
                    <a:ln>
                      <a:noFill/>
                    </a:ln>
                  </pic:spPr>
                </pic:pic>
              </a:graphicData>
            </a:graphic>
          </wp:inline>
        </w:drawing>
      </w:r>
    </w:p>
    <w:p w:rsidR="00771EDB" w:rsidRPr="009E5DDB" w:rsidRDefault="00771EDB" w:rsidP="0052645C">
      <w:pPr>
        <w:pStyle w:val="TableHeadingcontinued"/>
        <w:spacing w:after="0"/>
        <w:jc w:val="both"/>
        <w:rPr>
          <w:b w:val="0"/>
        </w:rPr>
      </w:pPr>
      <w:r w:rsidRPr="004111A7">
        <w:rPr>
          <w:rFonts w:ascii="Arial" w:hAnsi="Arial" w:cs="Arial"/>
          <w:b w:val="0"/>
          <w:sz w:val="16"/>
        </w:rPr>
        <w:t>Prepared on Australian Accounting Standards basis</w:t>
      </w:r>
      <w:r w:rsidRPr="009E5DDB">
        <w:rPr>
          <w:rFonts w:ascii="Arial" w:hAnsi="Arial" w:cs="Arial"/>
          <w:b w:val="0"/>
        </w:rPr>
        <w:t>.</w:t>
      </w:r>
    </w:p>
    <w:p w:rsidR="00771EDB" w:rsidRPr="004111A7" w:rsidRDefault="00771EDB" w:rsidP="00771EDB">
      <w:pPr>
        <w:pStyle w:val="TableHeadingcontinued"/>
      </w:pPr>
    </w:p>
    <w:p w:rsidR="00771EDB" w:rsidRPr="004111A7" w:rsidRDefault="00771EDB" w:rsidP="00771EDB">
      <w:pPr>
        <w:pStyle w:val="TableGraphic"/>
      </w:pPr>
    </w:p>
    <w:p w:rsidR="00771EDB" w:rsidRPr="004111A7" w:rsidRDefault="00771EDB" w:rsidP="0052645C">
      <w:pPr>
        <w:pStyle w:val="TableHeadingcontinued"/>
      </w:pPr>
      <w:r w:rsidRPr="004111A7">
        <w:t>Table 3.5: Departmental capital budget statement (for the period ended 30 June)</w:t>
      </w:r>
    </w:p>
    <w:p w:rsidR="00771EDB" w:rsidRPr="004111A7" w:rsidRDefault="00771EDB" w:rsidP="00771EDB">
      <w:pPr>
        <w:pStyle w:val="TableGraphic"/>
      </w:pPr>
    </w:p>
    <w:p w:rsidR="00771EDB" w:rsidRPr="004111A7" w:rsidRDefault="00771EDB" w:rsidP="0052645C">
      <w:r w:rsidRPr="004111A7">
        <w:t>IPEA does not have an</w:t>
      </w:r>
      <w:r w:rsidR="0052645C">
        <w:t>y budgeted capital expenditure.</w:t>
      </w:r>
    </w:p>
    <w:p w:rsidR="00771EDB" w:rsidRPr="004111A7" w:rsidRDefault="00771EDB" w:rsidP="0052645C">
      <w:pPr>
        <w:pStyle w:val="TableHeadingcontinued"/>
      </w:pPr>
      <w:r w:rsidRPr="004111A7">
        <w:t>Table 3.6: Statement of departmental asset movements (Budget year 202</w:t>
      </w:r>
      <w:r>
        <w:t>2</w:t>
      </w:r>
      <w:r w:rsidRPr="004111A7">
        <w:t>-2</w:t>
      </w:r>
      <w:r>
        <w:t>3</w:t>
      </w:r>
      <w:r w:rsidRPr="004111A7">
        <w:t>)</w:t>
      </w:r>
    </w:p>
    <w:p w:rsidR="00771EDB" w:rsidRPr="004111A7" w:rsidRDefault="00771EDB" w:rsidP="00771EDB">
      <w:pPr>
        <w:pStyle w:val="TableHeading"/>
        <w:rPr>
          <w:lang w:val="en-AU"/>
        </w:rPr>
      </w:pPr>
    </w:p>
    <w:p w:rsidR="00771EDB" w:rsidRPr="004111A7" w:rsidRDefault="00771EDB" w:rsidP="0052645C">
      <w:r w:rsidRPr="004111A7">
        <w:t>IPEA does not have any budgeted non-financial assets.</w:t>
      </w:r>
    </w:p>
    <w:p w:rsidR="00771EDB" w:rsidRPr="004111A7" w:rsidRDefault="00771EDB" w:rsidP="00771EDB"/>
    <w:p w:rsidR="00771EDB" w:rsidRPr="004111A7" w:rsidRDefault="00771EDB" w:rsidP="002B54C2">
      <w:pPr>
        <w:spacing w:after="0" w:line="240" w:lineRule="auto"/>
      </w:pPr>
      <w:r w:rsidRPr="004111A7">
        <w:br w:type="page"/>
      </w:r>
    </w:p>
    <w:p w:rsidR="00771EDB" w:rsidRPr="004111A7" w:rsidRDefault="00771EDB" w:rsidP="00771EDB">
      <w:pPr>
        <w:pStyle w:val="TableHeading"/>
      </w:pPr>
      <w:r w:rsidRPr="004111A7">
        <w:lastRenderedPageBreak/>
        <w:t>Table 3.7: Schedule of budgeted income and expenses administered on behalf of Government (for the period ended 30 June)</w:t>
      </w:r>
    </w:p>
    <w:p w:rsidR="00771EDB" w:rsidRDefault="00771EDB" w:rsidP="00771EDB">
      <w:pPr>
        <w:pStyle w:val="NoSpacing"/>
        <w:rPr>
          <w:noProof/>
        </w:rPr>
      </w:pPr>
      <w:r w:rsidRPr="00550E66">
        <w:rPr>
          <w:noProof/>
          <w:lang w:eastAsia="zh-CN"/>
        </w:rPr>
        <w:drawing>
          <wp:inline distT="0" distB="0" distL="0" distR="0" wp14:anchorId="559C64E6" wp14:editId="6BD7AD2F">
            <wp:extent cx="4819650" cy="24384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650" cy="2438400"/>
                    </a:xfrm>
                    <a:prstGeom prst="rect">
                      <a:avLst/>
                    </a:prstGeom>
                    <a:noFill/>
                    <a:ln>
                      <a:noFill/>
                    </a:ln>
                  </pic:spPr>
                </pic:pic>
              </a:graphicData>
            </a:graphic>
          </wp:inline>
        </w:drawing>
      </w:r>
    </w:p>
    <w:p w:rsidR="00771EDB" w:rsidRPr="004111A7" w:rsidRDefault="00771EDB" w:rsidP="002B54C2">
      <w:pPr>
        <w:pStyle w:val="TableHeadingcontinued"/>
        <w:spacing w:after="0"/>
        <w:jc w:val="both"/>
      </w:pPr>
      <w:r w:rsidRPr="004111A7">
        <w:rPr>
          <w:rFonts w:ascii="Arial" w:hAnsi="Arial" w:cs="Arial"/>
          <w:b w:val="0"/>
          <w:sz w:val="16"/>
        </w:rPr>
        <w:t>Prepared on Australian Accounting Standards basis</w:t>
      </w:r>
      <w:r>
        <w:rPr>
          <w:rFonts w:ascii="Arial" w:hAnsi="Arial" w:cs="Arial"/>
          <w:b w:val="0"/>
          <w:sz w:val="16"/>
        </w:rPr>
        <w:t>.</w:t>
      </w:r>
      <w:r w:rsidRPr="004111A7">
        <w:t xml:space="preserve"> </w:t>
      </w:r>
    </w:p>
    <w:p w:rsidR="00771EDB" w:rsidRDefault="00771EDB" w:rsidP="00771EDB">
      <w:pPr>
        <w:rPr>
          <w:b/>
        </w:rPr>
      </w:pPr>
    </w:p>
    <w:p w:rsidR="00B01553" w:rsidRDefault="00B01553">
      <w:pPr>
        <w:spacing w:after="0" w:line="240" w:lineRule="auto"/>
        <w:jc w:val="left"/>
        <w:rPr>
          <w:rFonts w:ascii="Arial" w:hAnsi="Arial"/>
          <w:b/>
          <w:color w:val="000000"/>
          <w:lang w:val="x-none" w:eastAsia="x-none"/>
        </w:rPr>
      </w:pPr>
      <w:r>
        <w:br w:type="page"/>
      </w:r>
    </w:p>
    <w:p w:rsidR="00771EDB" w:rsidRDefault="00771EDB" w:rsidP="00771EDB">
      <w:pPr>
        <w:pStyle w:val="TableHeading"/>
      </w:pPr>
      <w:r w:rsidRPr="004111A7">
        <w:lastRenderedPageBreak/>
        <w:t>Table 3.8: Schedule of budgeted assets and liabilities administered on behalf of Government (as at 30 June)</w:t>
      </w:r>
    </w:p>
    <w:p w:rsidR="00223208" w:rsidRPr="00F4632C" w:rsidRDefault="00884776" w:rsidP="002B54C2">
      <w:pPr>
        <w:pStyle w:val="TableGraphic"/>
        <w:ind w:right="0"/>
        <w:rPr>
          <w:rFonts w:cs="Arial"/>
          <w:sz w:val="16"/>
          <w:szCs w:val="16"/>
        </w:rPr>
      </w:pPr>
      <w:r w:rsidRPr="00884776">
        <w:rPr>
          <w:noProof/>
          <w:lang w:eastAsia="zh-CN"/>
        </w:rPr>
        <w:drawing>
          <wp:inline distT="0" distB="0" distL="0" distR="0">
            <wp:extent cx="4895850" cy="3157022"/>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3157022"/>
                    </a:xfrm>
                    <a:prstGeom prst="rect">
                      <a:avLst/>
                    </a:prstGeom>
                    <a:noFill/>
                    <a:ln>
                      <a:noFill/>
                    </a:ln>
                  </pic:spPr>
                </pic:pic>
              </a:graphicData>
            </a:graphic>
          </wp:inline>
        </w:drawing>
      </w:r>
      <w:r w:rsidR="00223208" w:rsidRPr="00F4632C">
        <w:rPr>
          <w:rFonts w:ascii="Arial" w:hAnsi="Arial" w:cs="Arial"/>
          <w:sz w:val="16"/>
          <w:szCs w:val="16"/>
          <w:lang w:val="x-none" w:eastAsia="x-none"/>
        </w:rPr>
        <w:t>Prepared on Australian Accounting Standards basis.</w:t>
      </w:r>
    </w:p>
    <w:p w:rsidR="00771EDB" w:rsidRDefault="00771EDB" w:rsidP="00771EDB">
      <w:pPr>
        <w:pStyle w:val="ChartandTableFootnote"/>
        <w:rPr>
          <w:noProof/>
          <w:lang w:val="en-AU" w:eastAsia="en-AU"/>
        </w:rPr>
      </w:pPr>
    </w:p>
    <w:p w:rsidR="00771EDB" w:rsidRPr="004111A7" w:rsidRDefault="00771EDB" w:rsidP="00771EDB">
      <w:pPr>
        <w:pStyle w:val="SingleParagraph"/>
        <w:spacing w:line="240" w:lineRule="auto"/>
        <w:rPr>
          <w:rFonts w:ascii="Arial" w:hAnsi="Arial" w:cs="Arial"/>
          <w:sz w:val="16"/>
          <w:szCs w:val="16"/>
        </w:rPr>
      </w:pPr>
    </w:p>
    <w:p w:rsidR="00771EDB" w:rsidRDefault="00771EDB" w:rsidP="00771EDB">
      <w:pPr>
        <w:pStyle w:val="TableHeading"/>
        <w:rPr>
          <w:noProof/>
          <w:lang w:val="en-AU" w:eastAsia="en-AU"/>
        </w:rPr>
      </w:pPr>
      <w:r w:rsidRPr="004111A7">
        <w:br w:type="page"/>
      </w:r>
      <w:r w:rsidRPr="004111A7">
        <w:lastRenderedPageBreak/>
        <w:t>Table 3.9: Schedule of budgeted administered cash flows (for the period ended 30 June)</w:t>
      </w:r>
      <w:r w:rsidRPr="004111A7" w:rsidDel="002C7428">
        <w:t xml:space="preserve"> </w:t>
      </w:r>
      <w:r w:rsidRPr="004111A7">
        <w:rPr>
          <w:sz w:val="16"/>
        </w:rPr>
        <w:t xml:space="preserve"> </w:t>
      </w:r>
    </w:p>
    <w:p w:rsidR="00771EDB" w:rsidRDefault="00FC17E6" w:rsidP="00771EDB">
      <w:pPr>
        <w:pStyle w:val="TableHeading"/>
        <w:rPr>
          <w:noProof/>
          <w:lang w:val="en-AU" w:eastAsia="en-AU"/>
        </w:rPr>
      </w:pPr>
      <w:r w:rsidRPr="00FC17E6">
        <w:rPr>
          <w:noProof/>
          <w:lang w:val="en-AU" w:eastAsia="zh-CN"/>
        </w:rPr>
        <w:drawing>
          <wp:inline distT="0" distB="0" distL="0" distR="0">
            <wp:extent cx="4895850" cy="2762394"/>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95850" cy="2762394"/>
                    </a:xfrm>
                    <a:prstGeom prst="rect">
                      <a:avLst/>
                    </a:prstGeom>
                    <a:noFill/>
                    <a:ln>
                      <a:noFill/>
                    </a:ln>
                  </pic:spPr>
                </pic:pic>
              </a:graphicData>
            </a:graphic>
          </wp:inline>
        </w:drawing>
      </w:r>
    </w:p>
    <w:p w:rsidR="00771EDB" w:rsidRPr="004111A7" w:rsidRDefault="00771EDB" w:rsidP="002B54C2">
      <w:pPr>
        <w:pStyle w:val="TableHeading"/>
        <w:spacing w:after="0"/>
        <w:jc w:val="both"/>
      </w:pPr>
      <w:r w:rsidRPr="004111A7">
        <w:rPr>
          <w:b w:val="0"/>
          <w:sz w:val="16"/>
        </w:rPr>
        <w:t>Prepared on Australian Accounting Standards basis.</w:t>
      </w:r>
    </w:p>
    <w:p w:rsidR="00771EDB" w:rsidRPr="004111A7" w:rsidRDefault="00771EDB" w:rsidP="00771EDB">
      <w:pPr>
        <w:pStyle w:val="TableHeadingcontinued"/>
        <w:rPr>
          <w:lang w:val="x-none" w:eastAsia="x-none"/>
        </w:rPr>
      </w:pPr>
    </w:p>
    <w:p w:rsidR="00771EDB" w:rsidRPr="004111A7" w:rsidRDefault="00771EDB" w:rsidP="00771EDB">
      <w:pPr>
        <w:pStyle w:val="TableGraphic"/>
        <w:rPr>
          <w:lang w:val="x-none" w:eastAsia="x-none"/>
        </w:rPr>
      </w:pPr>
    </w:p>
    <w:p w:rsidR="00771EDB" w:rsidRPr="004111A7" w:rsidRDefault="00771EDB" w:rsidP="00771EDB">
      <w:pPr>
        <w:pStyle w:val="TableHeading"/>
      </w:pPr>
      <w:r w:rsidRPr="004111A7">
        <w:t>Table 3.10: Schedule of administered capital budget statement (for the period ended 30 June)</w:t>
      </w:r>
    </w:p>
    <w:p w:rsidR="00771EDB" w:rsidRPr="004111A7" w:rsidRDefault="00771EDB" w:rsidP="00771EDB">
      <w:pPr>
        <w:spacing w:after="0"/>
      </w:pPr>
    </w:p>
    <w:p w:rsidR="00771EDB" w:rsidRPr="004111A7" w:rsidRDefault="00771EDB" w:rsidP="002B54C2">
      <w:r w:rsidRPr="004111A7">
        <w:t>IPEA has no budgeted capital expen</w:t>
      </w:r>
      <w:r w:rsidR="002B54C2">
        <w:t>diture on behalf of Government.</w:t>
      </w:r>
    </w:p>
    <w:p w:rsidR="00771EDB" w:rsidRPr="004111A7" w:rsidRDefault="00771EDB" w:rsidP="00771EDB">
      <w:pPr>
        <w:pStyle w:val="TableHeading"/>
      </w:pPr>
      <w:r w:rsidRPr="004111A7">
        <w:t>Table 3.11: Statement of administered asset movements (Budget year 202</w:t>
      </w:r>
      <w:r w:rsidRPr="0052645C">
        <w:t>2</w:t>
      </w:r>
      <w:r w:rsidRPr="004111A7">
        <w:t>-2</w:t>
      </w:r>
      <w:r w:rsidRPr="0052645C">
        <w:t>3</w:t>
      </w:r>
      <w:r w:rsidRPr="004111A7">
        <w:t>)</w:t>
      </w:r>
    </w:p>
    <w:p w:rsidR="00771EDB" w:rsidRPr="004111A7" w:rsidRDefault="00771EDB" w:rsidP="00771EDB">
      <w:pPr>
        <w:pStyle w:val="TableHeading"/>
      </w:pPr>
    </w:p>
    <w:p w:rsidR="006127BD" w:rsidRPr="000867C1" w:rsidRDefault="00771EDB" w:rsidP="00C501C2">
      <w:r w:rsidRPr="004111A7">
        <w:t>IPEA has no budgeted non-financial assets administered on beha</w:t>
      </w:r>
      <w:r>
        <w:t>lf of</w:t>
      </w:r>
      <w:r w:rsidRPr="004111A7">
        <w:t xml:space="preserve"> Government.</w:t>
      </w:r>
      <w:bookmarkEnd w:id="11"/>
      <w:r w:rsidR="00C501C2" w:rsidRPr="000867C1">
        <w:t xml:space="preserve"> </w:t>
      </w:r>
    </w:p>
    <w:sectPr w:rsidR="006127BD" w:rsidRPr="000867C1" w:rsidSect="00C501C2">
      <w:headerReference w:type="even" r:id="rId33"/>
      <w:headerReference w:type="default" r:id="rId34"/>
      <w:headerReference w:type="first" r:id="rId35"/>
      <w:footerReference w:type="first" r:id="rId36"/>
      <w:type w:val="oddPage"/>
      <w:pgSz w:w="11906" w:h="16838" w:code="9"/>
      <w:pgMar w:top="2835" w:right="2098" w:bottom="2466" w:left="2098" w:header="1814" w:footer="1814" w:gutter="0"/>
      <w:pgNumType w:start="1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C" w:rsidRDefault="00CE4BBC" w:rsidP="00C07DEC">
      <w:r>
        <w:separator/>
      </w:r>
    </w:p>
  </w:endnote>
  <w:endnote w:type="continuationSeparator" w:id="0">
    <w:p w:rsidR="00CE4BBC" w:rsidRDefault="00CE4B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168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proofErr w:type="gramStart"/>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proofErr w:type="gramEnd"/>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Future Fund Management Agency</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Pr>
        <w:rStyle w:val="PageNumber"/>
        <w:rFonts w:cs="Times New Roman"/>
        <w:noProof/>
        <w:sz w:val="18"/>
        <w:lang w:val="en-AU"/>
      </w:rPr>
      <w:t>Future Fund Management Agency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Pr>
        <w:b/>
        <w:bCs/>
        <w:noProof/>
      </w:rPr>
      <w:t>167</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E579C1" w:rsidRDefault="00CE4BBC" w:rsidP="00771EDB">
    <w:pPr>
      <w:pStyle w:val="FooterOdd"/>
      <w:pBdr>
        <w:top w:val="none" w:sz="0" w:space="0" w:color="auto"/>
      </w:pBdr>
      <w:jc w:val="both"/>
      <w:rPr>
        <w:noProof/>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277D43">
      <w:rPr>
        <w:rStyle w:val="PageNumber"/>
        <w:rFonts w:cs="Times New Roman"/>
        <w:b/>
        <w:bCs w:val="0"/>
        <w:noProof/>
        <w:sz w:val="18"/>
      </w:rPr>
      <w:t>156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77D43">
      <w:rPr>
        <w:rStyle w:val="PageNumber"/>
        <w:rFonts w:cs="Times New Roman"/>
        <w:noProof/>
        <w:sz w:val="18"/>
      </w:rPr>
      <w:t>Independent Parliamentary Expenses Authority</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277D43">
      <w:rPr>
        <w:rStyle w:val="PageNumber"/>
        <w:rFonts w:cs="Times New Roman"/>
        <w:noProof/>
        <w:sz w:val="18"/>
        <w:lang w:val="en-AU"/>
      </w:rPr>
      <w:t>Independent Parliamentary Expenses Authority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277D43">
      <w:rPr>
        <w:b/>
        <w:bCs/>
        <w:noProof/>
      </w:rPr>
      <w:t>155</w:t>
    </w:r>
    <w:r w:rsidRPr="00B628E8">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E579C1" w:rsidRDefault="00CE4BBC" w:rsidP="00771EDB">
    <w:pPr>
      <w:pStyle w:val="FooterOdd"/>
      <w:pBdr>
        <w:top w:val="none" w:sz="0" w:space="0" w:color="auto"/>
      </w:pBdr>
      <w:jc w:val="both"/>
      <w:rPr>
        <w:noProof/>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23291" w:rsidRDefault="00CE4BBC" w:rsidP="00223291">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277D43" w:rsidRPr="00277D43">
      <w:rPr>
        <w:rStyle w:val="PageNumber"/>
        <w:rFonts w:cs="Times New Roman"/>
        <w:bCs/>
        <w:noProof/>
        <w:sz w:val="18"/>
        <w:lang w:val="en-US"/>
      </w:rPr>
      <w:t>Independent</w:t>
    </w:r>
    <w:r w:rsidR="00277D43">
      <w:rPr>
        <w:rStyle w:val="PageNumber"/>
        <w:rFonts w:cs="Times New Roman"/>
        <w:noProof/>
        <w:sz w:val="18"/>
        <w:lang w:val="en-AU"/>
      </w:rPr>
      <w:t xml:space="preserve"> Parliamentary Expenses Authority</w:t>
    </w:r>
    <w:r>
      <w:rPr>
        <w:rStyle w:val="PageNumber"/>
        <w:rFonts w:cs="Times New Roman"/>
        <w:sz w:val="18"/>
        <w:lang w:val="en-AU"/>
      </w:rPr>
      <w:fldChar w:fldCharType="end"/>
    </w:r>
    <w:bookmarkStart w:id="54" w:name="_Toc444523502"/>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277D43">
      <w:rPr>
        <w:b/>
        <w:bCs/>
        <w:noProof/>
      </w:rPr>
      <w:t>141</w:t>
    </w:r>
    <w:r w:rsidRPr="00B628E8">
      <w:rPr>
        <w:b/>
        <w:bCs/>
        <w:noProof/>
      </w:rPr>
      <w:fldChar w:fldCharType="end"/>
    </w:r>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C" w:rsidRDefault="00CE4BBC" w:rsidP="00C07DEC">
      <w:r>
        <w:separator/>
      </w:r>
    </w:p>
  </w:footnote>
  <w:footnote w:type="continuationSeparator" w:id="0">
    <w:p w:rsidR="00CE4BBC" w:rsidRDefault="00CE4B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ED61E7">
      <w:trPr>
        <w:trHeight w:hRule="exact" w:val="340"/>
      </w:trPr>
      <w:tc>
        <w:tcPr>
          <w:tcW w:w="7797" w:type="dxa"/>
        </w:tcPr>
        <w:p w:rsidR="00CE4BBC" w:rsidRDefault="00CE4BBC" w:rsidP="00B01553">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3460916A" wp14:editId="77B766F2">
                <wp:extent cx="989308" cy="170121"/>
                <wp:effectExtent l="0" t="0" r="1905" b="19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B01553">
    <w:pPr>
      <w:pStyle w:val="HeaderOdd"/>
    </w:pPr>
  </w:p>
  <w:p w:rsidR="00CE4BBC" w:rsidRPr="00B01553" w:rsidRDefault="00CE4BBC" w:rsidP="00B01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501C2" w:rsidTr="002971DE">
      <w:trPr>
        <w:trHeight w:hRule="exact" w:val="340"/>
      </w:trPr>
      <w:tc>
        <w:tcPr>
          <w:tcW w:w="7797" w:type="dxa"/>
        </w:tcPr>
        <w:p w:rsidR="00C501C2" w:rsidRDefault="00C501C2" w:rsidP="00C501C2">
          <w:pPr>
            <w:pStyle w:val="HeaderEven"/>
            <w:ind w:left="-113"/>
          </w:pPr>
          <w:r w:rsidRPr="000635BE">
            <w:rPr>
              <w:rFonts w:ascii="Arial Bold" w:hAnsi="Arial Bold"/>
              <w:b/>
              <w:bCs/>
              <w:noProof/>
              <w:position w:val="-10"/>
              <w:lang w:eastAsia="zh-CN"/>
            </w:rPr>
            <w:drawing>
              <wp:inline distT="0" distB="0" distL="0" distR="0" wp14:anchorId="14B6BEB1" wp14:editId="41BE36EF">
                <wp:extent cx="989308" cy="170121"/>
                <wp:effectExtent l="0" t="0" r="1905"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Pr="00C501C2" w:rsidRDefault="00CE4BBC" w:rsidP="00C501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501C2" w:rsidTr="002971DE">
      <w:trPr>
        <w:trHeight w:hRule="exact" w:val="340"/>
      </w:trPr>
      <w:tc>
        <w:tcPr>
          <w:tcW w:w="7797" w:type="dxa"/>
        </w:tcPr>
        <w:p w:rsidR="00C501C2" w:rsidRDefault="00C501C2" w:rsidP="00C501C2">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4E8C2B9F" wp14:editId="72724D46">
                <wp:extent cx="989308" cy="170121"/>
                <wp:effectExtent l="0" t="0" r="1905" b="190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C501C2">
    <w:pPr>
      <w:pStyle w:val="HeaderOdd"/>
      <w:jc w:val="both"/>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970E65" w:rsidRDefault="00CE4BBC"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01"/>
    <w:multiLevelType w:val="hybridMultilevel"/>
    <w:tmpl w:val="C230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0F2B"/>
    <w:multiLevelType w:val="hybridMultilevel"/>
    <w:tmpl w:val="D160CC20"/>
    <w:lvl w:ilvl="0" w:tplc="6854B8E0">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33471"/>
    <w:multiLevelType w:val="multilevel"/>
    <w:tmpl w:val="3D36C28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4E9F"/>
    <w:multiLevelType w:val="hybridMultilevel"/>
    <w:tmpl w:val="45D67EC6"/>
    <w:lvl w:ilvl="0" w:tplc="F0E40EDC">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7F6329"/>
    <w:multiLevelType w:val="hybridMultilevel"/>
    <w:tmpl w:val="72D6DC22"/>
    <w:lvl w:ilvl="0" w:tplc="9A5C3602">
      <w:start w:val="1"/>
      <w:numFmt w:val="lowerLetter"/>
      <w:lvlText w:val="(%1)"/>
      <w:lvlJc w:val="left"/>
      <w:pPr>
        <w:ind w:left="360" w:hanging="360"/>
      </w:pPr>
      <w:rPr>
        <w:rFonts w:ascii="Arial" w:eastAsia="Times New Roman" w:hAnsi="Arial" w:cs="Arial"/>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F48D4"/>
    <w:multiLevelType w:val="hybridMultilevel"/>
    <w:tmpl w:val="D124F6D2"/>
    <w:lvl w:ilvl="0" w:tplc="6252375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3056BC9"/>
    <w:multiLevelType w:val="hybridMultilevel"/>
    <w:tmpl w:val="26DC12C2"/>
    <w:lvl w:ilvl="0" w:tplc="EE2E0B36">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956330"/>
    <w:multiLevelType w:val="hybridMultilevel"/>
    <w:tmpl w:val="B78C0B6E"/>
    <w:lvl w:ilvl="0" w:tplc="D526BCF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7542CF"/>
    <w:multiLevelType w:val="hybridMultilevel"/>
    <w:tmpl w:val="4D926388"/>
    <w:lvl w:ilvl="0" w:tplc="F12A6DD4">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F0193F"/>
    <w:multiLevelType w:val="hybridMultilevel"/>
    <w:tmpl w:val="8A36DD7A"/>
    <w:lvl w:ilvl="0" w:tplc="1DD829E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D60"/>
    <w:multiLevelType w:val="hybridMultilevel"/>
    <w:tmpl w:val="630A0BCC"/>
    <w:lvl w:ilvl="0" w:tplc="136A4B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4278CF"/>
    <w:multiLevelType w:val="hybridMultilevel"/>
    <w:tmpl w:val="3EBC4560"/>
    <w:lvl w:ilvl="0" w:tplc="D6C4BF7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0869"/>
    <w:multiLevelType w:val="hybridMultilevel"/>
    <w:tmpl w:val="A4FC0082"/>
    <w:lvl w:ilvl="0" w:tplc="E9B2D5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DD13CF"/>
    <w:multiLevelType w:val="hybridMultilevel"/>
    <w:tmpl w:val="A3DCC688"/>
    <w:lvl w:ilvl="0" w:tplc="FD869E7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C7774E"/>
    <w:multiLevelType w:val="hybridMultilevel"/>
    <w:tmpl w:val="5824E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2B3E33FD"/>
    <w:multiLevelType w:val="hybridMultilevel"/>
    <w:tmpl w:val="DC5C44E8"/>
    <w:lvl w:ilvl="0" w:tplc="04A44BE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2EC0261C"/>
    <w:multiLevelType w:val="hybridMultilevel"/>
    <w:tmpl w:val="CA2C9E08"/>
    <w:lvl w:ilvl="0" w:tplc="3140DB3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8030E"/>
    <w:multiLevelType w:val="hybridMultilevel"/>
    <w:tmpl w:val="D24C364C"/>
    <w:lvl w:ilvl="0" w:tplc="61BAB61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2" w15:restartNumberingAfterBreak="0">
    <w:nsid w:val="39676E51"/>
    <w:multiLevelType w:val="hybridMultilevel"/>
    <w:tmpl w:val="77D0FD54"/>
    <w:lvl w:ilvl="0" w:tplc="24BEF2E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7B6E65"/>
    <w:multiLevelType w:val="hybridMultilevel"/>
    <w:tmpl w:val="73C0EF78"/>
    <w:lvl w:ilvl="0" w:tplc="84C88830">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321E0A"/>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0C020E"/>
    <w:multiLevelType w:val="hybridMultilevel"/>
    <w:tmpl w:val="AEC0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7" w15:restartNumberingAfterBreak="0">
    <w:nsid w:val="417A2C26"/>
    <w:multiLevelType w:val="hybridMultilevel"/>
    <w:tmpl w:val="61F8D2E0"/>
    <w:lvl w:ilvl="0" w:tplc="8D047D26">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62542BE"/>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2E30E41"/>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2A22A3"/>
    <w:multiLevelType w:val="hybridMultilevel"/>
    <w:tmpl w:val="553435DA"/>
    <w:lvl w:ilvl="0" w:tplc="7C8803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15:restartNumberingAfterBreak="0">
    <w:nsid w:val="5C446FB6"/>
    <w:multiLevelType w:val="hybridMultilevel"/>
    <w:tmpl w:val="186C5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CB101D"/>
    <w:multiLevelType w:val="hybridMultilevel"/>
    <w:tmpl w:val="9722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CD5807"/>
    <w:multiLevelType w:val="hybridMultilevel"/>
    <w:tmpl w:val="9BEA04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3F3638"/>
    <w:multiLevelType w:val="hybridMultilevel"/>
    <w:tmpl w:val="A092ADC0"/>
    <w:lvl w:ilvl="0" w:tplc="0EA89F9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1F1207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DF1DA9"/>
    <w:multiLevelType w:val="hybridMultilevel"/>
    <w:tmpl w:val="54269128"/>
    <w:lvl w:ilvl="0" w:tplc="329C109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777B55"/>
    <w:multiLevelType w:val="hybridMultilevel"/>
    <w:tmpl w:val="DB12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B210D5"/>
    <w:multiLevelType w:val="hybridMultilevel"/>
    <w:tmpl w:val="C3C00F4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03F726E"/>
    <w:multiLevelType w:val="hybridMultilevel"/>
    <w:tmpl w:val="10A4AE4C"/>
    <w:lvl w:ilvl="0" w:tplc="1F4E3688">
      <w:start w:val="1"/>
      <w:numFmt w:val="lowerLetter"/>
      <w:lvlText w:val="(%1)"/>
      <w:lvlJc w:val="left"/>
      <w:pPr>
        <w:ind w:left="360" w:hanging="360"/>
      </w:pPr>
      <w:rPr>
        <w:rFonts w:ascii="Arial" w:eastAsia="Times New Roman"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BA1812"/>
    <w:multiLevelType w:val="hybridMultilevel"/>
    <w:tmpl w:val="3178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A2A5D82"/>
    <w:multiLevelType w:val="multilevel"/>
    <w:tmpl w:val="1876A8A6"/>
    <w:lvl w:ilvl="0">
      <w:start w:val="1"/>
      <w:numFmt w:val="lowerLetter"/>
      <w:lvlText w:val="(%1)"/>
      <w:lvlJc w:val="left"/>
      <w:pPr>
        <w:tabs>
          <w:tab w:val="num" w:pos="360"/>
        </w:tabs>
        <w:ind w:left="360" w:hanging="360"/>
      </w:pPr>
      <w:rPr>
        <w:rFonts w:hint="default"/>
        <w:b w:val="0"/>
        <w:i w:val="0"/>
        <w:sz w:val="16"/>
        <w:szCs w:val="16"/>
      </w:rPr>
    </w:lvl>
    <w:lvl w:ilvl="1">
      <w:start w:val="1"/>
      <w:numFmt w:val="lowerLetter"/>
      <w:lvlText w:val="(%2)"/>
      <w:lvlJc w:val="left"/>
      <w:pPr>
        <w:ind w:left="1440" w:hanging="72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8C1392"/>
    <w:multiLevelType w:val="hybridMultilevel"/>
    <w:tmpl w:val="11DCA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55"/>
  </w:num>
  <w:num w:numId="4">
    <w:abstractNumId w:val="59"/>
  </w:num>
  <w:num w:numId="5">
    <w:abstractNumId w:val="26"/>
  </w:num>
  <w:num w:numId="6">
    <w:abstractNumId w:val="46"/>
  </w:num>
  <w:num w:numId="7">
    <w:abstractNumId w:val="5"/>
  </w:num>
  <w:num w:numId="8">
    <w:abstractNumId w:val="24"/>
  </w:num>
  <w:num w:numId="9">
    <w:abstractNumId w:val="16"/>
  </w:num>
  <w:num w:numId="10">
    <w:abstractNumId w:val="2"/>
  </w:num>
  <w:num w:numId="11">
    <w:abstractNumId w:val="36"/>
  </w:num>
  <w:num w:numId="12">
    <w:abstractNumId w:val="7"/>
  </w:num>
  <w:num w:numId="13">
    <w:abstractNumId w:val="61"/>
  </w:num>
  <w:num w:numId="14">
    <w:abstractNumId w:val="48"/>
  </w:num>
  <w:num w:numId="15">
    <w:abstractNumId w:val="47"/>
  </w:num>
  <w:num w:numId="16">
    <w:abstractNumId w:val="44"/>
  </w:num>
  <w:num w:numId="17">
    <w:abstractNumId w:val="43"/>
  </w:num>
  <w:num w:numId="18">
    <w:abstractNumId w:val="14"/>
  </w:num>
  <w:num w:numId="19">
    <w:abstractNumId w:val="60"/>
  </w:num>
  <w:num w:numId="20">
    <w:abstractNumId w:val="41"/>
  </w:num>
  <w:num w:numId="21">
    <w:abstractNumId w:val="56"/>
  </w:num>
  <w:num w:numId="22">
    <w:abstractNumId w:val="22"/>
  </w:num>
  <w:num w:numId="23">
    <w:abstractNumId w:val="64"/>
  </w:num>
  <w:num w:numId="24">
    <w:abstractNumId w:val="23"/>
  </w:num>
  <w:num w:numId="25">
    <w:abstractNumId w:val="52"/>
  </w:num>
  <w:num w:numId="26">
    <w:abstractNumId w:val="31"/>
  </w:num>
  <w:num w:numId="27">
    <w:abstractNumId w:val="45"/>
  </w:num>
  <w:num w:numId="28">
    <w:abstractNumId w:val="18"/>
  </w:num>
  <w:num w:numId="29">
    <w:abstractNumId w:val="40"/>
  </w:num>
  <w:num w:numId="30">
    <w:abstractNumId w:val="28"/>
  </w:num>
  <w:num w:numId="31">
    <w:abstractNumId w:val="39"/>
  </w:num>
  <w:num w:numId="32">
    <w:abstractNumId w:val="51"/>
  </w:num>
  <w:num w:numId="33">
    <w:abstractNumId w:val="19"/>
  </w:num>
  <w:num w:numId="34">
    <w:abstractNumId w:val="54"/>
  </w:num>
  <w:num w:numId="35">
    <w:abstractNumId w:val="49"/>
  </w:num>
  <w:num w:numId="36">
    <w:abstractNumId w:val="35"/>
  </w:num>
  <w:num w:numId="37">
    <w:abstractNumId w:val="0"/>
  </w:num>
  <w:num w:numId="38">
    <w:abstractNumId w:val="62"/>
  </w:num>
  <w:num w:numId="39">
    <w:abstractNumId w:val="27"/>
  </w:num>
  <w:num w:numId="40">
    <w:abstractNumId w:val="20"/>
  </w:num>
  <w:num w:numId="41">
    <w:abstractNumId w:val="33"/>
  </w:num>
  <w:num w:numId="42">
    <w:abstractNumId w:val="32"/>
  </w:num>
  <w:num w:numId="43">
    <w:abstractNumId w:val="21"/>
  </w:num>
  <w:num w:numId="44">
    <w:abstractNumId w:val="34"/>
  </w:num>
  <w:num w:numId="45">
    <w:abstractNumId w:val="58"/>
  </w:num>
  <w:num w:numId="46">
    <w:abstractNumId w:val="6"/>
  </w:num>
  <w:num w:numId="47">
    <w:abstractNumId w:val="4"/>
  </w:num>
  <w:num w:numId="48">
    <w:abstractNumId w:val="53"/>
  </w:num>
  <w:num w:numId="49">
    <w:abstractNumId w:val="29"/>
  </w:num>
  <w:num w:numId="50">
    <w:abstractNumId w:val="13"/>
  </w:num>
  <w:num w:numId="51">
    <w:abstractNumId w:val="3"/>
  </w:num>
  <w:num w:numId="52">
    <w:abstractNumId w:val="15"/>
  </w:num>
  <w:num w:numId="53">
    <w:abstractNumId w:val="25"/>
  </w:num>
  <w:num w:numId="54">
    <w:abstractNumId w:val="10"/>
  </w:num>
  <w:num w:numId="55">
    <w:abstractNumId w:val="1"/>
  </w:num>
  <w:num w:numId="56">
    <w:abstractNumId w:val="12"/>
  </w:num>
  <w:num w:numId="57">
    <w:abstractNumId w:val="11"/>
  </w:num>
  <w:num w:numId="58">
    <w:abstractNumId w:val="37"/>
  </w:num>
  <w:num w:numId="59">
    <w:abstractNumId w:val="17"/>
  </w:num>
  <w:num w:numId="60">
    <w:abstractNumId w:val="50"/>
  </w:num>
  <w:num w:numId="61">
    <w:abstractNumId w:val="42"/>
  </w:num>
  <w:num w:numId="62">
    <w:abstractNumId w:val="63"/>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8EC"/>
    <w:rsid w:val="0000358C"/>
    <w:rsid w:val="00003AC4"/>
    <w:rsid w:val="00003CA0"/>
    <w:rsid w:val="00003FFA"/>
    <w:rsid w:val="0000528D"/>
    <w:rsid w:val="00005CA1"/>
    <w:rsid w:val="0000614C"/>
    <w:rsid w:val="00006AE4"/>
    <w:rsid w:val="00006B50"/>
    <w:rsid w:val="0000711B"/>
    <w:rsid w:val="00007D7B"/>
    <w:rsid w:val="00011C70"/>
    <w:rsid w:val="0001294C"/>
    <w:rsid w:val="00012BB0"/>
    <w:rsid w:val="00012D09"/>
    <w:rsid w:val="00013D25"/>
    <w:rsid w:val="0001438C"/>
    <w:rsid w:val="0001570B"/>
    <w:rsid w:val="00016075"/>
    <w:rsid w:val="0001615A"/>
    <w:rsid w:val="00016D95"/>
    <w:rsid w:val="00017619"/>
    <w:rsid w:val="00017840"/>
    <w:rsid w:val="00020573"/>
    <w:rsid w:val="00020766"/>
    <w:rsid w:val="000216BF"/>
    <w:rsid w:val="00021DA6"/>
    <w:rsid w:val="00021F8F"/>
    <w:rsid w:val="000220B0"/>
    <w:rsid w:val="0002265B"/>
    <w:rsid w:val="00022A1A"/>
    <w:rsid w:val="00023B08"/>
    <w:rsid w:val="00023CED"/>
    <w:rsid w:val="00025381"/>
    <w:rsid w:val="000254E0"/>
    <w:rsid w:val="00025737"/>
    <w:rsid w:val="00025CB2"/>
    <w:rsid w:val="00026D37"/>
    <w:rsid w:val="000277D1"/>
    <w:rsid w:val="00027C3A"/>
    <w:rsid w:val="000300D7"/>
    <w:rsid w:val="000304FC"/>
    <w:rsid w:val="000309D2"/>
    <w:rsid w:val="00030D39"/>
    <w:rsid w:val="00030FDA"/>
    <w:rsid w:val="00032558"/>
    <w:rsid w:val="00032AA7"/>
    <w:rsid w:val="00032B09"/>
    <w:rsid w:val="0003384E"/>
    <w:rsid w:val="00033DF5"/>
    <w:rsid w:val="00033F08"/>
    <w:rsid w:val="00033F86"/>
    <w:rsid w:val="000343BE"/>
    <w:rsid w:val="00034C41"/>
    <w:rsid w:val="0003503B"/>
    <w:rsid w:val="00036095"/>
    <w:rsid w:val="000364F3"/>
    <w:rsid w:val="000366AE"/>
    <w:rsid w:val="000369AC"/>
    <w:rsid w:val="0003724F"/>
    <w:rsid w:val="00037BA1"/>
    <w:rsid w:val="00037E08"/>
    <w:rsid w:val="00040B2E"/>
    <w:rsid w:val="000411D5"/>
    <w:rsid w:val="000413D4"/>
    <w:rsid w:val="000425E2"/>
    <w:rsid w:val="00042FDD"/>
    <w:rsid w:val="00044CF1"/>
    <w:rsid w:val="0004509D"/>
    <w:rsid w:val="00045667"/>
    <w:rsid w:val="00045B04"/>
    <w:rsid w:val="00045B1E"/>
    <w:rsid w:val="00045DB0"/>
    <w:rsid w:val="000476D8"/>
    <w:rsid w:val="0005030D"/>
    <w:rsid w:val="00050A97"/>
    <w:rsid w:val="00052A73"/>
    <w:rsid w:val="00054A04"/>
    <w:rsid w:val="00054BE6"/>
    <w:rsid w:val="00054CC3"/>
    <w:rsid w:val="000555DE"/>
    <w:rsid w:val="0005600E"/>
    <w:rsid w:val="00056260"/>
    <w:rsid w:val="0005722F"/>
    <w:rsid w:val="000606CB"/>
    <w:rsid w:val="00060890"/>
    <w:rsid w:val="0006135F"/>
    <w:rsid w:val="000613EA"/>
    <w:rsid w:val="00061415"/>
    <w:rsid w:val="0006171A"/>
    <w:rsid w:val="0006199A"/>
    <w:rsid w:val="00061A2A"/>
    <w:rsid w:val="00061FD8"/>
    <w:rsid w:val="000627C7"/>
    <w:rsid w:val="00063C44"/>
    <w:rsid w:val="00063CE1"/>
    <w:rsid w:val="000641DA"/>
    <w:rsid w:val="0006427C"/>
    <w:rsid w:val="00065053"/>
    <w:rsid w:val="000655E4"/>
    <w:rsid w:val="000656AD"/>
    <w:rsid w:val="00065B93"/>
    <w:rsid w:val="00065C71"/>
    <w:rsid w:val="00066BBA"/>
    <w:rsid w:val="000671B7"/>
    <w:rsid w:val="00067B6F"/>
    <w:rsid w:val="00067E1D"/>
    <w:rsid w:val="0007064C"/>
    <w:rsid w:val="000712EE"/>
    <w:rsid w:val="000716C3"/>
    <w:rsid w:val="000717B9"/>
    <w:rsid w:val="000725C0"/>
    <w:rsid w:val="00072F14"/>
    <w:rsid w:val="00073878"/>
    <w:rsid w:val="000738AB"/>
    <w:rsid w:val="00074361"/>
    <w:rsid w:val="00074CE6"/>
    <w:rsid w:val="00075452"/>
    <w:rsid w:val="000768A5"/>
    <w:rsid w:val="00076B48"/>
    <w:rsid w:val="00077277"/>
    <w:rsid w:val="0007743A"/>
    <w:rsid w:val="00080069"/>
    <w:rsid w:val="00080125"/>
    <w:rsid w:val="00080F4F"/>
    <w:rsid w:val="000817F1"/>
    <w:rsid w:val="00081CBC"/>
    <w:rsid w:val="00082159"/>
    <w:rsid w:val="0008233C"/>
    <w:rsid w:val="00083AD8"/>
    <w:rsid w:val="0008449F"/>
    <w:rsid w:val="000846ED"/>
    <w:rsid w:val="000850E6"/>
    <w:rsid w:val="00085982"/>
    <w:rsid w:val="000867C1"/>
    <w:rsid w:val="0008687E"/>
    <w:rsid w:val="00090681"/>
    <w:rsid w:val="00090974"/>
    <w:rsid w:val="00090B84"/>
    <w:rsid w:val="000919F4"/>
    <w:rsid w:val="00091B3B"/>
    <w:rsid w:val="000921EE"/>
    <w:rsid w:val="000924A7"/>
    <w:rsid w:val="00093D79"/>
    <w:rsid w:val="00094B28"/>
    <w:rsid w:val="00094B9A"/>
    <w:rsid w:val="00096568"/>
    <w:rsid w:val="00096DEE"/>
    <w:rsid w:val="00096EB1"/>
    <w:rsid w:val="00097063"/>
    <w:rsid w:val="00097336"/>
    <w:rsid w:val="000975DA"/>
    <w:rsid w:val="000A1920"/>
    <w:rsid w:val="000A1A89"/>
    <w:rsid w:val="000A1C91"/>
    <w:rsid w:val="000A24C4"/>
    <w:rsid w:val="000A2FD9"/>
    <w:rsid w:val="000A3454"/>
    <w:rsid w:val="000A345B"/>
    <w:rsid w:val="000A372A"/>
    <w:rsid w:val="000A395D"/>
    <w:rsid w:val="000A532C"/>
    <w:rsid w:val="000A56A5"/>
    <w:rsid w:val="000A5B19"/>
    <w:rsid w:val="000A5C86"/>
    <w:rsid w:val="000A6897"/>
    <w:rsid w:val="000A6CD5"/>
    <w:rsid w:val="000A6DBE"/>
    <w:rsid w:val="000A7CB1"/>
    <w:rsid w:val="000A7E1F"/>
    <w:rsid w:val="000B0B97"/>
    <w:rsid w:val="000B165D"/>
    <w:rsid w:val="000B1FC4"/>
    <w:rsid w:val="000B21D6"/>
    <w:rsid w:val="000B2404"/>
    <w:rsid w:val="000B36D8"/>
    <w:rsid w:val="000B3B7D"/>
    <w:rsid w:val="000B6E38"/>
    <w:rsid w:val="000C056F"/>
    <w:rsid w:val="000C08A5"/>
    <w:rsid w:val="000C09FE"/>
    <w:rsid w:val="000C10E1"/>
    <w:rsid w:val="000C1442"/>
    <w:rsid w:val="000C1928"/>
    <w:rsid w:val="000C19B3"/>
    <w:rsid w:val="000C19EF"/>
    <w:rsid w:val="000C2D7D"/>
    <w:rsid w:val="000C3134"/>
    <w:rsid w:val="000C3B86"/>
    <w:rsid w:val="000C3C4E"/>
    <w:rsid w:val="000C4A46"/>
    <w:rsid w:val="000C4F54"/>
    <w:rsid w:val="000C55A6"/>
    <w:rsid w:val="000C5928"/>
    <w:rsid w:val="000C6691"/>
    <w:rsid w:val="000C6A39"/>
    <w:rsid w:val="000C6FB8"/>
    <w:rsid w:val="000D0547"/>
    <w:rsid w:val="000D13E5"/>
    <w:rsid w:val="000D203B"/>
    <w:rsid w:val="000D28EB"/>
    <w:rsid w:val="000D308C"/>
    <w:rsid w:val="000D3CA0"/>
    <w:rsid w:val="000D4262"/>
    <w:rsid w:val="000D43DE"/>
    <w:rsid w:val="000D519D"/>
    <w:rsid w:val="000D55B5"/>
    <w:rsid w:val="000D58A1"/>
    <w:rsid w:val="000D68E5"/>
    <w:rsid w:val="000D7E54"/>
    <w:rsid w:val="000E04C6"/>
    <w:rsid w:val="000E0A5A"/>
    <w:rsid w:val="000E0A85"/>
    <w:rsid w:val="000E1306"/>
    <w:rsid w:val="000E2F5F"/>
    <w:rsid w:val="000E4F0F"/>
    <w:rsid w:val="000E55A5"/>
    <w:rsid w:val="000E67DB"/>
    <w:rsid w:val="000E68E3"/>
    <w:rsid w:val="000E6DDB"/>
    <w:rsid w:val="000E72AB"/>
    <w:rsid w:val="000E74A6"/>
    <w:rsid w:val="000E7545"/>
    <w:rsid w:val="000F03B1"/>
    <w:rsid w:val="000F08AE"/>
    <w:rsid w:val="000F0DA6"/>
    <w:rsid w:val="000F1AAB"/>
    <w:rsid w:val="000F2D33"/>
    <w:rsid w:val="000F43F4"/>
    <w:rsid w:val="000F440E"/>
    <w:rsid w:val="000F54E8"/>
    <w:rsid w:val="000F6143"/>
    <w:rsid w:val="000F6647"/>
    <w:rsid w:val="000F73B7"/>
    <w:rsid w:val="000F7464"/>
    <w:rsid w:val="000F794F"/>
    <w:rsid w:val="000F7E7B"/>
    <w:rsid w:val="001002F8"/>
    <w:rsid w:val="00100956"/>
    <w:rsid w:val="00102654"/>
    <w:rsid w:val="001028CC"/>
    <w:rsid w:val="00102932"/>
    <w:rsid w:val="001045F9"/>
    <w:rsid w:val="00104624"/>
    <w:rsid w:val="0010472B"/>
    <w:rsid w:val="00104F95"/>
    <w:rsid w:val="001064BD"/>
    <w:rsid w:val="0010654B"/>
    <w:rsid w:val="0010657F"/>
    <w:rsid w:val="00106FE5"/>
    <w:rsid w:val="001078E6"/>
    <w:rsid w:val="001079D3"/>
    <w:rsid w:val="00111159"/>
    <w:rsid w:val="0011116D"/>
    <w:rsid w:val="00111439"/>
    <w:rsid w:val="0011221E"/>
    <w:rsid w:val="00112D0F"/>
    <w:rsid w:val="001133E0"/>
    <w:rsid w:val="0011401D"/>
    <w:rsid w:val="00114218"/>
    <w:rsid w:val="00114FDA"/>
    <w:rsid w:val="0011559E"/>
    <w:rsid w:val="00115AEC"/>
    <w:rsid w:val="00115DE5"/>
    <w:rsid w:val="001163D6"/>
    <w:rsid w:val="0011726A"/>
    <w:rsid w:val="0011781D"/>
    <w:rsid w:val="00117D51"/>
    <w:rsid w:val="0012022D"/>
    <w:rsid w:val="00120B5E"/>
    <w:rsid w:val="0012108F"/>
    <w:rsid w:val="00121410"/>
    <w:rsid w:val="00121EB0"/>
    <w:rsid w:val="0012228D"/>
    <w:rsid w:val="00123218"/>
    <w:rsid w:val="001237BA"/>
    <w:rsid w:val="00123925"/>
    <w:rsid w:val="0012530F"/>
    <w:rsid w:val="00126641"/>
    <w:rsid w:val="00126954"/>
    <w:rsid w:val="00127081"/>
    <w:rsid w:val="001303BE"/>
    <w:rsid w:val="001320CB"/>
    <w:rsid w:val="00132F9E"/>
    <w:rsid w:val="00133D3A"/>
    <w:rsid w:val="001352EE"/>
    <w:rsid w:val="00135505"/>
    <w:rsid w:val="001364A7"/>
    <w:rsid w:val="0013653C"/>
    <w:rsid w:val="00136827"/>
    <w:rsid w:val="001375D4"/>
    <w:rsid w:val="0013768B"/>
    <w:rsid w:val="00140574"/>
    <w:rsid w:val="00140AED"/>
    <w:rsid w:val="001414B9"/>
    <w:rsid w:val="0014158A"/>
    <w:rsid w:val="00141928"/>
    <w:rsid w:val="001432E5"/>
    <w:rsid w:val="0014334B"/>
    <w:rsid w:val="00143385"/>
    <w:rsid w:val="00143750"/>
    <w:rsid w:val="00143E1F"/>
    <w:rsid w:val="00143E88"/>
    <w:rsid w:val="001455D8"/>
    <w:rsid w:val="001465DA"/>
    <w:rsid w:val="00146836"/>
    <w:rsid w:val="00146B5E"/>
    <w:rsid w:val="0014778B"/>
    <w:rsid w:val="0014790A"/>
    <w:rsid w:val="001479E6"/>
    <w:rsid w:val="00147A2F"/>
    <w:rsid w:val="00150452"/>
    <w:rsid w:val="0015046D"/>
    <w:rsid w:val="00150E70"/>
    <w:rsid w:val="00150E8B"/>
    <w:rsid w:val="00151609"/>
    <w:rsid w:val="00151975"/>
    <w:rsid w:val="00151ABB"/>
    <w:rsid w:val="00152B2B"/>
    <w:rsid w:val="00153D74"/>
    <w:rsid w:val="00153FB3"/>
    <w:rsid w:val="00154447"/>
    <w:rsid w:val="001549BE"/>
    <w:rsid w:val="00154CDE"/>
    <w:rsid w:val="00154DF3"/>
    <w:rsid w:val="00154F5B"/>
    <w:rsid w:val="00155582"/>
    <w:rsid w:val="0015701B"/>
    <w:rsid w:val="001570A4"/>
    <w:rsid w:val="00160C23"/>
    <w:rsid w:val="001610AC"/>
    <w:rsid w:val="00161DAC"/>
    <w:rsid w:val="00162141"/>
    <w:rsid w:val="00162B55"/>
    <w:rsid w:val="00162D8B"/>
    <w:rsid w:val="00163101"/>
    <w:rsid w:val="001638E9"/>
    <w:rsid w:val="00165824"/>
    <w:rsid w:val="00165C4D"/>
    <w:rsid w:val="001666EA"/>
    <w:rsid w:val="001668EA"/>
    <w:rsid w:val="001669F4"/>
    <w:rsid w:val="00167406"/>
    <w:rsid w:val="001674BB"/>
    <w:rsid w:val="00167A04"/>
    <w:rsid w:val="0017111A"/>
    <w:rsid w:val="00171A85"/>
    <w:rsid w:val="00173D57"/>
    <w:rsid w:val="00173F5C"/>
    <w:rsid w:val="00174186"/>
    <w:rsid w:val="00174565"/>
    <w:rsid w:val="00174584"/>
    <w:rsid w:val="00174EC9"/>
    <w:rsid w:val="00175BB3"/>
    <w:rsid w:val="0017606E"/>
    <w:rsid w:val="00176E68"/>
    <w:rsid w:val="001777A1"/>
    <w:rsid w:val="00177A9A"/>
    <w:rsid w:val="00177DE4"/>
    <w:rsid w:val="001808A4"/>
    <w:rsid w:val="00180FF3"/>
    <w:rsid w:val="001815A5"/>
    <w:rsid w:val="001816CB"/>
    <w:rsid w:val="00181F30"/>
    <w:rsid w:val="00182740"/>
    <w:rsid w:val="00184071"/>
    <w:rsid w:val="00184354"/>
    <w:rsid w:val="001852C5"/>
    <w:rsid w:val="00185A3B"/>
    <w:rsid w:val="00186850"/>
    <w:rsid w:val="001904A5"/>
    <w:rsid w:val="0019133F"/>
    <w:rsid w:val="001923C8"/>
    <w:rsid w:val="001939FF"/>
    <w:rsid w:val="00194786"/>
    <w:rsid w:val="00194DE8"/>
    <w:rsid w:val="00194FD7"/>
    <w:rsid w:val="00197990"/>
    <w:rsid w:val="001A0106"/>
    <w:rsid w:val="001A0280"/>
    <w:rsid w:val="001A02CB"/>
    <w:rsid w:val="001A02FD"/>
    <w:rsid w:val="001A11DB"/>
    <w:rsid w:val="001A16A7"/>
    <w:rsid w:val="001A19ED"/>
    <w:rsid w:val="001A33F4"/>
    <w:rsid w:val="001A50DE"/>
    <w:rsid w:val="001A510C"/>
    <w:rsid w:val="001A5164"/>
    <w:rsid w:val="001A53AE"/>
    <w:rsid w:val="001A6256"/>
    <w:rsid w:val="001A62AD"/>
    <w:rsid w:val="001A6DE3"/>
    <w:rsid w:val="001A6F29"/>
    <w:rsid w:val="001A789B"/>
    <w:rsid w:val="001B03CC"/>
    <w:rsid w:val="001B0C75"/>
    <w:rsid w:val="001B2010"/>
    <w:rsid w:val="001B2944"/>
    <w:rsid w:val="001B2A29"/>
    <w:rsid w:val="001B2DEE"/>
    <w:rsid w:val="001B368E"/>
    <w:rsid w:val="001B3FE6"/>
    <w:rsid w:val="001B44C2"/>
    <w:rsid w:val="001B4BDA"/>
    <w:rsid w:val="001B4EC1"/>
    <w:rsid w:val="001B5203"/>
    <w:rsid w:val="001B659F"/>
    <w:rsid w:val="001B693C"/>
    <w:rsid w:val="001B7399"/>
    <w:rsid w:val="001B7655"/>
    <w:rsid w:val="001B7BAD"/>
    <w:rsid w:val="001B7F09"/>
    <w:rsid w:val="001C1166"/>
    <w:rsid w:val="001C261E"/>
    <w:rsid w:val="001C323A"/>
    <w:rsid w:val="001C3AC7"/>
    <w:rsid w:val="001C42D0"/>
    <w:rsid w:val="001C7B78"/>
    <w:rsid w:val="001C7FB4"/>
    <w:rsid w:val="001D06D5"/>
    <w:rsid w:val="001D0A25"/>
    <w:rsid w:val="001D0BA6"/>
    <w:rsid w:val="001D1354"/>
    <w:rsid w:val="001D1903"/>
    <w:rsid w:val="001D1942"/>
    <w:rsid w:val="001D1D2A"/>
    <w:rsid w:val="001D1DDB"/>
    <w:rsid w:val="001D53EA"/>
    <w:rsid w:val="001D6F7C"/>
    <w:rsid w:val="001D7BEB"/>
    <w:rsid w:val="001E0086"/>
    <w:rsid w:val="001E0156"/>
    <w:rsid w:val="001E0A60"/>
    <w:rsid w:val="001E12A5"/>
    <w:rsid w:val="001E1BF9"/>
    <w:rsid w:val="001E1EDB"/>
    <w:rsid w:val="001E3A18"/>
    <w:rsid w:val="001E41DC"/>
    <w:rsid w:val="001E41E7"/>
    <w:rsid w:val="001E4485"/>
    <w:rsid w:val="001E48ED"/>
    <w:rsid w:val="001E4B0F"/>
    <w:rsid w:val="001E58FB"/>
    <w:rsid w:val="001E68A6"/>
    <w:rsid w:val="001E6DA0"/>
    <w:rsid w:val="001E7093"/>
    <w:rsid w:val="001E717D"/>
    <w:rsid w:val="001E71F5"/>
    <w:rsid w:val="001E7D86"/>
    <w:rsid w:val="001F1306"/>
    <w:rsid w:val="001F135D"/>
    <w:rsid w:val="001F193E"/>
    <w:rsid w:val="001F377B"/>
    <w:rsid w:val="001F3CF9"/>
    <w:rsid w:val="001F5561"/>
    <w:rsid w:val="001F55E5"/>
    <w:rsid w:val="001F5CB9"/>
    <w:rsid w:val="001F6DC7"/>
    <w:rsid w:val="001F7FA9"/>
    <w:rsid w:val="002003A1"/>
    <w:rsid w:val="00200577"/>
    <w:rsid w:val="00200DC3"/>
    <w:rsid w:val="002011E2"/>
    <w:rsid w:val="00201BB9"/>
    <w:rsid w:val="00202925"/>
    <w:rsid w:val="00202C70"/>
    <w:rsid w:val="00202F3D"/>
    <w:rsid w:val="002050B0"/>
    <w:rsid w:val="00205D80"/>
    <w:rsid w:val="00206401"/>
    <w:rsid w:val="00210874"/>
    <w:rsid w:val="0021093F"/>
    <w:rsid w:val="00212F20"/>
    <w:rsid w:val="002133CA"/>
    <w:rsid w:val="00213592"/>
    <w:rsid w:val="00213599"/>
    <w:rsid w:val="002146B5"/>
    <w:rsid w:val="00214FA2"/>
    <w:rsid w:val="00215783"/>
    <w:rsid w:val="0021644B"/>
    <w:rsid w:val="00216489"/>
    <w:rsid w:val="00216DC9"/>
    <w:rsid w:val="00217CA0"/>
    <w:rsid w:val="002202EB"/>
    <w:rsid w:val="00220FCF"/>
    <w:rsid w:val="00221705"/>
    <w:rsid w:val="002218FB"/>
    <w:rsid w:val="00221972"/>
    <w:rsid w:val="002231C8"/>
    <w:rsid w:val="00223208"/>
    <w:rsid w:val="00223291"/>
    <w:rsid w:val="002237E8"/>
    <w:rsid w:val="00224154"/>
    <w:rsid w:val="00224375"/>
    <w:rsid w:val="002254E4"/>
    <w:rsid w:val="00227086"/>
    <w:rsid w:val="0022725F"/>
    <w:rsid w:val="00230194"/>
    <w:rsid w:val="00231923"/>
    <w:rsid w:val="002329C3"/>
    <w:rsid w:val="00232EEF"/>
    <w:rsid w:val="002332AE"/>
    <w:rsid w:val="002333C2"/>
    <w:rsid w:val="002339F7"/>
    <w:rsid w:val="00233CA5"/>
    <w:rsid w:val="00233F2D"/>
    <w:rsid w:val="00234040"/>
    <w:rsid w:val="0023583A"/>
    <w:rsid w:val="00235D67"/>
    <w:rsid w:val="0023626B"/>
    <w:rsid w:val="00236356"/>
    <w:rsid w:val="00236FE7"/>
    <w:rsid w:val="002376AD"/>
    <w:rsid w:val="00242F07"/>
    <w:rsid w:val="00243020"/>
    <w:rsid w:val="002435F6"/>
    <w:rsid w:val="00243D6C"/>
    <w:rsid w:val="00244D22"/>
    <w:rsid w:val="0024648E"/>
    <w:rsid w:val="00246C09"/>
    <w:rsid w:val="002470E4"/>
    <w:rsid w:val="00247262"/>
    <w:rsid w:val="0025009B"/>
    <w:rsid w:val="0025144C"/>
    <w:rsid w:val="00252A74"/>
    <w:rsid w:val="00253FF3"/>
    <w:rsid w:val="0025607B"/>
    <w:rsid w:val="0025616B"/>
    <w:rsid w:val="00256A8D"/>
    <w:rsid w:val="00257285"/>
    <w:rsid w:val="00257FF4"/>
    <w:rsid w:val="002608CE"/>
    <w:rsid w:val="0026165D"/>
    <w:rsid w:val="00261660"/>
    <w:rsid w:val="002617F8"/>
    <w:rsid w:val="00262682"/>
    <w:rsid w:val="0026279C"/>
    <w:rsid w:val="00262CD3"/>
    <w:rsid w:val="002638DA"/>
    <w:rsid w:val="00264181"/>
    <w:rsid w:val="00264BB2"/>
    <w:rsid w:val="00265289"/>
    <w:rsid w:val="00265ED2"/>
    <w:rsid w:val="00266613"/>
    <w:rsid w:val="00266CF9"/>
    <w:rsid w:val="00266E0D"/>
    <w:rsid w:val="00266FE9"/>
    <w:rsid w:val="00267226"/>
    <w:rsid w:val="0027100C"/>
    <w:rsid w:val="00271180"/>
    <w:rsid w:val="00271502"/>
    <w:rsid w:val="00272396"/>
    <w:rsid w:val="00273D98"/>
    <w:rsid w:val="00274936"/>
    <w:rsid w:val="00275838"/>
    <w:rsid w:val="00275A4E"/>
    <w:rsid w:val="0027614D"/>
    <w:rsid w:val="0027651A"/>
    <w:rsid w:val="00276BF9"/>
    <w:rsid w:val="002770A1"/>
    <w:rsid w:val="002771DF"/>
    <w:rsid w:val="00277D43"/>
    <w:rsid w:val="0028001E"/>
    <w:rsid w:val="00280D53"/>
    <w:rsid w:val="002819E3"/>
    <w:rsid w:val="00281CF6"/>
    <w:rsid w:val="0028359B"/>
    <w:rsid w:val="0028428E"/>
    <w:rsid w:val="00284441"/>
    <w:rsid w:val="002857FE"/>
    <w:rsid w:val="0028585E"/>
    <w:rsid w:val="002863D9"/>
    <w:rsid w:val="00290933"/>
    <w:rsid w:val="00291A80"/>
    <w:rsid w:val="00291E57"/>
    <w:rsid w:val="00292D6A"/>
    <w:rsid w:val="0029312A"/>
    <w:rsid w:val="0029325C"/>
    <w:rsid w:val="00293B2D"/>
    <w:rsid w:val="00293B46"/>
    <w:rsid w:val="00294E5F"/>
    <w:rsid w:val="00295D14"/>
    <w:rsid w:val="002960B7"/>
    <w:rsid w:val="0029711F"/>
    <w:rsid w:val="00297643"/>
    <w:rsid w:val="00297824"/>
    <w:rsid w:val="00297942"/>
    <w:rsid w:val="00297E20"/>
    <w:rsid w:val="002A0F2E"/>
    <w:rsid w:val="002A1206"/>
    <w:rsid w:val="002A153F"/>
    <w:rsid w:val="002A1CC2"/>
    <w:rsid w:val="002A23D5"/>
    <w:rsid w:val="002A32FD"/>
    <w:rsid w:val="002A3D61"/>
    <w:rsid w:val="002A40DC"/>
    <w:rsid w:val="002A4534"/>
    <w:rsid w:val="002A4A53"/>
    <w:rsid w:val="002A5329"/>
    <w:rsid w:val="002A5C2D"/>
    <w:rsid w:val="002A5CB3"/>
    <w:rsid w:val="002A61E5"/>
    <w:rsid w:val="002A664B"/>
    <w:rsid w:val="002A74DD"/>
    <w:rsid w:val="002A7FC8"/>
    <w:rsid w:val="002B0A81"/>
    <w:rsid w:val="002B1CE7"/>
    <w:rsid w:val="002B2F0F"/>
    <w:rsid w:val="002B3A98"/>
    <w:rsid w:val="002B50A9"/>
    <w:rsid w:val="002B54C2"/>
    <w:rsid w:val="002B595D"/>
    <w:rsid w:val="002B5F6A"/>
    <w:rsid w:val="002B72F0"/>
    <w:rsid w:val="002B779E"/>
    <w:rsid w:val="002B7D6F"/>
    <w:rsid w:val="002B7D78"/>
    <w:rsid w:val="002C0552"/>
    <w:rsid w:val="002C0961"/>
    <w:rsid w:val="002C1CF7"/>
    <w:rsid w:val="002C1D11"/>
    <w:rsid w:val="002C25D0"/>
    <w:rsid w:val="002C280B"/>
    <w:rsid w:val="002C2CB2"/>
    <w:rsid w:val="002C2DB0"/>
    <w:rsid w:val="002C4D41"/>
    <w:rsid w:val="002C5E54"/>
    <w:rsid w:val="002C75B0"/>
    <w:rsid w:val="002C761B"/>
    <w:rsid w:val="002C7703"/>
    <w:rsid w:val="002C7A63"/>
    <w:rsid w:val="002D0153"/>
    <w:rsid w:val="002D0985"/>
    <w:rsid w:val="002D1B46"/>
    <w:rsid w:val="002D1FB7"/>
    <w:rsid w:val="002D21E3"/>
    <w:rsid w:val="002D3540"/>
    <w:rsid w:val="002D403A"/>
    <w:rsid w:val="002D4262"/>
    <w:rsid w:val="002D46B7"/>
    <w:rsid w:val="002D6163"/>
    <w:rsid w:val="002D7A39"/>
    <w:rsid w:val="002E1064"/>
    <w:rsid w:val="002E2551"/>
    <w:rsid w:val="002E31DB"/>
    <w:rsid w:val="002E323F"/>
    <w:rsid w:val="002E3678"/>
    <w:rsid w:val="002E3C88"/>
    <w:rsid w:val="002E53DD"/>
    <w:rsid w:val="002E5554"/>
    <w:rsid w:val="002E59C4"/>
    <w:rsid w:val="002E5D24"/>
    <w:rsid w:val="002E671E"/>
    <w:rsid w:val="002F08EB"/>
    <w:rsid w:val="002F196B"/>
    <w:rsid w:val="002F1B12"/>
    <w:rsid w:val="002F2256"/>
    <w:rsid w:val="002F301D"/>
    <w:rsid w:val="002F47EC"/>
    <w:rsid w:val="002F530C"/>
    <w:rsid w:val="002F563E"/>
    <w:rsid w:val="002F591B"/>
    <w:rsid w:val="002F5C70"/>
    <w:rsid w:val="002F7B47"/>
    <w:rsid w:val="002F7FE2"/>
    <w:rsid w:val="00300013"/>
    <w:rsid w:val="0030032D"/>
    <w:rsid w:val="003006F8"/>
    <w:rsid w:val="00300BF2"/>
    <w:rsid w:val="00300C20"/>
    <w:rsid w:val="00300E2E"/>
    <w:rsid w:val="003013E3"/>
    <w:rsid w:val="003027C1"/>
    <w:rsid w:val="00302A25"/>
    <w:rsid w:val="00303CE6"/>
    <w:rsid w:val="00304900"/>
    <w:rsid w:val="00304C13"/>
    <w:rsid w:val="00304E05"/>
    <w:rsid w:val="00305718"/>
    <w:rsid w:val="00305EC5"/>
    <w:rsid w:val="00306107"/>
    <w:rsid w:val="00306C90"/>
    <w:rsid w:val="003074A8"/>
    <w:rsid w:val="003077B8"/>
    <w:rsid w:val="003101A3"/>
    <w:rsid w:val="00310272"/>
    <w:rsid w:val="00310332"/>
    <w:rsid w:val="003111F8"/>
    <w:rsid w:val="0031204A"/>
    <w:rsid w:val="00312493"/>
    <w:rsid w:val="0031272B"/>
    <w:rsid w:val="00313067"/>
    <w:rsid w:val="00314B8B"/>
    <w:rsid w:val="00315435"/>
    <w:rsid w:val="003164BB"/>
    <w:rsid w:val="00317BF9"/>
    <w:rsid w:val="0032038C"/>
    <w:rsid w:val="00320550"/>
    <w:rsid w:val="0032119E"/>
    <w:rsid w:val="00321889"/>
    <w:rsid w:val="00325C5E"/>
    <w:rsid w:val="00327269"/>
    <w:rsid w:val="0032738E"/>
    <w:rsid w:val="00327C00"/>
    <w:rsid w:val="00331B40"/>
    <w:rsid w:val="00331C5F"/>
    <w:rsid w:val="003325B9"/>
    <w:rsid w:val="00332E95"/>
    <w:rsid w:val="00333074"/>
    <w:rsid w:val="0033318A"/>
    <w:rsid w:val="00333223"/>
    <w:rsid w:val="0033397A"/>
    <w:rsid w:val="00333A43"/>
    <w:rsid w:val="00333B9F"/>
    <w:rsid w:val="00333F62"/>
    <w:rsid w:val="00334137"/>
    <w:rsid w:val="00334F7E"/>
    <w:rsid w:val="003364C1"/>
    <w:rsid w:val="00336B3E"/>
    <w:rsid w:val="00337F82"/>
    <w:rsid w:val="00340640"/>
    <w:rsid w:val="00340810"/>
    <w:rsid w:val="003435D6"/>
    <w:rsid w:val="003455BB"/>
    <w:rsid w:val="003458E0"/>
    <w:rsid w:val="00345CCD"/>
    <w:rsid w:val="00347E11"/>
    <w:rsid w:val="003511CE"/>
    <w:rsid w:val="00351909"/>
    <w:rsid w:val="00352BE0"/>
    <w:rsid w:val="0035333E"/>
    <w:rsid w:val="003538F0"/>
    <w:rsid w:val="00353C44"/>
    <w:rsid w:val="00354588"/>
    <w:rsid w:val="00355B4B"/>
    <w:rsid w:val="00357DAE"/>
    <w:rsid w:val="003602A5"/>
    <w:rsid w:val="003603E9"/>
    <w:rsid w:val="00361259"/>
    <w:rsid w:val="00361429"/>
    <w:rsid w:val="00362AA7"/>
    <w:rsid w:val="00362CFE"/>
    <w:rsid w:val="00363219"/>
    <w:rsid w:val="00363B11"/>
    <w:rsid w:val="003672D6"/>
    <w:rsid w:val="003705BF"/>
    <w:rsid w:val="00370935"/>
    <w:rsid w:val="00370F86"/>
    <w:rsid w:val="00371C1A"/>
    <w:rsid w:val="00372EBB"/>
    <w:rsid w:val="00374A2F"/>
    <w:rsid w:val="00375E52"/>
    <w:rsid w:val="00380888"/>
    <w:rsid w:val="00380D9F"/>
    <w:rsid w:val="003819E1"/>
    <w:rsid w:val="00382234"/>
    <w:rsid w:val="0038297F"/>
    <w:rsid w:val="0038323B"/>
    <w:rsid w:val="003852C0"/>
    <w:rsid w:val="00385A6A"/>
    <w:rsid w:val="003864EF"/>
    <w:rsid w:val="0038672F"/>
    <w:rsid w:val="003869D0"/>
    <w:rsid w:val="00386BC9"/>
    <w:rsid w:val="00386F24"/>
    <w:rsid w:val="003876AB"/>
    <w:rsid w:val="00387957"/>
    <w:rsid w:val="0039053D"/>
    <w:rsid w:val="00390C8F"/>
    <w:rsid w:val="00390D39"/>
    <w:rsid w:val="00390FD9"/>
    <w:rsid w:val="00391C9E"/>
    <w:rsid w:val="003926EA"/>
    <w:rsid w:val="00392B8A"/>
    <w:rsid w:val="00392B92"/>
    <w:rsid w:val="00392C13"/>
    <w:rsid w:val="00392DD1"/>
    <w:rsid w:val="0039387D"/>
    <w:rsid w:val="00393D23"/>
    <w:rsid w:val="00394434"/>
    <w:rsid w:val="0039449C"/>
    <w:rsid w:val="00395E02"/>
    <w:rsid w:val="0039684C"/>
    <w:rsid w:val="003A0290"/>
    <w:rsid w:val="003A25BB"/>
    <w:rsid w:val="003A300D"/>
    <w:rsid w:val="003A3E7B"/>
    <w:rsid w:val="003A4566"/>
    <w:rsid w:val="003A60B4"/>
    <w:rsid w:val="003A7067"/>
    <w:rsid w:val="003B09F6"/>
    <w:rsid w:val="003B0D03"/>
    <w:rsid w:val="003B1F0A"/>
    <w:rsid w:val="003B2445"/>
    <w:rsid w:val="003B2C1F"/>
    <w:rsid w:val="003B329D"/>
    <w:rsid w:val="003B3684"/>
    <w:rsid w:val="003B3D60"/>
    <w:rsid w:val="003B532E"/>
    <w:rsid w:val="003B5533"/>
    <w:rsid w:val="003B5A85"/>
    <w:rsid w:val="003B6269"/>
    <w:rsid w:val="003B71EE"/>
    <w:rsid w:val="003B7621"/>
    <w:rsid w:val="003B7C64"/>
    <w:rsid w:val="003C057F"/>
    <w:rsid w:val="003C0593"/>
    <w:rsid w:val="003C13A6"/>
    <w:rsid w:val="003C1615"/>
    <w:rsid w:val="003C1EB4"/>
    <w:rsid w:val="003C2A44"/>
    <w:rsid w:val="003C2EBC"/>
    <w:rsid w:val="003C4E3A"/>
    <w:rsid w:val="003C6E27"/>
    <w:rsid w:val="003C6E92"/>
    <w:rsid w:val="003C7EF0"/>
    <w:rsid w:val="003D0E1C"/>
    <w:rsid w:val="003D1104"/>
    <w:rsid w:val="003D1E47"/>
    <w:rsid w:val="003D3662"/>
    <w:rsid w:val="003D366F"/>
    <w:rsid w:val="003D39FF"/>
    <w:rsid w:val="003D3C14"/>
    <w:rsid w:val="003D4188"/>
    <w:rsid w:val="003D4557"/>
    <w:rsid w:val="003D543D"/>
    <w:rsid w:val="003D59FD"/>
    <w:rsid w:val="003E0953"/>
    <w:rsid w:val="003E10B8"/>
    <w:rsid w:val="003E115C"/>
    <w:rsid w:val="003E11FE"/>
    <w:rsid w:val="003E122D"/>
    <w:rsid w:val="003E13F5"/>
    <w:rsid w:val="003E1978"/>
    <w:rsid w:val="003E2031"/>
    <w:rsid w:val="003E2AE6"/>
    <w:rsid w:val="003E2B5E"/>
    <w:rsid w:val="003E3FF4"/>
    <w:rsid w:val="003E4881"/>
    <w:rsid w:val="003E4E15"/>
    <w:rsid w:val="003E53E8"/>
    <w:rsid w:val="003E5912"/>
    <w:rsid w:val="003E5AE8"/>
    <w:rsid w:val="003E68C4"/>
    <w:rsid w:val="003F07EE"/>
    <w:rsid w:val="003F0C8B"/>
    <w:rsid w:val="003F1607"/>
    <w:rsid w:val="003F29F2"/>
    <w:rsid w:val="003F3C77"/>
    <w:rsid w:val="003F458D"/>
    <w:rsid w:val="003F47DF"/>
    <w:rsid w:val="003F509C"/>
    <w:rsid w:val="003F6209"/>
    <w:rsid w:val="003F64C5"/>
    <w:rsid w:val="00400A8B"/>
    <w:rsid w:val="00401831"/>
    <w:rsid w:val="0040314A"/>
    <w:rsid w:val="004035D9"/>
    <w:rsid w:val="00404B4D"/>
    <w:rsid w:val="004054F6"/>
    <w:rsid w:val="0040574F"/>
    <w:rsid w:val="00405DAB"/>
    <w:rsid w:val="00405E90"/>
    <w:rsid w:val="004061FD"/>
    <w:rsid w:val="0040629D"/>
    <w:rsid w:val="004065CE"/>
    <w:rsid w:val="00406802"/>
    <w:rsid w:val="0040713C"/>
    <w:rsid w:val="00407A61"/>
    <w:rsid w:val="0041023D"/>
    <w:rsid w:val="004105DD"/>
    <w:rsid w:val="00410DCE"/>
    <w:rsid w:val="004128EA"/>
    <w:rsid w:val="00412C0B"/>
    <w:rsid w:val="00413DBF"/>
    <w:rsid w:val="0041404E"/>
    <w:rsid w:val="004141C4"/>
    <w:rsid w:val="0041429D"/>
    <w:rsid w:val="004147D0"/>
    <w:rsid w:val="00414E1F"/>
    <w:rsid w:val="0041581E"/>
    <w:rsid w:val="00415922"/>
    <w:rsid w:val="004161E5"/>
    <w:rsid w:val="0041765C"/>
    <w:rsid w:val="00420022"/>
    <w:rsid w:val="00420506"/>
    <w:rsid w:val="00420837"/>
    <w:rsid w:val="00421EEC"/>
    <w:rsid w:val="00422057"/>
    <w:rsid w:val="00422933"/>
    <w:rsid w:val="00422D13"/>
    <w:rsid w:val="00422F4B"/>
    <w:rsid w:val="00423003"/>
    <w:rsid w:val="0042482B"/>
    <w:rsid w:val="004248B4"/>
    <w:rsid w:val="00424C66"/>
    <w:rsid w:val="0042526D"/>
    <w:rsid w:val="004254A2"/>
    <w:rsid w:val="004254F4"/>
    <w:rsid w:val="00426D71"/>
    <w:rsid w:val="00430256"/>
    <w:rsid w:val="00430E3D"/>
    <w:rsid w:val="0043145F"/>
    <w:rsid w:val="0043194D"/>
    <w:rsid w:val="00431BE6"/>
    <w:rsid w:val="00431BF1"/>
    <w:rsid w:val="0043270D"/>
    <w:rsid w:val="00433D22"/>
    <w:rsid w:val="004342F8"/>
    <w:rsid w:val="00434A2F"/>
    <w:rsid w:val="00434B63"/>
    <w:rsid w:val="004356EB"/>
    <w:rsid w:val="00435E45"/>
    <w:rsid w:val="004368FE"/>
    <w:rsid w:val="00436AFE"/>
    <w:rsid w:val="00440016"/>
    <w:rsid w:val="0044083A"/>
    <w:rsid w:val="004408FA"/>
    <w:rsid w:val="004415E3"/>
    <w:rsid w:val="0044552A"/>
    <w:rsid w:val="00445663"/>
    <w:rsid w:val="004461A4"/>
    <w:rsid w:val="00446612"/>
    <w:rsid w:val="0044701E"/>
    <w:rsid w:val="004503EC"/>
    <w:rsid w:val="00450E44"/>
    <w:rsid w:val="00451501"/>
    <w:rsid w:val="00451558"/>
    <w:rsid w:val="004528D0"/>
    <w:rsid w:val="00453C86"/>
    <w:rsid w:val="00454564"/>
    <w:rsid w:val="0045495B"/>
    <w:rsid w:val="00454A2D"/>
    <w:rsid w:val="0045591E"/>
    <w:rsid w:val="004561C1"/>
    <w:rsid w:val="004562E5"/>
    <w:rsid w:val="0045637B"/>
    <w:rsid w:val="00457A3D"/>
    <w:rsid w:val="00457BC3"/>
    <w:rsid w:val="0046034D"/>
    <w:rsid w:val="00461801"/>
    <w:rsid w:val="00462272"/>
    <w:rsid w:val="0046390C"/>
    <w:rsid w:val="00464189"/>
    <w:rsid w:val="00464569"/>
    <w:rsid w:val="00465D4E"/>
    <w:rsid w:val="00465F27"/>
    <w:rsid w:val="00466381"/>
    <w:rsid w:val="00467393"/>
    <w:rsid w:val="00467A52"/>
    <w:rsid w:val="00467BDD"/>
    <w:rsid w:val="004717F6"/>
    <w:rsid w:val="00471FDA"/>
    <w:rsid w:val="00472458"/>
    <w:rsid w:val="00473441"/>
    <w:rsid w:val="0047364D"/>
    <w:rsid w:val="0047481E"/>
    <w:rsid w:val="00474918"/>
    <w:rsid w:val="00474B5A"/>
    <w:rsid w:val="00475EAF"/>
    <w:rsid w:val="004760E4"/>
    <w:rsid w:val="0047681C"/>
    <w:rsid w:val="0047758F"/>
    <w:rsid w:val="00480D4B"/>
    <w:rsid w:val="004815F8"/>
    <w:rsid w:val="00481E32"/>
    <w:rsid w:val="004831ED"/>
    <w:rsid w:val="004831FC"/>
    <w:rsid w:val="004833A1"/>
    <w:rsid w:val="004836A7"/>
    <w:rsid w:val="004847B4"/>
    <w:rsid w:val="00484921"/>
    <w:rsid w:val="00485B3F"/>
    <w:rsid w:val="00485B4E"/>
    <w:rsid w:val="00486217"/>
    <w:rsid w:val="00486614"/>
    <w:rsid w:val="00487DA5"/>
    <w:rsid w:val="00487E11"/>
    <w:rsid w:val="00487FB8"/>
    <w:rsid w:val="004900FE"/>
    <w:rsid w:val="004919D4"/>
    <w:rsid w:val="00491CD2"/>
    <w:rsid w:val="00491FB2"/>
    <w:rsid w:val="0049200C"/>
    <w:rsid w:val="0049212C"/>
    <w:rsid w:val="00493232"/>
    <w:rsid w:val="00494DBE"/>
    <w:rsid w:val="00495C39"/>
    <w:rsid w:val="004975DB"/>
    <w:rsid w:val="00497991"/>
    <w:rsid w:val="00497B06"/>
    <w:rsid w:val="00497E35"/>
    <w:rsid w:val="004A0194"/>
    <w:rsid w:val="004A1224"/>
    <w:rsid w:val="004A166E"/>
    <w:rsid w:val="004A16BD"/>
    <w:rsid w:val="004A247B"/>
    <w:rsid w:val="004A28C5"/>
    <w:rsid w:val="004A29ED"/>
    <w:rsid w:val="004A2F59"/>
    <w:rsid w:val="004A3865"/>
    <w:rsid w:val="004A490A"/>
    <w:rsid w:val="004A5838"/>
    <w:rsid w:val="004A5E53"/>
    <w:rsid w:val="004A64B4"/>
    <w:rsid w:val="004A660C"/>
    <w:rsid w:val="004A6B44"/>
    <w:rsid w:val="004A6C5F"/>
    <w:rsid w:val="004A6E0E"/>
    <w:rsid w:val="004A7619"/>
    <w:rsid w:val="004B04CB"/>
    <w:rsid w:val="004B0B19"/>
    <w:rsid w:val="004B0D66"/>
    <w:rsid w:val="004B1E81"/>
    <w:rsid w:val="004B23D0"/>
    <w:rsid w:val="004B35F0"/>
    <w:rsid w:val="004B37A7"/>
    <w:rsid w:val="004B4426"/>
    <w:rsid w:val="004B44E1"/>
    <w:rsid w:val="004B4862"/>
    <w:rsid w:val="004B5F2A"/>
    <w:rsid w:val="004B6034"/>
    <w:rsid w:val="004B6D61"/>
    <w:rsid w:val="004B74B2"/>
    <w:rsid w:val="004C103D"/>
    <w:rsid w:val="004C1303"/>
    <w:rsid w:val="004C1399"/>
    <w:rsid w:val="004C13A2"/>
    <w:rsid w:val="004C1463"/>
    <w:rsid w:val="004C1C09"/>
    <w:rsid w:val="004C1F8D"/>
    <w:rsid w:val="004C2A17"/>
    <w:rsid w:val="004C2B0E"/>
    <w:rsid w:val="004C2CC5"/>
    <w:rsid w:val="004C5507"/>
    <w:rsid w:val="004C7915"/>
    <w:rsid w:val="004D0D6B"/>
    <w:rsid w:val="004D1269"/>
    <w:rsid w:val="004D177A"/>
    <w:rsid w:val="004D1DAA"/>
    <w:rsid w:val="004D1E1A"/>
    <w:rsid w:val="004D1EFF"/>
    <w:rsid w:val="004D23A9"/>
    <w:rsid w:val="004D2683"/>
    <w:rsid w:val="004D29F5"/>
    <w:rsid w:val="004D2F90"/>
    <w:rsid w:val="004D572C"/>
    <w:rsid w:val="004D61C2"/>
    <w:rsid w:val="004D660D"/>
    <w:rsid w:val="004D7804"/>
    <w:rsid w:val="004E0294"/>
    <w:rsid w:val="004E0308"/>
    <w:rsid w:val="004E0AE1"/>
    <w:rsid w:val="004E0C95"/>
    <w:rsid w:val="004E15D3"/>
    <w:rsid w:val="004E25C9"/>
    <w:rsid w:val="004E2825"/>
    <w:rsid w:val="004E3079"/>
    <w:rsid w:val="004E3276"/>
    <w:rsid w:val="004E3836"/>
    <w:rsid w:val="004E3B3F"/>
    <w:rsid w:val="004E3FFE"/>
    <w:rsid w:val="004E4BC8"/>
    <w:rsid w:val="004E62E4"/>
    <w:rsid w:val="004E687B"/>
    <w:rsid w:val="004E7C41"/>
    <w:rsid w:val="004F0621"/>
    <w:rsid w:val="004F0E90"/>
    <w:rsid w:val="004F0F5B"/>
    <w:rsid w:val="004F1212"/>
    <w:rsid w:val="004F22B8"/>
    <w:rsid w:val="004F2437"/>
    <w:rsid w:val="004F3044"/>
    <w:rsid w:val="004F38E1"/>
    <w:rsid w:val="004F3A7E"/>
    <w:rsid w:val="004F4624"/>
    <w:rsid w:val="004F5573"/>
    <w:rsid w:val="004F5D8B"/>
    <w:rsid w:val="004F634F"/>
    <w:rsid w:val="004F64C4"/>
    <w:rsid w:val="004F7556"/>
    <w:rsid w:val="004F78BF"/>
    <w:rsid w:val="00500700"/>
    <w:rsid w:val="0050141B"/>
    <w:rsid w:val="00502638"/>
    <w:rsid w:val="005029BC"/>
    <w:rsid w:val="00502B87"/>
    <w:rsid w:val="0050346A"/>
    <w:rsid w:val="00503FD8"/>
    <w:rsid w:val="00504472"/>
    <w:rsid w:val="005048E3"/>
    <w:rsid w:val="00504A35"/>
    <w:rsid w:val="00505A77"/>
    <w:rsid w:val="00505CB3"/>
    <w:rsid w:val="005061B3"/>
    <w:rsid w:val="005067C7"/>
    <w:rsid w:val="00506EB0"/>
    <w:rsid w:val="00506EBE"/>
    <w:rsid w:val="00506FFB"/>
    <w:rsid w:val="0050795F"/>
    <w:rsid w:val="0050798C"/>
    <w:rsid w:val="005112E2"/>
    <w:rsid w:val="00511EE7"/>
    <w:rsid w:val="0051207B"/>
    <w:rsid w:val="005123E8"/>
    <w:rsid w:val="005136CD"/>
    <w:rsid w:val="00514B1A"/>
    <w:rsid w:val="00514E2B"/>
    <w:rsid w:val="005150C5"/>
    <w:rsid w:val="005166EF"/>
    <w:rsid w:val="00517351"/>
    <w:rsid w:val="00517763"/>
    <w:rsid w:val="00521860"/>
    <w:rsid w:val="00521D74"/>
    <w:rsid w:val="00521F26"/>
    <w:rsid w:val="005222CC"/>
    <w:rsid w:val="0052248D"/>
    <w:rsid w:val="00522622"/>
    <w:rsid w:val="00523B5E"/>
    <w:rsid w:val="005250EE"/>
    <w:rsid w:val="00525AB1"/>
    <w:rsid w:val="0052645C"/>
    <w:rsid w:val="0052679C"/>
    <w:rsid w:val="00526B01"/>
    <w:rsid w:val="00526C61"/>
    <w:rsid w:val="00527492"/>
    <w:rsid w:val="005277F5"/>
    <w:rsid w:val="005310C1"/>
    <w:rsid w:val="00531934"/>
    <w:rsid w:val="005328A9"/>
    <w:rsid w:val="00532994"/>
    <w:rsid w:val="005329BE"/>
    <w:rsid w:val="00533515"/>
    <w:rsid w:val="00533EDE"/>
    <w:rsid w:val="005342DE"/>
    <w:rsid w:val="005348C1"/>
    <w:rsid w:val="00534AC0"/>
    <w:rsid w:val="00535557"/>
    <w:rsid w:val="00535AD3"/>
    <w:rsid w:val="00535E36"/>
    <w:rsid w:val="0053606A"/>
    <w:rsid w:val="00536398"/>
    <w:rsid w:val="005369C0"/>
    <w:rsid w:val="00536B92"/>
    <w:rsid w:val="00540004"/>
    <w:rsid w:val="00540811"/>
    <w:rsid w:val="00540B25"/>
    <w:rsid w:val="00540D82"/>
    <w:rsid w:val="00541254"/>
    <w:rsid w:val="005412DC"/>
    <w:rsid w:val="005412E3"/>
    <w:rsid w:val="005421CC"/>
    <w:rsid w:val="00542884"/>
    <w:rsid w:val="00542BA5"/>
    <w:rsid w:val="00543374"/>
    <w:rsid w:val="00544841"/>
    <w:rsid w:val="00545C10"/>
    <w:rsid w:val="00545F45"/>
    <w:rsid w:val="00547058"/>
    <w:rsid w:val="0054724F"/>
    <w:rsid w:val="00547CD4"/>
    <w:rsid w:val="00547E34"/>
    <w:rsid w:val="00547EB8"/>
    <w:rsid w:val="005509E8"/>
    <w:rsid w:val="00551532"/>
    <w:rsid w:val="00552206"/>
    <w:rsid w:val="00552A37"/>
    <w:rsid w:val="00552ADC"/>
    <w:rsid w:val="00552FC2"/>
    <w:rsid w:val="0055343F"/>
    <w:rsid w:val="00553688"/>
    <w:rsid w:val="00553DA2"/>
    <w:rsid w:val="005543FB"/>
    <w:rsid w:val="00555623"/>
    <w:rsid w:val="005562DC"/>
    <w:rsid w:val="00556329"/>
    <w:rsid w:val="00556725"/>
    <w:rsid w:val="00557563"/>
    <w:rsid w:val="00557A85"/>
    <w:rsid w:val="00557B35"/>
    <w:rsid w:val="005606AE"/>
    <w:rsid w:val="005606B5"/>
    <w:rsid w:val="00560E2D"/>
    <w:rsid w:val="00562BAD"/>
    <w:rsid w:val="0056365E"/>
    <w:rsid w:val="00565712"/>
    <w:rsid w:val="00565C77"/>
    <w:rsid w:val="00566181"/>
    <w:rsid w:val="00566D48"/>
    <w:rsid w:val="00570160"/>
    <w:rsid w:val="005708BD"/>
    <w:rsid w:val="00571FE7"/>
    <w:rsid w:val="0057317E"/>
    <w:rsid w:val="005731D3"/>
    <w:rsid w:val="00573C7D"/>
    <w:rsid w:val="00574906"/>
    <w:rsid w:val="00574E9E"/>
    <w:rsid w:val="00575124"/>
    <w:rsid w:val="005752BC"/>
    <w:rsid w:val="0057622F"/>
    <w:rsid w:val="00577772"/>
    <w:rsid w:val="00577977"/>
    <w:rsid w:val="00577A3D"/>
    <w:rsid w:val="00581719"/>
    <w:rsid w:val="00581D30"/>
    <w:rsid w:val="0058259C"/>
    <w:rsid w:val="00583362"/>
    <w:rsid w:val="0058376C"/>
    <w:rsid w:val="00584245"/>
    <w:rsid w:val="00584C2D"/>
    <w:rsid w:val="00584D80"/>
    <w:rsid w:val="00584E57"/>
    <w:rsid w:val="00586535"/>
    <w:rsid w:val="00586BB5"/>
    <w:rsid w:val="00586D78"/>
    <w:rsid w:val="00586DFB"/>
    <w:rsid w:val="00587C83"/>
    <w:rsid w:val="005905BC"/>
    <w:rsid w:val="005909CB"/>
    <w:rsid w:val="00590B75"/>
    <w:rsid w:val="00590DAA"/>
    <w:rsid w:val="00591826"/>
    <w:rsid w:val="0059205C"/>
    <w:rsid w:val="00592349"/>
    <w:rsid w:val="00592D49"/>
    <w:rsid w:val="0059409C"/>
    <w:rsid w:val="005943D4"/>
    <w:rsid w:val="0059481F"/>
    <w:rsid w:val="005955BA"/>
    <w:rsid w:val="00596F3F"/>
    <w:rsid w:val="00596F9B"/>
    <w:rsid w:val="00597409"/>
    <w:rsid w:val="00597EEF"/>
    <w:rsid w:val="005A1C4E"/>
    <w:rsid w:val="005A2E0C"/>
    <w:rsid w:val="005A3678"/>
    <w:rsid w:val="005A3836"/>
    <w:rsid w:val="005A3DAF"/>
    <w:rsid w:val="005A4251"/>
    <w:rsid w:val="005A4A1A"/>
    <w:rsid w:val="005A5DF2"/>
    <w:rsid w:val="005A61D3"/>
    <w:rsid w:val="005A7C0B"/>
    <w:rsid w:val="005A7E70"/>
    <w:rsid w:val="005B18D0"/>
    <w:rsid w:val="005B1903"/>
    <w:rsid w:val="005B1A53"/>
    <w:rsid w:val="005B1AC5"/>
    <w:rsid w:val="005B2AF7"/>
    <w:rsid w:val="005B40E8"/>
    <w:rsid w:val="005B4779"/>
    <w:rsid w:val="005B6A94"/>
    <w:rsid w:val="005B6DAA"/>
    <w:rsid w:val="005B7314"/>
    <w:rsid w:val="005B7C27"/>
    <w:rsid w:val="005B7D8B"/>
    <w:rsid w:val="005C03F6"/>
    <w:rsid w:val="005C0475"/>
    <w:rsid w:val="005C1569"/>
    <w:rsid w:val="005C224F"/>
    <w:rsid w:val="005C2F76"/>
    <w:rsid w:val="005C348A"/>
    <w:rsid w:val="005C3C1A"/>
    <w:rsid w:val="005C4604"/>
    <w:rsid w:val="005C46D8"/>
    <w:rsid w:val="005C4BEE"/>
    <w:rsid w:val="005C5EA6"/>
    <w:rsid w:val="005C6E74"/>
    <w:rsid w:val="005C732E"/>
    <w:rsid w:val="005C781C"/>
    <w:rsid w:val="005D13ED"/>
    <w:rsid w:val="005D181E"/>
    <w:rsid w:val="005D1E16"/>
    <w:rsid w:val="005D2B5B"/>
    <w:rsid w:val="005D330E"/>
    <w:rsid w:val="005D36C8"/>
    <w:rsid w:val="005D5A8F"/>
    <w:rsid w:val="005D7A35"/>
    <w:rsid w:val="005E034F"/>
    <w:rsid w:val="005E09A7"/>
    <w:rsid w:val="005E198B"/>
    <w:rsid w:val="005E19D9"/>
    <w:rsid w:val="005E1D35"/>
    <w:rsid w:val="005E2A31"/>
    <w:rsid w:val="005E3D2F"/>
    <w:rsid w:val="005E442F"/>
    <w:rsid w:val="005E4644"/>
    <w:rsid w:val="005E54A3"/>
    <w:rsid w:val="005E5625"/>
    <w:rsid w:val="005E5653"/>
    <w:rsid w:val="005E57B7"/>
    <w:rsid w:val="005E589A"/>
    <w:rsid w:val="005E61D8"/>
    <w:rsid w:val="005E6F2B"/>
    <w:rsid w:val="005E7E2C"/>
    <w:rsid w:val="005F11F2"/>
    <w:rsid w:val="005F1ADE"/>
    <w:rsid w:val="005F29CD"/>
    <w:rsid w:val="005F3175"/>
    <w:rsid w:val="005F3436"/>
    <w:rsid w:val="005F3506"/>
    <w:rsid w:val="005F40EE"/>
    <w:rsid w:val="005F41D8"/>
    <w:rsid w:val="005F4446"/>
    <w:rsid w:val="005F4739"/>
    <w:rsid w:val="005F4AE8"/>
    <w:rsid w:val="005F6228"/>
    <w:rsid w:val="005F642B"/>
    <w:rsid w:val="005F67FC"/>
    <w:rsid w:val="005F76DF"/>
    <w:rsid w:val="006005BE"/>
    <w:rsid w:val="006015C9"/>
    <w:rsid w:val="00601630"/>
    <w:rsid w:val="00601995"/>
    <w:rsid w:val="00601A28"/>
    <w:rsid w:val="006026E1"/>
    <w:rsid w:val="00603A90"/>
    <w:rsid w:val="00605163"/>
    <w:rsid w:val="00605217"/>
    <w:rsid w:val="006065BF"/>
    <w:rsid w:val="00606621"/>
    <w:rsid w:val="00606F5E"/>
    <w:rsid w:val="006070EA"/>
    <w:rsid w:val="00607ABE"/>
    <w:rsid w:val="00607BD3"/>
    <w:rsid w:val="00607F53"/>
    <w:rsid w:val="006103D0"/>
    <w:rsid w:val="0061103A"/>
    <w:rsid w:val="00611EAE"/>
    <w:rsid w:val="006127BD"/>
    <w:rsid w:val="00613200"/>
    <w:rsid w:val="0061364A"/>
    <w:rsid w:val="00613BEA"/>
    <w:rsid w:val="0061402C"/>
    <w:rsid w:val="006156CA"/>
    <w:rsid w:val="0061595F"/>
    <w:rsid w:val="00615A79"/>
    <w:rsid w:val="00616179"/>
    <w:rsid w:val="006164D2"/>
    <w:rsid w:val="0061675B"/>
    <w:rsid w:val="0062052B"/>
    <w:rsid w:val="00620797"/>
    <w:rsid w:val="00620CED"/>
    <w:rsid w:val="00620F8F"/>
    <w:rsid w:val="00621A86"/>
    <w:rsid w:val="00623401"/>
    <w:rsid w:val="006241BA"/>
    <w:rsid w:val="006258B8"/>
    <w:rsid w:val="00625C40"/>
    <w:rsid w:val="00625EFA"/>
    <w:rsid w:val="0062706E"/>
    <w:rsid w:val="00627524"/>
    <w:rsid w:val="00627DFE"/>
    <w:rsid w:val="00627E7C"/>
    <w:rsid w:val="00630CFF"/>
    <w:rsid w:val="00631369"/>
    <w:rsid w:val="00632481"/>
    <w:rsid w:val="0063262D"/>
    <w:rsid w:val="0063268B"/>
    <w:rsid w:val="0063390E"/>
    <w:rsid w:val="00634673"/>
    <w:rsid w:val="00634FFC"/>
    <w:rsid w:val="00636AAB"/>
    <w:rsid w:val="00637BBD"/>
    <w:rsid w:val="00640D17"/>
    <w:rsid w:val="00641A99"/>
    <w:rsid w:val="00641CCA"/>
    <w:rsid w:val="00642156"/>
    <w:rsid w:val="00642768"/>
    <w:rsid w:val="00642A84"/>
    <w:rsid w:val="0064411F"/>
    <w:rsid w:val="00644847"/>
    <w:rsid w:val="00645E69"/>
    <w:rsid w:val="00646130"/>
    <w:rsid w:val="00646ACE"/>
    <w:rsid w:val="006474C0"/>
    <w:rsid w:val="00647927"/>
    <w:rsid w:val="00650B2D"/>
    <w:rsid w:val="006513DB"/>
    <w:rsid w:val="00652B9B"/>
    <w:rsid w:val="00652F78"/>
    <w:rsid w:val="00653743"/>
    <w:rsid w:val="00653DD9"/>
    <w:rsid w:val="00654119"/>
    <w:rsid w:val="00654E6A"/>
    <w:rsid w:val="00654EC2"/>
    <w:rsid w:val="006551FC"/>
    <w:rsid w:val="00656768"/>
    <w:rsid w:val="00657135"/>
    <w:rsid w:val="006575F3"/>
    <w:rsid w:val="00657E08"/>
    <w:rsid w:val="00660871"/>
    <w:rsid w:val="006614ED"/>
    <w:rsid w:val="0066176D"/>
    <w:rsid w:val="00662809"/>
    <w:rsid w:val="00663823"/>
    <w:rsid w:val="00663FB9"/>
    <w:rsid w:val="00664E08"/>
    <w:rsid w:val="006650D0"/>
    <w:rsid w:val="006655A0"/>
    <w:rsid w:val="006667D5"/>
    <w:rsid w:val="0066774D"/>
    <w:rsid w:val="00667F42"/>
    <w:rsid w:val="00671284"/>
    <w:rsid w:val="00671516"/>
    <w:rsid w:val="00671517"/>
    <w:rsid w:val="00671784"/>
    <w:rsid w:val="006727FC"/>
    <w:rsid w:val="00673906"/>
    <w:rsid w:val="006746EB"/>
    <w:rsid w:val="006756CD"/>
    <w:rsid w:val="00675BD7"/>
    <w:rsid w:val="00676E5B"/>
    <w:rsid w:val="00677731"/>
    <w:rsid w:val="00677D6B"/>
    <w:rsid w:val="006804A1"/>
    <w:rsid w:val="00680795"/>
    <w:rsid w:val="006819B5"/>
    <w:rsid w:val="00682713"/>
    <w:rsid w:val="006832E2"/>
    <w:rsid w:val="00683451"/>
    <w:rsid w:val="00683579"/>
    <w:rsid w:val="006843F4"/>
    <w:rsid w:val="00684598"/>
    <w:rsid w:val="006854CE"/>
    <w:rsid w:val="00686B47"/>
    <w:rsid w:val="0068790B"/>
    <w:rsid w:val="006906E4"/>
    <w:rsid w:val="00690A9B"/>
    <w:rsid w:val="00690EDF"/>
    <w:rsid w:val="00691A75"/>
    <w:rsid w:val="00691C54"/>
    <w:rsid w:val="00691E49"/>
    <w:rsid w:val="006922DC"/>
    <w:rsid w:val="006928E4"/>
    <w:rsid w:val="00694195"/>
    <w:rsid w:val="006941DD"/>
    <w:rsid w:val="006943D1"/>
    <w:rsid w:val="0069466B"/>
    <w:rsid w:val="00694795"/>
    <w:rsid w:val="00695014"/>
    <w:rsid w:val="00695097"/>
    <w:rsid w:val="006953B2"/>
    <w:rsid w:val="00695626"/>
    <w:rsid w:val="00695D7D"/>
    <w:rsid w:val="0069681B"/>
    <w:rsid w:val="00696AA8"/>
    <w:rsid w:val="00696B38"/>
    <w:rsid w:val="00696F64"/>
    <w:rsid w:val="006976C4"/>
    <w:rsid w:val="006A257C"/>
    <w:rsid w:val="006A2615"/>
    <w:rsid w:val="006A4158"/>
    <w:rsid w:val="006A4649"/>
    <w:rsid w:val="006A4AA7"/>
    <w:rsid w:val="006A4E15"/>
    <w:rsid w:val="006A5866"/>
    <w:rsid w:val="006A5E4F"/>
    <w:rsid w:val="006A643C"/>
    <w:rsid w:val="006A76A9"/>
    <w:rsid w:val="006B02F2"/>
    <w:rsid w:val="006B0F54"/>
    <w:rsid w:val="006B12C6"/>
    <w:rsid w:val="006B36B2"/>
    <w:rsid w:val="006B37F2"/>
    <w:rsid w:val="006B415B"/>
    <w:rsid w:val="006B43CE"/>
    <w:rsid w:val="006B4C95"/>
    <w:rsid w:val="006B4CBA"/>
    <w:rsid w:val="006B5595"/>
    <w:rsid w:val="006B55CB"/>
    <w:rsid w:val="006B59AD"/>
    <w:rsid w:val="006B6FEB"/>
    <w:rsid w:val="006B7542"/>
    <w:rsid w:val="006B7A16"/>
    <w:rsid w:val="006C0A59"/>
    <w:rsid w:val="006C19EE"/>
    <w:rsid w:val="006C2E46"/>
    <w:rsid w:val="006C2E93"/>
    <w:rsid w:val="006C309B"/>
    <w:rsid w:val="006C35DA"/>
    <w:rsid w:val="006C3B05"/>
    <w:rsid w:val="006C4E45"/>
    <w:rsid w:val="006C5EE1"/>
    <w:rsid w:val="006C61B1"/>
    <w:rsid w:val="006C6DB8"/>
    <w:rsid w:val="006C747E"/>
    <w:rsid w:val="006C774B"/>
    <w:rsid w:val="006D0195"/>
    <w:rsid w:val="006D0669"/>
    <w:rsid w:val="006D1663"/>
    <w:rsid w:val="006D1D4E"/>
    <w:rsid w:val="006D3771"/>
    <w:rsid w:val="006D440A"/>
    <w:rsid w:val="006D5599"/>
    <w:rsid w:val="006D592F"/>
    <w:rsid w:val="006D5EA8"/>
    <w:rsid w:val="006D62BE"/>
    <w:rsid w:val="006D76DB"/>
    <w:rsid w:val="006D799C"/>
    <w:rsid w:val="006D7B71"/>
    <w:rsid w:val="006E0006"/>
    <w:rsid w:val="006E01BB"/>
    <w:rsid w:val="006E0C5F"/>
    <w:rsid w:val="006E0DF6"/>
    <w:rsid w:val="006E10E1"/>
    <w:rsid w:val="006E1BDE"/>
    <w:rsid w:val="006E2039"/>
    <w:rsid w:val="006E233B"/>
    <w:rsid w:val="006E2CEA"/>
    <w:rsid w:val="006E3073"/>
    <w:rsid w:val="006E336C"/>
    <w:rsid w:val="006E35A9"/>
    <w:rsid w:val="006E3B9E"/>
    <w:rsid w:val="006E4119"/>
    <w:rsid w:val="006E4A27"/>
    <w:rsid w:val="006E4DF1"/>
    <w:rsid w:val="006E5828"/>
    <w:rsid w:val="006E5926"/>
    <w:rsid w:val="006E5BCF"/>
    <w:rsid w:val="006E62C6"/>
    <w:rsid w:val="006E6BB9"/>
    <w:rsid w:val="006E7320"/>
    <w:rsid w:val="006E784F"/>
    <w:rsid w:val="006E7954"/>
    <w:rsid w:val="006E7C38"/>
    <w:rsid w:val="006F089E"/>
    <w:rsid w:val="006F0B4F"/>
    <w:rsid w:val="006F0BC0"/>
    <w:rsid w:val="006F0E97"/>
    <w:rsid w:val="006F1592"/>
    <w:rsid w:val="006F2DF3"/>
    <w:rsid w:val="006F2DF9"/>
    <w:rsid w:val="006F3C6F"/>
    <w:rsid w:val="006F41C6"/>
    <w:rsid w:val="006F53D0"/>
    <w:rsid w:val="006F5DD9"/>
    <w:rsid w:val="006F6FA2"/>
    <w:rsid w:val="006F751E"/>
    <w:rsid w:val="006F7A68"/>
    <w:rsid w:val="007001D0"/>
    <w:rsid w:val="00700CE3"/>
    <w:rsid w:val="00701498"/>
    <w:rsid w:val="00701955"/>
    <w:rsid w:val="00701D55"/>
    <w:rsid w:val="00701E70"/>
    <w:rsid w:val="00703415"/>
    <w:rsid w:val="00704BB6"/>
    <w:rsid w:val="00704F47"/>
    <w:rsid w:val="00705001"/>
    <w:rsid w:val="00705172"/>
    <w:rsid w:val="00705BC0"/>
    <w:rsid w:val="007072C2"/>
    <w:rsid w:val="0070746B"/>
    <w:rsid w:val="007075CA"/>
    <w:rsid w:val="00710C02"/>
    <w:rsid w:val="0071151E"/>
    <w:rsid w:val="007118AC"/>
    <w:rsid w:val="00711FC7"/>
    <w:rsid w:val="007123A5"/>
    <w:rsid w:val="0071482B"/>
    <w:rsid w:val="00714C8F"/>
    <w:rsid w:val="0071549E"/>
    <w:rsid w:val="00715A32"/>
    <w:rsid w:val="00715D27"/>
    <w:rsid w:val="00716F57"/>
    <w:rsid w:val="00717A74"/>
    <w:rsid w:val="00720BFF"/>
    <w:rsid w:val="00720EA2"/>
    <w:rsid w:val="00721409"/>
    <w:rsid w:val="00721CE0"/>
    <w:rsid w:val="007221A2"/>
    <w:rsid w:val="00722935"/>
    <w:rsid w:val="00722B0A"/>
    <w:rsid w:val="00723881"/>
    <w:rsid w:val="00723BA8"/>
    <w:rsid w:val="00724257"/>
    <w:rsid w:val="0072568C"/>
    <w:rsid w:val="00726698"/>
    <w:rsid w:val="00726FDE"/>
    <w:rsid w:val="00727815"/>
    <w:rsid w:val="007301A7"/>
    <w:rsid w:val="00730E31"/>
    <w:rsid w:val="00731DEF"/>
    <w:rsid w:val="00732436"/>
    <w:rsid w:val="00732556"/>
    <w:rsid w:val="007346F8"/>
    <w:rsid w:val="00734D66"/>
    <w:rsid w:val="00734E06"/>
    <w:rsid w:val="00736E9D"/>
    <w:rsid w:val="00736ED7"/>
    <w:rsid w:val="007373FA"/>
    <w:rsid w:val="00737E7D"/>
    <w:rsid w:val="007400CA"/>
    <w:rsid w:val="00740399"/>
    <w:rsid w:val="0074063F"/>
    <w:rsid w:val="00740EF1"/>
    <w:rsid w:val="00741BF8"/>
    <w:rsid w:val="00741D43"/>
    <w:rsid w:val="0074250E"/>
    <w:rsid w:val="007437BA"/>
    <w:rsid w:val="00743AB0"/>
    <w:rsid w:val="007444E7"/>
    <w:rsid w:val="00744525"/>
    <w:rsid w:val="00744D7C"/>
    <w:rsid w:val="00744DBD"/>
    <w:rsid w:val="00745217"/>
    <w:rsid w:val="00745398"/>
    <w:rsid w:val="00746FC3"/>
    <w:rsid w:val="00747286"/>
    <w:rsid w:val="00747B90"/>
    <w:rsid w:val="00747BE4"/>
    <w:rsid w:val="00750119"/>
    <w:rsid w:val="00754870"/>
    <w:rsid w:val="007561F0"/>
    <w:rsid w:val="00756632"/>
    <w:rsid w:val="00756AD6"/>
    <w:rsid w:val="0075754A"/>
    <w:rsid w:val="00757FDC"/>
    <w:rsid w:val="007601F3"/>
    <w:rsid w:val="007603EB"/>
    <w:rsid w:val="00760554"/>
    <w:rsid w:val="0076083D"/>
    <w:rsid w:val="00761DC2"/>
    <w:rsid w:val="00762859"/>
    <w:rsid w:val="00762B1E"/>
    <w:rsid w:val="00762C3A"/>
    <w:rsid w:val="00762EEE"/>
    <w:rsid w:val="00764387"/>
    <w:rsid w:val="00764B94"/>
    <w:rsid w:val="007652E2"/>
    <w:rsid w:val="0076583C"/>
    <w:rsid w:val="00765A82"/>
    <w:rsid w:val="00766434"/>
    <w:rsid w:val="00767BE0"/>
    <w:rsid w:val="00770E10"/>
    <w:rsid w:val="00771BA0"/>
    <w:rsid w:val="00771E5C"/>
    <w:rsid w:val="00771EDB"/>
    <w:rsid w:val="00772107"/>
    <w:rsid w:val="00772BA7"/>
    <w:rsid w:val="00773E30"/>
    <w:rsid w:val="007742FF"/>
    <w:rsid w:val="00774A83"/>
    <w:rsid w:val="00775146"/>
    <w:rsid w:val="0077566D"/>
    <w:rsid w:val="00775D53"/>
    <w:rsid w:val="00776097"/>
    <w:rsid w:val="007765AC"/>
    <w:rsid w:val="0077661D"/>
    <w:rsid w:val="007766A5"/>
    <w:rsid w:val="0077699B"/>
    <w:rsid w:val="00776ABD"/>
    <w:rsid w:val="00776E39"/>
    <w:rsid w:val="00777FAE"/>
    <w:rsid w:val="0078016D"/>
    <w:rsid w:val="007808BE"/>
    <w:rsid w:val="00781778"/>
    <w:rsid w:val="00782098"/>
    <w:rsid w:val="00782467"/>
    <w:rsid w:val="00783D75"/>
    <w:rsid w:val="00783FCC"/>
    <w:rsid w:val="007857E3"/>
    <w:rsid w:val="00785EA1"/>
    <w:rsid w:val="00786231"/>
    <w:rsid w:val="0079000B"/>
    <w:rsid w:val="007900CB"/>
    <w:rsid w:val="007905B2"/>
    <w:rsid w:val="00790E9B"/>
    <w:rsid w:val="007917E7"/>
    <w:rsid w:val="007927C6"/>
    <w:rsid w:val="007933C1"/>
    <w:rsid w:val="0079348E"/>
    <w:rsid w:val="00793A0A"/>
    <w:rsid w:val="00793EEB"/>
    <w:rsid w:val="0079405B"/>
    <w:rsid w:val="007948F2"/>
    <w:rsid w:val="00794EFF"/>
    <w:rsid w:val="00795679"/>
    <w:rsid w:val="0079797F"/>
    <w:rsid w:val="007A00E7"/>
    <w:rsid w:val="007A05F4"/>
    <w:rsid w:val="007A0BB9"/>
    <w:rsid w:val="007A14E8"/>
    <w:rsid w:val="007A1D73"/>
    <w:rsid w:val="007A3FD7"/>
    <w:rsid w:val="007A4023"/>
    <w:rsid w:val="007A5445"/>
    <w:rsid w:val="007A5A94"/>
    <w:rsid w:val="007A5E11"/>
    <w:rsid w:val="007A6C47"/>
    <w:rsid w:val="007A7910"/>
    <w:rsid w:val="007A7921"/>
    <w:rsid w:val="007B09DF"/>
    <w:rsid w:val="007B1018"/>
    <w:rsid w:val="007B31F7"/>
    <w:rsid w:val="007B347F"/>
    <w:rsid w:val="007B3889"/>
    <w:rsid w:val="007B39F6"/>
    <w:rsid w:val="007B4481"/>
    <w:rsid w:val="007B45F9"/>
    <w:rsid w:val="007B5A98"/>
    <w:rsid w:val="007B5E30"/>
    <w:rsid w:val="007B5E45"/>
    <w:rsid w:val="007B6746"/>
    <w:rsid w:val="007C0E55"/>
    <w:rsid w:val="007C0EF5"/>
    <w:rsid w:val="007C1DB0"/>
    <w:rsid w:val="007C2270"/>
    <w:rsid w:val="007C27D4"/>
    <w:rsid w:val="007C31A6"/>
    <w:rsid w:val="007C4720"/>
    <w:rsid w:val="007C4CCE"/>
    <w:rsid w:val="007C570A"/>
    <w:rsid w:val="007C638E"/>
    <w:rsid w:val="007C6F9F"/>
    <w:rsid w:val="007C7D49"/>
    <w:rsid w:val="007C7DE5"/>
    <w:rsid w:val="007D0EEB"/>
    <w:rsid w:val="007D1D99"/>
    <w:rsid w:val="007D3CBB"/>
    <w:rsid w:val="007D4044"/>
    <w:rsid w:val="007D4D2A"/>
    <w:rsid w:val="007D5E52"/>
    <w:rsid w:val="007D6805"/>
    <w:rsid w:val="007D759E"/>
    <w:rsid w:val="007D763D"/>
    <w:rsid w:val="007D77A3"/>
    <w:rsid w:val="007D7F29"/>
    <w:rsid w:val="007E00B1"/>
    <w:rsid w:val="007E0749"/>
    <w:rsid w:val="007E2F87"/>
    <w:rsid w:val="007E334F"/>
    <w:rsid w:val="007E3AC7"/>
    <w:rsid w:val="007E3F9D"/>
    <w:rsid w:val="007E3FC0"/>
    <w:rsid w:val="007E4155"/>
    <w:rsid w:val="007E53AD"/>
    <w:rsid w:val="007E57B5"/>
    <w:rsid w:val="007E5D39"/>
    <w:rsid w:val="007E66C8"/>
    <w:rsid w:val="007E67BD"/>
    <w:rsid w:val="007E6BBD"/>
    <w:rsid w:val="007F0171"/>
    <w:rsid w:val="007F06E1"/>
    <w:rsid w:val="007F0C09"/>
    <w:rsid w:val="007F2D26"/>
    <w:rsid w:val="007F3E75"/>
    <w:rsid w:val="007F517F"/>
    <w:rsid w:val="007F58C2"/>
    <w:rsid w:val="007F6391"/>
    <w:rsid w:val="007F6CAD"/>
    <w:rsid w:val="007F6FB8"/>
    <w:rsid w:val="007F7481"/>
    <w:rsid w:val="007F76FF"/>
    <w:rsid w:val="007F7E51"/>
    <w:rsid w:val="007F7E83"/>
    <w:rsid w:val="00801491"/>
    <w:rsid w:val="008015A7"/>
    <w:rsid w:val="00801B8F"/>
    <w:rsid w:val="00801EF6"/>
    <w:rsid w:val="00802A36"/>
    <w:rsid w:val="00802AEC"/>
    <w:rsid w:val="00803099"/>
    <w:rsid w:val="0080406C"/>
    <w:rsid w:val="008040CC"/>
    <w:rsid w:val="0080562C"/>
    <w:rsid w:val="008071D0"/>
    <w:rsid w:val="00807626"/>
    <w:rsid w:val="0081037F"/>
    <w:rsid w:val="0081066B"/>
    <w:rsid w:val="00810809"/>
    <w:rsid w:val="00810C6A"/>
    <w:rsid w:val="00810C86"/>
    <w:rsid w:val="0081161F"/>
    <w:rsid w:val="008121B8"/>
    <w:rsid w:val="00812350"/>
    <w:rsid w:val="00812369"/>
    <w:rsid w:val="00812741"/>
    <w:rsid w:val="008128E3"/>
    <w:rsid w:val="00812B12"/>
    <w:rsid w:val="00815871"/>
    <w:rsid w:val="0081622B"/>
    <w:rsid w:val="008163DB"/>
    <w:rsid w:val="00817208"/>
    <w:rsid w:val="0082022F"/>
    <w:rsid w:val="00821789"/>
    <w:rsid w:val="0082180B"/>
    <w:rsid w:val="00821BC9"/>
    <w:rsid w:val="00821C36"/>
    <w:rsid w:val="00822868"/>
    <w:rsid w:val="00824C83"/>
    <w:rsid w:val="00825147"/>
    <w:rsid w:val="00825D4F"/>
    <w:rsid w:val="00830017"/>
    <w:rsid w:val="00830787"/>
    <w:rsid w:val="00830DC9"/>
    <w:rsid w:val="00831489"/>
    <w:rsid w:val="00832587"/>
    <w:rsid w:val="008325BC"/>
    <w:rsid w:val="00833A6A"/>
    <w:rsid w:val="00833E2F"/>
    <w:rsid w:val="00834240"/>
    <w:rsid w:val="00834F9A"/>
    <w:rsid w:val="00836544"/>
    <w:rsid w:val="008368F3"/>
    <w:rsid w:val="008400A8"/>
    <w:rsid w:val="008410E7"/>
    <w:rsid w:val="0084156A"/>
    <w:rsid w:val="0084169A"/>
    <w:rsid w:val="0084191D"/>
    <w:rsid w:val="008427B1"/>
    <w:rsid w:val="008449FF"/>
    <w:rsid w:val="00845E77"/>
    <w:rsid w:val="0084601D"/>
    <w:rsid w:val="008462FB"/>
    <w:rsid w:val="00846C73"/>
    <w:rsid w:val="00847D16"/>
    <w:rsid w:val="008500CD"/>
    <w:rsid w:val="00850462"/>
    <w:rsid w:val="0085161D"/>
    <w:rsid w:val="008518CA"/>
    <w:rsid w:val="008525EF"/>
    <w:rsid w:val="008526EB"/>
    <w:rsid w:val="00852EEF"/>
    <w:rsid w:val="008536F6"/>
    <w:rsid w:val="00854312"/>
    <w:rsid w:val="00855597"/>
    <w:rsid w:val="00855749"/>
    <w:rsid w:val="00855780"/>
    <w:rsid w:val="008557AA"/>
    <w:rsid w:val="00855DF4"/>
    <w:rsid w:val="00856178"/>
    <w:rsid w:val="008567C0"/>
    <w:rsid w:val="00856C69"/>
    <w:rsid w:val="008570AB"/>
    <w:rsid w:val="00857E5D"/>
    <w:rsid w:val="0086012C"/>
    <w:rsid w:val="00861399"/>
    <w:rsid w:val="00862545"/>
    <w:rsid w:val="00862D62"/>
    <w:rsid w:val="00863356"/>
    <w:rsid w:val="008636BF"/>
    <w:rsid w:val="00864333"/>
    <w:rsid w:val="008644A5"/>
    <w:rsid w:val="00864544"/>
    <w:rsid w:val="00864F86"/>
    <w:rsid w:val="008653B5"/>
    <w:rsid w:val="00865A76"/>
    <w:rsid w:val="008663D7"/>
    <w:rsid w:val="0086730B"/>
    <w:rsid w:val="008674DC"/>
    <w:rsid w:val="00867985"/>
    <w:rsid w:val="008679E6"/>
    <w:rsid w:val="00867A0F"/>
    <w:rsid w:val="00871811"/>
    <w:rsid w:val="00871F84"/>
    <w:rsid w:val="00872E1F"/>
    <w:rsid w:val="00873942"/>
    <w:rsid w:val="0087400E"/>
    <w:rsid w:val="0087743B"/>
    <w:rsid w:val="00877BC9"/>
    <w:rsid w:val="00877C6A"/>
    <w:rsid w:val="00880558"/>
    <w:rsid w:val="00881DD6"/>
    <w:rsid w:val="00882ED0"/>
    <w:rsid w:val="00883894"/>
    <w:rsid w:val="00884490"/>
    <w:rsid w:val="00884776"/>
    <w:rsid w:val="00885DA2"/>
    <w:rsid w:val="00885E17"/>
    <w:rsid w:val="00885E6A"/>
    <w:rsid w:val="00886342"/>
    <w:rsid w:val="00886381"/>
    <w:rsid w:val="008866EF"/>
    <w:rsid w:val="00886980"/>
    <w:rsid w:val="008875DE"/>
    <w:rsid w:val="008877BE"/>
    <w:rsid w:val="0089074D"/>
    <w:rsid w:val="0089092F"/>
    <w:rsid w:val="00891154"/>
    <w:rsid w:val="00891880"/>
    <w:rsid w:val="0089325C"/>
    <w:rsid w:val="00893594"/>
    <w:rsid w:val="008947EA"/>
    <w:rsid w:val="00894ABF"/>
    <w:rsid w:val="00895FFF"/>
    <w:rsid w:val="0089681B"/>
    <w:rsid w:val="00896FF4"/>
    <w:rsid w:val="00897D71"/>
    <w:rsid w:val="008A0E85"/>
    <w:rsid w:val="008A15CB"/>
    <w:rsid w:val="008A1DDE"/>
    <w:rsid w:val="008A2544"/>
    <w:rsid w:val="008A34CE"/>
    <w:rsid w:val="008A371D"/>
    <w:rsid w:val="008A375C"/>
    <w:rsid w:val="008A3B54"/>
    <w:rsid w:val="008A5009"/>
    <w:rsid w:val="008A5443"/>
    <w:rsid w:val="008A55A8"/>
    <w:rsid w:val="008A5F01"/>
    <w:rsid w:val="008A6A98"/>
    <w:rsid w:val="008A6B66"/>
    <w:rsid w:val="008A7078"/>
    <w:rsid w:val="008A7609"/>
    <w:rsid w:val="008B0969"/>
    <w:rsid w:val="008B11D0"/>
    <w:rsid w:val="008B1648"/>
    <w:rsid w:val="008B32B6"/>
    <w:rsid w:val="008B4464"/>
    <w:rsid w:val="008B4BF2"/>
    <w:rsid w:val="008B56E5"/>
    <w:rsid w:val="008B5AFD"/>
    <w:rsid w:val="008B5BAA"/>
    <w:rsid w:val="008B6650"/>
    <w:rsid w:val="008B729C"/>
    <w:rsid w:val="008B7A4E"/>
    <w:rsid w:val="008C1506"/>
    <w:rsid w:val="008C156B"/>
    <w:rsid w:val="008C2D30"/>
    <w:rsid w:val="008C33F2"/>
    <w:rsid w:val="008C444D"/>
    <w:rsid w:val="008C5669"/>
    <w:rsid w:val="008C6C92"/>
    <w:rsid w:val="008C77F7"/>
    <w:rsid w:val="008C78C9"/>
    <w:rsid w:val="008D0262"/>
    <w:rsid w:val="008D04B2"/>
    <w:rsid w:val="008D0AE4"/>
    <w:rsid w:val="008D1B0D"/>
    <w:rsid w:val="008D20E6"/>
    <w:rsid w:val="008D2F52"/>
    <w:rsid w:val="008D3E19"/>
    <w:rsid w:val="008D540B"/>
    <w:rsid w:val="008D57A4"/>
    <w:rsid w:val="008D5F06"/>
    <w:rsid w:val="008D6661"/>
    <w:rsid w:val="008D6B57"/>
    <w:rsid w:val="008D74C3"/>
    <w:rsid w:val="008D7DFC"/>
    <w:rsid w:val="008E00FD"/>
    <w:rsid w:val="008E07C6"/>
    <w:rsid w:val="008E0F6F"/>
    <w:rsid w:val="008E152D"/>
    <w:rsid w:val="008E22C6"/>
    <w:rsid w:val="008E3214"/>
    <w:rsid w:val="008E3333"/>
    <w:rsid w:val="008E33EA"/>
    <w:rsid w:val="008E4180"/>
    <w:rsid w:val="008E439B"/>
    <w:rsid w:val="008E4ECE"/>
    <w:rsid w:val="008E568F"/>
    <w:rsid w:val="008E5BB7"/>
    <w:rsid w:val="008E5F84"/>
    <w:rsid w:val="008E6A1B"/>
    <w:rsid w:val="008E6C77"/>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EF2"/>
    <w:rsid w:val="008F5FF0"/>
    <w:rsid w:val="008F61F2"/>
    <w:rsid w:val="008F63BC"/>
    <w:rsid w:val="008F6485"/>
    <w:rsid w:val="008F710C"/>
    <w:rsid w:val="008F743D"/>
    <w:rsid w:val="008F7785"/>
    <w:rsid w:val="008F7B17"/>
    <w:rsid w:val="008F7F3E"/>
    <w:rsid w:val="008F7F78"/>
    <w:rsid w:val="00900316"/>
    <w:rsid w:val="009010D0"/>
    <w:rsid w:val="0090122A"/>
    <w:rsid w:val="00901F73"/>
    <w:rsid w:val="00903301"/>
    <w:rsid w:val="0090394F"/>
    <w:rsid w:val="00904670"/>
    <w:rsid w:val="009054D3"/>
    <w:rsid w:val="00905587"/>
    <w:rsid w:val="009057D3"/>
    <w:rsid w:val="00905ADB"/>
    <w:rsid w:val="00905EA5"/>
    <w:rsid w:val="00906EA8"/>
    <w:rsid w:val="00907015"/>
    <w:rsid w:val="00907B9D"/>
    <w:rsid w:val="009102EF"/>
    <w:rsid w:val="00910CFA"/>
    <w:rsid w:val="009125D2"/>
    <w:rsid w:val="009136B2"/>
    <w:rsid w:val="00914007"/>
    <w:rsid w:val="009149FD"/>
    <w:rsid w:val="00915209"/>
    <w:rsid w:val="00915C44"/>
    <w:rsid w:val="00915E3F"/>
    <w:rsid w:val="00915F49"/>
    <w:rsid w:val="00915F97"/>
    <w:rsid w:val="0091787C"/>
    <w:rsid w:val="009179EB"/>
    <w:rsid w:val="00920239"/>
    <w:rsid w:val="009203C1"/>
    <w:rsid w:val="009212C4"/>
    <w:rsid w:val="0092273F"/>
    <w:rsid w:val="009238F1"/>
    <w:rsid w:val="009249B4"/>
    <w:rsid w:val="009253E4"/>
    <w:rsid w:val="00926597"/>
    <w:rsid w:val="00926716"/>
    <w:rsid w:val="009270DB"/>
    <w:rsid w:val="009301D5"/>
    <w:rsid w:val="00930570"/>
    <w:rsid w:val="00930BEB"/>
    <w:rsid w:val="00930C2E"/>
    <w:rsid w:val="009323DF"/>
    <w:rsid w:val="00932AFC"/>
    <w:rsid w:val="00933435"/>
    <w:rsid w:val="009334AE"/>
    <w:rsid w:val="0093389C"/>
    <w:rsid w:val="00933A7D"/>
    <w:rsid w:val="00933DA9"/>
    <w:rsid w:val="00933F6F"/>
    <w:rsid w:val="0093452F"/>
    <w:rsid w:val="0093491F"/>
    <w:rsid w:val="00935E14"/>
    <w:rsid w:val="00941E4F"/>
    <w:rsid w:val="00942454"/>
    <w:rsid w:val="0094480E"/>
    <w:rsid w:val="00947B5B"/>
    <w:rsid w:val="00950281"/>
    <w:rsid w:val="00951BD3"/>
    <w:rsid w:val="009529FD"/>
    <w:rsid w:val="00952B8F"/>
    <w:rsid w:val="00952DA0"/>
    <w:rsid w:val="0095313C"/>
    <w:rsid w:val="00953288"/>
    <w:rsid w:val="0095496C"/>
    <w:rsid w:val="0095569B"/>
    <w:rsid w:val="009559F2"/>
    <w:rsid w:val="009562CC"/>
    <w:rsid w:val="0095695E"/>
    <w:rsid w:val="009571D2"/>
    <w:rsid w:val="00957310"/>
    <w:rsid w:val="0095750D"/>
    <w:rsid w:val="00960B83"/>
    <w:rsid w:val="009611F2"/>
    <w:rsid w:val="00962B8F"/>
    <w:rsid w:val="009637E4"/>
    <w:rsid w:val="00964464"/>
    <w:rsid w:val="00964933"/>
    <w:rsid w:val="009651E4"/>
    <w:rsid w:val="00965665"/>
    <w:rsid w:val="0096632E"/>
    <w:rsid w:val="00966D4F"/>
    <w:rsid w:val="00970E65"/>
    <w:rsid w:val="0097102C"/>
    <w:rsid w:val="00971CBF"/>
    <w:rsid w:val="00971F52"/>
    <w:rsid w:val="0097202E"/>
    <w:rsid w:val="0097282B"/>
    <w:rsid w:val="00972E0B"/>
    <w:rsid w:val="0097462D"/>
    <w:rsid w:val="009748F0"/>
    <w:rsid w:val="00974A7C"/>
    <w:rsid w:val="0097587B"/>
    <w:rsid w:val="009758AD"/>
    <w:rsid w:val="009763C1"/>
    <w:rsid w:val="009766FE"/>
    <w:rsid w:val="00977284"/>
    <w:rsid w:val="00977715"/>
    <w:rsid w:val="00980439"/>
    <w:rsid w:val="00982444"/>
    <w:rsid w:val="00982BA7"/>
    <w:rsid w:val="00982D92"/>
    <w:rsid w:val="00982F10"/>
    <w:rsid w:val="00983027"/>
    <w:rsid w:val="009834A0"/>
    <w:rsid w:val="009839CE"/>
    <w:rsid w:val="009843A8"/>
    <w:rsid w:val="00984993"/>
    <w:rsid w:val="00984CA2"/>
    <w:rsid w:val="009854F1"/>
    <w:rsid w:val="0098714A"/>
    <w:rsid w:val="009901C2"/>
    <w:rsid w:val="00990428"/>
    <w:rsid w:val="00992727"/>
    <w:rsid w:val="00993EA1"/>
    <w:rsid w:val="00994138"/>
    <w:rsid w:val="0099496C"/>
    <w:rsid w:val="00995039"/>
    <w:rsid w:val="009950FA"/>
    <w:rsid w:val="00995582"/>
    <w:rsid w:val="00996569"/>
    <w:rsid w:val="00997D76"/>
    <w:rsid w:val="009A02D4"/>
    <w:rsid w:val="009A057B"/>
    <w:rsid w:val="009A06F0"/>
    <w:rsid w:val="009A11D4"/>
    <w:rsid w:val="009A14DE"/>
    <w:rsid w:val="009A2294"/>
    <w:rsid w:val="009A40DD"/>
    <w:rsid w:val="009A4A7E"/>
    <w:rsid w:val="009A562A"/>
    <w:rsid w:val="009A5F36"/>
    <w:rsid w:val="009A6DED"/>
    <w:rsid w:val="009A72B5"/>
    <w:rsid w:val="009A7BC2"/>
    <w:rsid w:val="009B011E"/>
    <w:rsid w:val="009B180F"/>
    <w:rsid w:val="009B1897"/>
    <w:rsid w:val="009B1BB7"/>
    <w:rsid w:val="009B1C51"/>
    <w:rsid w:val="009B2B31"/>
    <w:rsid w:val="009B2CDB"/>
    <w:rsid w:val="009B48D4"/>
    <w:rsid w:val="009B4DE3"/>
    <w:rsid w:val="009B546D"/>
    <w:rsid w:val="009B581F"/>
    <w:rsid w:val="009B692B"/>
    <w:rsid w:val="009B6BAE"/>
    <w:rsid w:val="009B7444"/>
    <w:rsid w:val="009B751B"/>
    <w:rsid w:val="009C0439"/>
    <w:rsid w:val="009C0992"/>
    <w:rsid w:val="009C0C48"/>
    <w:rsid w:val="009C1830"/>
    <w:rsid w:val="009C23DA"/>
    <w:rsid w:val="009C24B3"/>
    <w:rsid w:val="009C2C09"/>
    <w:rsid w:val="009C2E1B"/>
    <w:rsid w:val="009C2E5A"/>
    <w:rsid w:val="009C4583"/>
    <w:rsid w:val="009C5D44"/>
    <w:rsid w:val="009C6214"/>
    <w:rsid w:val="009C672A"/>
    <w:rsid w:val="009C703A"/>
    <w:rsid w:val="009C7B18"/>
    <w:rsid w:val="009C7D55"/>
    <w:rsid w:val="009C7F52"/>
    <w:rsid w:val="009D07F2"/>
    <w:rsid w:val="009D1884"/>
    <w:rsid w:val="009D24A3"/>
    <w:rsid w:val="009D2FD6"/>
    <w:rsid w:val="009D3295"/>
    <w:rsid w:val="009D3626"/>
    <w:rsid w:val="009D3665"/>
    <w:rsid w:val="009D3C84"/>
    <w:rsid w:val="009D40C6"/>
    <w:rsid w:val="009D54F3"/>
    <w:rsid w:val="009D5CAF"/>
    <w:rsid w:val="009D5DA3"/>
    <w:rsid w:val="009D6969"/>
    <w:rsid w:val="009D7470"/>
    <w:rsid w:val="009D7760"/>
    <w:rsid w:val="009D7A58"/>
    <w:rsid w:val="009D7BFF"/>
    <w:rsid w:val="009E0638"/>
    <w:rsid w:val="009E0828"/>
    <w:rsid w:val="009E0CED"/>
    <w:rsid w:val="009E114C"/>
    <w:rsid w:val="009E17A2"/>
    <w:rsid w:val="009E2363"/>
    <w:rsid w:val="009E2D23"/>
    <w:rsid w:val="009E4043"/>
    <w:rsid w:val="009E43C1"/>
    <w:rsid w:val="009E54AE"/>
    <w:rsid w:val="009E5FC3"/>
    <w:rsid w:val="009E6DF1"/>
    <w:rsid w:val="009E6F01"/>
    <w:rsid w:val="009F19F1"/>
    <w:rsid w:val="009F3B27"/>
    <w:rsid w:val="009F3BA0"/>
    <w:rsid w:val="009F3F5D"/>
    <w:rsid w:val="009F43CB"/>
    <w:rsid w:val="009F4CB9"/>
    <w:rsid w:val="009F61B9"/>
    <w:rsid w:val="00A00283"/>
    <w:rsid w:val="00A0116B"/>
    <w:rsid w:val="00A01C02"/>
    <w:rsid w:val="00A01DE8"/>
    <w:rsid w:val="00A02167"/>
    <w:rsid w:val="00A02D24"/>
    <w:rsid w:val="00A02E16"/>
    <w:rsid w:val="00A040F8"/>
    <w:rsid w:val="00A05113"/>
    <w:rsid w:val="00A054DC"/>
    <w:rsid w:val="00A05824"/>
    <w:rsid w:val="00A069AE"/>
    <w:rsid w:val="00A071B0"/>
    <w:rsid w:val="00A07332"/>
    <w:rsid w:val="00A10389"/>
    <w:rsid w:val="00A1133E"/>
    <w:rsid w:val="00A11888"/>
    <w:rsid w:val="00A11AAD"/>
    <w:rsid w:val="00A11E62"/>
    <w:rsid w:val="00A11E8F"/>
    <w:rsid w:val="00A12369"/>
    <w:rsid w:val="00A12B9B"/>
    <w:rsid w:val="00A12F37"/>
    <w:rsid w:val="00A132B7"/>
    <w:rsid w:val="00A13522"/>
    <w:rsid w:val="00A13874"/>
    <w:rsid w:val="00A14357"/>
    <w:rsid w:val="00A1497B"/>
    <w:rsid w:val="00A151AA"/>
    <w:rsid w:val="00A1524F"/>
    <w:rsid w:val="00A15E63"/>
    <w:rsid w:val="00A167D9"/>
    <w:rsid w:val="00A16CBA"/>
    <w:rsid w:val="00A16DB9"/>
    <w:rsid w:val="00A171F1"/>
    <w:rsid w:val="00A17672"/>
    <w:rsid w:val="00A17EF0"/>
    <w:rsid w:val="00A206A3"/>
    <w:rsid w:val="00A20A6B"/>
    <w:rsid w:val="00A20C5D"/>
    <w:rsid w:val="00A21EC8"/>
    <w:rsid w:val="00A222CA"/>
    <w:rsid w:val="00A2252E"/>
    <w:rsid w:val="00A225E3"/>
    <w:rsid w:val="00A239CC"/>
    <w:rsid w:val="00A23BC2"/>
    <w:rsid w:val="00A247E9"/>
    <w:rsid w:val="00A248C9"/>
    <w:rsid w:val="00A265E8"/>
    <w:rsid w:val="00A26F01"/>
    <w:rsid w:val="00A279AC"/>
    <w:rsid w:val="00A27A30"/>
    <w:rsid w:val="00A30C5D"/>
    <w:rsid w:val="00A310F1"/>
    <w:rsid w:val="00A31C68"/>
    <w:rsid w:val="00A31FFF"/>
    <w:rsid w:val="00A325AE"/>
    <w:rsid w:val="00A326A6"/>
    <w:rsid w:val="00A342D9"/>
    <w:rsid w:val="00A352C5"/>
    <w:rsid w:val="00A35E30"/>
    <w:rsid w:val="00A35FAA"/>
    <w:rsid w:val="00A40163"/>
    <w:rsid w:val="00A409BC"/>
    <w:rsid w:val="00A40FC3"/>
    <w:rsid w:val="00A41D7C"/>
    <w:rsid w:val="00A42F6D"/>
    <w:rsid w:val="00A43C9A"/>
    <w:rsid w:val="00A43E54"/>
    <w:rsid w:val="00A44612"/>
    <w:rsid w:val="00A44720"/>
    <w:rsid w:val="00A46164"/>
    <w:rsid w:val="00A46A8E"/>
    <w:rsid w:val="00A51337"/>
    <w:rsid w:val="00A537E5"/>
    <w:rsid w:val="00A540A5"/>
    <w:rsid w:val="00A54248"/>
    <w:rsid w:val="00A55B6F"/>
    <w:rsid w:val="00A5670F"/>
    <w:rsid w:val="00A569DF"/>
    <w:rsid w:val="00A5781C"/>
    <w:rsid w:val="00A61BD0"/>
    <w:rsid w:val="00A6388E"/>
    <w:rsid w:val="00A64997"/>
    <w:rsid w:val="00A64BC6"/>
    <w:rsid w:val="00A64FD7"/>
    <w:rsid w:val="00A659CB"/>
    <w:rsid w:val="00A67D19"/>
    <w:rsid w:val="00A70398"/>
    <w:rsid w:val="00A709AD"/>
    <w:rsid w:val="00A70D03"/>
    <w:rsid w:val="00A71441"/>
    <w:rsid w:val="00A721F1"/>
    <w:rsid w:val="00A72DA9"/>
    <w:rsid w:val="00A733CB"/>
    <w:rsid w:val="00A739DF"/>
    <w:rsid w:val="00A73E03"/>
    <w:rsid w:val="00A740A0"/>
    <w:rsid w:val="00A74101"/>
    <w:rsid w:val="00A745EF"/>
    <w:rsid w:val="00A751AD"/>
    <w:rsid w:val="00A76045"/>
    <w:rsid w:val="00A773CD"/>
    <w:rsid w:val="00A775CF"/>
    <w:rsid w:val="00A77853"/>
    <w:rsid w:val="00A77C21"/>
    <w:rsid w:val="00A77FAF"/>
    <w:rsid w:val="00A805EB"/>
    <w:rsid w:val="00A8063F"/>
    <w:rsid w:val="00A80C87"/>
    <w:rsid w:val="00A81EED"/>
    <w:rsid w:val="00A83576"/>
    <w:rsid w:val="00A84193"/>
    <w:rsid w:val="00A84503"/>
    <w:rsid w:val="00A84B76"/>
    <w:rsid w:val="00A85D02"/>
    <w:rsid w:val="00A864DD"/>
    <w:rsid w:val="00A867DA"/>
    <w:rsid w:val="00A87473"/>
    <w:rsid w:val="00A8782F"/>
    <w:rsid w:val="00A9167D"/>
    <w:rsid w:val="00A91895"/>
    <w:rsid w:val="00A92D25"/>
    <w:rsid w:val="00A9401F"/>
    <w:rsid w:val="00A94689"/>
    <w:rsid w:val="00A94DDB"/>
    <w:rsid w:val="00A94F82"/>
    <w:rsid w:val="00A94FB4"/>
    <w:rsid w:val="00A950A1"/>
    <w:rsid w:val="00A965CD"/>
    <w:rsid w:val="00A96970"/>
    <w:rsid w:val="00AA1AD8"/>
    <w:rsid w:val="00AA1BEC"/>
    <w:rsid w:val="00AA27AA"/>
    <w:rsid w:val="00AA2DF3"/>
    <w:rsid w:val="00AA4761"/>
    <w:rsid w:val="00AA4FDE"/>
    <w:rsid w:val="00AA50BC"/>
    <w:rsid w:val="00AA5A42"/>
    <w:rsid w:val="00AA63FF"/>
    <w:rsid w:val="00AA6AE4"/>
    <w:rsid w:val="00AA7C6E"/>
    <w:rsid w:val="00AB24E7"/>
    <w:rsid w:val="00AB3237"/>
    <w:rsid w:val="00AB3917"/>
    <w:rsid w:val="00AB3A2D"/>
    <w:rsid w:val="00AB4AC8"/>
    <w:rsid w:val="00AB5E21"/>
    <w:rsid w:val="00AB6AD4"/>
    <w:rsid w:val="00AB75AE"/>
    <w:rsid w:val="00AB76EC"/>
    <w:rsid w:val="00AB7933"/>
    <w:rsid w:val="00AB7947"/>
    <w:rsid w:val="00AC03C5"/>
    <w:rsid w:val="00AC0659"/>
    <w:rsid w:val="00AC1200"/>
    <w:rsid w:val="00AC1352"/>
    <w:rsid w:val="00AC13C9"/>
    <w:rsid w:val="00AC29A4"/>
    <w:rsid w:val="00AC2D3B"/>
    <w:rsid w:val="00AC3071"/>
    <w:rsid w:val="00AC3127"/>
    <w:rsid w:val="00AC3A08"/>
    <w:rsid w:val="00AC3D18"/>
    <w:rsid w:val="00AC41D0"/>
    <w:rsid w:val="00AC4CF8"/>
    <w:rsid w:val="00AC50DF"/>
    <w:rsid w:val="00AC6332"/>
    <w:rsid w:val="00AC72C2"/>
    <w:rsid w:val="00AD10CF"/>
    <w:rsid w:val="00AD2FC0"/>
    <w:rsid w:val="00AD3119"/>
    <w:rsid w:val="00AD3581"/>
    <w:rsid w:val="00AD35EA"/>
    <w:rsid w:val="00AD3BC7"/>
    <w:rsid w:val="00AD42E2"/>
    <w:rsid w:val="00AD45C8"/>
    <w:rsid w:val="00AD4967"/>
    <w:rsid w:val="00AD4C11"/>
    <w:rsid w:val="00AD562E"/>
    <w:rsid w:val="00AD5B1B"/>
    <w:rsid w:val="00AD66BE"/>
    <w:rsid w:val="00AD6DB9"/>
    <w:rsid w:val="00AE12A9"/>
    <w:rsid w:val="00AE21E0"/>
    <w:rsid w:val="00AE2459"/>
    <w:rsid w:val="00AE278F"/>
    <w:rsid w:val="00AE29C2"/>
    <w:rsid w:val="00AE37DD"/>
    <w:rsid w:val="00AE3D23"/>
    <w:rsid w:val="00AE4CEC"/>
    <w:rsid w:val="00AE4D18"/>
    <w:rsid w:val="00AE4EC8"/>
    <w:rsid w:val="00AE517C"/>
    <w:rsid w:val="00AE5868"/>
    <w:rsid w:val="00AE58BF"/>
    <w:rsid w:val="00AE599E"/>
    <w:rsid w:val="00AE5D9F"/>
    <w:rsid w:val="00AE5F15"/>
    <w:rsid w:val="00AE61C0"/>
    <w:rsid w:val="00AE7126"/>
    <w:rsid w:val="00AE72C2"/>
    <w:rsid w:val="00AE76C9"/>
    <w:rsid w:val="00AE77A3"/>
    <w:rsid w:val="00AF06B4"/>
    <w:rsid w:val="00AF0BDC"/>
    <w:rsid w:val="00AF0C7E"/>
    <w:rsid w:val="00AF0EB2"/>
    <w:rsid w:val="00AF2791"/>
    <w:rsid w:val="00AF2EF5"/>
    <w:rsid w:val="00AF3117"/>
    <w:rsid w:val="00AF326B"/>
    <w:rsid w:val="00AF32F0"/>
    <w:rsid w:val="00AF3811"/>
    <w:rsid w:val="00AF418D"/>
    <w:rsid w:val="00AF4374"/>
    <w:rsid w:val="00AF55E0"/>
    <w:rsid w:val="00AF560E"/>
    <w:rsid w:val="00AF5C2F"/>
    <w:rsid w:val="00AF6220"/>
    <w:rsid w:val="00AF70EE"/>
    <w:rsid w:val="00AF7618"/>
    <w:rsid w:val="00AF79D1"/>
    <w:rsid w:val="00B00B01"/>
    <w:rsid w:val="00B00B34"/>
    <w:rsid w:val="00B01538"/>
    <w:rsid w:val="00B01553"/>
    <w:rsid w:val="00B04550"/>
    <w:rsid w:val="00B04964"/>
    <w:rsid w:val="00B04CBD"/>
    <w:rsid w:val="00B076EB"/>
    <w:rsid w:val="00B10605"/>
    <w:rsid w:val="00B10F95"/>
    <w:rsid w:val="00B116C5"/>
    <w:rsid w:val="00B1175B"/>
    <w:rsid w:val="00B11B0A"/>
    <w:rsid w:val="00B12331"/>
    <w:rsid w:val="00B124AD"/>
    <w:rsid w:val="00B14C81"/>
    <w:rsid w:val="00B15178"/>
    <w:rsid w:val="00B154B3"/>
    <w:rsid w:val="00B15B71"/>
    <w:rsid w:val="00B16085"/>
    <w:rsid w:val="00B1643C"/>
    <w:rsid w:val="00B166C6"/>
    <w:rsid w:val="00B20077"/>
    <w:rsid w:val="00B208FF"/>
    <w:rsid w:val="00B20D70"/>
    <w:rsid w:val="00B21941"/>
    <w:rsid w:val="00B21EB4"/>
    <w:rsid w:val="00B22A5B"/>
    <w:rsid w:val="00B2620A"/>
    <w:rsid w:val="00B2691D"/>
    <w:rsid w:val="00B26C44"/>
    <w:rsid w:val="00B27820"/>
    <w:rsid w:val="00B306EA"/>
    <w:rsid w:val="00B30944"/>
    <w:rsid w:val="00B3104B"/>
    <w:rsid w:val="00B312CE"/>
    <w:rsid w:val="00B32AAC"/>
    <w:rsid w:val="00B33F4D"/>
    <w:rsid w:val="00B36CFC"/>
    <w:rsid w:val="00B37148"/>
    <w:rsid w:val="00B37AFC"/>
    <w:rsid w:val="00B4084B"/>
    <w:rsid w:val="00B40B9F"/>
    <w:rsid w:val="00B41232"/>
    <w:rsid w:val="00B4258C"/>
    <w:rsid w:val="00B42B56"/>
    <w:rsid w:val="00B45864"/>
    <w:rsid w:val="00B460B5"/>
    <w:rsid w:val="00B46519"/>
    <w:rsid w:val="00B476D2"/>
    <w:rsid w:val="00B47849"/>
    <w:rsid w:val="00B47A45"/>
    <w:rsid w:val="00B47F4C"/>
    <w:rsid w:val="00B50032"/>
    <w:rsid w:val="00B50177"/>
    <w:rsid w:val="00B50958"/>
    <w:rsid w:val="00B50C4E"/>
    <w:rsid w:val="00B51526"/>
    <w:rsid w:val="00B52711"/>
    <w:rsid w:val="00B567D8"/>
    <w:rsid w:val="00B56872"/>
    <w:rsid w:val="00B5792D"/>
    <w:rsid w:val="00B60F6F"/>
    <w:rsid w:val="00B61A52"/>
    <w:rsid w:val="00B6230B"/>
    <w:rsid w:val="00B628E8"/>
    <w:rsid w:val="00B62AF2"/>
    <w:rsid w:val="00B63C3C"/>
    <w:rsid w:val="00B644BC"/>
    <w:rsid w:val="00B648BB"/>
    <w:rsid w:val="00B64DE4"/>
    <w:rsid w:val="00B64EAE"/>
    <w:rsid w:val="00B65561"/>
    <w:rsid w:val="00B676B8"/>
    <w:rsid w:val="00B70005"/>
    <w:rsid w:val="00B70124"/>
    <w:rsid w:val="00B70250"/>
    <w:rsid w:val="00B70326"/>
    <w:rsid w:val="00B70C9E"/>
    <w:rsid w:val="00B70F85"/>
    <w:rsid w:val="00B71222"/>
    <w:rsid w:val="00B7174A"/>
    <w:rsid w:val="00B73422"/>
    <w:rsid w:val="00B7358B"/>
    <w:rsid w:val="00B7388C"/>
    <w:rsid w:val="00B73E0D"/>
    <w:rsid w:val="00B74856"/>
    <w:rsid w:val="00B7521F"/>
    <w:rsid w:val="00B816F9"/>
    <w:rsid w:val="00B81B37"/>
    <w:rsid w:val="00B81BF7"/>
    <w:rsid w:val="00B830A1"/>
    <w:rsid w:val="00B83160"/>
    <w:rsid w:val="00B8365B"/>
    <w:rsid w:val="00B83705"/>
    <w:rsid w:val="00B83CA0"/>
    <w:rsid w:val="00B84243"/>
    <w:rsid w:val="00B8505F"/>
    <w:rsid w:val="00B85C34"/>
    <w:rsid w:val="00B86CCD"/>
    <w:rsid w:val="00B876C0"/>
    <w:rsid w:val="00B877B2"/>
    <w:rsid w:val="00B87806"/>
    <w:rsid w:val="00B90763"/>
    <w:rsid w:val="00B92B09"/>
    <w:rsid w:val="00B93884"/>
    <w:rsid w:val="00B93D53"/>
    <w:rsid w:val="00B94405"/>
    <w:rsid w:val="00B94A65"/>
    <w:rsid w:val="00B94ADF"/>
    <w:rsid w:val="00B94FB4"/>
    <w:rsid w:val="00B95C42"/>
    <w:rsid w:val="00B95D2D"/>
    <w:rsid w:val="00B9607C"/>
    <w:rsid w:val="00B9631B"/>
    <w:rsid w:val="00B96564"/>
    <w:rsid w:val="00B9676C"/>
    <w:rsid w:val="00B96A82"/>
    <w:rsid w:val="00BA090C"/>
    <w:rsid w:val="00BA0966"/>
    <w:rsid w:val="00BA0F2F"/>
    <w:rsid w:val="00BA127F"/>
    <w:rsid w:val="00BA28F3"/>
    <w:rsid w:val="00BA379F"/>
    <w:rsid w:val="00BA3F23"/>
    <w:rsid w:val="00BA6777"/>
    <w:rsid w:val="00BA6812"/>
    <w:rsid w:val="00BB0214"/>
    <w:rsid w:val="00BB0A58"/>
    <w:rsid w:val="00BB0E3B"/>
    <w:rsid w:val="00BB2950"/>
    <w:rsid w:val="00BB2A98"/>
    <w:rsid w:val="00BB3AB5"/>
    <w:rsid w:val="00BB3DA8"/>
    <w:rsid w:val="00BB407D"/>
    <w:rsid w:val="00BB498B"/>
    <w:rsid w:val="00BB5176"/>
    <w:rsid w:val="00BB5283"/>
    <w:rsid w:val="00BB5846"/>
    <w:rsid w:val="00BB5A84"/>
    <w:rsid w:val="00BB6D23"/>
    <w:rsid w:val="00BB721D"/>
    <w:rsid w:val="00BB7455"/>
    <w:rsid w:val="00BC20C8"/>
    <w:rsid w:val="00BC2C65"/>
    <w:rsid w:val="00BC3472"/>
    <w:rsid w:val="00BC3CAB"/>
    <w:rsid w:val="00BC3F11"/>
    <w:rsid w:val="00BC42CE"/>
    <w:rsid w:val="00BC6702"/>
    <w:rsid w:val="00BC76B4"/>
    <w:rsid w:val="00BC76E6"/>
    <w:rsid w:val="00BD172B"/>
    <w:rsid w:val="00BD210E"/>
    <w:rsid w:val="00BD29B8"/>
    <w:rsid w:val="00BD2CB2"/>
    <w:rsid w:val="00BD34C3"/>
    <w:rsid w:val="00BD40CB"/>
    <w:rsid w:val="00BD4954"/>
    <w:rsid w:val="00BD498E"/>
    <w:rsid w:val="00BD78D5"/>
    <w:rsid w:val="00BD7A64"/>
    <w:rsid w:val="00BE0007"/>
    <w:rsid w:val="00BE0659"/>
    <w:rsid w:val="00BE0A68"/>
    <w:rsid w:val="00BE2D7E"/>
    <w:rsid w:val="00BE537C"/>
    <w:rsid w:val="00BE64AD"/>
    <w:rsid w:val="00BE674A"/>
    <w:rsid w:val="00BE6D85"/>
    <w:rsid w:val="00BE70B3"/>
    <w:rsid w:val="00BE7412"/>
    <w:rsid w:val="00BE7D58"/>
    <w:rsid w:val="00BF0270"/>
    <w:rsid w:val="00BF0E14"/>
    <w:rsid w:val="00BF164E"/>
    <w:rsid w:val="00BF1A33"/>
    <w:rsid w:val="00BF1EB6"/>
    <w:rsid w:val="00BF23C3"/>
    <w:rsid w:val="00BF3266"/>
    <w:rsid w:val="00BF35D9"/>
    <w:rsid w:val="00BF3D35"/>
    <w:rsid w:val="00BF598C"/>
    <w:rsid w:val="00BF5F61"/>
    <w:rsid w:val="00BF6D42"/>
    <w:rsid w:val="00BF6F79"/>
    <w:rsid w:val="00BF73FE"/>
    <w:rsid w:val="00BF7ED9"/>
    <w:rsid w:val="00C00AA5"/>
    <w:rsid w:val="00C00B3B"/>
    <w:rsid w:val="00C02450"/>
    <w:rsid w:val="00C038D0"/>
    <w:rsid w:val="00C03C4C"/>
    <w:rsid w:val="00C04CE2"/>
    <w:rsid w:val="00C066AF"/>
    <w:rsid w:val="00C06CE4"/>
    <w:rsid w:val="00C072CE"/>
    <w:rsid w:val="00C07DEC"/>
    <w:rsid w:val="00C07F1C"/>
    <w:rsid w:val="00C1005F"/>
    <w:rsid w:val="00C107D2"/>
    <w:rsid w:val="00C11EAA"/>
    <w:rsid w:val="00C11F05"/>
    <w:rsid w:val="00C11F2F"/>
    <w:rsid w:val="00C12D0A"/>
    <w:rsid w:val="00C13681"/>
    <w:rsid w:val="00C13DA0"/>
    <w:rsid w:val="00C14E79"/>
    <w:rsid w:val="00C15DEF"/>
    <w:rsid w:val="00C17B32"/>
    <w:rsid w:val="00C200C8"/>
    <w:rsid w:val="00C201D2"/>
    <w:rsid w:val="00C20E76"/>
    <w:rsid w:val="00C23647"/>
    <w:rsid w:val="00C23E3B"/>
    <w:rsid w:val="00C2476F"/>
    <w:rsid w:val="00C24BB1"/>
    <w:rsid w:val="00C258EF"/>
    <w:rsid w:val="00C25C72"/>
    <w:rsid w:val="00C2641F"/>
    <w:rsid w:val="00C26E37"/>
    <w:rsid w:val="00C276B1"/>
    <w:rsid w:val="00C27F9A"/>
    <w:rsid w:val="00C3009E"/>
    <w:rsid w:val="00C3155F"/>
    <w:rsid w:val="00C31E81"/>
    <w:rsid w:val="00C3239B"/>
    <w:rsid w:val="00C3249E"/>
    <w:rsid w:val="00C3303C"/>
    <w:rsid w:val="00C3324A"/>
    <w:rsid w:val="00C33F82"/>
    <w:rsid w:val="00C342CD"/>
    <w:rsid w:val="00C34390"/>
    <w:rsid w:val="00C34C59"/>
    <w:rsid w:val="00C359BA"/>
    <w:rsid w:val="00C36775"/>
    <w:rsid w:val="00C37004"/>
    <w:rsid w:val="00C37BFF"/>
    <w:rsid w:val="00C404BB"/>
    <w:rsid w:val="00C40689"/>
    <w:rsid w:val="00C40D38"/>
    <w:rsid w:val="00C40EFA"/>
    <w:rsid w:val="00C41058"/>
    <w:rsid w:val="00C41D55"/>
    <w:rsid w:val="00C42089"/>
    <w:rsid w:val="00C428E6"/>
    <w:rsid w:val="00C42D37"/>
    <w:rsid w:val="00C431A3"/>
    <w:rsid w:val="00C43DF8"/>
    <w:rsid w:val="00C44BE3"/>
    <w:rsid w:val="00C44C1D"/>
    <w:rsid w:val="00C450A9"/>
    <w:rsid w:val="00C45903"/>
    <w:rsid w:val="00C46399"/>
    <w:rsid w:val="00C46D0E"/>
    <w:rsid w:val="00C4749C"/>
    <w:rsid w:val="00C47E7C"/>
    <w:rsid w:val="00C501C2"/>
    <w:rsid w:val="00C50527"/>
    <w:rsid w:val="00C50D03"/>
    <w:rsid w:val="00C5146A"/>
    <w:rsid w:val="00C531D5"/>
    <w:rsid w:val="00C53EF2"/>
    <w:rsid w:val="00C552B1"/>
    <w:rsid w:val="00C55846"/>
    <w:rsid w:val="00C618E7"/>
    <w:rsid w:val="00C61EA2"/>
    <w:rsid w:val="00C6305B"/>
    <w:rsid w:val="00C63109"/>
    <w:rsid w:val="00C63C1F"/>
    <w:rsid w:val="00C63C6E"/>
    <w:rsid w:val="00C63ED7"/>
    <w:rsid w:val="00C65397"/>
    <w:rsid w:val="00C65A5F"/>
    <w:rsid w:val="00C66319"/>
    <w:rsid w:val="00C66C6C"/>
    <w:rsid w:val="00C705DA"/>
    <w:rsid w:val="00C715F0"/>
    <w:rsid w:val="00C7170E"/>
    <w:rsid w:val="00C7356F"/>
    <w:rsid w:val="00C739D5"/>
    <w:rsid w:val="00C74126"/>
    <w:rsid w:val="00C74C39"/>
    <w:rsid w:val="00C74DA9"/>
    <w:rsid w:val="00C74E8D"/>
    <w:rsid w:val="00C753BA"/>
    <w:rsid w:val="00C7638D"/>
    <w:rsid w:val="00C763EA"/>
    <w:rsid w:val="00C763ED"/>
    <w:rsid w:val="00C77417"/>
    <w:rsid w:val="00C7749B"/>
    <w:rsid w:val="00C8049D"/>
    <w:rsid w:val="00C80772"/>
    <w:rsid w:val="00C80C3E"/>
    <w:rsid w:val="00C81B4E"/>
    <w:rsid w:val="00C8277A"/>
    <w:rsid w:val="00C82F5D"/>
    <w:rsid w:val="00C83A84"/>
    <w:rsid w:val="00C84974"/>
    <w:rsid w:val="00C84E09"/>
    <w:rsid w:val="00C854F5"/>
    <w:rsid w:val="00C85C30"/>
    <w:rsid w:val="00C85E77"/>
    <w:rsid w:val="00C86D90"/>
    <w:rsid w:val="00C872C5"/>
    <w:rsid w:val="00C8748F"/>
    <w:rsid w:val="00C87FB8"/>
    <w:rsid w:val="00C91347"/>
    <w:rsid w:val="00C91CF4"/>
    <w:rsid w:val="00C91E97"/>
    <w:rsid w:val="00C92123"/>
    <w:rsid w:val="00C93FD5"/>
    <w:rsid w:val="00C946DC"/>
    <w:rsid w:val="00C951B5"/>
    <w:rsid w:val="00C95596"/>
    <w:rsid w:val="00C95850"/>
    <w:rsid w:val="00C95B85"/>
    <w:rsid w:val="00C9622F"/>
    <w:rsid w:val="00C96C9E"/>
    <w:rsid w:val="00C97362"/>
    <w:rsid w:val="00C978F2"/>
    <w:rsid w:val="00C97F24"/>
    <w:rsid w:val="00C97F3F"/>
    <w:rsid w:val="00CA0B5E"/>
    <w:rsid w:val="00CA0F4F"/>
    <w:rsid w:val="00CA15D7"/>
    <w:rsid w:val="00CA2F21"/>
    <w:rsid w:val="00CA3214"/>
    <w:rsid w:val="00CA4336"/>
    <w:rsid w:val="00CA450E"/>
    <w:rsid w:val="00CA475B"/>
    <w:rsid w:val="00CA4819"/>
    <w:rsid w:val="00CA49A3"/>
    <w:rsid w:val="00CA600B"/>
    <w:rsid w:val="00CA709C"/>
    <w:rsid w:val="00CB1040"/>
    <w:rsid w:val="00CB14B7"/>
    <w:rsid w:val="00CB1F59"/>
    <w:rsid w:val="00CB2844"/>
    <w:rsid w:val="00CB4589"/>
    <w:rsid w:val="00CB54F0"/>
    <w:rsid w:val="00CB60C9"/>
    <w:rsid w:val="00CB62C0"/>
    <w:rsid w:val="00CB6D24"/>
    <w:rsid w:val="00CB795F"/>
    <w:rsid w:val="00CB7D9F"/>
    <w:rsid w:val="00CC0486"/>
    <w:rsid w:val="00CC0B67"/>
    <w:rsid w:val="00CC12AE"/>
    <w:rsid w:val="00CC27A2"/>
    <w:rsid w:val="00CC28DA"/>
    <w:rsid w:val="00CC2A06"/>
    <w:rsid w:val="00CC36A5"/>
    <w:rsid w:val="00CC4867"/>
    <w:rsid w:val="00CC5AB0"/>
    <w:rsid w:val="00CC6371"/>
    <w:rsid w:val="00CC6AFF"/>
    <w:rsid w:val="00CC7ED8"/>
    <w:rsid w:val="00CC7F08"/>
    <w:rsid w:val="00CD12CE"/>
    <w:rsid w:val="00CD1BF3"/>
    <w:rsid w:val="00CD22EC"/>
    <w:rsid w:val="00CD3382"/>
    <w:rsid w:val="00CD4C02"/>
    <w:rsid w:val="00CD54B0"/>
    <w:rsid w:val="00CD6D33"/>
    <w:rsid w:val="00CD73EB"/>
    <w:rsid w:val="00CE0085"/>
    <w:rsid w:val="00CE0472"/>
    <w:rsid w:val="00CE179F"/>
    <w:rsid w:val="00CE2B6C"/>
    <w:rsid w:val="00CE2C1A"/>
    <w:rsid w:val="00CE3F53"/>
    <w:rsid w:val="00CE4134"/>
    <w:rsid w:val="00CE4BBC"/>
    <w:rsid w:val="00CE4D05"/>
    <w:rsid w:val="00CE542C"/>
    <w:rsid w:val="00CE558E"/>
    <w:rsid w:val="00CE5774"/>
    <w:rsid w:val="00CE71CF"/>
    <w:rsid w:val="00CE7933"/>
    <w:rsid w:val="00CF0538"/>
    <w:rsid w:val="00CF164C"/>
    <w:rsid w:val="00CF2C6F"/>
    <w:rsid w:val="00CF4131"/>
    <w:rsid w:val="00CF5085"/>
    <w:rsid w:val="00CF5889"/>
    <w:rsid w:val="00CF5FDC"/>
    <w:rsid w:val="00CF5FED"/>
    <w:rsid w:val="00CF6108"/>
    <w:rsid w:val="00CF6DDB"/>
    <w:rsid w:val="00D00382"/>
    <w:rsid w:val="00D006C6"/>
    <w:rsid w:val="00D0086A"/>
    <w:rsid w:val="00D02C8E"/>
    <w:rsid w:val="00D02EF1"/>
    <w:rsid w:val="00D04C5C"/>
    <w:rsid w:val="00D05719"/>
    <w:rsid w:val="00D0620C"/>
    <w:rsid w:val="00D079A9"/>
    <w:rsid w:val="00D07A8D"/>
    <w:rsid w:val="00D1024D"/>
    <w:rsid w:val="00D118CE"/>
    <w:rsid w:val="00D11F5B"/>
    <w:rsid w:val="00D120BF"/>
    <w:rsid w:val="00D143EC"/>
    <w:rsid w:val="00D1469B"/>
    <w:rsid w:val="00D15703"/>
    <w:rsid w:val="00D15792"/>
    <w:rsid w:val="00D15E52"/>
    <w:rsid w:val="00D1702D"/>
    <w:rsid w:val="00D1741D"/>
    <w:rsid w:val="00D174C3"/>
    <w:rsid w:val="00D17D15"/>
    <w:rsid w:val="00D17E55"/>
    <w:rsid w:val="00D17F96"/>
    <w:rsid w:val="00D2024C"/>
    <w:rsid w:val="00D2179B"/>
    <w:rsid w:val="00D21F46"/>
    <w:rsid w:val="00D22699"/>
    <w:rsid w:val="00D2316C"/>
    <w:rsid w:val="00D232B7"/>
    <w:rsid w:val="00D23531"/>
    <w:rsid w:val="00D24D0C"/>
    <w:rsid w:val="00D24FF4"/>
    <w:rsid w:val="00D27F65"/>
    <w:rsid w:val="00D30A84"/>
    <w:rsid w:val="00D30CBA"/>
    <w:rsid w:val="00D323B5"/>
    <w:rsid w:val="00D327B7"/>
    <w:rsid w:val="00D3305F"/>
    <w:rsid w:val="00D331EE"/>
    <w:rsid w:val="00D33486"/>
    <w:rsid w:val="00D34309"/>
    <w:rsid w:val="00D3564F"/>
    <w:rsid w:val="00D3593F"/>
    <w:rsid w:val="00D36333"/>
    <w:rsid w:val="00D37A7B"/>
    <w:rsid w:val="00D37C36"/>
    <w:rsid w:val="00D402E1"/>
    <w:rsid w:val="00D41691"/>
    <w:rsid w:val="00D4187B"/>
    <w:rsid w:val="00D426C6"/>
    <w:rsid w:val="00D42777"/>
    <w:rsid w:val="00D428B3"/>
    <w:rsid w:val="00D42955"/>
    <w:rsid w:val="00D43E58"/>
    <w:rsid w:val="00D44150"/>
    <w:rsid w:val="00D44D21"/>
    <w:rsid w:val="00D456C4"/>
    <w:rsid w:val="00D459CF"/>
    <w:rsid w:val="00D46A7B"/>
    <w:rsid w:val="00D46D74"/>
    <w:rsid w:val="00D5073A"/>
    <w:rsid w:val="00D50C9B"/>
    <w:rsid w:val="00D51CAC"/>
    <w:rsid w:val="00D52088"/>
    <w:rsid w:val="00D549BF"/>
    <w:rsid w:val="00D54FA0"/>
    <w:rsid w:val="00D551E1"/>
    <w:rsid w:val="00D55763"/>
    <w:rsid w:val="00D5708A"/>
    <w:rsid w:val="00D576B5"/>
    <w:rsid w:val="00D57849"/>
    <w:rsid w:val="00D579C5"/>
    <w:rsid w:val="00D60439"/>
    <w:rsid w:val="00D606C2"/>
    <w:rsid w:val="00D6199A"/>
    <w:rsid w:val="00D61BE4"/>
    <w:rsid w:val="00D62AB4"/>
    <w:rsid w:val="00D634BA"/>
    <w:rsid w:val="00D6392B"/>
    <w:rsid w:val="00D64F82"/>
    <w:rsid w:val="00D65575"/>
    <w:rsid w:val="00D6661E"/>
    <w:rsid w:val="00D6714F"/>
    <w:rsid w:val="00D70BF5"/>
    <w:rsid w:val="00D70EB2"/>
    <w:rsid w:val="00D71530"/>
    <w:rsid w:val="00D715EF"/>
    <w:rsid w:val="00D720BB"/>
    <w:rsid w:val="00D7285C"/>
    <w:rsid w:val="00D729FE"/>
    <w:rsid w:val="00D73A5B"/>
    <w:rsid w:val="00D74365"/>
    <w:rsid w:val="00D75924"/>
    <w:rsid w:val="00D75DD0"/>
    <w:rsid w:val="00D75F1A"/>
    <w:rsid w:val="00D7602E"/>
    <w:rsid w:val="00D76996"/>
    <w:rsid w:val="00D779B6"/>
    <w:rsid w:val="00D77C45"/>
    <w:rsid w:val="00D81071"/>
    <w:rsid w:val="00D821E0"/>
    <w:rsid w:val="00D82879"/>
    <w:rsid w:val="00D82A45"/>
    <w:rsid w:val="00D82E0C"/>
    <w:rsid w:val="00D8337D"/>
    <w:rsid w:val="00D835A8"/>
    <w:rsid w:val="00D83B82"/>
    <w:rsid w:val="00D85D3F"/>
    <w:rsid w:val="00D86FFD"/>
    <w:rsid w:val="00D87479"/>
    <w:rsid w:val="00D9150D"/>
    <w:rsid w:val="00D9184A"/>
    <w:rsid w:val="00D9250A"/>
    <w:rsid w:val="00D92B42"/>
    <w:rsid w:val="00D92E34"/>
    <w:rsid w:val="00D93254"/>
    <w:rsid w:val="00D952A8"/>
    <w:rsid w:val="00D9575D"/>
    <w:rsid w:val="00D961F2"/>
    <w:rsid w:val="00D97687"/>
    <w:rsid w:val="00D9775E"/>
    <w:rsid w:val="00DA0838"/>
    <w:rsid w:val="00DA1610"/>
    <w:rsid w:val="00DA1A11"/>
    <w:rsid w:val="00DA1BEF"/>
    <w:rsid w:val="00DA1F4B"/>
    <w:rsid w:val="00DA28A8"/>
    <w:rsid w:val="00DA3143"/>
    <w:rsid w:val="00DA33B9"/>
    <w:rsid w:val="00DA4109"/>
    <w:rsid w:val="00DA485F"/>
    <w:rsid w:val="00DA4EAE"/>
    <w:rsid w:val="00DA4FEF"/>
    <w:rsid w:val="00DA55D4"/>
    <w:rsid w:val="00DA6854"/>
    <w:rsid w:val="00DA697E"/>
    <w:rsid w:val="00DA6D4F"/>
    <w:rsid w:val="00DA6FB4"/>
    <w:rsid w:val="00DA7AC3"/>
    <w:rsid w:val="00DA7B65"/>
    <w:rsid w:val="00DB08CE"/>
    <w:rsid w:val="00DB10A8"/>
    <w:rsid w:val="00DB22B0"/>
    <w:rsid w:val="00DB4644"/>
    <w:rsid w:val="00DB4C98"/>
    <w:rsid w:val="00DB56F1"/>
    <w:rsid w:val="00DB582A"/>
    <w:rsid w:val="00DB584E"/>
    <w:rsid w:val="00DB69D9"/>
    <w:rsid w:val="00DB6FDB"/>
    <w:rsid w:val="00DB7D23"/>
    <w:rsid w:val="00DC0F9A"/>
    <w:rsid w:val="00DC13D0"/>
    <w:rsid w:val="00DC16AF"/>
    <w:rsid w:val="00DC1B09"/>
    <w:rsid w:val="00DC3139"/>
    <w:rsid w:val="00DC32EC"/>
    <w:rsid w:val="00DC4099"/>
    <w:rsid w:val="00DC4614"/>
    <w:rsid w:val="00DC4790"/>
    <w:rsid w:val="00DC5068"/>
    <w:rsid w:val="00DC6737"/>
    <w:rsid w:val="00DD002F"/>
    <w:rsid w:val="00DD051E"/>
    <w:rsid w:val="00DD05B3"/>
    <w:rsid w:val="00DD0BA0"/>
    <w:rsid w:val="00DD1046"/>
    <w:rsid w:val="00DD2A8D"/>
    <w:rsid w:val="00DD45C8"/>
    <w:rsid w:val="00DD53A9"/>
    <w:rsid w:val="00DD5856"/>
    <w:rsid w:val="00DD65F3"/>
    <w:rsid w:val="00DD692B"/>
    <w:rsid w:val="00DD7B40"/>
    <w:rsid w:val="00DE117E"/>
    <w:rsid w:val="00DE1987"/>
    <w:rsid w:val="00DE1EF9"/>
    <w:rsid w:val="00DE2A71"/>
    <w:rsid w:val="00DE2AC1"/>
    <w:rsid w:val="00DE2BA2"/>
    <w:rsid w:val="00DE36CF"/>
    <w:rsid w:val="00DE42BA"/>
    <w:rsid w:val="00DE50C2"/>
    <w:rsid w:val="00DE566F"/>
    <w:rsid w:val="00DE5DF9"/>
    <w:rsid w:val="00DE5E0C"/>
    <w:rsid w:val="00DE75DE"/>
    <w:rsid w:val="00DF0728"/>
    <w:rsid w:val="00DF135E"/>
    <w:rsid w:val="00DF1ADC"/>
    <w:rsid w:val="00DF2249"/>
    <w:rsid w:val="00DF2347"/>
    <w:rsid w:val="00DF2C5D"/>
    <w:rsid w:val="00DF30D5"/>
    <w:rsid w:val="00DF363A"/>
    <w:rsid w:val="00DF4173"/>
    <w:rsid w:val="00DF4488"/>
    <w:rsid w:val="00DF53BC"/>
    <w:rsid w:val="00DF53E8"/>
    <w:rsid w:val="00DF61C8"/>
    <w:rsid w:val="00DF6323"/>
    <w:rsid w:val="00DF6B26"/>
    <w:rsid w:val="00DF744E"/>
    <w:rsid w:val="00E00258"/>
    <w:rsid w:val="00E0068F"/>
    <w:rsid w:val="00E01B7C"/>
    <w:rsid w:val="00E0207C"/>
    <w:rsid w:val="00E0225E"/>
    <w:rsid w:val="00E0355E"/>
    <w:rsid w:val="00E04725"/>
    <w:rsid w:val="00E054BA"/>
    <w:rsid w:val="00E05967"/>
    <w:rsid w:val="00E06F9F"/>
    <w:rsid w:val="00E1099E"/>
    <w:rsid w:val="00E10D3F"/>
    <w:rsid w:val="00E10E65"/>
    <w:rsid w:val="00E110E4"/>
    <w:rsid w:val="00E1129E"/>
    <w:rsid w:val="00E120DB"/>
    <w:rsid w:val="00E121DD"/>
    <w:rsid w:val="00E12264"/>
    <w:rsid w:val="00E12A97"/>
    <w:rsid w:val="00E15A7E"/>
    <w:rsid w:val="00E160CA"/>
    <w:rsid w:val="00E1675C"/>
    <w:rsid w:val="00E16977"/>
    <w:rsid w:val="00E16BE1"/>
    <w:rsid w:val="00E17DAB"/>
    <w:rsid w:val="00E17DD5"/>
    <w:rsid w:val="00E20209"/>
    <w:rsid w:val="00E20628"/>
    <w:rsid w:val="00E2103B"/>
    <w:rsid w:val="00E2116A"/>
    <w:rsid w:val="00E223BE"/>
    <w:rsid w:val="00E22A07"/>
    <w:rsid w:val="00E22B36"/>
    <w:rsid w:val="00E22D9E"/>
    <w:rsid w:val="00E235C3"/>
    <w:rsid w:val="00E247D5"/>
    <w:rsid w:val="00E2528C"/>
    <w:rsid w:val="00E253F7"/>
    <w:rsid w:val="00E26003"/>
    <w:rsid w:val="00E26660"/>
    <w:rsid w:val="00E273FF"/>
    <w:rsid w:val="00E27B91"/>
    <w:rsid w:val="00E306E7"/>
    <w:rsid w:val="00E3087C"/>
    <w:rsid w:val="00E30E1D"/>
    <w:rsid w:val="00E30FE2"/>
    <w:rsid w:val="00E335C8"/>
    <w:rsid w:val="00E3392B"/>
    <w:rsid w:val="00E358F6"/>
    <w:rsid w:val="00E3664F"/>
    <w:rsid w:val="00E37BA9"/>
    <w:rsid w:val="00E37F9B"/>
    <w:rsid w:val="00E42411"/>
    <w:rsid w:val="00E42C8A"/>
    <w:rsid w:val="00E436F2"/>
    <w:rsid w:val="00E43965"/>
    <w:rsid w:val="00E43E3B"/>
    <w:rsid w:val="00E4452C"/>
    <w:rsid w:val="00E4470E"/>
    <w:rsid w:val="00E4582E"/>
    <w:rsid w:val="00E46611"/>
    <w:rsid w:val="00E46AB8"/>
    <w:rsid w:val="00E473B3"/>
    <w:rsid w:val="00E479CE"/>
    <w:rsid w:val="00E47C23"/>
    <w:rsid w:val="00E505CE"/>
    <w:rsid w:val="00E50E8D"/>
    <w:rsid w:val="00E51F1C"/>
    <w:rsid w:val="00E52243"/>
    <w:rsid w:val="00E53F0D"/>
    <w:rsid w:val="00E53F1A"/>
    <w:rsid w:val="00E54185"/>
    <w:rsid w:val="00E5444F"/>
    <w:rsid w:val="00E55150"/>
    <w:rsid w:val="00E55568"/>
    <w:rsid w:val="00E55ABA"/>
    <w:rsid w:val="00E562C9"/>
    <w:rsid w:val="00E56A6D"/>
    <w:rsid w:val="00E5718C"/>
    <w:rsid w:val="00E576C6"/>
    <w:rsid w:val="00E57CA7"/>
    <w:rsid w:val="00E61C5E"/>
    <w:rsid w:val="00E61EC0"/>
    <w:rsid w:val="00E6210D"/>
    <w:rsid w:val="00E62415"/>
    <w:rsid w:val="00E6265C"/>
    <w:rsid w:val="00E62B36"/>
    <w:rsid w:val="00E62DF5"/>
    <w:rsid w:val="00E634F7"/>
    <w:rsid w:val="00E63BDC"/>
    <w:rsid w:val="00E647C8"/>
    <w:rsid w:val="00E64AA9"/>
    <w:rsid w:val="00E64EFB"/>
    <w:rsid w:val="00E671D6"/>
    <w:rsid w:val="00E67BAA"/>
    <w:rsid w:val="00E67C82"/>
    <w:rsid w:val="00E67E53"/>
    <w:rsid w:val="00E702CE"/>
    <w:rsid w:val="00E70F0A"/>
    <w:rsid w:val="00E71844"/>
    <w:rsid w:val="00E71AAA"/>
    <w:rsid w:val="00E7204B"/>
    <w:rsid w:val="00E721C2"/>
    <w:rsid w:val="00E727E1"/>
    <w:rsid w:val="00E72B3A"/>
    <w:rsid w:val="00E731D7"/>
    <w:rsid w:val="00E7371B"/>
    <w:rsid w:val="00E73765"/>
    <w:rsid w:val="00E74408"/>
    <w:rsid w:val="00E74ACE"/>
    <w:rsid w:val="00E7543A"/>
    <w:rsid w:val="00E75A0F"/>
    <w:rsid w:val="00E77C06"/>
    <w:rsid w:val="00E77FF3"/>
    <w:rsid w:val="00E831F7"/>
    <w:rsid w:val="00E83210"/>
    <w:rsid w:val="00E835D7"/>
    <w:rsid w:val="00E8449E"/>
    <w:rsid w:val="00E8504A"/>
    <w:rsid w:val="00E855E0"/>
    <w:rsid w:val="00E860B7"/>
    <w:rsid w:val="00E8733A"/>
    <w:rsid w:val="00E8768D"/>
    <w:rsid w:val="00E8780D"/>
    <w:rsid w:val="00E8784B"/>
    <w:rsid w:val="00E90803"/>
    <w:rsid w:val="00E90D95"/>
    <w:rsid w:val="00E91117"/>
    <w:rsid w:val="00E9221F"/>
    <w:rsid w:val="00E92644"/>
    <w:rsid w:val="00E93B81"/>
    <w:rsid w:val="00E93C24"/>
    <w:rsid w:val="00E94499"/>
    <w:rsid w:val="00E95DB8"/>
    <w:rsid w:val="00E95E3B"/>
    <w:rsid w:val="00E95E6A"/>
    <w:rsid w:val="00E96314"/>
    <w:rsid w:val="00E97527"/>
    <w:rsid w:val="00EA05E6"/>
    <w:rsid w:val="00EA086C"/>
    <w:rsid w:val="00EA0FF4"/>
    <w:rsid w:val="00EA186C"/>
    <w:rsid w:val="00EA2FE1"/>
    <w:rsid w:val="00EA46A8"/>
    <w:rsid w:val="00EA5A9E"/>
    <w:rsid w:val="00EA6556"/>
    <w:rsid w:val="00EA6842"/>
    <w:rsid w:val="00EA6D25"/>
    <w:rsid w:val="00EB04F6"/>
    <w:rsid w:val="00EB12D3"/>
    <w:rsid w:val="00EB154A"/>
    <w:rsid w:val="00EB1B80"/>
    <w:rsid w:val="00EB3427"/>
    <w:rsid w:val="00EB3E39"/>
    <w:rsid w:val="00EB4C26"/>
    <w:rsid w:val="00EB5127"/>
    <w:rsid w:val="00EB537A"/>
    <w:rsid w:val="00EB53F2"/>
    <w:rsid w:val="00EB548C"/>
    <w:rsid w:val="00EB7803"/>
    <w:rsid w:val="00EC0295"/>
    <w:rsid w:val="00EC0454"/>
    <w:rsid w:val="00EC19FA"/>
    <w:rsid w:val="00EC1F39"/>
    <w:rsid w:val="00EC22C3"/>
    <w:rsid w:val="00EC2948"/>
    <w:rsid w:val="00EC4613"/>
    <w:rsid w:val="00EC5F86"/>
    <w:rsid w:val="00EC6953"/>
    <w:rsid w:val="00EC70E5"/>
    <w:rsid w:val="00ED0940"/>
    <w:rsid w:val="00ED1967"/>
    <w:rsid w:val="00ED25CE"/>
    <w:rsid w:val="00ED3A55"/>
    <w:rsid w:val="00ED3B06"/>
    <w:rsid w:val="00ED402C"/>
    <w:rsid w:val="00ED4BF2"/>
    <w:rsid w:val="00ED511B"/>
    <w:rsid w:val="00ED61E7"/>
    <w:rsid w:val="00ED733E"/>
    <w:rsid w:val="00ED7DD7"/>
    <w:rsid w:val="00EE01FA"/>
    <w:rsid w:val="00EE0ACF"/>
    <w:rsid w:val="00EE1890"/>
    <w:rsid w:val="00EE22E3"/>
    <w:rsid w:val="00EE2B10"/>
    <w:rsid w:val="00EE2B7C"/>
    <w:rsid w:val="00EE2ED0"/>
    <w:rsid w:val="00EE37DE"/>
    <w:rsid w:val="00EE4659"/>
    <w:rsid w:val="00EE61AF"/>
    <w:rsid w:val="00EE67C5"/>
    <w:rsid w:val="00EF10AA"/>
    <w:rsid w:val="00EF18B0"/>
    <w:rsid w:val="00EF18EF"/>
    <w:rsid w:val="00EF3DD1"/>
    <w:rsid w:val="00EF3E32"/>
    <w:rsid w:val="00EF4031"/>
    <w:rsid w:val="00EF45CE"/>
    <w:rsid w:val="00EF4C71"/>
    <w:rsid w:val="00EF59B6"/>
    <w:rsid w:val="00EF5C5E"/>
    <w:rsid w:val="00EF5E90"/>
    <w:rsid w:val="00EF695C"/>
    <w:rsid w:val="00EF743A"/>
    <w:rsid w:val="00EF774D"/>
    <w:rsid w:val="00F00984"/>
    <w:rsid w:val="00F01FF7"/>
    <w:rsid w:val="00F047C7"/>
    <w:rsid w:val="00F05012"/>
    <w:rsid w:val="00F053DE"/>
    <w:rsid w:val="00F05908"/>
    <w:rsid w:val="00F059F0"/>
    <w:rsid w:val="00F06C4E"/>
    <w:rsid w:val="00F07A01"/>
    <w:rsid w:val="00F10305"/>
    <w:rsid w:val="00F1076B"/>
    <w:rsid w:val="00F10D71"/>
    <w:rsid w:val="00F10F88"/>
    <w:rsid w:val="00F11B9B"/>
    <w:rsid w:val="00F11D20"/>
    <w:rsid w:val="00F120D0"/>
    <w:rsid w:val="00F13016"/>
    <w:rsid w:val="00F1363A"/>
    <w:rsid w:val="00F13E0D"/>
    <w:rsid w:val="00F1472B"/>
    <w:rsid w:val="00F15DFF"/>
    <w:rsid w:val="00F175CA"/>
    <w:rsid w:val="00F20B6E"/>
    <w:rsid w:val="00F20FF5"/>
    <w:rsid w:val="00F248EC"/>
    <w:rsid w:val="00F24BCF"/>
    <w:rsid w:val="00F24C64"/>
    <w:rsid w:val="00F25792"/>
    <w:rsid w:val="00F2639B"/>
    <w:rsid w:val="00F26CA5"/>
    <w:rsid w:val="00F271F4"/>
    <w:rsid w:val="00F276EE"/>
    <w:rsid w:val="00F312B4"/>
    <w:rsid w:val="00F31E81"/>
    <w:rsid w:val="00F3255F"/>
    <w:rsid w:val="00F32849"/>
    <w:rsid w:val="00F33271"/>
    <w:rsid w:val="00F33BFE"/>
    <w:rsid w:val="00F33D22"/>
    <w:rsid w:val="00F346CA"/>
    <w:rsid w:val="00F3510E"/>
    <w:rsid w:val="00F35B8D"/>
    <w:rsid w:val="00F35EC9"/>
    <w:rsid w:val="00F373DC"/>
    <w:rsid w:val="00F37813"/>
    <w:rsid w:val="00F37EF3"/>
    <w:rsid w:val="00F403D6"/>
    <w:rsid w:val="00F40782"/>
    <w:rsid w:val="00F40A46"/>
    <w:rsid w:val="00F422EF"/>
    <w:rsid w:val="00F42894"/>
    <w:rsid w:val="00F43E26"/>
    <w:rsid w:val="00F445EC"/>
    <w:rsid w:val="00F4532B"/>
    <w:rsid w:val="00F45CF2"/>
    <w:rsid w:val="00F4632C"/>
    <w:rsid w:val="00F46A69"/>
    <w:rsid w:val="00F470EA"/>
    <w:rsid w:val="00F478DC"/>
    <w:rsid w:val="00F47B25"/>
    <w:rsid w:val="00F47C29"/>
    <w:rsid w:val="00F5038E"/>
    <w:rsid w:val="00F506AE"/>
    <w:rsid w:val="00F51346"/>
    <w:rsid w:val="00F5235B"/>
    <w:rsid w:val="00F54027"/>
    <w:rsid w:val="00F54947"/>
    <w:rsid w:val="00F54F7B"/>
    <w:rsid w:val="00F55863"/>
    <w:rsid w:val="00F55CD7"/>
    <w:rsid w:val="00F560DC"/>
    <w:rsid w:val="00F56916"/>
    <w:rsid w:val="00F56AD0"/>
    <w:rsid w:val="00F56CB1"/>
    <w:rsid w:val="00F61956"/>
    <w:rsid w:val="00F61B48"/>
    <w:rsid w:val="00F626C2"/>
    <w:rsid w:val="00F630EF"/>
    <w:rsid w:val="00F631F4"/>
    <w:rsid w:val="00F63F85"/>
    <w:rsid w:val="00F6405C"/>
    <w:rsid w:val="00F65819"/>
    <w:rsid w:val="00F66865"/>
    <w:rsid w:val="00F67166"/>
    <w:rsid w:val="00F67A6B"/>
    <w:rsid w:val="00F70B5B"/>
    <w:rsid w:val="00F71634"/>
    <w:rsid w:val="00F71EF1"/>
    <w:rsid w:val="00F7244F"/>
    <w:rsid w:val="00F72962"/>
    <w:rsid w:val="00F72D23"/>
    <w:rsid w:val="00F7434B"/>
    <w:rsid w:val="00F743D8"/>
    <w:rsid w:val="00F748B1"/>
    <w:rsid w:val="00F74CB0"/>
    <w:rsid w:val="00F75495"/>
    <w:rsid w:val="00F7639C"/>
    <w:rsid w:val="00F765EB"/>
    <w:rsid w:val="00F76FE4"/>
    <w:rsid w:val="00F773A0"/>
    <w:rsid w:val="00F777EE"/>
    <w:rsid w:val="00F77A62"/>
    <w:rsid w:val="00F810B7"/>
    <w:rsid w:val="00F8141A"/>
    <w:rsid w:val="00F81CE4"/>
    <w:rsid w:val="00F821E7"/>
    <w:rsid w:val="00F822BA"/>
    <w:rsid w:val="00F836EA"/>
    <w:rsid w:val="00F83BFE"/>
    <w:rsid w:val="00F8673B"/>
    <w:rsid w:val="00F87522"/>
    <w:rsid w:val="00F87F2B"/>
    <w:rsid w:val="00F908F8"/>
    <w:rsid w:val="00F909F5"/>
    <w:rsid w:val="00F92260"/>
    <w:rsid w:val="00F92442"/>
    <w:rsid w:val="00F926C8"/>
    <w:rsid w:val="00F934D4"/>
    <w:rsid w:val="00F939DB"/>
    <w:rsid w:val="00F93B93"/>
    <w:rsid w:val="00F94E8C"/>
    <w:rsid w:val="00F95957"/>
    <w:rsid w:val="00F96452"/>
    <w:rsid w:val="00F964B0"/>
    <w:rsid w:val="00F973F0"/>
    <w:rsid w:val="00F978A6"/>
    <w:rsid w:val="00F97B52"/>
    <w:rsid w:val="00F97D2D"/>
    <w:rsid w:val="00FA05A4"/>
    <w:rsid w:val="00FA2F87"/>
    <w:rsid w:val="00FA30C2"/>
    <w:rsid w:val="00FA31D8"/>
    <w:rsid w:val="00FA63B6"/>
    <w:rsid w:val="00FA6958"/>
    <w:rsid w:val="00FA7135"/>
    <w:rsid w:val="00FA784C"/>
    <w:rsid w:val="00FB06E1"/>
    <w:rsid w:val="00FB0CA2"/>
    <w:rsid w:val="00FB1A25"/>
    <w:rsid w:val="00FB3D0D"/>
    <w:rsid w:val="00FB4A9E"/>
    <w:rsid w:val="00FB59C7"/>
    <w:rsid w:val="00FB66AB"/>
    <w:rsid w:val="00FB6912"/>
    <w:rsid w:val="00FC00DD"/>
    <w:rsid w:val="00FC0A72"/>
    <w:rsid w:val="00FC1247"/>
    <w:rsid w:val="00FC13E2"/>
    <w:rsid w:val="00FC14D9"/>
    <w:rsid w:val="00FC17E6"/>
    <w:rsid w:val="00FC1C66"/>
    <w:rsid w:val="00FC1DFE"/>
    <w:rsid w:val="00FC27D4"/>
    <w:rsid w:val="00FC35F5"/>
    <w:rsid w:val="00FC3CD4"/>
    <w:rsid w:val="00FC48E3"/>
    <w:rsid w:val="00FC4E2A"/>
    <w:rsid w:val="00FC619D"/>
    <w:rsid w:val="00FC6CF3"/>
    <w:rsid w:val="00FC6D32"/>
    <w:rsid w:val="00FC6F4F"/>
    <w:rsid w:val="00FD12C6"/>
    <w:rsid w:val="00FD1601"/>
    <w:rsid w:val="00FD1B30"/>
    <w:rsid w:val="00FD3D3E"/>
    <w:rsid w:val="00FD4688"/>
    <w:rsid w:val="00FD4975"/>
    <w:rsid w:val="00FD5051"/>
    <w:rsid w:val="00FD522D"/>
    <w:rsid w:val="00FD5958"/>
    <w:rsid w:val="00FD5A0F"/>
    <w:rsid w:val="00FD5E72"/>
    <w:rsid w:val="00FD6CAB"/>
    <w:rsid w:val="00FD756D"/>
    <w:rsid w:val="00FD7972"/>
    <w:rsid w:val="00FD79EA"/>
    <w:rsid w:val="00FD7DE9"/>
    <w:rsid w:val="00FE059A"/>
    <w:rsid w:val="00FE0767"/>
    <w:rsid w:val="00FE0781"/>
    <w:rsid w:val="00FE0841"/>
    <w:rsid w:val="00FE1091"/>
    <w:rsid w:val="00FE2022"/>
    <w:rsid w:val="00FE29AF"/>
    <w:rsid w:val="00FE395C"/>
    <w:rsid w:val="00FE3AD0"/>
    <w:rsid w:val="00FE3DE9"/>
    <w:rsid w:val="00FE54AE"/>
    <w:rsid w:val="00FE5CBF"/>
    <w:rsid w:val="00FE6176"/>
    <w:rsid w:val="00FF1997"/>
    <w:rsid w:val="00FF1E56"/>
    <w:rsid w:val="00FF2122"/>
    <w:rsid w:val="00FF2339"/>
    <w:rsid w:val="00FF2430"/>
    <w:rsid w:val="00FF26B9"/>
    <w:rsid w:val="00FF29E9"/>
    <w:rsid w:val="00FF33AA"/>
    <w:rsid w:val="00FF3613"/>
    <w:rsid w:val="00FF371D"/>
    <w:rsid w:val="00FF4B33"/>
    <w:rsid w:val="00FF53F1"/>
    <w:rsid w:val="00FF581C"/>
    <w:rsid w:val="00FF5F6F"/>
    <w:rsid w:val="00FF637D"/>
    <w:rsid w:val="00FF64CF"/>
    <w:rsid w:val="00FF6812"/>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0"/>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table" w:customStyle="1" w:styleId="TableGrid1">
    <w:name w:val="Table Grid1"/>
    <w:basedOn w:val="TableNormal"/>
    <w:next w:val="TableGrid"/>
    <w:uiPriority w:val="59"/>
    <w:rsid w:val="004559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B38"/>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194FD7"/>
    <w:rPr>
      <w:rFonts w:ascii="Calibri" w:eastAsia="Calibri" w:hAnsi="Calibri"/>
      <w:sz w:val="22"/>
      <w:szCs w:val="22"/>
      <w:lang w:val="en-US" w:eastAsia="en-US"/>
    </w:rPr>
  </w:style>
  <w:style w:type="character" w:customStyle="1" w:styleId="normaltextrun">
    <w:name w:val="normaltextrun"/>
    <w:basedOn w:val="DefaultParagraphFont"/>
    <w:rsid w:val="007C31A6"/>
  </w:style>
  <w:style w:type="character" w:customStyle="1" w:styleId="spellingerror">
    <w:name w:val="spellingerror"/>
    <w:basedOn w:val="DefaultParagraphFont"/>
    <w:rsid w:val="007C31A6"/>
  </w:style>
  <w:style w:type="character" w:customStyle="1" w:styleId="eop">
    <w:name w:val="eop"/>
    <w:basedOn w:val="DefaultParagraphFont"/>
    <w:rsid w:val="007C31A6"/>
  </w:style>
  <w:style w:type="character" w:customStyle="1" w:styleId="CommentSubjectChar">
    <w:name w:val="Comment Subject Char"/>
    <w:basedOn w:val="CommentTextChar"/>
    <w:link w:val="CommentSubject"/>
    <w:semiHidden/>
    <w:rsid w:val="00B47A45"/>
    <w:rPr>
      <w:rFonts w:ascii="Book Antiqua" w:hAnsi="Book Antiqua"/>
      <w:b/>
      <w:bCs/>
      <w:lang w:val="x-none" w:eastAsia="x-none"/>
    </w:rPr>
  </w:style>
  <w:style w:type="paragraph" w:customStyle="1" w:styleId="TableParagraph">
    <w:name w:val="Table Paragraph"/>
    <w:basedOn w:val="Normal"/>
    <w:uiPriority w:val="1"/>
    <w:qFormat/>
    <w:rsid w:val="005D36C8"/>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771EDB"/>
    <w:pPr>
      <w:spacing w:after="360"/>
      <w:outlineLvl w:val="9"/>
    </w:pPr>
    <w:rPr>
      <w:rFonts w:ascii="Arial" w:hAnsi="Arial"/>
      <w:smallCaps/>
      <w:kern w:val="28"/>
      <w:sz w:val="34"/>
      <w:lang w:val="x-none"/>
    </w:rPr>
  </w:style>
  <w:style w:type="character" w:customStyle="1" w:styleId="FootnoteTextChar">
    <w:name w:val="Footnote Text Char"/>
    <w:basedOn w:val="DefaultParagraphFont"/>
    <w:link w:val="FootnoteText"/>
    <w:rsid w:val="00D8337D"/>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509450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0797022">
      <w:bodyDiv w:val="1"/>
      <w:marLeft w:val="0"/>
      <w:marRight w:val="0"/>
      <w:marTop w:val="0"/>
      <w:marBottom w:val="0"/>
      <w:divBdr>
        <w:top w:val="none" w:sz="0" w:space="0" w:color="auto"/>
        <w:left w:val="none" w:sz="0" w:space="0" w:color="auto"/>
        <w:bottom w:val="none" w:sz="0" w:space="0" w:color="auto"/>
        <w:right w:val="none" w:sz="0" w:space="0" w:color="auto"/>
      </w:divBdr>
    </w:div>
    <w:div w:id="27112831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312220">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6592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556420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0662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93830">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pea.gov.au/home/publications-fact-sheets" TargetMode="External"/><Relationship Id="rId32" Type="http://schemas.openxmlformats.org/officeDocument/2006/relationships/image" Target="media/image10.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pea.gov.au/home/publications-fact-sheets" TargetMode="External"/><Relationship Id="rId28" Type="http://schemas.openxmlformats.org/officeDocument/2006/relationships/image" Target="media/image6.emf"/><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5.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purl.org/dc/dcmitype/"/>
    <ds:schemaRef ds:uri="7f038680-7400-4805-8f95-861f74a2174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F08BDF0C-63C0-4940-9E30-924B7D54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1995</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2022-03-26T07:31:00Z</dcterms:created>
  <dcterms:modified xsi:type="dcterms:W3CDTF">2022-03-28T00:06:00Z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