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28C" w:rsidRDefault="00E0355E" w:rsidP="00E2528C">
      <w:pPr>
        <w:pStyle w:val="PartHeading"/>
      </w:pPr>
      <w:r>
        <w:t>Australian Electoral Commission</w:t>
      </w:r>
    </w:p>
    <w:p w:rsidR="00E2528C" w:rsidRDefault="00E2528C" w:rsidP="00E2528C">
      <w:pPr>
        <w:pStyle w:val="PartHeading"/>
      </w:pPr>
    </w:p>
    <w:p w:rsidR="00E2528C" w:rsidRDefault="00E2528C" w:rsidP="00E2528C">
      <w:pPr>
        <w:pStyle w:val="PartHeading-TOC"/>
      </w:pPr>
      <w:r>
        <w:t>Entity resources and planned performance</w:t>
      </w:r>
    </w:p>
    <w:p w:rsidR="00E2528C" w:rsidRDefault="00E2528C" w:rsidP="00E2528C">
      <w:pPr>
        <w:pStyle w:val="ContentsHeading"/>
        <w:sectPr w:rsidR="00E2528C" w:rsidSect="00E2528C">
          <w:footerReference w:type="even" r:id="rId14"/>
          <w:footerReference w:type="default" r:id="rId15"/>
          <w:type w:val="oddPage"/>
          <w:pgSz w:w="11906" w:h="16838" w:code="9"/>
          <w:pgMar w:top="2835" w:right="2098" w:bottom="2466" w:left="2098" w:header="1814" w:footer="1814" w:gutter="0"/>
          <w:cols w:space="708"/>
          <w:vAlign w:val="center"/>
          <w:titlePg/>
          <w:docGrid w:linePitch="360"/>
        </w:sectPr>
      </w:pPr>
    </w:p>
    <w:p w:rsidR="00BF35D9" w:rsidRPr="002A32FD" w:rsidRDefault="00BF35D9" w:rsidP="00BF35D9">
      <w:pPr>
        <w:pStyle w:val="ContentsHeading"/>
      </w:pPr>
      <w:r>
        <w:lastRenderedPageBreak/>
        <w:t>Australian Electoral Commission</w:t>
      </w:r>
    </w:p>
    <w:p w:rsidR="00F909F5" w:rsidRDefault="00BF35D9">
      <w:pPr>
        <w:pStyle w:val="TOC1"/>
        <w:rPr>
          <w:rFonts w:asciiTheme="minorHAnsi" w:eastAsiaTheme="minorEastAsia" w:hAnsiTheme="minorHAnsi" w:cstheme="minorBidi"/>
          <w:b w:val="0"/>
          <w:caps w:val="0"/>
          <w:noProof/>
          <w:sz w:val="22"/>
          <w:szCs w:val="22"/>
          <w:lang w:eastAsia="zh-CN"/>
        </w:rPr>
      </w:pPr>
      <w:r>
        <w:fldChar w:fldCharType="begin"/>
      </w:r>
      <w:r>
        <w:instrText xml:space="preserve"> TOC \h \z \t "Heading 2,1,Heading 3,2"</w:instrText>
      </w:r>
      <w:r w:rsidR="00B90763">
        <w:instrText xml:space="preserve"> \b aec</w:instrText>
      </w:r>
      <w:r>
        <w:instrText xml:space="preserve"> </w:instrText>
      </w:r>
      <w:r>
        <w:fldChar w:fldCharType="separate"/>
      </w:r>
      <w:hyperlink w:anchor="_Toc98181321" w:history="1">
        <w:r w:rsidR="00F909F5" w:rsidRPr="00964F36">
          <w:rPr>
            <w:rStyle w:val="Hyperlink"/>
            <w:noProof/>
          </w:rPr>
          <w:t>Section 1: Entity overview and resources</w:t>
        </w:r>
        <w:r w:rsidR="00F909F5">
          <w:rPr>
            <w:noProof/>
            <w:webHidden/>
          </w:rPr>
          <w:tab/>
        </w:r>
        <w:r w:rsidR="00F909F5">
          <w:rPr>
            <w:noProof/>
            <w:webHidden/>
          </w:rPr>
          <w:fldChar w:fldCharType="begin"/>
        </w:r>
        <w:r w:rsidR="00F909F5">
          <w:rPr>
            <w:noProof/>
            <w:webHidden/>
          </w:rPr>
          <w:instrText xml:space="preserve"> PAGEREF _Toc98181321 \h </w:instrText>
        </w:r>
        <w:r w:rsidR="00F909F5">
          <w:rPr>
            <w:noProof/>
            <w:webHidden/>
          </w:rPr>
        </w:r>
        <w:r w:rsidR="00F909F5">
          <w:rPr>
            <w:noProof/>
            <w:webHidden/>
          </w:rPr>
          <w:fldChar w:fldCharType="separate"/>
        </w:r>
        <w:r w:rsidR="003B3D60">
          <w:rPr>
            <w:noProof/>
            <w:webHidden/>
          </w:rPr>
          <w:t>71</w:t>
        </w:r>
        <w:r w:rsidR="00F909F5">
          <w:rPr>
            <w:noProof/>
            <w:webHidden/>
          </w:rPr>
          <w:fldChar w:fldCharType="end"/>
        </w:r>
      </w:hyperlink>
    </w:p>
    <w:p w:rsidR="00F909F5" w:rsidRDefault="009E689A">
      <w:pPr>
        <w:pStyle w:val="TOC2"/>
        <w:tabs>
          <w:tab w:val="left" w:pos="800"/>
        </w:tabs>
        <w:rPr>
          <w:rFonts w:asciiTheme="minorHAnsi" w:eastAsiaTheme="minorEastAsia" w:hAnsiTheme="minorHAnsi" w:cstheme="minorBidi"/>
          <w:noProof/>
          <w:sz w:val="22"/>
          <w:szCs w:val="22"/>
          <w:lang w:eastAsia="zh-CN"/>
        </w:rPr>
      </w:pPr>
      <w:hyperlink w:anchor="_Toc98181322" w:history="1">
        <w:r w:rsidR="00F909F5" w:rsidRPr="00964F36">
          <w:rPr>
            <w:rStyle w:val="Hyperlink"/>
            <w:noProof/>
          </w:rPr>
          <w:t>1.1</w:t>
        </w:r>
        <w:r w:rsidR="00F909F5">
          <w:rPr>
            <w:rFonts w:asciiTheme="minorHAnsi" w:eastAsiaTheme="minorEastAsia" w:hAnsiTheme="minorHAnsi" w:cstheme="minorBidi"/>
            <w:noProof/>
            <w:sz w:val="22"/>
            <w:szCs w:val="22"/>
            <w:lang w:eastAsia="zh-CN"/>
          </w:rPr>
          <w:tab/>
        </w:r>
        <w:r w:rsidR="00F909F5" w:rsidRPr="00964F36">
          <w:rPr>
            <w:rStyle w:val="Hyperlink"/>
            <w:noProof/>
          </w:rPr>
          <w:t>Strategic direction statement</w:t>
        </w:r>
        <w:r w:rsidR="00F909F5">
          <w:rPr>
            <w:noProof/>
            <w:webHidden/>
          </w:rPr>
          <w:tab/>
        </w:r>
        <w:r w:rsidR="00F909F5">
          <w:rPr>
            <w:noProof/>
            <w:webHidden/>
          </w:rPr>
          <w:fldChar w:fldCharType="begin"/>
        </w:r>
        <w:r w:rsidR="00F909F5">
          <w:rPr>
            <w:noProof/>
            <w:webHidden/>
          </w:rPr>
          <w:instrText xml:space="preserve"> PAGEREF _Toc98181322 \h </w:instrText>
        </w:r>
        <w:r w:rsidR="00F909F5">
          <w:rPr>
            <w:noProof/>
            <w:webHidden/>
          </w:rPr>
        </w:r>
        <w:r w:rsidR="00F909F5">
          <w:rPr>
            <w:noProof/>
            <w:webHidden/>
          </w:rPr>
          <w:fldChar w:fldCharType="separate"/>
        </w:r>
        <w:r w:rsidR="003B3D60">
          <w:rPr>
            <w:noProof/>
            <w:webHidden/>
          </w:rPr>
          <w:t>71</w:t>
        </w:r>
        <w:r w:rsidR="00F909F5">
          <w:rPr>
            <w:noProof/>
            <w:webHidden/>
          </w:rPr>
          <w:fldChar w:fldCharType="end"/>
        </w:r>
      </w:hyperlink>
    </w:p>
    <w:p w:rsidR="00F909F5" w:rsidRDefault="009E689A">
      <w:pPr>
        <w:pStyle w:val="TOC2"/>
        <w:tabs>
          <w:tab w:val="left" w:pos="800"/>
        </w:tabs>
        <w:rPr>
          <w:rFonts w:asciiTheme="minorHAnsi" w:eastAsiaTheme="minorEastAsia" w:hAnsiTheme="minorHAnsi" w:cstheme="minorBidi"/>
          <w:noProof/>
          <w:sz w:val="22"/>
          <w:szCs w:val="22"/>
          <w:lang w:eastAsia="zh-CN"/>
        </w:rPr>
      </w:pPr>
      <w:hyperlink w:anchor="_Toc98181323" w:history="1">
        <w:r w:rsidR="00F909F5" w:rsidRPr="00964F36">
          <w:rPr>
            <w:rStyle w:val="Hyperlink"/>
            <w:noProof/>
          </w:rPr>
          <w:t>1.2</w:t>
        </w:r>
        <w:r w:rsidR="00F909F5">
          <w:rPr>
            <w:rFonts w:asciiTheme="minorHAnsi" w:eastAsiaTheme="minorEastAsia" w:hAnsiTheme="minorHAnsi" w:cstheme="minorBidi"/>
            <w:noProof/>
            <w:sz w:val="22"/>
            <w:szCs w:val="22"/>
            <w:lang w:eastAsia="zh-CN"/>
          </w:rPr>
          <w:tab/>
        </w:r>
        <w:r w:rsidR="00F909F5" w:rsidRPr="00964F36">
          <w:rPr>
            <w:rStyle w:val="Hyperlink"/>
            <w:noProof/>
          </w:rPr>
          <w:t>Entity resource statement</w:t>
        </w:r>
        <w:r w:rsidR="00F909F5">
          <w:rPr>
            <w:noProof/>
            <w:webHidden/>
          </w:rPr>
          <w:tab/>
        </w:r>
        <w:r w:rsidR="00F909F5">
          <w:rPr>
            <w:noProof/>
            <w:webHidden/>
          </w:rPr>
          <w:fldChar w:fldCharType="begin"/>
        </w:r>
        <w:r w:rsidR="00F909F5">
          <w:rPr>
            <w:noProof/>
            <w:webHidden/>
          </w:rPr>
          <w:instrText xml:space="preserve"> PAGEREF _Toc98181323 \h </w:instrText>
        </w:r>
        <w:r w:rsidR="00F909F5">
          <w:rPr>
            <w:noProof/>
            <w:webHidden/>
          </w:rPr>
        </w:r>
        <w:r w:rsidR="00F909F5">
          <w:rPr>
            <w:noProof/>
            <w:webHidden/>
          </w:rPr>
          <w:fldChar w:fldCharType="separate"/>
        </w:r>
        <w:r w:rsidR="003B3D60">
          <w:rPr>
            <w:noProof/>
            <w:webHidden/>
          </w:rPr>
          <w:t>72</w:t>
        </w:r>
        <w:r w:rsidR="00F909F5">
          <w:rPr>
            <w:noProof/>
            <w:webHidden/>
          </w:rPr>
          <w:fldChar w:fldCharType="end"/>
        </w:r>
      </w:hyperlink>
    </w:p>
    <w:p w:rsidR="00F909F5" w:rsidRDefault="009E689A">
      <w:pPr>
        <w:pStyle w:val="TOC2"/>
        <w:tabs>
          <w:tab w:val="left" w:pos="800"/>
        </w:tabs>
        <w:rPr>
          <w:rFonts w:asciiTheme="minorHAnsi" w:eastAsiaTheme="minorEastAsia" w:hAnsiTheme="minorHAnsi" w:cstheme="minorBidi"/>
          <w:noProof/>
          <w:sz w:val="22"/>
          <w:szCs w:val="22"/>
          <w:lang w:eastAsia="zh-CN"/>
        </w:rPr>
      </w:pPr>
      <w:hyperlink w:anchor="_Toc98181324" w:history="1">
        <w:r w:rsidR="00F909F5" w:rsidRPr="00964F36">
          <w:rPr>
            <w:rStyle w:val="Hyperlink"/>
            <w:noProof/>
          </w:rPr>
          <w:t>1.3</w:t>
        </w:r>
        <w:r w:rsidR="00F909F5">
          <w:rPr>
            <w:rFonts w:asciiTheme="minorHAnsi" w:eastAsiaTheme="minorEastAsia" w:hAnsiTheme="minorHAnsi" w:cstheme="minorBidi"/>
            <w:noProof/>
            <w:sz w:val="22"/>
            <w:szCs w:val="22"/>
            <w:lang w:eastAsia="zh-CN"/>
          </w:rPr>
          <w:tab/>
        </w:r>
        <w:r w:rsidR="00F909F5" w:rsidRPr="00964F36">
          <w:rPr>
            <w:rStyle w:val="Hyperlink"/>
            <w:noProof/>
          </w:rPr>
          <w:t>Budget measures</w:t>
        </w:r>
        <w:r w:rsidR="00F909F5">
          <w:rPr>
            <w:noProof/>
            <w:webHidden/>
          </w:rPr>
          <w:tab/>
        </w:r>
        <w:r w:rsidR="00F909F5">
          <w:rPr>
            <w:noProof/>
            <w:webHidden/>
          </w:rPr>
          <w:fldChar w:fldCharType="begin"/>
        </w:r>
        <w:r w:rsidR="00F909F5">
          <w:rPr>
            <w:noProof/>
            <w:webHidden/>
          </w:rPr>
          <w:instrText xml:space="preserve"> PAGEREF _Toc98181324 \h </w:instrText>
        </w:r>
        <w:r w:rsidR="00F909F5">
          <w:rPr>
            <w:noProof/>
            <w:webHidden/>
          </w:rPr>
        </w:r>
        <w:r w:rsidR="00F909F5">
          <w:rPr>
            <w:noProof/>
            <w:webHidden/>
          </w:rPr>
          <w:fldChar w:fldCharType="separate"/>
        </w:r>
        <w:r w:rsidR="003B3D60">
          <w:rPr>
            <w:noProof/>
            <w:webHidden/>
          </w:rPr>
          <w:t>73</w:t>
        </w:r>
        <w:r w:rsidR="00F909F5">
          <w:rPr>
            <w:noProof/>
            <w:webHidden/>
          </w:rPr>
          <w:fldChar w:fldCharType="end"/>
        </w:r>
      </w:hyperlink>
    </w:p>
    <w:p w:rsidR="00F909F5" w:rsidRDefault="009E689A">
      <w:pPr>
        <w:pStyle w:val="TOC1"/>
        <w:rPr>
          <w:rFonts w:asciiTheme="minorHAnsi" w:eastAsiaTheme="minorEastAsia" w:hAnsiTheme="minorHAnsi" w:cstheme="minorBidi"/>
          <w:b w:val="0"/>
          <w:caps w:val="0"/>
          <w:noProof/>
          <w:sz w:val="22"/>
          <w:szCs w:val="22"/>
          <w:lang w:eastAsia="zh-CN"/>
        </w:rPr>
      </w:pPr>
      <w:hyperlink w:anchor="_Toc98181325" w:history="1">
        <w:r w:rsidR="00F909F5" w:rsidRPr="00964F36">
          <w:rPr>
            <w:rStyle w:val="Hyperlink"/>
            <w:noProof/>
          </w:rPr>
          <w:t>Section 2: Outcomes and planned performance</w:t>
        </w:r>
        <w:r w:rsidR="00F909F5">
          <w:rPr>
            <w:noProof/>
            <w:webHidden/>
          </w:rPr>
          <w:tab/>
        </w:r>
        <w:r w:rsidR="00F909F5">
          <w:rPr>
            <w:noProof/>
            <w:webHidden/>
          </w:rPr>
          <w:fldChar w:fldCharType="begin"/>
        </w:r>
        <w:r w:rsidR="00F909F5">
          <w:rPr>
            <w:noProof/>
            <w:webHidden/>
          </w:rPr>
          <w:instrText xml:space="preserve"> PAGEREF _Toc98181325 \h </w:instrText>
        </w:r>
        <w:r w:rsidR="00F909F5">
          <w:rPr>
            <w:noProof/>
            <w:webHidden/>
          </w:rPr>
        </w:r>
        <w:r w:rsidR="00F909F5">
          <w:rPr>
            <w:noProof/>
            <w:webHidden/>
          </w:rPr>
          <w:fldChar w:fldCharType="separate"/>
        </w:r>
        <w:r w:rsidR="003B3D60">
          <w:rPr>
            <w:noProof/>
            <w:webHidden/>
          </w:rPr>
          <w:t>74</w:t>
        </w:r>
        <w:r w:rsidR="00F909F5">
          <w:rPr>
            <w:noProof/>
            <w:webHidden/>
          </w:rPr>
          <w:fldChar w:fldCharType="end"/>
        </w:r>
      </w:hyperlink>
    </w:p>
    <w:p w:rsidR="00F909F5" w:rsidRDefault="009E689A">
      <w:pPr>
        <w:pStyle w:val="TOC2"/>
        <w:tabs>
          <w:tab w:val="left" w:pos="800"/>
        </w:tabs>
        <w:rPr>
          <w:rFonts w:asciiTheme="minorHAnsi" w:eastAsiaTheme="minorEastAsia" w:hAnsiTheme="minorHAnsi" w:cstheme="minorBidi"/>
          <w:noProof/>
          <w:sz w:val="22"/>
          <w:szCs w:val="22"/>
          <w:lang w:eastAsia="zh-CN"/>
        </w:rPr>
      </w:pPr>
      <w:hyperlink w:anchor="_Toc98181326" w:history="1">
        <w:r w:rsidR="00F909F5" w:rsidRPr="00964F36">
          <w:rPr>
            <w:rStyle w:val="Hyperlink"/>
            <w:noProof/>
          </w:rPr>
          <w:t xml:space="preserve">2.1 </w:t>
        </w:r>
        <w:r w:rsidR="00F909F5">
          <w:rPr>
            <w:rFonts w:asciiTheme="minorHAnsi" w:eastAsiaTheme="minorEastAsia" w:hAnsiTheme="minorHAnsi" w:cstheme="minorBidi"/>
            <w:noProof/>
            <w:sz w:val="22"/>
            <w:szCs w:val="22"/>
            <w:lang w:eastAsia="zh-CN"/>
          </w:rPr>
          <w:tab/>
        </w:r>
        <w:r w:rsidR="00F909F5" w:rsidRPr="00964F36">
          <w:rPr>
            <w:rStyle w:val="Hyperlink"/>
            <w:noProof/>
          </w:rPr>
          <w:t>Budgeted expenses and performance for Outcome 1</w:t>
        </w:r>
        <w:r w:rsidR="00F909F5">
          <w:rPr>
            <w:noProof/>
            <w:webHidden/>
          </w:rPr>
          <w:tab/>
        </w:r>
        <w:r w:rsidR="00F909F5">
          <w:rPr>
            <w:noProof/>
            <w:webHidden/>
          </w:rPr>
          <w:fldChar w:fldCharType="begin"/>
        </w:r>
        <w:r w:rsidR="00F909F5">
          <w:rPr>
            <w:noProof/>
            <w:webHidden/>
          </w:rPr>
          <w:instrText xml:space="preserve"> PAGEREF _Toc98181326 \h </w:instrText>
        </w:r>
        <w:r w:rsidR="00F909F5">
          <w:rPr>
            <w:noProof/>
            <w:webHidden/>
          </w:rPr>
        </w:r>
        <w:r w:rsidR="00F909F5">
          <w:rPr>
            <w:noProof/>
            <w:webHidden/>
          </w:rPr>
          <w:fldChar w:fldCharType="separate"/>
        </w:r>
        <w:r w:rsidR="003B3D60">
          <w:rPr>
            <w:noProof/>
            <w:webHidden/>
          </w:rPr>
          <w:t>75</w:t>
        </w:r>
        <w:r w:rsidR="00F909F5">
          <w:rPr>
            <w:noProof/>
            <w:webHidden/>
          </w:rPr>
          <w:fldChar w:fldCharType="end"/>
        </w:r>
      </w:hyperlink>
    </w:p>
    <w:p w:rsidR="00F909F5" w:rsidRDefault="009E689A">
      <w:pPr>
        <w:pStyle w:val="TOC1"/>
        <w:rPr>
          <w:rFonts w:asciiTheme="minorHAnsi" w:eastAsiaTheme="minorEastAsia" w:hAnsiTheme="minorHAnsi" w:cstheme="minorBidi"/>
          <w:b w:val="0"/>
          <w:caps w:val="0"/>
          <w:noProof/>
          <w:sz w:val="22"/>
          <w:szCs w:val="22"/>
          <w:lang w:eastAsia="zh-CN"/>
        </w:rPr>
      </w:pPr>
      <w:hyperlink w:anchor="_Toc98181327" w:history="1">
        <w:r w:rsidR="00F909F5" w:rsidRPr="00964F36">
          <w:rPr>
            <w:rStyle w:val="Hyperlink"/>
            <w:noProof/>
          </w:rPr>
          <w:t>Section 3: Budgeted financial statements</w:t>
        </w:r>
        <w:r w:rsidR="00F909F5">
          <w:rPr>
            <w:noProof/>
            <w:webHidden/>
          </w:rPr>
          <w:tab/>
        </w:r>
        <w:r w:rsidR="00F909F5">
          <w:rPr>
            <w:noProof/>
            <w:webHidden/>
          </w:rPr>
          <w:fldChar w:fldCharType="begin"/>
        </w:r>
        <w:r w:rsidR="00F909F5">
          <w:rPr>
            <w:noProof/>
            <w:webHidden/>
          </w:rPr>
          <w:instrText xml:space="preserve"> PAGEREF _Toc98181327 \h </w:instrText>
        </w:r>
        <w:r w:rsidR="00F909F5">
          <w:rPr>
            <w:noProof/>
            <w:webHidden/>
          </w:rPr>
        </w:r>
        <w:r w:rsidR="00F909F5">
          <w:rPr>
            <w:noProof/>
            <w:webHidden/>
          </w:rPr>
          <w:fldChar w:fldCharType="separate"/>
        </w:r>
        <w:r w:rsidR="003B3D60">
          <w:rPr>
            <w:noProof/>
            <w:webHidden/>
          </w:rPr>
          <w:t>81</w:t>
        </w:r>
        <w:r w:rsidR="00F909F5">
          <w:rPr>
            <w:noProof/>
            <w:webHidden/>
          </w:rPr>
          <w:fldChar w:fldCharType="end"/>
        </w:r>
      </w:hyperlink>
    </w:p>
    <w:p w:rsidR="00F909F5" w:rsidRDefault="009E689A">
      <w:pPr>
        <w:pStyle w:val="TOC2"/>
        <w:tabs>
          <w:tab w:val="left" w:pos="800"/>
        </w:tabs>
        <w:rPr>
          <w:rFonts w:asciiTheme="minorHAnsi" w:eastAsiaTheme="minorEastAsia" w:hAnsiTheme="minorHAnsi" w:cstheme="minorBidi"/>
          <w:noProof/>
          <w:sz w:val="22"/>
          <w:szCs w:val="22"/>
          <w:lang w:eastAsia="zh-CN"/>
        </w:rPr>
      </w:pPr>
      <w:hyperlink w:anchor="_Toc98181328" w:history="1">
        <w:r w:rsidR="00F909F5" w:rsidRPr="00964F36">
          <w:rPr>
            <w:rStyle w:val="Hyperlink"/>
            <w:noProof/>
          </w:rPr>
          <w:t>3.1</w:t>
        </w:r>
        <w:r w:rsidR="00F909F5">
          <w:rPr>
            <w:rFonts w:asciiTheme="minorHAnsi" w:eastAsiaTheme="minorEastAsia" w:hAnsiTheme="minorHAnsi" w:cstheme="minorBidi"/>
            <w:noProof/>
            <w:sz w:val="22"/>
            <w:szCs w:val="22"/>
            <w:lang w:eastAsia="zh-CN"/>
          </w:rPr>
          <w:tab/>
        </w:r>
        <w:r w:rsidR="00F909F5" w:rsidRPr="00964F36">
          <w:rPr>
            <w:rStyle w:val="Hyperlink"/>
            <w:noProof/>
          </w:rPr>
          <w:t>Budgeted financial statements</w:t>
        </w:r>
        <w:r w:rsidR="00F909F5">
          <w:rPr>
            <w:noProof/>
            <w:webHidden/>
          </w:rPr>
          <w:tab/>
        </w:r>
        <w:r w:rsidR="00F909F5">
          <w:rPr>
            <w:noProof/>
            <w:webHidden/>
          </w:rPr>
          <w:fldChar w:fldCharType="begin"/>
        </w:r>
        <w:r w:rsidR="00F909F5">
          <w:rPr>
            <w:noProof/>
            <w:webHidden/>
          </w:rPr>
          <w:instrText xml:space="preserve"> PAGEREF _Toc98181328 \h </w:instrText>
        </w:r>
        <w:r w:rsidR="00F909F5">
          <w:rPr>
            <w:noProof/>
            <w:webHidden/>
          </w:rPr>
        </w:r>
        <w:r w:rsidR="00F909F5">
          <w:rPr>
            <w:noProof/>
            <w:webHidden/>
          </w:rPr>
          <w:fldChar w:fldCharType="separate"/>
        </w:r>
        <w:r w:rsidR="003B3D60">
          <w:rPr>
            <w:noProof/>
            <w:webHidden/>
          </w:rPr>
          <w:t>81</w:t>
        </w:r>
        <w:r w:rsidR="00F909F5">
          <w:rPr>
            <w:noProof/>
            <w:webHidden/>
          </w:rPr>
          <w:fldChar w:fldCharType="end"/>
        </w:r>
      </w:hyperlink>
    </w:p>
    <w:p w:rsidR="00BF35D9" w:rsidRDefault="00BF35D9" w:rsidP="00BF35D9">
      <w:pPr>
        <w:pStyle w:val="Source"/>
        <w:jc w:val="center"/>
        <w:sectPr w:rsidR="00BF35D9" w:rsidSect="006127BD">
          <w:headerReference w:type="first" r:id="rId16"/>
          <w:footerReference w:type="first" r:id="rId17"/>
          <w:type w:val="oddPage"/>
          <w:pgSz w:w="11906" w:h="16838" w:code="9"/>
          <w:pgMar w:top="2835" w:right="2098" w:bottom="2466" w:left="2098" w:header="1814" w:footer="1814" w:gutter="0"/>
          <w:cols w:space="708"/>
          <w:titlePg/>
          <w:docGrid w:linePitch="360"/>
        </w:sectPr>
      </w:pPr>
      <w:r>
        <w:fldChar w:fldCharType="end"/>
      </w:r>
    </w:p>
    <w:p w:rsidR="00BF35D9" w:rsidRDefault="00BF35D9" w:rsidP="00BF35D9">
      <w:pPr>
        <w:pStyle w:val="Heading1"/>
      </w:pPr>
      <w:bookmarkStart w:id="0" w:name="_Toc97893017"/>
      <w:r>
        <w:lastRenderedPageBreak/>
        <w:t xml:space="preserve">Australian Electoral </w:t>
      </w:r>
      <w:r w:rsidR="008866EF">
        <w:t>Commission</w:t>
      </w:r>
      <w:bookmarkEnd w:id="0"/>
    </w:p>
    <w:p w:rsidR="00BF35D9" w:rsidRPr="002C4D41" w:rsidRDefault="00BF35D9" w:rsidP="00BF35D9">
      <w:pPr>
        <w:pStyle w:val="Heading2"/>
      </w:pPr>
      <w:bookmarkStart w:id="1" w:name="_Toc98181321"/>
      <w:bookmarkStart w:id="2" w:name="AEC"/>
      <w:r w:rsidRPr="002C4D41">
        <w:t xml:space="preserve">Section 1: Entity overview and </w:t>
      </w:r>
      <w:r>
        <w:t>reso</w:t>
      </w:r>
      <w:r w:rsidRPr="002C4D41">
        <w:t>urces</w:t>
      </w:r>
      <w:bookmarkEnd w:id="1"/>
    </w:p>
    <w:p w:rsidR="00BF35D9" w:rsidRDefault="00BF35D9" w:rsidP="00BF35D9">
      <w:pPr>
        <w:pStyle w:val="Heading3"/>
      </w:pPr>
      <w:bookmarkStart w:id="3" w:name="_Toc98181322"/>
      <w:r>
        <w:t>1.1</w:t>
      </w:r>
      <w:r>
        <w:tab/>
        <w:t>Strategic direction statement</w:t>
      </w:r>
      <w:bookmarkEnd w:id="3"/>
    </w:p>
    <w:p w:rsidR="00BF35D9" w:rsidRPr="00B1643C" w:rsidRDefault="00BF35D9" w:rsidP="00BF35D9">
      <w:r w:rsidRPr="00B1643C">
        <w:t xml:space="preserve">The Australian Electoral Commission (AEC) administers the </w:t>
      </w:r>
      <w:r w:rsidRPr="00506EBE">
        <w:rPr>
          <w:i/>
        </w:rPr>
        <w:t>Commonwealth Electoral Act 1918</w:t>
      </w:r>
      <w:r w:rsidRPr="00B1643C">
        <w:t xml:space="preserve"> (the Electoral Act), making it responsible for:</w:t>
      </w:r>
    </w:p>
    <w:p w:rsidR="00BF35D9" w:rsidRPr="00F83BFE" w:rsidRDefault="00BF35D9" w:rsidP="00F76FE4">
      <w:pPr>
        <w:pStyle w:val="ListParagraph"/>
        <w:numPr>
          <w:ilvl w:val="0"/>
          <w:numId w:val="22"/>
        </w:numPr>
        <w:spacing w:line="240" w:lineRule="auto"/>
        <w:ind w:left="567" w:hanging="357"/>
        <w:jc w:val="both"/>
        <w:rPr>
          <w:rFonts w:ascii="Book Antiqua" w:eastAsia="Times New Roman" w:hAnsi="Book Antiqua" w:cs="Arial"/>
          <w:sz w:val="20"/>
          <w:szCs w:val="20"/>
          <w:lang w:val="en-AU" w:eastAsia="en-AU"/>
        </w:rPr>
      </w:pPr>
      <w:r w:rsidRPr="00F83BFE">
        <w:rPr>
          <w:rFonts w:ascii="Book Antiqua" w:eastAsia="Times New Roman" w:hAnsi="Book Antiqua" w:cs="Arial"/>
          <w:sz w:val="20"/>
          <w:szCs w:val="20"/>
          <w:lang w:val="en-AU" w:eastAsia="en-AU"/>
        </w:rPr>
        <w:t>conducting electoral events, including federal elections, by-elections and referendums, and industrial elections and ballots</w:t>
      </w:r>
    </w:p>
    <w:p w:rsidR="009C5D44" w:rsidRPr="00F83BFE" w:rsidRDefault="009C5D44" w:rsidP="00B1643C">
      <w:pPr>
        <w:pStyle w:val="ListParagraph"/>
        <w:spacing w:line="240" w:lineRule="auto"/>
        <w:ind w:left="567" w:hanging="357"/>
        <w:jc w:val="both"/>
        <w:rPr>
          <w:rFonts w:ascii="Book Antiqua" w:eastAsia="Times New Roman" w:hAnsi="Book Antiqua" w:cs="Arial"/>
          <w:sz w:val="20"/>
          <w:szCs w:val="20"/>
          <w:lang w:val="en-AU" w:eastAsia="en-AU"/>
        </w:rPr>
      </w:pPr>
    </w:p>
    <w:p w:rsidR="00BF35D9" w:rsidRPr="00F83BFE" w:rsidRDefault="00BF35D9" w:rsidP="00F76FE4">
      <w:pPr>
        <w:pStyle w:val="ListParagraph"/>
        <w:numPr>
          <w:ilvl w:val="0"/>
          <w:numId w:val="22"/>
        </w:numPr>
        <w:spacing w:line="240" w:lineRule="auto"/>
        <w:ind w:left="567" w:hanging="357"/>
        <w:jc w:val="both"/>
        <w:rPr>
          <w:rFonts w:ascii="Book Antiqua" w:eastAsia="Times New Roman" w:hAnsi="Book Antiqua" w:cs="Arial"/>
          <w:sz w:val="20"/>
          <w:szCs w:val="20"/>
          <w:lang w:val="en-AU" w:eastAsia="en-AU"/>
        </w:rPr>
      </w:pPr>
      <w:r w:rsidRPr="00F83BFE">
        <w:rPr>
          <w:rFonts w:ascii="Book Antiqua" w:eastAsia="Times New Roman" w:hAnsi="Book Antiqua" w:cs="Arial"/>
          <w:sz w:val="20"/>
          <w:szCs w:val="20"/>
          <w:lang w:val="en-AU" w:eastAsia="en-AU"/>
        </w:rPr>
        <w:t>ensuring confidence in the Commonwealth Electoral Roll</w:t>
      </w:r>
    </w:p>
    <w:p w:rsidR="009C5D44" w:rsidRPr="00F83BFE" w:rsidRDefault="009C5D44" w:rsidP="00B1643C">
      <w:pPr>
        <w:pStyle w:val="ListParagraph"/>
        <w:spacing w:line="240" w:lineRule="auto"/>
        <w:ind w:left="567" w:hanging="357"/>
        <w:jc w:val="both"/>
        <w:rPr>
          <w:rFonts w:ascii="Book Antiqua" w:eastAsia="Times New Roman" w:hAnsi="Book Antiqua" w:cs="Arial"/>
          <w:sz w:val="20"/>
          <w:szCs w:val="20"/>
          <w:lang w:val="en-AU" w:eastAsia="en-AU"/>
        </w:rPr>
      </w:pPr>
    </w:p>
    <w:p w:rsidR="00BF35D9" w:rsidRPr="00F83BFE" w:rsidRDefault="00BF35D9" w:rsidP="00F76FE4">
      <w:pPr>
        <w:pStyle w:val="ListParagraph"/>
        <w:numPr>
          <w:ilvl w:val="0"/>
          <w:numId w:val="22"/>
        </w:numPr>
        <w:spacing w:line="240" w:lineRule="auto"/>
        <w:ind w:left="567" w:hanging="357"/>
        <w:jc w:val="both"/>
        <w:rPr>
          <w:rFonts w:ascii="Book Antiqua" w:eastAsia="Times New Roman" w:hAnsi="Book Antiqua" w:cs="Arial"/>
          <w:sz w:val="20"/>
          <w:szCs w:val="20"/>
          <w:lang w:val="en-AU" w:eastAsia="en-AU"/>
        </w:rPr>
      </w:pPr>
      <w:r w:rsidRPr="00F83BFE">
        <w:rPr>
          <w:rFonts w:ascii="Book Antiqua" w:eastAsia="Times New Roman" w:hAnsi="Book Antiqua" w:cs="Arial"/>
          <w:sz w:val="20"/>
          <w:szCs w:val="20"/>
          <w:lang w:val="en-AU" w:eastAsia="en-AU"/>
        </w:rPr>
        <w:t>regulating political party registrations and financial disclosure</w:t>
      </w:r>
    </w:p>
    <w:p w:rsidR="009C5D44" w:rsidRPr="00F83BFE" w:rsidRDefault="009C5D44" w:rsidP="00B1643C">
      <w:pPr>
        <w:pStyle w:val="ListParagraph"/>
        <w:spacing w:line="240" w:lineRule="auto"/>
        <w:ind w:left="567" w:hanging="357"/>
        <w:jc w:val="both"/>
        <w:rPr>
          <w:rFonts w:ascii="Book Antiqua" w:eastAsia="Times New Roman" w:hAnsi="Book Antiqua" w:cs="Arial"/>
          <w:sz w:val="20"/>
          <w:szCs w:val="20"/>
          <w:lang w:val="en-AU" w:eastAsia="en-AU"/>
        </w:rPr>
      </w:pPr>
    </w:p>
    <w:p w:rsidR="00BF35D9" w:rsidRPr="00F83BFE" w:rsidRDefault="00BF35D9" w:rsidP="00F76FE4">
      <w:pPr>
        <w:pStyle w:val="ListParagraph"/>
        <w:numPr>
          <w:ilvl w:val="0"/>
          <w:numId w:val="22"/>
        </w:numPr>
        <w:spacing w:line="240" w:lineRule="auto"/>
        <w:ind w:left="567" w:hanging="357"/>
        <w:jc w:val="both"/>
        <w:rPr>
          <w:rFonts w:ascii="Book Antiqua" w:eastAsia="Times New Roman" w:hAnsi="Book Antiqua" w:cs="Arial"/>
          <w:sz w:val="20"/>
          <w:szCs w:val="20"/>
          <w:lang w:val="en-AU" w:eastAsia="en-AU"/>
        </w:rPr>
      </w:pPr>
      <w:r w:rsidRPr="00F83BFE">
        <w:rPr>
          <w:rFonts w:ascii="Book Antiqua" w:eastAsia="Times New Roman" w:hAnsi="Book Antiqua" w:cs="Arial"/>
          <w:sz w:val="20"/>
          <w:szCs w:val="20"/>
          <w:lang w:val="en-AU" w:eastAsia="en-AU"/>
        </w:rPr>
        <w:t>supporting electoral redistributions</w:t>
      </w:r>
    </w:p>
    <w:p w:rsidR="009C5D44" w:rsidRPr="00F83BFE" w:rsidRDefault="009C5D44" w:rsidP="00B1643C">
      <w:pPr>
        <w:pStyle w:val="ListParagraph"/>
        <w:spacing w:line="240" w:lineRule="auto"/>
        <w:ind w:left="567" w:hanging="357"/>
        <w:jc w:val="both"/>
        <w:rPr>
          <w:rFonts w:ascii="Book Antiqua" w:eastAsia="Times New Roman" w:hAnsi="Book Antiqua" w:cs="Arial"/>
          <w:sz w:val="20"/>
          <w:szCs w:val="20"/>
          <w:lang w:val="en-AU" w:eastAsia="en-AU"/>
        </w:rPr>
      </w:pPr>
    </w:p>
    <w:p w:rsidR="00BF35D9" w:rsidRPr="00F83BFE" w:rsidRDefault="00BF35D9" w:rsidP="00F76FE4">
      <w:pPr>
        <w:pStyle w:val="ListParagraph"/>
        <w:numPr>
          <w:ilvl w:val="0"/>
          <w:numId w:val="22"/>
        </w:numPr>
        <w:spacing w:line="240" w:lineRule="auto"/>
        <w:ind w:left="567" w:hanging="357"/>
        <w:jc w:val="both"/>
        <w:rPr>
          <w:rFonts w:ascii="Book Antiqua" w:eastAsia="Times New Roman" w:hAnsi="Book Antiqua" w:cs="Arial"/>
          <w:sz w:val="20"/>
          <w:szCs w:val="20"/>
          <w:lang w:val="en-AU" w:eastAsia="en-AU"/>
        </w:rPr>
      </w:pPr>
      <w:r w:rsidRPr="00F83BFE">
        <w:rPr>
          <w:rFonts w:ascii="Book Antiqua" w:eastAsia="Times New Roman" w:hAnsi="Book Antiqua" w:cs="Arial"/>
          <w:sz w:val="20"/>
          <w:szCs w:val="20"/>
          <w:lang w:val="en-AU" w:eastAsia="en-AU"/>
        </w:rPr>
        <w:t>undertaking public awareness activities.</w:t>
      </w:r>
    </w:p>
    <w:p w:rsidR="00BF35D9" w:rsidRPr="00B1643C" w:rsidRDefault="00BF35D9" w:rsidP="00BF35D9">
      <w:r w:rsidRPr="00B1643C">
        <w:t xml:space="preserve">The AEC also provides a range of electoral information and education programs both in Australia and in support of Australia’s international interests.  </w:t>
      </w:r>
    </w:p>
    <w:p w:rsidR="00BF35D9" w:rsidRPr="00B1643C" w:rsidRDefault="00BF35D9" w:rsidP="00BF35D9">
      <w:r w:rsidRPr="00B1643C">
        <w:t>The AEC’s actions impact on the Australian community as stated in its outcome:</w:t>
      </w:r>
    </w:p>
    <w:p w:rsidR="00BF35D9" w:rsidRPr="0089325C" w:rsidRDefault="00BF35D9" w:rsidP="00BF35D9">
      <w:pPr>
        <w:rPr>
          <w:i/>
        </w:rPr>
      </w:pPr>
      <w:r w:rsidRPr="0089325C">
        <w:rPr>
          <w:i/>
        </w:rPr>
        <w:t>Maintain an impartial and independent electoral system for eligible voters through active electoral roll management, efficient delivery of polling services, and targeted education and public awareness programs.</w:t>
      </w:r>
    </w:p>
    <w:p w:rsidR="00E90803" w:rsidRPr="00F83BFE" w:rsidRDefault="00E90803" w:rsidP="00BF35D9">
      <w:pPr>
        <w:pStyle w:val="Heading3"/>
      </w:pPr>
    </w:p>
    <w:p w:rsidR="00E90803" w:rsidRPr="00E90803" w:rsidRDefault="00E90803" w:rsidP="00150452"/>
    <w:p w:rsidR="00E90803" w:rsidRPr="00E90803" w:rsidRDefault="00E90803" w:rsidP="00150452"/>
    <w:p w:rsidR="00E90803" w:rsidRDefault="00E90803" w:rsidP="00BF35D9">
      <w:pPr>
        <w:pStyle w:val="Heading3"/>
      </w:pPr>
    </w:p>
    <w:p w:rsidR="00E90803" w:rsidRDefault="00E90803" w:rsidP="00150452">
      <w:pPr>
        <w:pStyle w:val="Heading3"/>
        <w:tabs>
          <w:tab w:val="clear" w:pos="709"/>
          <w:tab w:val="left" w:pos="4583"/>
        </w:tabs>
      </w:pPr>
      <w:r>
        <w:tab/>
      </w:r>
    </w:p>
    <w:p w:rsidR="00BF35D9" w:rsidRDefault="00BF35D9" w:rsidP="00BF35D9">
      <w:pPr>
        <w:pStyle w:val="Heading3"/>
      </w:pPr>
      <w:r w:rsidRPr="00E505CE">
        <w:br w:type="page"/>
      </w:r>
      <w:bookmarkStart w:id="4" w:name="_Toc98181323"/>
      <w:r>
        <w:lastRenderedPageBreak/>
        <w:t>1.2</w:t>
      </w:r>
      <w:r>
        <w:tab/>
        <w:t>Entity resource statement</w:t>
      </w:r>
      <w:bookmarkEnd w:id="4"/>
    </w:p>
    <w:p w:rsidR="00BF35D9" w:rsidRDefault="00BF35D9" w:rsidP="00BF35D9">
      <w:r>
        <w:t>Table 1.1 shows the total funding from all sources available to the AEC for its operations and to deliver programs and services on behalf of the Government.</w:t>
      </w:r>
    </w:p>
    <w:p w:rsidR="00BF35D9" w:rsidRDefault="00BF35D9" w:rsidP="00BF35D9">
      <w:r>
        <w:t>The table summarises how resources will be applied by outcome (government strategic policy objectives) and by administered (on behalf of the Government or the public) and departmental (for the AEC’s operations) classification.</w:t>
      </w:r>
    </w:p>
    <w:p w:rsidR="00BF35D9" w:rsidRDefault="00BF35D9" w:rsidP="00BF35D9">
      <w:r>
        <w:t xml:space="preserve">For more detailed information on special accounts and special appropriations, please refer to </w:t>
      </w:r>
      <w:r w:rsidRPr="00412C0B">
        <w:rPr>
          <w:i/>
        </w:rPr>
        <w:t>Budget Paper No. 4 – Agency Resourcing</w:t>
      </w:r>
      <w:r>
        <w:t>.</w:t>
      </w:r>
    </w:p>
    <w:p w:rsidR="00BF35D9" w:rsidRDefault="00BF35D9" w:rsidP="00BF35D9">
      <w:r>
        <w:t>Information in this table is presented on a resourcing (that is, appropriations/cash available) basis, whilst the ‘Budgeted expenses by Outcome 1’ tables in Section 2 and the financial statements in Section 3 are presented on an accrual basis.</w:t>
      </w:r>
    </w:p>
    <w:p w:rsidR="00BF35D9" w:rsidRDefault="00BF35D9" w:rsidP="00BF35D9">
      <w:pPr>
        <w:pStyle w:val="TableHeading"/>
      </w:pPr>
    </w:p>
    <w:p w:rsidR="00BF35D9" w:rsidRDefault="00BF35D9" w:rsidP="00BF35D9">
      <w:pPr>
        <w:pStyle w:val="TableHeading"/>
      </w:pPr>
    </w:p>
    <w:p w:rsidR="00BF35D9" w:rsidRDefault="00BF35D9" w:rsidP="00BF35D9">
      <w:pPr>
        <w:pStyle w:val="TableHeading"/>
      </w:pPr>
    </w:p>
    <w:p w:rsidR="00BF35D9" w:rsidRDefault="00BF35D9" w:rsidP="00BF35D9">
      <w:pPr>
        <w:pStyle w:val="TableHeading"/>
      </w:pPr>
    </w:p>
    <w:p w:rsidR="00BF35D9" w:rsidRDefault="00BF35D9" w:rsidP="00BF35D9">
      <w:pPr>
        <w:pStyle w:val="TableGraphic"/>
        <w:rPr>
          <w:lang w:val="x-none" w:eastAsia="x-none"/>
        </w:rPr>
      </w:pPr>
    </w:p>
    <w:p w:rsidR="00BF35D9" w:rsidRDefault="00BF35D9" w:rsidP="00BF35D9">
      <w:pPr>
        <w:rPr>
          <w:lang w:val="x-none" w:eastAsia="x-none"/>
        </w:rPr>
      </w:pPr>
    </w:p>
    <w:p w:rsidR="00BF35D9" w:rsidRDefault="00BF35D9" w:rsidP="00BF35D9">
      <w:pPr>
        <w:rPr>
          <w:lang w:val="x-none" w:eastAsia="x-none"/>
        </w:rPr>
      </w:pPr>
    </w:p>
    <w:p w:rsidR="00BF35D9" w:rsidRDefault="00BF35D9" w:rsidP="00BF35D9">
      <w:pPr>
        <w:rPr>
          <w:lang w:val="x-none" w:eastAsia="x-none"/>
        </w:rPr>
      </w:pPr>
    </w:p>
    <w:p w:rsidR="00BF35D9" w:rsidRDefault="00BF35D9" w:rsidP="00BF35D9">
      <w:pPr>
        <w:rPr>
          <w:lang w:val="x-none" w:eastAsia="x-none"/>
        </w:rPr>
      </w:pPr>
    </w:p>
    <w:p w:rsidR="00BF35D9" w:rsidRDefault="00BF35D9" w:rsidP="00BF35D9">
      <w:pPr>
        <w:rPr>
          <w:lang w:val="x-none" w:eastAsia="x-none"/>
        </w:rPr>
      </w:pPr>
    </w:p>
    <w:p w:rsidR="00BF35D9" w:rsidRDefault="00BF35D9" w:rsidP="00BF35D9">
      <w:pPr>
        <w:rPr>
          <w:lang w:val="x-none" w:eastAsia="x-none"/>
        </w:rPr>
      </w:pPr>
    </w:p>
    <w:p w:rsidR="00BF35D9" w:rsidRDefault="00BF35D9" w:rsidP="00BF35D9">
      <w:pPr>
        <w:rPr>
          <w:lang w:val="x-none" w:eastAsia="x-none"/>
        </w:rPr>
      </w:pPr>
    </w:p>
    <w:p w:rsidR="00BF35D9" w:rsidRDefault="00BF35D9" w:rsidP="00BF35D9">
      <w:pPr>
        <w:rPr>
          <w:lang w:val="x-none" w:eastAsia="x-none"/>
        </w:rPr>
      </w:pPr>
    </w:p>
    <w:p w:rsidR="00BF35D9" w:rsidRDefault="00BF35D9" w:rsidP="00BF35D9">
      <w:pPr>
        <w:rPr>
          <w:lang w:val="x-none" w:eastAsia="x-none"/>
        </w:rPr>
      </w:pPr>
    </w:p>
    <w:p w:rsidR="00BF35D9" w:rsidRDefault="00BF35D9" w:rsidP="00BF35D9">
      <w:pPr>
        <w:rPr>
          <w:lang w:val="x-none" w:eastAsia="x-none"/>
        </w:rPr>
      </w:pPr>
    </w:p>
    <w:p w:rsidR="00BF35D9" w:rsidRDefault="00BF35D9" w:rsidP="00BF35D9">
      <w:pPr>
        <w:rPr>
          <w:lang w:val="x-none" w:eastAsia="x-none"/>
        </w:rPr>
      </w:pPr>
    </w:p>
    <w:p w:rsidR="00BF35D9" w:rsidRPr="00C87D27" w:rsidRDefault="00BF35D9" w:rsidP="00BF35D9">
      <w:pPr>
        <w:tabs>
          <w:tab w:val="left" w:pos="2865"/>
        </w:tabs>
        <w:rPr>
          <w:lang w:val="x-none" w:eastAsia="x-none"/>
        </w:rPr>
      </w:pPr>
      <w:r>
        <w:rPr>
          <w:lang w:val="x-none" w:eastAsia="x-none"/>
        </w:rPr>
        <w:tab/>
      </w:r>
    </w:p>
    <w:p w:rsidR="00BF35D9" w:rsidRPr="001A10E2" w:rsidRDefault="00BF35D9" w:rsidP="00BF35D9">
      <w:pPr>
        <w:pStyle w:val="TableHeading"/>
        <w:rPr>
          <w:b w:val="0"/>
          <w:lang w:val="en-AU"/>
        </w:rPr>
      </w:pPr>
      <w:r w:rsidRPr="00D44150">
        <w:lastRenderedPageBreak/>
        <w:t xml:space="preserve">Table 1.1: </w:t>
      </w:r>
      <w:r>
        <w:rPr>
          <w:lang w:val="en-AU"/>
        </w:rPr>
        <w:t>Australian Electoral Commission</w:t>
      </w:r>
      <w:r w:rsidRPr="00D44150">
        <w:t xml:space="preserve"> resource statement</w:t>
      </w:r>
      <w:r>
        <w:t xml:space="preserve"> — Budget estimates for </w:t>
      </w:r>
      <w:r>
        <w:rPr>
          <w:lang w:val="en-AU"/>
        </w:rPr>
        <w:t>2022-23</w:t>
      </w:r>
      <w:r>
        <w:t xml:space="preserve"> </w:t>
      </w:r>
      <w:r w:rsidRPr="00D44150">
        <w:t xml:space="preserve">as at Budget </w:t>
      </w:r>
      <w:r>
        <w:rPr>
          <w:lang w:val="en-AU"/>
        </w:rPr>
        <w:t>March</w:t>
      </w:r>
      <w:r w:rsidRPr="00D44150">
        <w:t xml:space="preserve"> </w:t>
      </w:r>
      <w:r>
        <w:rPr>
          <w:lang w:val="en-AU"/>
        </w:rPr>
        <w:t>2022</w:t>
      </w:r>
    </w:p>
    <w:p w:rsidR="00465F27" w:rsidRDefault="00BF35D9" w:rsidP="00BF35D9">
      <w:pPr>
        <w:pStyle w:val="ChartandTableFootnote"/>
      </w:pPr>
      <w:r w:rsidRPr="00F160D1">
        <w:rPr>
          <w:noProof/>
          <w:lang w:val="en-AU" w:eastAsia="zh-CN"/>
        </w:rPr>
        <w:drawing>
          <wp:inline distT="0" distB="0" distL="0" distR="0" wp14:anchorId="61B5E84E" wp14:editId="1A9DF3F8">
            <wp:extent cx="4895850" cy="2714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95850" cy="2714625"/>
                    </a:xfrm>
                    <a:prstGeom prst="rect">
                      <a:avLst/>
                    </a:prstGeom>
                    <a:noFill/>
                    <a:ln>
                      <a:noFill/>
                    </a:ln>
                  </pic:spPr>
                </pic:pic>
              </a:graphicData>
            </a:graphic>
          </wp:inline>
        </w:drawing>
      </w:r>
    </w:p>
    <w:p w:rsidR="00465F27" w:rsidRPr="00CB2844" w:rsidRDefault="00465F27" w:rsidP="00465F27">
      <w:pPr>
        <w:pStyle w:val="ChartandTableFootnote"/>
      </w:pPr>
      <w:r w:rsidRPr="00696AA8">
        <w:t>All figures shown above are GST exclusive - these may not match figures in the cash flow statement.</w:t>
      </w:r>
    </w:p>
    <w:p w:rsidR="00465F27" w:rsidRDefault="00465F27" w:rsidP="00465F27">
      <w:pPr>
        <w:pStyle w:val="ChartandTableFootnote"/>
      </w:pPr>
      <w:r>
        <w:t>Prepared on a resourcing (</w:t>
      </w:r>
      <w:r>
        <w:rPr>
          <w:lang w:val="en-AU"/>
        </w:rPr>
        <w:t>that is,</w:t>
      </w:r>
      <w:r>
        <w:t xml:space="preserve"> appropriations available) basis.</w:t>
      </w:r>
    </w:p>
    <w:p w:rsidR="00465F27" w:rsidRPr="00150452" w:rsidRDefault="00465F27" w:rsidP="00DA1F4B">
      <w:pPr>
        <w:pStyle w:val="ChartandTableFootnoteAlpha"/>
        <w:numPr>
          <w:ilvl w:val="0"/>
          <w:numId w:val="60"/>
        </w:numPr>
        <w:rPr>
          <w:color w:val="000000"/>
        </w:rPr>
      </w:pPr>
      <w:r w:rsidRPr="00150452">
        <w:rPr>
          <w:color w:val="000000"/>
        </w:rPr>
        <w:t>Appropriation Bill (No. 1) 2022-23</w:t>
      </w:r>
      <w:r w:rsidR="0089325C">
        <w:rPr>
          <w:color w:val="000000"/>
        </w:rPr>
        <w:t>.</w:t>
      </w:r>
    </w:p>
    <w:p w:rsidR="00465F27" w:rsidRPr="00150452" w:rsidRDefault="00465F27" w:rsidP="00DA1F4B">
      <w:pPr>
        <w:pStyle w:val="ChartandTableFootnoteAlpha"/>
        <w:numPr>
          <w:ilvl w:val="0"/>
          <w:numId w:val="60"/>
        </w:numPr>
        <w:rPr>
          <w:color w:val="000000"/>
        </w:rPr>
      </w:pPr>
      <w:r w:rsidRPr="00150452">
        <w:rPr>
          <w:color w:val="000000"/>
        </w:rPr>
        <w:t>2021-22 Departmental appropriation excludes $29.9m subject to administrative quarantine by Finance.</w:t>
      </w:r>
    </w:p>
    <w:p w:rsidR="00465F27" w:rsidRPr="00150452" w:rsidRDefault="00465F27" w:rsidP="00DA1F4B">
      <w:pPr>
        <w:pStyle w:val="ChartandTableFootnoteAlpha"/>
        <w:numPr>
          <w:ilvl w:val="0"/>
          <w:numId w:val="60"/>
        </w:numPr>
        <w:rPr>
          <w:color w:val="000000"/>
        </w:rPr>
      </w:pPr>
      <w:r w:rsidRPr="00150452">
        <w:rPr>
          <w:color w:val="000000"/>
        </w:rPr>
        <w:t>Estimated External Revenue receipts under section 74 of the PGPA Act.</w:t>
      </w:r>
    </w:p>
    <w:p w:rsidR="00465F27" w:rsidRPr="00150452" w:rsidRDefault="00465F27" w:rsidP="00DA1F4B">
      <w:pPr>
        <w:pStyle w:val="ChartandTableFootnoteAlpha"/>
        <w:numPr>
          <w:ilvl w:val="0"/>
          <w:numId w:val="60"/>
        </w:numPr>
        <w:rPr>
          <w:color w:val="000000"/>
        </w:rPr>
      </w:pPr>
      <w:r w:rsidRPr="00150452">
        <w:rPr>
          <w:color w:val="000000"/>
        </w:rPr>
        <w:t xml:space="preserve">Departmental capital budgets are not separately identified in Appropriation Bill (No.1) and form part of ordinary annual services items. Please refer to Table 3.5 for further details. For accounting purposes, this amount has been designated as a 'contribution by owner'. </w:t>
      </w:r>
    </w:p>
    <w:p w:rsidR="00465F27" w:rsidRPr="00906EA8" w:rsidRDefault="00465F27" w:rsidP="00DA1F4B">
      <w:pPr>
        <w:pStyle w:val="ChartandTableFootnoteAlpha"/>
        <w:numPr>
          <w:ilvl w:val="0"/>
          <w:numId w:val="60"/>
        </w:numPr>
      </w:pPr>
      <w:r w:rsidRPr="00150452">
        <w:rPr>
          <w:color w:val="000000"/>
        </w:rPr>
        <w:t>Excludes trust moneys held in Services for Other Entities and Trust Moneys (SOETM).</w:t>
      </w:r>
    </w:p>
    <w:p w:rsidR="00BF35D9" w:rsidRDefault="00BF35D9" w:rsidP="00BF35D9">
      <w:pPr>
        <w:pStyle w:val="ChartandTableFootnote"/>
        <w:rPr>
          <w:rFonts w:ascii="Times New Roman" w:hAnsi="Times New Roman"/>
          <w:color w:val="auto"/>
          <w:sz w:val="20"/>
          <w:lang w:val="en-AU" w:eastAsia="en-AU"/>
        </w:rPr>
      </w:pPr>
      <w:r>
        <w:fldChar w:fldCharType="begin"/>
      </w:r>
      <w:r>
        <w:instrText xml:space="preserve"> LINK Excel.Sheet.12 "\\\\prod.aec.gov.au\\can0\\branch\\CFO\\Financial Management\\Budgeting\\Budget 22-23\\External Budget\\PBS\\Excel\\Attachment B - 2022-23 PBS Excel Tables draft.xlsx" "Table 1.1 NCCE!R3C3:R64C5" \a \f 4 \h </w:instrText>
      </w:r>
      <w:r>
        <w:fldChar w:fldCharType="separate"/>
      </w:r>
    </w:p>
    <w:p w:rsidR="00BF35D9" w:rsidRDefault="00BF35D9" w:rsidP="00E505CE">
      <w:pPr>
        <w:pStyle w:val="ChartandTableFootnote"/>
      </w:pPr>
      <w:r>
        <w:rPr>
          <w:b/>
        </w:rPr>
        <w:fldChar w:fldCharType="end"/>
      </w:r>
    </w:p>
    <w:p w:rsidR="00BF35D9" w:rsidRDefault="00BF35D9" w:rsidP="00BF35D9">
      <w:pPr>
        <w:pStyle w:val="TableHeading"/>
      </w:pPr>
    </w:p>
    <w:p w:rsidR="00BF35D9" w:rsidRDefault="00BF35D9" w:rsidP="00BF35D9">
      <w:pPr>
        <w:pStyle w:val="TableHeading"/>
      </w:pPr>
    </w:p>
    <w:p w:rsidR="00BF35D9" w:rsidRPr="005A7C0B" w:rsidRDefault="00BF35D9" w:rsidP="00BF35D9">
      <w:pPr>
        <w:pStyle w:val="Heading3"/>
        <w:spacing w:before="0"/>
      </w:pPr>
      <w:bookmarkStart w:id="5" w:name="_Toc98181324"/>
      <w:r w:rsidRPr="005A7C0B">
        <w:t>1.3</w:t>
      </w:r>
      <w:r w:rsidRPr="005A7C0B">
        <w:tab/>
        <w:t>Budget measures</w:t>
      </w:r>
      <w:bookmarkEnd w:id="5"/>
    </w:p>
    <w:p w:rsidR="00BF35D9" w:rsidRPr="004111A7" w:rsidRDefault="00146836" w:rsidP="00BF35D9">
      <w:r>
        <w:t xml:space="preserve">No Budget measures have been announced </w:t>
      </w:r>
      <w:r w:rsidR="00BF35D9" w:rsidRPr="004111A7">
        <w:t>since the 202</w:t>
      </w:r>
      <w:r w:rsidR="00BF35D9">
        <w:t>1</w:t>
      </w:r>
      <w:r w:rsidR="00BF35D9" w:rsidRPr="004111A7">
        <w:t>-2</w:t>
      </w:r>
      <w:r w:rsidR="00BF35D9">
        <w:t>2</w:t>
      </w:r>
      <w:r w:rsidR="00BF35D9" w:rsidRPr="004111A7">
        <w:t xml:space="preserve"> Mid-Year Econ</w:t>
      </w:r>
      <w:r>
        <w:t>omic and Fiscal Outlook (MYEFO) that impact AEC.</w:t>
      </w:r>
    </w:p>
    <w:p w:rsidR="00F909F5" w:rsidRDefault="00F909F5" w:rsidP="00440016"/>
    <w:p w:rsidR="00F909F5" w:rsidRDefault="00F909F5" w:rsidP="00440016"/>
    <w:p w:rsidR="00F909F5" w:rsidRDefault="00F909F5" w:rsidP="00440016"/>
    <w:p w:rsidR="00F909F5" w:rsidRDefault="00F909F5" w:rsidP="00440016"/>
    <w:p w:rsidR="00F909F5" w:rsidRPr="00F61956" w:rsidRDefault="00F909F5" w:rsidP="00440016"/>
    <w:p w:rsidR="00BF35D9" w:rsidRPr="00810C6A" w:rsidRDefault="00BF35D9" w:rsidP="00BF35D9">
      <w:pPr>
        <w:pStyle w:val="Heading2"/>
      </w:pPr>
      <w:bookmarkStart w:id="6" w:name="_Toc98181325"/>
      <w:r w:rsidRPr="00810C6A">
        <w:lastRenderedPageBreak/>
        <w:t>Section 2: Outcomes and planned performance</w:t>
      </w:r>
      <w:bookmarkEnd w:id="6"/>
    </w:p>
    <w:p w:rsidR="00BF35D9" w:rsidRPr="00AE5868" w:rsidRDefault="00BF35D9" w:rsidP="00BF35D9">
      <w:r w:rsidRPr="005E6F2B">
        <w:t xml:space="preserve">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w:t>
      </w:r>
      <w:r w:rsidRPr="00AE5868">
        <w:t>the Budget and forward years.</w:t>
      </w:r>
    </w:p>
    <w:p w:rsidR="00BF35D9" w:rsidRPr="00AE5868" w:rsidRDefault="00BF35D9" w:rsidP="00BF35D9">
      <w:pPr>
        <w:rPr>
          <w:i/>
        </w:rPr>
      </w:pPr>
      <w:r w:rsidRPr="00AE5868">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BF35D9" w:rsidTr="005D36C8">
        <w:tc>
          <w:tcPr>
            <w:tcW w:w="7700" w:type="dxa"/>
          </w:tcPr>
          <w:p w:rsidR="00BF35D9" w:rsidRPr="006906E4" w:rsidRDefault="00BF35D9" w:rsidP="005D36C8">
            <w:pPr>
              <w:spacing w:before="120" w:after="120" w:line="240" w:lineRule="auto"/>
              <w:rPr>
                <w:b/>
              </w:rPr>
            </w:pPr>
            <w:r w:rsidRPr="006906E4">
              <w:rPr>
                <w:b/>
              </w:rPr>
              <w:t>Note:</w:t>
            </w:r>
          </w:p>
          <w:p w:rsidR="00BF35D9" w:rsidRDefault="00BF35D9" w:rsidP="005D36C8">
            <w:r>
              <w:t xml:space="preserve">Performance reporting requirements in the Portfolio Budget Statements are part of the Commonwealth performance framework established by the </w:t>
            </w:r>
            <w:r w:rsidR="00A8063F" w:rsidRPr="00A8063F">
              <w:t>PGPA Act</w:t>
            </w:r>
            <w:r w:rsidR="00A8063F">
              <w:rPr>
                <w:i/>
              </w:rPr>
              <w:t xml:space="preserve">. </w:t>
            </w:r>
            <w:r>
              <w:t>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rsidR="00BF35D9" w:rsidRDefault="00BF35D9" w:rsidP="005D36C8">
            <w:r>
              <w:t xml:space="preserve">The most recent corporate plan for the Australian Electoral Commission can be found at: </w:t>
            </w:r>
            <w:hyperlink r:id="rId19" w:history="1">
              <w:r w:rsidRPr="003D1E65">
                <w:rPr>
                  <w:u w:val="single"/>
                </w:rPr>
                <w:t>AEC Corporate Plan 2021-22</w:t>
              </w:r>
            </w:hyperlink>
            <w:r w:rsidR="006241BA" w:rsidRPr="006241BA">
              <w:t>.</w:t>
            </w:r>
          </w:p>
          <w:p w:rsidR="00BF35D9" w:rsidRPr="006241BA" w:rsidRDefault="00BF35D9" w:rsidP="005D36C8">
            <w:r>
              <w:t xml:space="preserve">The most recent annual performance statement can be found at: </w:t>
            </w:r>
            <w:hyperlink r:id="rId20" w:history="1">
              <w:r w:rsidRPr="003D1E65">
                <w:rPr>
                  <w:u w:val="single"/>
                </w:rPr>
                <w:t>2020-21 Annual Performance Statements</w:t>
              </w:r>
            </w:hyperlink>
            <w:r w:rsidR="006241BA">
              <w:t>.</w:t>
            </w:r>
          </w:p>
          <w:p w:rsidR="00BF35D9" w:rsidRDefault="00BF35D9" w:rsidP="005D36C8"/>
        </w:tc>
      </w:tr>
    </w:tbl>
    <w:p w:rsidR="00BF35D9" w:rsidRDefault="00BF35D9" w:rsidP="00BF35D9">
      <w:pPr>
        <w:rPr>
          <w:highlight w:val="yellow"/>
        </w:rPr>
      </w:pPr>
    </w:p>
    <w:p w:rsidR="00BF35D9" w:rsidRDefault="00BF35D9" w:rsidP="00BF35D9">
      <w:pPr>
        <w:pStyle w:val="Heading3"/>
        <w:sectPr w:rsidR="00BF35D9" w:rsidSect="00DC5110">
          <w:headerReference w:type="even" r:id="rId21"/>
          <w:headerReference w:type="default" r:id="rId22"/>
          <w:headerReference w:type="first" r:id="rId23"/>
          <w:footerReference w:type="first" r:id="rId24"/>
          <w:type w:val="oddPage"/>
          <w:pgSz w:w="11906" w:h="16838" w:code="9"/>
          <w:pgMar w:top="2835" w:right="2098" w:bottom="2466" w:left="2098" w:header="1814" w:footer="1814" w:gutter="0"/>
          <w:pgNumType w:start="71"/>
          <w:cols w:space="708"/>
          <w:titlePg/>
          <w:docGrid w:linePitch="360"/>
        </w:sectPr>
      </w:pPr>
    </w:p>
    <w:p w:rsidR="00BF35D9" w:rsidRPr="00831489" w:rsidRDefault="00BF35D9" w:rsidP="00BF35D9">
      <w:pPr>
        <w:pStyle w:val="Heading3"/>
      </w:pPr>
      <w:bookmarkStart w:id="7" w:name="_Toc98181326"/>
      <w:r>
        <w:lastRenderedPageBreak/>
        <w:t>2.1</w:t>
      </w:r>
      <w:r w:rsidRPr="00F743D8">
        <w:t xml:space="preserve"> </w:t>
      </w:r>
      <w:r w:rsidRPr="00F743D8">
        <w:tab/>
        <w:t xml:space="preserve">Budgeted expenses and performance for Outcome </w:t>
      </w:r>
      <w:r>
        <w:t>1</w:t>
      </w:r>
      <w:bookmarkEnd w:id="7"/>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BF35D9" w:rsidRPr="005E6F2B" w:rsidTr="005D36C8">
        <w:tc>
          <w:tcPr>
            <w:tcW w:w="7713" w:type="dxa"/>
            <w:shd w:val="clear" w:color="auto" w:fill="E6E6E6"/>
          </w:tcPr>
          <w:p w:rsidR="00BF35D9" w:rsidRPr="005E6F2B" w:rsidRDefault="00BF35D9" w:rsidP="005D36C8">
            <w:pPr>
              <w:pStyle w:val="TableColumnHeadingLeft"/>
            </w:pPr>
            <w:r w:rsidRPr="005E6F2B">
              <w:t xml:space="preserve">Outcome </w:t>
            </w:r>
            <w:r>
              <w:t>1</w:t>
            </w:r>
            <w:r w:rsidRPr="005E6F2B">
              <w:t xml:space="preserve">: </w:t>
            </w:r>
            <w:r w:rsidRPr="00617538">
              <w:rPr>
                <w:rFonts w:cs="Arial"/>
              </w:rPr>
              <w:t>Maintain an impartial and independent electoral system for eligible voters through active electoral roll management, efficient delivery of polling services, and targeted education and public awareness programs.</w:t>
            </w:r>
          </w:p>
        </w:tc>
      </w:tr>
    </w:tbl>
    <w:p w:rsidR="00BF35D9" w:rsidRPr="005E6F2B" w:rsidRDefault="00BF35D9" w:rsidP="00BF35D9">
      <w:pPr>
        <w:pStyle w:val="NoSpacing"/>
      </w:pPr>
    </w:p>
    <w:p w:rsidR="00BF35D9" w:rsidRPr="00446612" w:rsidRDefault="00BF35D9" w:rsidP="00BF35D9">
      <w:pPr>
        <w:pStyle w:val="Heading5"/>
      </w:pPr>
      <w:r w:rsidRPr="00446612">
        <w:t xml:space="preserve">Budgeted expenses for Outcome </w:t>
      </w:r>
      <w:r>
        <w:t>1</w:t>
      </w:r>
    </w:p>
    <w:p w:rsidR="00BF35D9" w:rsidRDefault="00BF35D9" w:rsidP="00BF35D9">
      <w:r w:rsidRPr="00950281">
        <w:t>This table shows how much the entity intends to spend (on an accrual basis) on achieving the outcome, broken down by program, as well as by Administered an</w:t>
      </w:r>
      <w:r>
        <w:t>d Departmental funding sources.</w:t>
      </w:r>
    </w:p>
    <w:p w:rsidR="00BF35D9" w:rsidRDefault="00BF35D9" w:rsidP="00BF35D9"/>
    <w:p w:rsidR="00BF35D9" w:rsidRDefault="00BF35D9" w:rsidP="00BF35D9"/>
    <w:p w:rsidR="00BF35D9" w:rsidRDefault="00BF35D9" w:rsidP="00BF35D9"/>
    <w:p w:rsidR="00BF35D9" w:rsidRDefault="00BF35D9" w:rsidP="00BF35D9"/>
    <w:p w:rsidR="00BF35D9" w:rsidRDefault="00BF35D9" w:rsidP="00BF35D9"/>
    <w:p w:rsidR="00BF35D9" w:rsidRDefault="00BF35D9" w:rsidP="00BF35D9"/>
    <w:p w:rsidR="00BF35D9" w:rsidRDefault="00BF35D9" w:rsidP="00BF35D9"/>
    <w:p w:rsidR="00BF35D9" w:rsidRDefault="00BF35D9" w:rsidP="00BF35D9"/>
    <w:p w:rsidR="00BF35D9" w:rsidRDefault="00BF35D9" w:rsidP="00BF35D9"/>
    <w:p w:rsidR="00BF35D9" w:rsidRDefault="00BF35D9" w:rsidP="00BF35D9"/>
    <w:p w:rsidR="00BF35D9" w:rsidRDefault="00BF35D9" w:rsidP="00BF35D9"/>
    <w:p w:rsidR="00BF35D9" w:rsidRDefault="00BF35D9" w:rsidP="00BF35D9"/>
    <w:p w:rsidR="00BF35D9" w:rsidRDefault="00BF35D9" w:rsidP="00BF35D9"/>
    <w:p w:rsidR="00BF35D9" w:rsidRDefault="00BF35D9" w:rsidP="00BF35D9">
      <w:pPr>
        <w:spacing w:after="0"/>
      </w:pPr>
    </w:p>
    <w:p w:rsidR="00BF35D9" w:rsidRDefault="00BF35D9" w:rsidP="00BF35D9">
      <w:pPr>
        <w:spacing w:after="0"/>
      </w:pPr>
    </w:p>
    <w:p w:rsidR="00BF35D9" w:rsidRDefault="00BF35D9" w:rsidP="00BF35D9">
      <w:pPr>
        <w:spacing w:after="0"/>
        <w:rPr>
          <w:b/>
        </w:rPr>
      </w:pPr>
    </w:p>
    <w:p w:rsidR="00BF35D9" w:rsidRDefault="00BF35D9" w:rsidP="00BF35D9">
      <w:pPr>
        <w:spacing w:after="0"/>
        <w:rPr>
          <w:b/>
        </w:rPr>
      </w:pPr>
    </w:p>
    <w:p w:rsidR="00BF35D9" w:rsidRDefault="00BF35D9" w:rsidP="00BF35D9">
      <w:pPr>
        <w:spacing w:after="0"/>
        <w:rPr>
          <w:b/>
        </w:rPr>
      </w:pPr>
    </w:p>
    <w:p w:rsidR="00BF35D9" w:rsidRDefault="00BF35D9" w:rsidP="00BF35D9">
      <w:pPr>
        <w:spacing w:after="0"/>
        <w:rPr>
          <w:b/>
        </w:rPr>
      </w:pPr>
    </w:p>
    <w:p w:rsidR="00BF35D9" w:rsidRDefault="00BF35D9" w:rsidP="00BF35D9">
      <w:pPr>
        <w:spacing w:after="0"/>
        <w:rPr>
          <w:b/>
        </w:rPr>
      </w:pPr>
    </w:p>
    <w:p w:rsidR="00BF35D9" w:rsidRDefault="00BF35D9" w:rsidP="00BF35D9">
      <w:pPr>
        <w:spacing w:after="0"/>
        <w:rPr>
          <w:b/>
        </w:rPr>
      </w:pPr>
    </w:p>
    <w:p w:rsidR="00BF35D9" w:rsidRPr="00150452" w:rsidRDefault="00BF35D9" w:rsidP="00BF35D9">
      <w:pPr>
        <w:spacing w:after="0"/>
        <w:rPr>
          <w:rFonts w:ascii="Arial" w:hAnsi="Arial" w:cs="Arial"/>
          <w:b/>
        </w:rPr>
      </w:pPr>
      <w:r w:rsidRPr="00150452">
        <w:rPr>
          <w:rFonts w:ascii="Arial" w:hAnsi="Arial" w:cs="Arial"/>
          <w:b/>
        </w:rPr>
        <w:lastRenderedPageBreak/>
        <w:t>Table 2.1.1: Budgeted expenses for Outcome 1</w:t>
      </w:r>
    </w:p>
    <w:p w:rsidR="00B95C42" w:rsidRDefault="00BF35D9" w:rsidP="00BF35D9">
      <w:pPr>
        <w:pStyle w:val="TableHeading"/>
        <w:rPr>
          <w:noProof/>
        </w:rPr>
      </w:pPr>
      <w:r w:rsidRPr="00F160D1">
        <w:rPr>
          <w:noProof/>
          <w:lang w:val="en-AU" w:eastAsia="zh-CN"/>
        </w:rPr>
        <w:drawing>
          <wp:inline distT="0" distB="0" distL="0" distR="0" wp14:anchorId="38A53FB2" wp14:editId="368957E5">
            <wp:extent cx="4818380" cy="5542280"/>
            <wp:effectExtent l="0" t="0" r="127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18380" cy="5542280"/>
                    </a:xfrm>
                    <a:prstGeom prst="rect">
                      <a:avLst/>
                    </a:prstGeom>
                    <a:noFill/>
                    <a:ln>
                      <a:noFill/>
                    </a:ln>
                  </pic:spPr>
                </pic:pic>
              </a:graphicData>
            </a:graphic>
          </wp:inline>
        </w:drawing>
      </w:r>
    </w:p>
    <w:p w:rsidR="00B95C42" w:rsidRDefault="00B95C42" w:rsidP="00DA1F4B">
      <w:pPr>
        <w:pStyle w:val="ChartandTableFootnoteAlpha"/>
        <w:numPr>
          <w:ilvl w:val="0"/>
          <w:numId w:val="59"/>
        </w:numPr>
      </w:pPr>
      <w:r>
        <w:t>Estimated expenses incurred in relation to receipts retained under section 74 of the PGPA Act 2013.</w:t>
      </w:r>
    </w:p>
    <w:p w:rsidR="00B95C42" w:rsidRDefault="00B95C42" w:rsidP="00DA1F4B">
      <w:pPr>
        <w:pStyle w:val="ChartandTableFootnoteAlpha"/>
        <w:numPr>
          <w:ilvl w:val="0"/>
          <w:numId w:val="59"/>
        </w:numPr>
      </w:pPr>
      <w:r>
        <w:t>Expenses not requiring appropriation in the Budget year are made up of depreciation expenses, amortisation expenses, make good expenses and audit fees.</w:t>
      </w:r>
    </w:p>
    <w:p w:rsidR="00C5146A" w:rsidRDefault="00C5146A" w:rsidP="00C5146A">
      <w:pPr>
        <w:pStyle w:val="ChartandTableFootnoteAlpha"/>
        <w:tabs>
          <w:tab w:val="num" w:pos="284"/>
        </w:tabs>
        <w:ind w:left="284" w:right="400" w:hanging="284"/>
      </w:pPr>
    </w:p>
    <w:p w:rsidR="00C5146A" w:rsidRPr="006746EB" w:rsidRDefault="00B95C42" w:rsidP="006746EB">
      <w:pPr>
        <w:pStyle w:val="ChartandTableFootnoteAlpha"/>
        <w:tabs>
          <w:tab w:val="num" w:pos="284"/>
        </w:tabs>
      </w:pPr>
      <w:r>
        <w:t xml:space="preserve">Note: Departmental appropriation splits and totals are indicative estimates </w:t>
      </w:r>
      <w:r w:rsidR="006746EB">
        <w:t xml:space="preserve">and may change in the course </w:t>
      </w:r>
      <w:r w:rsidR="00C5146A" w:rsidRPr="00C5146A">
        <w:rPr>
          <w:rFonts w:cs="Arial"/>
          <w:szCs w:val="16"/>
        </w:rPr>
        <w:t>of the budget year as government priorities change.</w:t>
      </w:r>
    </w:p>
    <w:p w:rsidR="00C5146A" w:rsidRDefault="00C5146A" w:rsidP="00C5146A">
      <w:pPr>
        <w:pStyle w:val="ChartandTableFootnoteAlpha"/>
        <w:tabs>
          <w:tab w:val="num" w:pos="284"/>
        </w:tabs>
        <w:ind w:left="284" w:right="400" w:hanging="284"/>
      </w:pPr>
      <w:r>
        <w:t xml:space="preserve">          </w:t>
      </w:r>
    </w:p>
    <w:p w:rsidR="00BF35D9" w:rsidRPr="00150452" w:rsidRDefault="00BF35D9" w:rsidP="00C5146A">
      <w:pPr>
        <w:pStyle w:val="ChartandTableFootnoteAlpha"/>
        <w:tabs>
          <w:tab w:val="num" w:pos="284"/>
        </w:tabs>
        <w:ind w:left="284" w:hanging="284"/>
        <w:jc w:val="right"/>
        <w:rPr>
          <w:b/>
        </w:rPr>
      </w:pPr>
      <w:r>
        <w:fldChar w:fldCharType="begin"/>
      </w:r>
      <w:r>
        <w:instrText xml:space="preserve"> LINK Excel.Sheet.12 "\\\\prod.aec.gov.au\\can0\\branch\\CFO\\Financial Management\\Budgeting\\Budget 22-23\\External Budget\\PBS\\Excel\\Attachment B - 2022-23 PBS Excel Tables draft.xlsx" "Table 2.1.1 NCCE!R5C1:R85C6" \a \f 4 \h </w:instrText>
      </w:r>
      <w:r w:rsidR="00B95C42">
        <w:instrText xml:space="preserve"> \* MERGEFORMAT </w:instrText>
      </w:r>
      <w:r>
        <w:fldChar w:fldCharType="separate"/>
      </w:r>
    </w:p>
    <w:p w:rsidR="00BF35D9" w:rsidRDefault="00BF35D9" w:rsidP="00C5146A">
      <w:pPr>
        <w:pStyle w:val="ChartandTableFootnoteAlpha"/>
        <w:tabs>
          <w:tab w:val="num" w:pos="284"/>
        </w:tabs>
        <w:ind w:left="284" w:hanging="284"/>
        <w:jc w:val="right"/>
      </w:pPr>
      <w:r>
        <w:fldChar w:fldCharType="end"/>
      </w:r>
    </w:p>
    <w:p w:rsidR="00253FF3" w:rsidRDefault="00253FF3" w:rsidP="00150452"/>
    <w:p w:rsidR="00253FF3" w:rsidRPr="00253FF3" w:rsidRDefault="00253FF3" w:rsidP="00150452"/>
    <w:p w:rsidR="00BF35D9" w:rsidRPr="004A3A9A" w:rsidRDefault="00BF35D9" w:rsidP="00BF35D9">
      <w:pPr>
        <w:pStyle w:val="TableHeading"/>
        <w:rPr>
          <w:lang w:val="en-AU"/>
        </w:rPr>
      </w:pPr>
      <w:r w:rsidRPr="00F71634">
        <w:lastRenderedPageBreak/>
        <w:t>Table 2.</w:t>
      </w:r>
      <w:r>
        <w:rPr>
          <w:lang w:val="en-AU"/>
        </w:rPr>
        <w:t>1</w:t>
      </w:r>
      <w:r w:rsidRPr="00F71634">
        <w:t>.</w:t>
      </w:r>
      <w:r>
        <w:rPr>
          <w:lang w:val="en-AU"/>
        </w:rPr>
        <w:t>2</w:t>
      </w:r>
      <w:r w:rsidRPr="00F71634">
        <w:t xml:space="preserve">: Performance </w:t>
      </w:r>
      <w:r>
        <w:rPr>
          <w:lang w:val="en-AU"/>
        </w:rPr>
        <w:t>measure</w:t>
      </w:r>
      <w:r w:rsidRPr="00F71634">
        <w:t xml:space="preserve"> for Outcome </w:t>
      </w:r>
      <w:r>
        <w:rPr>
          <w:lang w:val="en-AU"/>
        </w:rPr>
        <w:t>1</w:t>
      </w:r>
    </w:p>
    <w:p w:rsidR="00BF35D9" w:rsidRDefault="00BF35D9" w:rsidP="00BF35D9">
      <w:r w:rsidRPr="00617538">
        <w:t>Table 2.1.</w:t>
      </w:r>
      <w:r>
        <w:t>2</w:t>
      </w:r>
      <w:r w:rsidRPr="00617538">
        <w:t xml:space="preserve">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existing programs is provided.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E55150" w:rsidRPr="001B2F81" w:rsidTr="00436AFE">
        <w:trPr>
          <w:trHeight w:val="569"/>
        </w:trPr>
        <w:tc>
          <w:tcPr>
            <w:tcW w:w="7796" w:type="dxa"/>
            <w:gridSpan w:val="3"/>
            <w:tcBorders>
              <w:top w:val="single" w:sz="4" w:space="0" w:color="auto"/>
            </w:tcBorders>
            <w:shd w:val="clear" w:color="auto" w:fill="F2F2F2"/>
          </w:tcPr>
          <w:p w:rsidR="00E55150" w:rsidRPr="00C41058" w:rsidRDefault="00E55150" w:rsidP="00436AFE">
            <w:pPr>
              <w:pStyle w:val="TableColumnHeadingLeft"/>
            </w:pPr>
            <w:r w:rsidRPr="00C41058">
              <w:rPr>
                <w:rStyle w:val="TableHeadingChar"/>
                <w:b/>
              </w:rPr>
              <w:t xml:space="preserve">Outcome </w:t>
            </w:r>
            <w:r>
              <w:rPr>
                <w:rStyle w:val="TableHeadingChar"/>
                <w:b/>
                <w:lang w:val="en-AU"/>
              </w:rPr>
              <w:t>1</w:t>
            </w:r>
            <w:r w:rsidRPr="00AF55E0">
              <w:rPr>
                <w:b w:val="0"/>
              </w:rPr>
              <w:t xml:space="preserve"> – </w:t>
            </w:r>
            <w:r w:rsidRPr="00AF55E0">
              <w:rPr>
                <w:rFonts w:cs="Arial"/>
                <w:b w:val="0"/>
              </w:rPr>
              <w:t>Maintain an impartial and independent electoral system for eligible voters through active electoral roll management, efficient delivery of polling services, and targeted education and public awareness programs.</w:t>
            </w:r>
          </w:p>
        </w:tc>
      </w:tr>
      <w:tr w:rsidR="00E55150" w:rsidRPr="001B2F81" w:rsidTr="00436AFE">
        <w:trPr>
          <w:trHeight w:val="522"/>
        </w:trPr>
        <w:tc>
          <w:tcPr>
            <w:tcW w:w="7796" w:type="dxa"/>
            <w:gridSpan w:val="3"/>
            <w:shd w:val="clear" w:color="auto" w:fill="F2F2F2"/>
          </w:tcPr>
          <w:p w:rsidR="00E55150" w:rsidRPr="00617538" w:rsidRDefault="00E55150" w:rsidP="00436AFE">
            <w:pPr>
              <w:pStyle w:val="TableTextLeft"/>
              <w:rPr>
                <w:rFonts w:eastAsia="Arial"/>
                <w:b/>
                <w:highlight w:val="yellow"/>
              </w:rPr>
            </w:pPr>
            <w:r w:rsidRPr="00617538">
              <w:rPr>
                <w:b/>
              </w:rPr>
              <w:t>Program 1.</w:t>
            </w:r>
            <w:r w:rsidRPr="00091B3B">
              <w:rPr>
                <w:b/>
              </w:rPr>
              <w:t>1 – Deliver Electoral Events</w:t>
            </w:r>
          </w:p>
        </w:tc>
      </w:tr>
      <w:tr w:rsidR="00E55150" w:rsidRPr="001B2F81" w:rsidTr="00436AFE">
        <w:trPr>
          <w:trHeight w:val="694"/>
        </w:trPr>
        <w:tc>
          <w:tcPr>
            <w:tcW w:w="1560" w:type="dxa"/>
            <w:tcBorders>
              <w:bottom w:val="double" w:sz="4" w:space="0" w:color="auto"/>
            </w:tcBorders>
          </w:tcPr>
          <w:p w:rsidR="00E55150" w:rsidRPr="00617538" w:rsidRDefault="00E55150" w:rsidP="00436AFE">
            <w:pPr>
              <w:tabs>
                <w:tab w:val="left" w:pos="709"/>
              </w:tabs>
              <w:spacing w:before="60"/>
              <w:rPr>
                <w:rFonts w:ascii="Arial" w:hAnsi="Arial" w:cs="Arial"/>
                <w:b/>
                <w:sz w:val="16"/>
                <w:szCs w:val="16"/>
              </w:rPr>
            </w:pPr>
            <w:r w:rsidRPr="00250C7B">
              <w:rPr>
                <w:rFonts w:ascii="Arial" w:hAnsi="Arial" w:cs="Arial"/>
                <w:b/>
                <w:sz w:val="16"/>
                <w:szCs w:val="16"/>
              </w:rPr>
              <w:t>Key Activities</w:t>
            </w:r>
          </w:p>
        </w:tc>
        <w:tc>
          <w:tcPr>
            <w:tcW w:w="6236" w:type="dxa"/>
            <w:gridSpan w:val="2"/>
            <w:tcBorders>
              <w:bottom w:val="double" w:sz="4" w:space="0" w:color="auto"/>
            </w:tcBorders>
          </w:tcPr>
          <w:p w:rsidR="00E55150" w:rsidRPr="00C201D2" w:rsidRDefault="00E55150" w:rsidP="00F76FE4">
            <w:pPr>
              <w:numPr>
                <w:ilvl w:val="0"/>
                <w:numId w:val="21"/>
              </w:numPr>
              <w:autoSpaceDE w:val="0"/>
              <w:autoSpaceDN w:val="0"/>
              <w:adjustRightInd w:val="0"/>
              <w:spacing w:before="60" w:after="60" w:line="240" w:lineRule="auto"/>
              <w:ind w:left="374" w:hanging="357"/>
              <w:contextualSpacing/>
              <w:jc w:val="left"/>
              <w:rPr>
                <w:rFonts w:ascii="Arial" w:eastAsia="Calibri" w:hAnsi="Arial" w:cs="Arial"/>
                <w:sz w:val="16"/>
                <w:szCs w:val="16"/>
                <w:lang w:val="en-US" w:eastAsia="en-US"/>
              </w:rPr>
            </w:pPr>
            <w:r w:rsidRPr="00C201D2">
              <w:rPr>
                <w:rFonts w:ascii="Arial" w:eastAsia="Calibri" w:hAnsi="Arial" w:cs="Arial"/>
                <w:sz w:val="16"/>
                <w:szCs w:val="16"/>
                <w:lang w:val="en-US" w:eastAsia="en-US"/>
              </w:rPr>
              <w:t>Maintain the integrity of electoral and regulatory processes.</w:t>
            </w:r>
          </w:p>
          <w:p w:rsidR="00E55150" w:rsidRPr="00C201D2" w:rsidRDefault="00E55150" w:rsidP="00F76FE4">
            <w:pPr>
              <w:numPr>
                <w:ilvl w:val="0"/>
                <w:numId w:val="21"/>
              </w:numPr>
              <w:autoSpaceDE w:val="0"/>
              <w:autoSpaceDN w:val="0"/>
              <w:adjustRightInd w:val="0"/>
              <w:spacing w:before="60" w:after="60" w:line="240" w:lineRule="auto"/>
              <w:ind w:left="374" w:hanging="357"/>
              <w:contextualSpacing/>
              <w:jc w:val="left"/>
              <w:rPr>
                <w:rFonts w:ascii="Arial" w:eastAsia="Calibri" w:hAnsi="Arial" w:cs="Arial"/>
                <w:sz w:val="16"/>
                <w:szCs w:val="16"/>
                <w:lang w:val="en-US" w:eastAsia="en-US"/>
              </w:rPr>
            </w:pPr>
            <w:r w:rsidRPr="00C201D2">
              <w:rPr>
                <w:rFonts w:ascii="Arial" w:eastAsia="Calibri" w:hAnsi="Arial" w:cs="Arial"/>
                <w:sz w:val="16"/>
                <w:szCs w:val="16"/>
                <w:lang w:val="en-US" w:eastAsia="en-US"/>
              </w:rPr>
              <w:t>Prepare for and deliver electoral events.</w:t>
            </w:r>
          </w:p>
          <w:p w:rsidR="00E55150" w:rsidRPr="00C201D2" w:rsidRDefault="00E55150" w:rsidP="00F76FE4">
            <w:pPr>
              <w:numPr>
                <w:ilvl w:val="0"/>
                <w:numId w:val="21"/>
              </w:numPr>
              <w:autoSpaceDE w:val="0"/>
              <w:autoSpaceDN w:val="0"/>
              <w:adjustRightInd w:val="0"/>
              <w:spacing w:before="60" w:after="60" w:line="240" w:lineRule="auto"/>
              <w:ind w:left="374" w:hanging="357"/>
              <w:contextualSpacing/>
              <w:jc w:val="left"/>
              <w:rPr>
                <w:rFonts w:ascii="Arial" w:eastAsia="Calibri" w:hAnsi="Arial" w:cs="Arial"/>
                <w:sz w:val="16"/>
                <w:szCs w:val="16"/>
                <w:lang w:val="en-US" w:eastAsia="en-US"/>
              </w:rPr>
            </w:pPr>
            <w:r w:rsidRPr="00C201D2">
              <w:rPr>
                <w:rFonts w:ascii="Arial" w:eastAsia="Calibri" w:hAnsi="Arial" w:cs="Arial"/>
                <w:sz w:val="16"/>
                <w:szCs w:val="16"/>
                <w:lang w:val="en-US" w:eastAsia="en-US"/>
              </w:rPr>
              <w:t xml:space="preserve">Engage with our stakeholders through education and public awareness activities. </w:t>
            </w:r>
          </w:p>
          <w:p w:rsidR="00E55150" w:rsidRPr="004275D2" w:rsidRDefault="00E55150" w:rsidP="00F76FE4">
            <w:pPr>
              <w:numPr>
                <w:ilvl w:val="0"/>
                <w:numId w:val="21"/>
              </w:numPr>
              <w:autoSpaceDE w:val="0"/>
              <w:autoSpaceDN w:val="0"/>
              <w:adjustRightInd w:val="0"/>
              <w:spacing w:before="60" w:after="60" w:line="240" w:lineRule="auto"/>
              <w:ind w:left="374" w:hanging="357"/>
              <w:contextualSpacing/>
              <w:jc w:val="left"/>
              <w:rPr>
                <w:rFonts w:ascii="Arial" w:hAnsi="Arial" w:cs="Arial"/>
                <w:sz w:val="16"/>
                <w:szCs w:val="16"/>
              </w:rPr>
            </w:pPr>
            <w:r w:rsidRPr="00C201D2">
              <w:rPr>
                <w:rFonts w:ascii="Arial" w:eastAsia="Calibri" w:hAnsi="Arial" w:cs="Arial"/>
                <w:sz w:val="16"/>
                <w:szCs w:val="16"/>
                <w:lang w:val="en-US" w:eastAsia="en-US"/>
              </w:rPr>
              <w:t>Maintain a capable and agile organisation</w:t>
            </w:r>
            <w:bookmarkStart w:id="8" w:name="_GoBack"/>
            <w:bookmarkEnd w:id="8"/>
            <w:r w:rsidRPr="00C201D2">
              <w:rPr>
                <w:rFonts w:ascii="Arial" w:eastAsia="Calibri" w:hAnsi="Arial" w:cs="Arial"/>
                <w:sz w:val="16"/>
                <w:szCs w:val="16"/>
                <w:lang w:val="en-US" w:eastAsia="en-US"/>
              </w:rPr>
              <w:t xml:space="preserve"> and continue to professionalise our workforce.</w:t>
            </w:r>
          </w:p>
        </w:tc>
      </w:tr>
      <w:tr w:rsidR="00E55150" w:rsidRPr="001B2F81" w:rsidTr="00436AFE">
        <w:trPr>
          <w:trHeight w:val="258"/>
        </w:trPr>
        <w:tc>
          <w:tcPr>
            <w:tcW w:w="1560" w:type="dxa"/>
            <w:tcBorders>
              <w:top w:val="double" w:sz="4" w:space="0" w:color="auto"/>
              <w:bottom w:val="single" w:sz="4" w:space="0" w:color="auto"/>
              <w:right w:val="single" w:sz="4" w:space="0" w:color="auto"/>
            </w:tcBorders>
          </w:tcPr>
          <w:p w:rsidR="00E55150" w:rsidRPr="00160C23" w:rsidRDefault="00E55150" w:rsidP="00436AFE">
            <w:pPr>
              <w:pStyle w:val="TableTextBase"/>
              <w:rPr>
                <w:b/>
                <w:sz w:val="16"/>
                <w:szCs w:val="16"/>
              </w:rPr>
            </w:pPr>
            <w:r w:rsidRPr="00160C23">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rsidR="00E55150" w:rsidRPr="00160C23" w:rsidRDefault="00E55150" w:rsidP="00436AFE">
            <w:pPr>
              <w:pStyle w:val="TableTextBase"/>
              <w:rPr>
                <w:rFonts w:cs="Arial"/>
                <w:b/>
                <w:sz w:val="16"/>
                <w:szCs w:val="16"/>
              </w:rPr>
            </w:pPr>
            <w:r w:rsidRPr="00160C23">
              <w:rPr>
                <w:rFonts w:cs="Arial"/>
                <w:b/>
                <w:sz w:val="16"/>
                <w:szCs w:val="16"/>
              </w:rPr>
              <w:t>Performance measures</w:t>
            </w:r>
          </w:p>
        </w:tc>
        <w:tc>
          <w:tcPr>
            <w:tcW w:w="3118" w:type="dxa"/>
            <w:tcBorders>
              <w:top w:val="double" w:sz="4" w:space="0" w:color="auto"/>
              <w:left w:val="single" w:sz="4" w:space="0" w:color="auto"/>
              <w:bottom w:val="single" w:sz="4" w:space="0" w:color="auto"/>
            </w:tcBorders>
          </w:tcPr>
          <w:p w:rsidR="00E55150" w:rsidRPr="00160C23" w:rsidRDefault="00E55150" w:rsidP="00436AFE">
            <w:pPr>
              <w:pStyle w:val="TableTextBase"/>
              <w:rPr>
                <w:rFonts w:cs="Arial"/>
                <w:b/>
                <w:sz w:val="16"/>
                <w:szCs w:val="16"/>
              </w:rPr>
            </w:pPr>
            <w:r w:rsidRPr="00160C23">
              <w:rPr>
                <w:rFonts w:cs="Arial"/>
                <w:b/>
                <w:sz w:val="16"/>
                <w:szCs w:val="16"/>
              </w:rPr>
              <w:t>Expected Performance Results</w:t>
            </w:r>
          </w:p>
        </w:tc>
      </w:tr>
      <w:tr w:rsidR="00E55150" w:rsidRPr="001B2F81" w:rsidTr="00436AFE">
        <w:trPr>
          <w:trHeight w:val="1577"/>
        </w:trPr>
        <w:tc>
          <w:tcPr>
            <w:tcW w:w="1560" w:type="dxa"/>
            <w:tcBorders>
              <w:top w:val="single" w:sz="4" w:space="0" w:color="auto"/>
              <w:bottom w:val="nil"/>
              <w:right w:val="single" w:sz="4" w:space="0" w:color="auto"/>
            </w:tcBorders>
          </w:tcPr>
          <w:p w:rsidR="006804A1" w:rsidRPr="006804A1" w:rsidRDefault="006804A1" w:rsidP="006804A1">
            <w:pPr>
              <w:pStyle w:val="TableTextBase"/>
              <w:autoSpaceDE w:val="0"/>
              <w:autoSpaceDN w:val="0"/>
              <w:contextualSpacing/>
              <w:rPr>
                <w:rFonts w:cs="Arial"/>
                <w:sz w:val="16"/>
                <w:szCs w:val="16"/>
              </w:rPr>
            </w:pPr>
            <w:r w:rsidRPr="006804A1">
              <w:rPr>
                <w:rFonts w:cs="Arial"/>
                <w:sz w:val="16"/>
                <w:szCs w:val="16"/>
              </w:rPr>
              <w:t xml:space="preserve">Current year </w:t>
            </w:r>
          </w:p>
          <w:p w:rsidR="006804A1" w:rsidRPr="006804A1" w:rsidRDefault="006804A1" w:rsidP="006804A1">
            <w:pPr>
              <w:pStyle w:val="TableTextBase"/>
              <w:autoSpaceDE w:val="0"/>
              <w:autoSpaceDN w:val="0"/>
              <w:contextualSpacing/>
              <w:rPr>
                <w:rFonts w:cs="Arial"/>
                <w:sz w:val="16"/>
                <w:szCs w:val="16"/>
              </w:rPr>
            </w:pPr>
            <w:r w:rsidRPr="006804A1">
              <w:rPr>
                <w:rFonts w:cs="Arial"/>
                <w:sz w:val="16"/>
                <w:szCs w:val="16"/>
              </w:rPr>
              <w:t>2021-22</w:t>
            </w:r>
          </w:p>
          <w:p w:rsidR="00E55150" w:rsidRPr="00160C23" w:rsidRDefault="00E55150" w:rsidP="006804A1">
            <w:pPr>
              <w:pStyle w:val="TableTextBase"/>
              <w:rPr>
                <w:b/>
                <w:sz w:val="16"/>
                <w:szCs w:val="16"/>
              </w:rPr>
            </w:pPr>
          </w:p>
        </w:tc>
        <w:tc>
          <w:tcPr>
            <w:tcW w:w="3118" w:type="dxa"/>
            <w:tcBorders>
              <w:top w:val="single" w:sz="4" w:space="0" w:color="auto"/>
              <w:left w:val="single" w:sz="4" w:space="0" w:color="auto"/>
              <w:bottom w:val="nil"/>
              <w:right w:val="single" w:sz="4" w:space="0" w:color="auto"/>
            </w:tcBorders>
          </w:tcPr>
          <w:p w:rsidR="00E55150" w:rsidRPr="00F16945" w:rsidRDefault="00E55150" w:rsidP="00436AFE">
            <w:pPr>
              <w:tabs>
                <w:tab w:val="left" w:pos="709"/>
              </w:tabs>
              <w:spacing w:before="60" w:after="60" w:line="240" w:lineRule="auto"/>
              <w:ind w:left="374" w:hanging="357"/>
              <w:jc w:val="left"/>
              <w:rPr>
                <w:rFonts w:ascii="Arial" w:hAnsi="Arial" w:cs="Arial"/>
                <w:b/>
                <w:sz w:val="16"/>
                <w:szCs w:val="16"/>
              </w:rPr>
            </w:pPr>
            <w:r w:rsidRPr="00F16945">
              <w:rPr>
                <w:rFonts w:ascii="Arial" w:hAnsi="Arial" w:cs="Arial"/>
                <w:b/>
                <w:sz w:val="16"/>
                <w:szCs w:val="16"/>
              </w:rPr>
              <w:t xml:space="preserve">Electoral Roll Management </w:t>
            </w:r>
          </w:p>
          <w:p w:rsidR="00E55150" w:rsidRPr="00C201D2" w:rsidRDefault="00E55150" w:rsidP="00F76FE4">
            <w:pPr>
              <w:numPr>
                <w:ilvl w:val="0"/>
                <w:numId w:val="21"/>
              </w:numPr>
              <w:autoSpaceDE w:val="0"/>
              <w:autoSpaceDN w:val="0"/>
              <w:adjustRightInd w:val="0"/>
              <w:spacing w:before="60" w:after="60" w:line="240" w:lineRule="auto"/>
              <w:ind w:left="374" w:hanging="357"/>
              <w:contextualSpacing/>
              <w:jc w:val="left"/>
              <w:rPr>
                <w:rFonts w:ascii="Arial" w:eastAsia="Calibri" w:hAnsi="Arial" w:cs="Arial"/>
                <w:sz w:val="16"/>
                <w:szCs w:val="16"/>
                <w:lang w:val="en-US" w:eastAsia="en-US"/>
              </w:rPr>
            </w:pPr>
            <w:r w:rsidRPr="00C201D2">
              <w:rPr>
                <w:rFonts w:ascii="Arial" w:eastAsia="Calibri" w:hAnsi="Arial" w:cs="Arial"/>
                <w:sz w:val="16"/>
                <w:szCs w:val="16"/>
                <w:lang w:val="en-US" w:eastAsia="en-US"/>
              </w:rPr>
              <w:t>Percentage of eligible voters enrolled (enrolment rate).</w:t>
            </w:r>
          </w:p>
          <w:p w:rsidR="00E55150" w:rsidRPr="00160C23" w:rsidRDefault="00E55150" w:rsidP="00436AFE">
            <w:pPr>
              <w:pStyle w:val="TableTextBase"/>
              <w:ind w:left="374" w:hanging="357"/>
              <w:rPr>
                <w:rFonts w:cs="Arial"/>
                <w:b/>
                <w:sz w:val="16"/>
                <w:szCs w:val="16"/>
              </w:rPr>
            </w:pPr>
          </w:p>
        </w:tc>
        <w:tc>
          <w:tcPr>
            <w:tcW w:w="3118" w:type="dxa"/>
            <w:tcBorders>
              <w:top w:val="single" w:sz="4" w:space="0" w:color="auto"/>
              <w:left w:val="single" w:sz="4" w:space="0" w:color="auto"/>
              <w:bottom w:val="nil"/>
            </w:tcBorders>
          </w:tcPr>
          <w:p w:rsidR="00E55150" w:rsidRPr="00F16945" w:rsidRDefault="00E55150" w:rsidP="00436AFE">
            <w:pPr>
              <w:autoSpaceDE w:val="0"/>
              <w:autoSpaceDN w:val="0"/>
              <w:spacing w:before="60" w:after="60" w:line="240" w:lineRule="auto"/>
              <w:jc w:val="left"/>
              <w:rPr>
                <w:rFonts w:ascii="Arial" w:hAnsi="Arial" w:cs="Arial"/>
                <w:sz w:val="16"/>
                <w:szCs w:val="16"/>
              </w:rPr>
            </w:pPr>
            <w:r w:rsidRPr="00F16945">
              <w:rPr>
                <w:rFonts w:ascii="Arial" w:hAnsi="Arial" w:cs="Arial"/>
                <w:b/>
                <w:bCs/>
                <w:sz w:val="16"/>
                <w:szCs w:val="16"/>
              </w:rPr>
              <w:t>Target:</w:t>
            </w:r>
            <w:r w:rsidRPr="00F16945">
              <w:rPr>
                <w:rFonts w:ascii="Arial" w:hAnsi="Arial" w:cs="Arial"/>
                <w:sz w:val="16"/>
                <w:szCs w:val="16"/>
              </w:rPr>
              <w:t xml:space="preserve"> ≥ 95% reported annually and at close of rolls for a federal election or referendum.</w:t>
            </w:r>
          </w:p>
          <w:p w:rsidR="00E55150" w:rsidRPr="00BC0109" w:rsidRDefault="00E55150" w:rsidP="00436AFE">
            <w:pPr>
              <w:autoSpaceDE w:val="0"/>
              <w:autoSpaceDN w:val="0"/>
              <w:spacing w:before="60" w:after="60" w:line="240" w:lineRule="auto"/>
              <w:jc w:val="left"/>
              <w:rPr>
                <w:rFonts w:ascii="Arial" w:hAnsi="Arial" w:cs="Arial"/>
                <w:sz w:val="16"/>
                <w:szCs w:val="16"/>
              </w:rPr>
            </w:pPr>
            <w:r w:rsidRPr="00F16945">
              <w:rPr>
                <w:rFonts w:ascii="Arial" w:hAnsi="Arial" w:cs="Arial"/>
                <w:b/>
                <w:bCs/>
                <w:sz w:val="16"/>
                <w:szCs w:val="16"/>
              </w:rPr>
              <w:t>Performance:</w:t>
            </w:r>
            <w:r w:rsidRPr="00F16945">
              <w:rPr>
                <w:rFonts w:ascii="Arial" w:hAnsi="Arial" w:cs="Arial"/>
                <w:sz w:val="16"/>
                <w:szCs w:val="16"/>
              </w:rPr>
              <w:t xml:space="preserve"> On track to be met. The enrolment rate at 31 December 2021 was 96.3% and is expected to remain above 95%.</w:t>
            </w:r>
          </w:p>
        </w:tc>
      </w:tr>
      <w:tr w:rsidR="00E55150" w:rsidRPr="001B2F81" w:rsidTr="00436AFE">
        <w:trPr>
          <w:trHeight w:val="258"/>
        </w:trPr>
        <w:tc>
          <w:tcPr>
            <w:tcW w:w="1560" w:type="dxa"/>
            <w:tcBorders>
              <w:top w:val="nil"/>
              <w:bottom w:val="single" w:sz="4" w:space="0" w:color="auto"/>
              <w:right w:val="single" w:sz="4" w:space="0" w:color="auto"/>
            </w:tcBorders>
          </w:tcPr>
          <w:p w:rsidR="00E55150" w:rsidRPr="00F16945" w:rsidRDefault="00E55150" w:rsidP="00436AFE">
            <w:pPr>
              <w:pStyle w:val="TableTextBase"/>
              <w:rPr>
                <w:rFonts w:cs="Arial"/>
                <w:sz w:val="16"/>
                <w:szCs w:val="16"/>
              </w:rPr>
            </w:pPr>
          </w:p>
        </w:tc>
        <w:tc>
          <w:tcPr>
            <w:tcW w:w="3118" w:type="dxa"/>
            <w:tcBorders>
              <w:top w:val="nil"/>
              <w:left w:val="single" w:sz="4" w:space="0" w:color="auto"/>
              <w:bottom w:val="single" w:sz="4" w:space="0" w:color="auto"/>
              <w:right w:val="single" w:sz="4" w:space="0" w:color="auto"/>
            </w:tcBorders>
          </w:tcPr>
          <w:p w:rsidR="00E55150" w:rsidRPr="00C201D2" w:rsidRDefault="00E55150" w:rsidP="00F76FE4">
            <w:pPr>
              <w:numPr>
                <w:ilvl w:val="0"/>
                <w:numId w:val="21"/>
              </w:numPr>
              <w:autoSpaceDE w:val="0"/>
              <w:autoSpaceDN w:val="0"/>
              <w:adjustRightInd w:val="0"/>
              <w:spacing w:before="60" w:after="60" w:line="240" w:lineRule="auto"/>
              <w:ind w:left="374" w:hanging="357"/>
              <w:contextualSpacing/>
              <w:jc w:val="left"/>
              <w:rPr>
                <w:rFonts w:ascii="Arial" w:eastAsia="Calibri" w:hAnsi="Arial" w:cs="Arial"/>
                <w:sz w:val="16"/>
                <w:szCs w:val="16"/>
                <w:lang w:val="en-US" w:eastAsia="en-US"/>
              </w:rPr>
            </w:pPr>
            <w:r w:rsidRPr="00C201D2">
              <w:rPr>
                <w:rFonts w:ascii="Arial" w:eastAsia="Calibri" w:hAnsi="Arial" w:cs="Arial"/>
                <w:sz w:val="16"/>
                <w:szCs w:val="16"/>
                <w:lang w:val="en-US" w:eastAsia="en-US"/>
              </w:rPr>
              <w:t xml:space="preserve">Redistributions determined when planned in accordance with timeframes identified in the </w:t>
            </w:r>
            <w:r w:rsidRPr="004141C4">
              <w:rPr>
                <w:rFonts w:ascii="Arial" w:eastAsia="Calibri" w:hAnsi="Arial" w:cs="Arial"/>
                <w:i/>
                <w:sz w:val="16"/>
                <w:szCs w:val="16"/>
                <w:lang w:val="en-US" w:eastAsia="en-US"/>
              </w:rPr>
              <w:t>Commonwealth Electoral Act 1918</w:t>
            </w:r>
            <w:r w:rsidRPr="00F16945">
              <w:rPr>
                <w:rFonts w:ascii="Arial" w:eastAsia="Calibri" w:hAnsi="Arial" w:cs="Arial"/>
                <w:sz w:val="16"/>
                <w:szCs w:val="16"/>
                <w:lang w:val="en-US" w:eastAsia="en-US"/>
              </w:rPr>
              <w:t>.</w:t>
            </w:r>
          </w:p>
          <w:p w:rsidR="00E55150" w:rsidRPr="00F16945" w:rsidRDefault="00E55150" w:rsidP="00436AFE">
            <w:pPr>
              <w:tabs>
                <w:tab w:val="left" w:pos="709"/>
              </w:tabs>
              <w:spacing w:before="60" w:after="60" w:line="240" w:lineRule="auto"/>
              <w:ind w:left="374" w:hanging="357"/>
              <w:jc w:val="left"/>
              <w:rPr>
                <w:rFonts w:ascii="Arial" w:hAnsi="Arial" w:cs="Arial"/>
                <w:b/>
                <w:sz w:val="16"/>
                <w:szCs w:val="16"/>
              </w:rPr>
            </w:pPr>
          </w:p>
        </w:tc>
        <w:tc>
          <w:tcPr>
            <w:tcW w:w="3118" w:type="dxa"/>
            <w:tcBorders>
              <w:top w:val="nil"/>
              <w:left w:val="single" w:sz="4" w:space="0" w:color="auto"/>
              <w:bottom w:val="single" w:sz="4" w:space="0" w:color="auto"/>
            </w:tcBorders>
          </w:tcPr>
          <w:p w:rsidR="00E55150" w:rsidRDefault="00E55150" w:rsidP="00436AFE">
            <w:pPr>
              <w:autoSpaceDE w:val="0"/>
              <w:autoSpaceDN w:val="0"/>
              <w:spacing w:before="60" w:after="60" w:line="240" w:lineRule="auto"/>
              <w:jc w:val="left"/>
              <w:rPr>
                <w:rFonts w:ascii="Arial" w:hAnsi="Arial" w:cs="Arial"/>
                <w:sz w:val="16"/>
                <w:szCs w:val="16"/>
              </w:rPr>
            </w:pPr>
            <w:r w:rsidRPr="00F16945">
              <w:rPr>
                <w:rFonts w:ascii="Arial" w:hAnsi="Arial" w:cs="Arial"/>
                <w:b/>
                <w:bCs/>
                <w:sz w:val="16"/>
                <w:szCs w:val="16"/>
              </w:rPr>
              <w:t>Target:</w:t>
            </w:r>
            <w:r w:rsidRPr="00F16945">
              <w:rPr>
                <w:rFonts w:ascii="Arial" w:hAnsi="Arial" w:cs="Arial"/>
                <w:sz w:val="16"/>
                <w:szCs w:val="16"/>
              </w:rPr>
              <w:t xml:space="preserve"> All redistributions in the period determined and affected electors informed. </w:t>
            </w:r>
          </w:p>
          <w:p w:rsidR="00E55150" w:rsidRPr="00F16945" w:rsidRDefault="00E55150" w:rsidP="00436AFE">
            <w:pPr>
              <w:autoSpaceDE w:val="0"/>
              <w:autoSpaceDN w:val="0"/>
              <w:spacing w:before="60" w:after="60" w:line="240" w:lineRule="auto"/>
              <w:jc w:val="left"/>
              <w:rPr>
                <w:rFonts w:ascii="Arial" w:hAnsi="Arial" w:cs="Arial"/>
                <w:sz w:val="16"/>
                <w:szCs w:val="16"/>
              </w:rPr>
            </w:pPr>
            <w:r w:rsidRPr="00F16945">
              <w:rPr>
                <w:rFonts w:ascii="Arial" w:hAnsi="Arial" w:cs="Arial"/>
                <w:b/>
                <w:bCs/>
                <w:sz w:val="16"/>
                <w:szCs w:val="16"/>
              </w:rPr>
              <w:t>Performance:</w:t>
            </w:r>
            <w:r w:rsidRPr="00F16945">
              <w:rPr>
                <w:rFonts w:ascii="Arial" w:hAnsi="Arial" w:cs="Arial"/>
                <w:sz w:val="16"/>
                <w:szCs w:val="16"/>
              </w:rPr>
              <w:t xml:space="preserve"> On track to be met. The Victorian redistribution was determined on 26 July 2021 and the Western Australian redistribution was determined on 2 August 2021. Electors who were transferred between electoral rolls as a result of the two redistributions were informed by notices published in state-wide newspapers and newspapers targeted to Indigenous and rural audiences. Letters were also sent to households affected by these transfers. </w:t>
            </w:r>
          </w:p>
          <w:p w:rsidR="00E55150" w:rsidRPr="00F16945" w:rsidRDefault="00E55150" w:rsidP="00436AFE">
            <w:pPr>
              <w:autoSpaceDE w:val="0"/>
              <w:autoSpaceDN w:val="0"/>
              <w:spacing w:before="60" w:after="60" w:line="240" w:lineRule="auto"/>
              <w:jc w:val="left"/>
              <w:rPr>
                <w:rFonts w:ascii="Arial" w:hAnsi="Arial" w:cs="Arial"/>
                <w:b/>
                <w:bCs/>
                <w:sz w:val="16"/>
                <w:szCs w:val="16"/>
              </w:rPr>
            </w:pPr>
          </w:p>
        </w:tc>
      </w:tr>
    </w:tbl>
    <w:p w:rsidR="00E55150" w:rsidRDefault="00E55150" w:rsidP="00E55150">
      <w:pPr>
        <w:spacing w:after="0" w:line="240" w:lineRule="auto"/>
        <w:jc w:val="left"/>
      </w:pPr>
      <w:r w:rsidRPr="000717B9">
        <w:rPr>
          <w:rFonts w:ascii="Arial" w:hAnsi="Arial"/>
          <w:sz w:val="16"/>
        </w:rPr>
        <w:t>Table continues on next page</w:t>
      </w:r>
      <w:r>
        <w:t xml:space="preserve"> </w:t>
      </w:r>
    </w:p>
    <w:p w:rsidR="00E55150" w:rsidRDefault="00E55150" w:rsidP="00BF35D9"/>
    <w:p w:rsidR="00E55150" w:rsidRDefault="00E55150" w:rsidP="00BF35D9"/>
    <w:p w:rsidR="00E55150" w:rsidRDefault="00E55150" w:rsidP="00BF35D9"/>
    <w:p w:rsidR="00E55150" w:rsidRDefault="00E55150" w:rsidP="00E55150">
      <w:pPr>
        <w:pStyle w:val="TableHeading"/>
        <w:rPr>
          <w:lang w:val="en-AU"/>
        </w:rPr>
      </w:pPr>
      <w:r w:rsidRPr="00F71634">
        <w:lastRenderedPageBreak/>
        <w:t>Table 2.</w:t>
      </w:r>
      <w:r>
        <w:rPr>
          <w:lang w:val="en-AU"/>
        </w:rPr>
        <w:t>1</w:t>
      </w:r>
      <w:r w:rsidRPr="00F71634">
        <w:t>.</w:t>
      </w:r>
      <w:r>
        <w:rPr>
          <w:lang w:val="en-AU"/>
        </w:rPr>
        <w:t>2</w:t>
      </w:r>
      <w:r w:rsidRPr="00F71634">
        <w:t xml:space="preserve">: Performance </w:t>
      </w:r>
      <w:r>
        <w:rPr>
          <w:lang w:val="en-AU"/>
        </w:rPr>
        <w:t>measure</w:t>
      </w:r>
      <w:r w:rsidRPr="00F71634">
        <w:t xml:space="preserve"> for Outcome </w:t>
      </w:r>
      <w:r>
        <w:rPr>
          <w:lang w:val="en-AU"/>
        </w:rPr>
        <w:t>1</w:t>
      </w:r>
      <w:r w:rsidRPr="00E55150">
        <w:rPr>
          <w:lang w:val="en-AU"/>
        </w:rPr>
        <w:t xml:space="preserve"> (continued)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E55150" w:rsidRPr="00617538" w:rsidTr="00436AFE">
        <w:trPr>
          <w:trHeight w:val="522"/>
        </w:trPr>
        <w:tc>
          <w:tcPr>
            <w:tcW w:w="7796" w:type="dxa"/>
            <w:gridSpan w:val="3"/>
            <w:shd w:val="clear" w:color="auto" w:fill="F2F2F2"/>
          </w:tcPr>
          <w:p w:rsidR="00E55150" w:rsidRPr="00617538" w:rsidRDefault="00677731" w:rsidP="00436AFE">
            <w:pPr>
              <w:pStyle w:val="TableTextLeft"/>
              <w:rPr>
                <w:rFonts w:eastAsia="Arial"/>
                <w:b/>
                <w:highlight w:val="yellow"/>
              </w:rPr>
            </w:pPr>
            <w:r w:rsidRPr="00BA090C">
              <w:rPr>
                <w:b/>
                <w:szCs w:val="18"/>
              </w:rPr>
              <w:t xml:space="preserve">Performance information: </w:t>
            </w:r>
            <w:r w:rsidR="00E55150" w:rsidRPr="00617538">
              <w:rPr>
                <w:b/>
              </w:rPr>
              <w:t>Program 1.</w:t>
            </w:r>
            <w:r w:rsidR="00E55150" w:rsidRPr="00091B3B">
              <w:rPr>
                <w:b/>
              </w:rPr>
              <w:t>1 – Deliver Electoral Events</w:t>
            </w:r>
          </w:p>
        </w:tc>
      </w:tr>
      <w:tr w:rsidR="00E55150" w:rsidRPr="00160C23" w:rsidTr="00E55150">
        <w:trPr>
          <w:trHeight w:val="258"/>
        </w:trPr>
        <w:tc>
          <w:tcPr>
            <w:tcW w:w="1560" w:type="dxa"/>
            <w:tcBorders>
              <w:top w:val="single" w:sz="4" w:space="0" w:color="auto"/>
              <w:bottom w:val="single" w:sz="4" w:space="0" w:color="auto"/>
              <w:right w:val="single" w:sz="4" w:space="0" w:color="auto"/>
            </w:tcBorders>
          </w:tcPr>
          <w:p w:rsidR="00E55150" w:rsidRPr="00160C23" w:rsidRDefault="00E55150" w:rsidP="00436AFE">
            <w:pPr>
              <w:pStyle w:val="TableTextBase"/>
              <w:rPr>
                <w:b/>
                <w:sz w:val="16"/>
                <w:szCs w:val="16"/>
              </w:rPr>
            </w:pPr>
            <w:r w:rsidRPr="00160C23">
              <w:rPr>
                <w:b/>
                <w:sz w:val="16"/>
                <w:szCs w:val="16"/>
              </w:rPr>
              <w:t>Year</w:t>
            </w:r>
          </w:p>
        </w:tc>
        <w:tc>
          <w:tcPr>
            <w:tcW w:w="3118" w:type="dxa"/>
            <w:tcBorders>
              <w:top w:val="single" w:sz="4" w:space="0" w:color="auto"/>
              <w:left w:val="single" w:sz="4" w:space="0" w:color="auto"/>
              <w:bottom w:val="single" w:sz="4" w:space="0" w:color="auto"/>
              <w:right w:val="single" w:sz="4" w:space="0" w:color="auto"/>
            </w:tcBorders>
          </w:tcPr>
          <w:p w:rsidR="00E55150" w:rsidRPr="00160C23" w:rsidRDefault="00E55150" w:rsidP="00436AFE">
            <w:pPr>
              <w:pStyle w:val="TableTextBase"/>
              <w:rPr>
                <w:rFonts w:cs="Arial"/>
                <w:b/>
                <w:sz w:val="16"/>
                <w:szCs w:val="16"/>
              </w:rPr>
            </w:pPr>
            <w:r w:rsidRPr="00160C23">
              <w:rPr>
                <w:rFonts w:cs="Arial"/>
                <w:b/>
                <w:sz w:val="16"/>
                <w:szCs w:val="16"/>
              </w:rPr>
              <w:t>Performance measures</w:t>
            </w:r>
          </w:p>
        </w:tc>
        <w:tc>
          <w:tcPr>
            <w:tcW w:w="3118" w:type="dxa"/>
            <w:tcBorders>
              <w:top w:val="single" w:sz="4" w:space="0" w:color="auto"/>
              <w:left w:val="single" w:sz="4" w:space="0" w:color="auto"/>
              <w:bottom w:val="single" w:sz="4" w:space="0" w:color="auto"/>
            </w:tcBorders>
          </w:tcPr>
          <w:p w:rsidR="00E55150" w:rsidRPr="00160C23" w:rsidRDefault="00E55150" w:rsidP="00436AFE">
            <w:pPr>
              <w:pStyle w:val="TableTextBase"/>
              <w:rPr>
                <w:rFonts w:cs="Arial"/>
                <w:b/>
                <w:sz w:val="16"/>
                <w:szCs w:val="16"/>
              </w:rPr>
            </w:pPr>
            <w:r w:rsidRPr="00160C23">
              <w:rPr>
                <w:rFonts w:cs="Arial"/>
                <w:b/>
                <w:sz w:val="16"/>
                <w:szCs w:val="16"/>
              </w:rPr>
              <w:t>Expected Performance Results</w:t>
            </w:r>
          </w:p>
        </w:tc>
      </w:tr>
      <w:tr w:rsidR="00E55150" w:rsidRPr="0084191D" w:rsidTr="00436AFE">
        <w:trPr>
          <w:trHeight w:val="258"/>
        </w:trPr>
        <w:tc>
          <w:tcPr>
            <w:tcW w:w="1560" w:type="dxa"/>
            <w:tcBorders>
              <w:top w:val="single" w:sz="4" w:space="0" w:color="auto"/>
              <w:bottom w:val="nil"/>
              <w:right w:val="single" w:sz="4" w:space="0" w:color="auto"/>
            </w:tcBorders>
          </w:tcPr>
          <w:p w:rsidR="006804A1" w:rsidRPr="006804A1" w:rsidRDefault="006804A1" w:rsidP="006804A1">
            <w:pPr>
              <w:pStyle w:val="TableTextBase"/>
              <w:autoSpaceDE w:val="0"/>
              <w:autoSpaceDN w:val="0"/>
              <w:contextualSpacing/>
              <w:rPr>
                <w:rFonts w:cs="Arial"/>
                <w:sz w:val="16"/>
                <w:szCs w:val="16"/>
              </w:rPr>
            </w:pPr>
            <w:r w:rsidRPr="006804A1">
              <w:rPr>
                <w:rFonts w:cs="Arial"/>
                <w:sz w:val="16"/>
                <w:szCs w:val="16"/>
              </w:rPr>
              <w:t xml:space="preserve">Current year </w:t>
            </w:r>
          </w:p>
          <w:p w:rsidR="006804A1" w:rsidRPr="006804A1" w:rsidRDefault="006804A1" w:rsidP="006804A1">
            <w:pPr>
              <w:pStyle w:val="TableTextBase"/>
              <w:autoSpaceDE w:val="0"/>
              <w:autoSpaceDN w:val="0"/>
              <w:contextualSpacing/>
              <w:rPr>
                <w:rFonts w:cs="Arial"/>
                <w:sz w:val="16"/>
                <w:szCs w:val="16"/>
              </w:rPr>
            </w:pPr>
            <w:r w:rsidRPr="006804A1">
              <w:rPr>
                <w:rFonts w:cs="Arial"/>
                <w:sz w:val="16"/>
                <w:szCs w:val="16"/>
              </w:rPr>
              <w:t>2021-22</w:t>
            </w:r>
          </w:p>
          <w:p w:rsidR="00E55150" w:rsidRPr="00F16945" w:rsidRDefault="006804A1" w:rsidP="006804A1">
            <w:pPr>
              <w:pStyle w:val="TableTextBase"/>
              <w:rPr>
                <w:rFonts w:cs="Arial"/>
                <w:sz w:val="16"/>
                <w:szCs w:val="16"/>
              </w:rPr>
            </w:pPr>
            <w:r w:rsidRPr="006804A1">
              <w:rPr>
                <w:rFonts w:cs="Arial"/>
                <w:sz w:val="16"/>
                <w:szCs w:val="16"/>
              </w:rPr>
              <w:t>(continued)</w:t>
            </w:r>
          </w:p>
        </w:tc>
        <w:tc>
          <w:tcPr>
            <w:tcW w:w="3118" w:type="dxa"/>
            <w:tcBorders>
              <w:top w:val="single" w:sz="4" w:space="0" w:color="auto"/>
              <w:left w:val="single" w:sz="4" w:space="0" w:color="auto"/>
              <w:bottom w:val="nil"/>
              <w:right w:val="single" w:sz="4" w:space="0" w:color="auto"/>
            </w:tcBorders>
          </w:tcPr>
          <w:p w:rsidR="00E55150" w:rsidRPr="00AE5868" w:rsidRDefault="00E55150" w:rsidP="00436AFE">
            <w:pPr>
              <w:spacing w:after="0" w:line="240" w:lineRule="auto"/>
              <w:jc w:val="left"/>
              <w:rPr>
                <w:rFonts w:ascii="Arial" w:hAnsi="Arial" w:cs="Arial"/>
                <w:b/>
                <w:sz w:val="16"/>
                <w:szCs w:val="16"/>
                <w:highlight w:val="yellow"/>
              </w:rPr>
            </w:pPr>
            <w:r w:rsidRPr="00AE5868">
              <w:rPr>
                <w:rFonts w:ascii="Arial" w:hAnsi="Arial" w:cs="Arial"/>
                <w:b/>
                <w:sz w:val="16"/>
                <w:szCs w:val="16"/>
              </w:rPr>
              <w:t>Elections, By-elections and Referendums</w:t>
            </w:r>
          </w:p>
          <w:p w:rsidR="00E55150" w:rsidRPr="00AE5868" w:rsidRDefault="00E55150" w:rsidP="00F76FE4">
            <w:pPr>
              <w:numPr>
                <w:ilvl w:val="0"/>
                <w:numId w:val="21"/>
              </w:numPr>
              <w:autoSpaceDE w:val="0"/>
              <w:autoSpaceDN w:val="0"/>
              <w:adjustRightInd w:val="0"/>
              <w:spacing w:before="60" w:after="60" w:line="240" w:lineRule="auto"/>
              <w:ind w:left="378" w:hanging="361"/>
              <w:contextualSpacing/>
              <w:jc w:val="left"/>
              <w:rPr>
                <w:rFonts w:ascii="Arial" w:hAnsi="Arial" w:cs="Arial"/>
                <w:sz w:val="16"/>
                <w:szCs w:val="16"/>
              </w:rPr>
            </w:pPr>
            <w:r w:rsidRPr="00AE5868">
              <w:rPr>
                <w:rFonts w:ascii="Arial" w:eastAsia="Calibri" w:hAnsi="Arial" w:cs="Arial"/>
                <w:sz w:val="16"/>
                <w:szCs w:val="16"/>
                <w:lang w:val="en-US" w:eastAsia="en-US"/>
              </w:rPr>
              <w:t>The writs for a federal election event are issued and returned in accordance with legislation and timeframes.</w:t>
            </w:r>
            <w:r w:rsidRPr="00AE5868">
              <w:rPr>
                <w:rFonts w:ascii="Arial" w:hAnsi="Arial" w:cs="Arial"/>
                <w:sz w:val="16"/>
                <w:szCs w:val="16"/>
              </w:rPr>
              <w:t xml:space="preserve"> </w:t>
            </w:r>
          </w:p>
        </w:tc>
        <w:tc>
          <w:tcPr>
            <w:tcW w:w="3118" w:type="dxa"/>
            <w:tcBorders>
              <w:top w:val="single" w:sz="4" w:space="0" w:color="auto"/>
              <w:left w:val="single" w:sz="4" w:space="0" w:color="auto"/>
              <w:bottom w:val="nil"/>
            </w:tcBorders>
          </w:tcPr>
          <w:p w:rsidR="00E55150" w:rsidRPr="00AE5868" w:rsidRDefault="00E55150" w:rsidP="00436AFE">
            <w:pPr>
              <w:autoSpaceDE w:val="0"/>
              <w:autoSpaceDN w:val="0"/>
              <w:spacing w:before="60" w:after="60" w:line="240" w:lineRule="auto"/>
              <w:jc w:val="left"/>
              <w:rPr>
                <w:rFonts w:ascii="Arial" w:hAnsi="Arial" w:cs="Arial"/>
                <w:sz w:val="16"/>
                <w:szCs w:val="16"/>
              </w:rPr>
            </w:pPr>
            <w:r w:rsidRPr="00AE5868">
              <w:rPr>
                <w:rFonts w:ascii="Arial" w:hAnsi="Arial" w:cs="Arial"/>
                <w:b/>
                <w:bCs/>
                <w:sz w:val="16"/>
                <w:szCs w:val="16"/>
              </w:rPr>
              <w:t>Target:</w:t>
            </w:r>
            <w:r w:rsidRPr="00AE5868">
              <w:rPr>
                <w:rFonts w:ascii="Arial" w:hAnsi="Arial" w:cs="Arial"/>
                <w:sz w:val="16"/>
                <w:szCs w:val="16"/>
              </w:rPr>
              <w:t xml:space="preserve"> Date on the returned election writs falls within the timeframe specified.</w:t>
            </w:r>
          </w:p>
          <w:p w:rsidR="00E55150" w:rsidRPr="00AE5868" w:rsidRDefault="00E55150" w:rsidP="00436AFE">
            <w:pPr>
              <w:autoSpaceDE w:val="0"/>
              <w:autoSpaceDN w:val="0"/>
              <w:spacing w:before="60" w:after="60" w:line="240" w:lineRule="auto"/>
              <w:jc w:val="left"/>
              <w:rPr>
                <w:rFonts w:ascii="Arial" w:hAnsi="Arial" w:cs="Arial"/>
                <w:sz w:val="16"/>
                <w:szCs w:val="16"/>
              </w:rPr>
            </w:pPr>
          </w:p>
          <w:p w:rsidR="00E55150" w:rsidRPr="00AE5868" w:rsidRDefault="00E55150" w:rsidP="00436AFE">
            <w:pPr>
              <w:autoSpaceDE w:val="0"/>
              <w:autoSpaceDN w:val="0"/>
              <w:spacing w:before="60" w:after="60" w:line="240" w:lineRule="auto"/>
              <w:jc w:val="left"/>
              <w:rPr>
                <w:rFonts w:ascii="Arial" w:hAnsi="Arial" w:cs="Arial"/>
                <w:sz w:val="16"/>
                <w:szCs w:val="16"/>
              </w:rPr>
            </w:pPr>
            <w:r w:rsidRPr="00AE5868">
              <w:rPr>
                <w:rFonts w:ascii="Arial" w:hAnsi="Arial" w:cs="Arial"/>
                <w:b/>
                <w:bCs/>
                <w:sz w:val="16"/>
                <w:szCs w:val="16"/>
              </w:rPr>
              <w:t>Performance:</w:t>
            </w:r>
            <w:r w:rsidRPr="00AE5868">
              <w:rPr>
                <w:rFonts w:ascii="Arial" w:hAnsi="Arial" w:cs="Arial"/>
                <w:sz w:val="16"/>
                <w:szCs w:val="16"/>
              </w:rPr>
              <w:t xml:space="preserve"> On track to be met. The AEC anticipates returning the writs for the federal election within specified timeframes. </w:t>
            </w:r>
          </w:p>
        </w:tc>
      </w:tr>
      <w:tr w:rsidR="00E55150" w:rsidRPr="00C552B1" w:rsidTr="00436AFE">
        <w:trPr>
          <w:trHeight w:val="258"/>
        </w:trPr>
        <w:tc>
          <w:tcPr>
            <w:tcW w:w="1560" w:type="dxa"/>
            <w:tcBorders>
              <w:top w:val="nil"/>
              <w:bottom w:val="nil"/>
              <w:right w:val="single" w:sz="4" w:space="0" w:color="auto"/>
            </w:tcBorders>
          </w:tcPr>
          <w:p w:rsidR="00E55150" w:rsidRPr="00F16945" w:rsidRDefault="00E55150" w:rsidP="00436AFE">
            <w:pPr>
              <w:pStyle w:val="TableTextBase"/>
              <w:rPr>
                <w:rFonts w:cs="Arial"/>
                <w:sz w:val="16"/>
                <w:szCs w:val="16"/>
              </w:rPr>
            </w:pPr>
          </w:p>
        </w:tc>
        <w:tc>
          <w:tcPr>
            <w:tcW w:w="3118" w:type="dxa"/>
            <w:tcBorders>
              <w:top w:val="nil"/>
              <w:left w:val="single" w:sz="4" w:space="0" w:color="auto"/>
              <w:bottom w:val="single" w:sz="4" w:space="0" w:color="FFFFFF" w:themeColor="background1"/>
              <w:right w:val="single" w:sz="4" w:space="0" w:color="auto"/>
            </w:tcBorders>
          </w:tcPr>
          <w:p w:rsidR="00E55150" w:rsidRPr="00AE5868" w:rsidRDefault="00E55150" w:rsidP="00F76FE4">
            <w:pPr>
              <w:numPr>
                <w:ilvl w:val="0"/>
                <w:numId w:val="21"/>
              </w:numPr>
              <w:autoSpaceDE w:val="0"/>
              <w:autoSpaceDN w:val="0"/>
              <w:adjustRightInd w:val="0"/>
              <w:spacing w:before="60" w:after="60" w:line="240" w:lineRule="auto"/>
              <w:ind w:left="374" w:hanging="357"/>
              <w:contextualSpacing/>
              <w:jc w:val="left"/>
              <w:rPr>
                <w:rFonts w:ascii="Arial" w:eastAsia="Calibri" w:hAnsi="Arial" w:cs="Arial"/>
                <w:sz w:val="16"/>
                <w:szCs w:val="16"/>
                <w:lang w:val="en-US" w:eastAsia="en-US"/>
              </w:rPr>
            </w:pPr>
            <w:r w:rsidRPr="00AE5868">
              <w:rPr>
                <w:rFonts w:ascii="Arial" w:eastAsia="Calibri" w:hAnsi="Arial" w:cs="Arial"/>
                <w:sz w:val="16"/>
                <w:szCs w:val="16"/>
                <w:lang w:val="en-US" w:eastAsia="en-US"/>
              </w:rPr>
              <w:t>For industrial elections and ballots, results are delivered with integrity and withstand scrutiny.</w:t>
            </w:r>
          </w:p>
          <w:p w:rsidR="00E55150" w:rsidRPr="00AE5868" w:rsidRDefault="00E55150" w:rsidP="00436AFE">
            <w:pPr>
              <w:spacing w:before="60" w:after="60" w:line="240" w:lineRule="auto"/>
              <w:ind w:left="374" w:hanging="357"/>
              <w:jc w:val="left"/>
              <w:rPr>
                <w:rFonts w:ascii="Arial" w:hAnsi="Arial" w:cs="Arial"/>
                <w:b/>
                <w:sz w:val="16"/>
                <w:szCs w:val="16"/>
              </w:rPr>
            </w:pPr>
          </w:p>
        </w:tc>
        <w:tc>
          <w:tcPr>
            <w:tcW w:w="3118" w:type="dxa"/>
            <w:tcBorders>
              <w:top w:val="nil"/>
              <w:left w:val="single" w:sz="4" w:space="0" w:color="auto"/>
              <w:bottom w:val="single" w:sz="4" w:space="0" w:color="FFFFFF" w:themeColor="background1"/>
              <w:right w:val="single" w:sz="4" w:space="0" w:color="auto"/>
            </w:tcBorders>
          </w:tcPr>
          <w:p w:rsidR="00E55150" w:rsidRPr="00AE5868" w:rsidRDefault="00E55150" w:rsidP="00436AFE">
            <w:pPr>
              <w:autoSpaceDE w:val="0"/>
              <w:autoSpaceDN w:val="0"/>
              <w:spacing w:before="60" w:after="60" w:line="240" w:lineRule="auto"/>
              <w:jc w:val="left"/>
              <w:rPr>
                <w:rFonts w:ascii="Arial" w:hAnsi="Arial" w:cs="Arial"/>
                <w:sz w:val="16"/>
                <w:szCs w:val="16"/>
              </w:rPr>
            </w:pPr>
            <w:r w:rsidRPr="00AE5868">
              <w:rPr>
                <w:rFonts w:ascii="Arial" w:hAnsi="Arial" w:cs="Arial"/>
                <w:b/>
                <w:bCs/>
                <w:sz w:val="16"/>
                <w:szCs w:val="16"/>
              </w:rPr>
              <w:t>Target</w:t>
            </w:r>
            <w:r w:rsidRPr="00AE5868">
              <w:rPr>
                <w:rFonts w:ascii="Arial" w:hAnsi="Arial" w:cs="Arial"/>
                <w:sz w:val="16"/>
                <w:szCs w:val="16"/>
              </w:rPr>
              <w:t xml:space="preserve">: No targets. The AEC will report on the number of events where the AEC’s conduct is challenged before a court and whether the court dismissed the challenge or upheld in favour of the AEC. </w:t>
            </w:r>
          </w:p>
          <w:p w:rsidR="00E55150" w:rsidRPr="00AE5868" w:rsidRDefault="00E55150" w:rsidP="00436AFE">
            <w:pPr>
              <w:autoSpaceDE w:val="0"/>
              <w:autoSpaceDN w:val="0"/>
              <w:spacing w:before="60" w:after="60" w:line="240" w:lineRule="auto"/>
              <w:jc w:val="left"/>
              <w:rPr>
                <w:rFonts w:ascii="Arial" w:hAnsi="Arial" w:cs="Arial"/>
                <w:b/>
                <w:sz w:val="16"/>
                <w:szCs w:val="16"/>
              </w:rPr>
            </w:pPr>
            <w:r w:rsidRPr="00AE5868">
              <w:rPr>
                <w:rFonts w:ascii="Arial" w:hAnsi="Arial" w:cs="Arial"/>
                <w:b/>
                <w:bCs/>
                <w:sz w:val="16"/>
                <w:szCs w:val="16"/>
              </w:rPr>
              <w:t xml:space="preserve">Performance: </w:t>
            </w:r>
            <w:r w:rsidRPr="00AE5868">
              <w:rPr>
                <w:rFonts w:ascii="Arial" w:hAnsi="Arial" w:cs="Arial"/>
                <w:sz w:val="16"/>
                <w:szCs w:val="16"/>
              </w:rPr>
              <w:t>On track to be met. There were no findings of fault of the AEC’s conduct of the industrial elections and ballots to date.</w:t>
            </w:r>
          </w:p>
        </w:tc>
      </w:tr>
      <w:tr w:rsidR="00E55150" w:rsidRPr="00C552B1" w:rsidTr="00436AFE">
        <w:trPr>
          <w:trHeight w:val="258"/>
        </w:trPr>
        <w:tc>
          <w:tcPr>
            <w:tcW w:w="1560" w:type="dxa"/>
            <w:tcBorders>
              <w:top w:val="nil"/>
              <w:bottom w:val="nil"/>
              <w:right w:val="single" w:sz="4" w:space="0" w:color="auto"/>
            </w:tcBorders>
          </w:tcPr>
          <w:p w:rsidR="00E55150" w:rsidRPr="00F16945" w:rsidRDefault="00E55150" w:rsidP="00436AFE">
            <w:pPr>
              <w:pStyle w:val="TableTextBase"/>
              <w:rPr>
                <w:rFonts w:cs="Arial"/>
                <w:sz w:val="16"/>
                <w:szCs w:val="16"/>
              </w:rPr>
            </w:pPr>
          </w:p>
        </w:tc>
        <w:tc>
          <w:tcPr>
            <w:tcW w:w="3118" w:type="dxa"/>
            <w:tcBorders>
              <w:top w:val="single" w:sz="4" w:space="0" w:color="FFFFFF" w:themeColor="background1"/>
              <w:left w:val="single" w:sz="4" w:space="0" w:color="auto"/>
              <w:bottom w:val="single" w:sz="4" w:space="0" w:color="FFFFFF" w:themeColor="background1"/>
              <w:right w:val="single" w:sz="4" w:space="0" w:color="auto"/>
            </w:tcBorders>
          </w:tcPr>
          <w:p w:rsidR="00E55150" w:rsidRPr="00AE5868" w:rsidRDefault="00E55150" w:rsidP="00436AFE">
            <w:pPr>
              <w:spacing w:before="60" w:after="60" w:line="240" w:lineRule="auto"/>
              <w:ind w:left="374" w:hanging="357"/>
              <w:jc w:val="left"/>
              <w:rPr>
                <w:rFonts w:ascii="Arial" w:hAnsi="Arial" w:cs="Arial"/>
                <w:b/>
                <w:sz w:val="16"/>
                <w:szCs w:val="16"/>
              </w:rPr>
            </w:pPr>
            <w:r w:rsidRPr="00AE5868">
              <w:rPr>
                <w:rFonts w:ascii="Arial" w:hAnsi="Arial" w:cs="Arial"/>
                <w:b/>
                <w:sz w:val="16"/>
                <w:szCs w:val="16"/>
              </w:rPr>
              <w:t>Public Awareness</w:t>
            </w:r>
          </w:p>
          <w:p w:rsidR="00E55150" w:rsidRPr="00AE5868" w:rsidRDefault="00E55150" w:rsidP="00F76FE4">
            <w:pPr>
              <w:numPr>
                <w:ilvl w:val="0"/>
                <w:numId w:val="21"/>
              </w:numPr>
              <w:autoSpaceDE w:val="0"/>
              <w:autoSpaceDN w:val="0"/>
              <w:adjustRightInd w:val="0"/>
              <w:spacing w:before="60" w:after="60" w:line="240" w:lineRule="auto"/>
              <w:ind w:left="374" w:hanging="357"/>
              <w:contextualSpacing/>
              <w:jc w:val="left"/>
              <w:rPr>
                <w:rFonts w:ascii="Arial" w:eastAsia="Calibri" w:hAnsi="Arial" w:cs="Arial"/>
                <w:sz w:val="16"/>
                <w:szCs w:val="16"/>
                <w:lang w:val="en-US" w:eastAsia="en-US"/>
              </w:rPr>
            </w:pPr>
            <w:r w:rsidRPr="00AE5868">
              <w:rPr>
                <w:rFonts w:ascii="Arial" w:eastAsia="Calibri" w:hAnsi="Arial" w:cs="Arial"/>
                <w:sz w:val="16"/>
                <w:szCs w:val="16"/>
                <w:lang w:val="en-US" w:eastAsia="en-US"/>
              </w:rPr>
              <w:t>Deliver public awareness and education products that target all Australian citizens aged 18 years and over.</w:t>
            </w:r>
          </w:p>
          <w:p w:rsidR="00E55150" w:rsidRPr="00AE5868" w:rsidRDefault="00E55150" w:rsidP="00436AFE">
            <w:pPr>
              <w:autoSpaceDE w:val="0"/>
              <w:autoSpaceDN w:val="0"/>
              <w:spacing w:before="60" w:after="60" w:line="240" w:lineRule="auto"/>
              <w:ind w:left="374" w:hanging="357"/>
              <w:jc w:val="left"/>
              <w:rPr>
                <w:rFonts w:ascii="Arial" w:hAnsi="Arial" w:cs="Arial"/>
                <w:sz w:val="16"/>
                <w:szCs w:val="16"/>
              </w:rPr>
            </w:pPr>
          </w:p>
        </w:tc>
        <w:tc>
          <w:tcPr>
            <w:tcW w:w="3118" w:type="dxa"/>
            <w:tcBorders>
              <w:top w:val="single" w:sz="4" w:space="0" w:color="FFFFFF" w:themeColor="background1"/>
              <w:left w:val="single" w:sz="4" w:space="0" w:color="auto"/>
              <w:bottom w:val="single" w:sz="4" w:space="0" w:color="FFFFFF" w:themeColor="background1"/>
            </w:tcBorders>
          </w:tcPr>
          <w:p w:rsidR="00E55150" w:rsidRPr="00AE5868" w:rsidRDefault="00E55150" w:rsidP="00436AFE">
            <w:pPr>
              <w:autoSpaceDE w:val="0"/>
              <w:autoSpaceDN w:val="0"/>
              <w:spacing w:before="60" w:after="60" w:line="240" w:lineRule="auto"/>
              <w:jc w:val="left"/>
              <w:rPr>
                <w:rFonts w:ascii="Arial" w:hAnsi="Arial" w:cs="Arial"/>
                <w:sz w:val="16"/>
                <w:szCs w:val="16"/>
              </w:rPr>
            </w:pPr>
            <w:r w:rsidRPr="00AE5868">
              <w:rPr>
                <w:rFonts w:ascii="Arial" w:hAnsi="Arial" w:cs="Arial"/>
                <w:b/>
                <w:bCs/>
                <w:sz w:val="16"/>
                <w:szCs w:val="16"/>
              </w:rPr>
              <w:t>Target:</w:t>
            </w:r>
            <w:r w:rsidRPr="00AE5868">
              <w:rPr>
                <w:rFonts w:ascii="Arial" w:hAnsi="Arial" w:cs="Arial"/>
                <w:sz w:val="16"/>
                <w:szCs w:val="16"/>
              </w:rPr>
              <w:t xml:space="preserve"> Campaign is delivered in accordance with objectives outlined in the campaign strategy.</w:t>
            </w:r>
          </w:p>
          <w:p w:rsidR="00E55150" w:rsidRPr="00AE5868" w:rsidRDefault="00E55150" w:rsidP="00436AFE">
            <w:pPr>
              <w:autoSpaceDE w:val="0"/>
              <w:autoSpaceDN w:val="0"/>
              <w:spacing w:before="60" w:after="60" w:line="240" w:lineRule="auto"/>
              <w:jc w:val="left"/>
              <w:rPr>
                <w:rFonts w:ascii="Arial" w:hAnsi="Arial" w:cs="Arial"/>
                <w:sz w:val="16"/>
                <w:szCs w:val="16"/>
              </w:rPr>
            </w:pPr>
            <w:r w:rsidRPr="00AE5868">
              <w:rPr>
                <w:rFonts w:ascii="Arial" w:hAnsi="Arial" w:cs="Arial"/>
                <w:b/>
                <w:bCs/>
                <w:sz w:val="16"/>
                <w:szCs w:val="16"/>
              </w:rPr>
              <w:t>Performance:</w:t>
            </w:r>
            <w:r w:rsidRPr="00AE5868">
              <w:rPr>
                <w:rFonts w:ascii="Arial" w:hAnsi="Arial" w:cs="Arial"/>
                <w:sz w:val="16"/>
                <w:szCs w:val="16"/>
              </w:rPr>
              <w:t xml:space="preserve"> On track to be met. The AEC has developed an integrated multi-channel communication campaign to be run during the 2022 federal election. This campaign is to provide to voters (all Australian citizens ager 18 and over) the information they need to effectively participate in the election, including to specialist audiences of culturally and linguistically diverse voters, Indigenous voters and voters who are blind or have low vision</w:t>
            </w:r>
            <w:r w:rsidRPr="00AE5868">
              <w:rPr>
                <w:rFonts w:ascii="Arial" w:hAnsi="Arial" w:cs="Arial"/>
                <w:bCs/>
                <w:sz w:val="16"/>
                <w:szCs w:val="16"/>
              </w:rPr>
              <w:t>.</w:t>
            </w:r>
          </w:p>
        </w:tc>
      </w:tr>
      <w:tr w:rsidR="00E55150" w:rsidRPr="00F16945" w:rsidTr="00E55150">
        <w:trPr>
          <w:trHeight w:val="258"/>
        </w:trPr>
        <w:tc>
          <w:tcPr>
            <w:tcW w:w="1560" w:type="dxa"/>
            <w:tcBorders>
              <w:top w:val="nil"/>
              <w:bottom w:val="single" w:sz="4" w:space="0" w:color="auto"/>
              <w:right w:val="single" w:sz="4" w:space="0" w:color="auto"/>
            </w:tcBorders>
          </w:tcPr>
          <w:p w:rsidR="00E55150" w:rsidRPr="00F16945" w:rsidRDefault="00E55150" w:rsidP="00436AFE">
            <w:pPr>
              <w:pStyle w:val="TableTextBase"/>
              <w:rPr>
                <w:rFonts w:cs="Arial"/>
                <w:sz w:val="16"/>
                <w:szCs w:val="16"/>
              </w:rPr>
            </w:pPr>
          </w:p>
        </w:tc>
        <w:tc>
          <w:tcPr>
            <w:tcW w:w="3118" w:type="dxa"/>
            <w:tcBorders>
              <w:top w:val="single" w:sz="4" w:space="0" w:color="FFFFFF" w:themeColor="background1"/>
              <w:left w:val="single" w:sz="4" w:space="0" w:color="auto"/>
              <w:bottom w:val="single" w:sz="4" w:space="0" w:color="auto"/>
              <w:right w:val="single" w:sz="4" w:space="0" w:color="auto"/>
            </w:tcBorders>
          </w:tcPr>
          <w:p w:rsidR="00E55150" w:rsidRPr="00AE5868" w:rsidRDefault="00E55150" w:rsidP="00436AFE">
            <w:pPr>
              <w:spacing w:before="60" w:after="60" w:line="240" w:lineRule="auto"/>
              <w:ind w:left="374" w:hanging="357"/>
              <w:jc w:val="left"/>
              <w:rPr>
                <w:rFonts w:ascii="Arial" w:hAnsi="Arial" w:cs="Arial"/>
                <w:b/>
                <w:sz w:val="16"/>
                <w:szCs w:val="16"/>
              </w:rPr>
            </w:pPr>
            <w:r w:rsidRPr="00AE5868">
              <w:rPr>
                <w:rFonts w:ascii="Arial" w:hAnsi="Arial" w:cs="Arial"/>
                <w:b/>
                <w:sz w:val="16"/>
                <w:szCs w:val="16"/>
              </w:rPr>
              <w:t>Party Registration and Financial Disclosure</w:t>
            </w:r>
          </w:p>
          <w:p w:rsidR="00E55150" w:rsidRPr="00AE5868" w:rsidRDefault="00E55150" w:rsidP="00F76FE4">
            <w:pPr>
              <w:numPr>
                <w:ilvl w:val="0"/>
                <w:numId w:val="21"/>
              </w:numPr>
              <w:autoSpaceDE w:val="0"/>
              <w:autoSpaceDN w:val="0"/>
              <w:adjustRightInd w:val="0"/>
              <w:spacing w:before="60" w:after="60" w:line="240" w:lineRule="auto"/>
              <w:ind w:left="374" w:hanging="357"/>
              <w:contextualSpacing/>
              <w:jc w:val="left"/>
              <w:rPr>
                <w:rFonts w:ascii="Arial" w:eastAsia="Calibri" w:hAnsi="Arial" w:cs="Arial"/>
                <w:sz w:val="16"/>
                <w:szCs w:val="16"/>
                <w:lang w:val="en-US" w:eastAsia="en-US"/>
              </w:rPr>
            </w:pPr>
            <w:r w:rsidRPr="00AE5868">
              <w:rPr>
                <w:rFonts w:ascii="Arial" w:eastAsia="Calibri" w:hAnsi="Arial" w:cs="Arial"/>
                <w:sz w:val="16"/>
                <w:szCs w:val="16"/>
                <w:lang w:val="en-US" w:eastAsia="en-US"/>
              </w:rPr>
              <w:t>The AEC maintains an up-to-date public register of political parties.</w:t>
            </w:r>
          </w:p>
          <w:p w:rsidR="00E55150" w:rsidRPr="00AE5868" w:rsidRDefault="00E55150" w:rsidP="00436AFE">
            <w:pPr>
              <w:spacing w:before="60" w:after="60" w:line="240" w:lineRule="auto"/>
              <w:ind w:left="374" w:hanging="357"/>
              <w:jc w:val="left"/>
              <w:rPr>
                <w:rFonts w:ascii="Arial" w:hAnsi="Arial" w:cs="Arial"/>
                <w:b/>
                <w:sz w:val="16"/>
                <w:szCs w:val="16"/>
              </w:rPr>
            </w:pPr>
          </w:p>
        </w:tc>
        <w:tc>
          <w:tcPr>
            <w:tcW w:w="3118" w:type="dxa"/>
            <w:tcBorders>
              <w:top w:val="single" w:sz="4" w:space="0" w:color="FFFFFF" w:themeColor="background1"/>
              <w:left w:val="single" w:sz="4" w:space="0" w:color="auto"/>
              <w:bottom w:val="single" w:sz="4" w:space="0" w:color="auto"/>
            </w:tcBorders>
          </w:tcPr>
          <w:p w:rsidR="00E55150" w:rsidRPr="00AE5868" w:rsidRDefault="00E55150" w:rsidP="00436AFE">
            <w:pPr>
              <w:autoSpaceDE w:val="0"/>
              <w:autoSpaceDN w:val="0"/>
              <w:spacing w:before="60" w:after="60" w:line="240" w:lineRule="auto"/>
              <w:jc w:val="left"/>
              <w:rPr>
                <w:rFonts w:ascii="Arial" w:hAnsi="Arial" w:cs="Arial"/>
                <w:sz w:val="16"/>
                <w:szCs w:val="16"/>
              </w:rPr>
            </w:pPr>
            <w:r w:rsidRPr="00AE5868">
              <w:rPr>
                <w:rFonts w:ascii="Arial" w:hAnsi="Arial" w:cs="Arial"/>
                <w:b/>
                <w:bCs/>
                <w:sz w:val="16"/>
                <w:szCs w:val="16"/>
              </w:rPr>
              <w:t>Target:</w:t>
            </w:r>
            <w:r w:rsidRPr="00AE5868">
              <w:rPr>
                <w:rFonts w:ascii="Arial" w:hAnsi="Arial" w:cs="Arial"/>
                <w:sz w:val="16"/>
                <w:szCs w:val="16"/>
              </w:rPr>
              <w:t xml:space="preserve"> Compliance with Part XI of the </w:t>
            </w:r>
            <w:r w:rsidRPr="00AE5868">
              <w:rPr>
                <w:rFonts w:ascii="Arial" w:eastAsia="Calibri" w:hAnsi="Arial" w:cs="Arial"/>
                <w:i/>
                <w:sz w:val="16"/>
                <w:szCs w:val="16"/>
                <w:lang w:val="en-US"/>
              </w:rPr>
              <w:t>Commonwealth Electoral Act 1918</w:t>
            </w:r>
            <w:r w:rsidRPr="00AE5868">
              <w:rPr>
                <w:rFonts w:ascii="Arial" w:eastAsia="Calibri" w:hAnsi="Arial" w:cs="Arial"/>
                <w:sz w:val="16"/>
                <w:szCs w:val="16"/>
                <w:lang w:val="en-US"/>
              </w:rPr>
              <w:t>.</w:t>
            </w:r>
          </w:p>
          <w:p w:rsidR="00E55150" w:rsidRPr="00AE5868" w:rsidRDefault="00E55150" w:rsidP="00436AFE">
            <w:pPr>
              <w:spacing w:before="60" w:after="60" w:line="240" w:lineRule="auto"/>
              <w:jc w:val="left"/>
              <w:rPr>
                <w:rFonts w:ascii="Arial" w:hAnsi="Arial" w:cs="Arial"/>
                <w:sz w:val="16"/>
                <w:szCs w:val="16"/>
              </w:rPr>
            </w:pPr>
            <w:r w:rsidRPr="00AE5868">
              <w:rPr>
                <w:rFonts w:ascii="Arial" w:hAnsi="Arial" w:cs="Arial"/>
                <w:b/>
                <w:bCs/>
                <w:sz w:val="16"/>
                <w:szCs w:val="16"/>
              </w:rPr>
              <w:t>Performance:</w:t>
            </w:r>
            <w:r w:rsidRPr="00AE5868">
              <w:rPr>
                <w:rFonts w:ascii="Arial" w:hAnsi="Arial" w:cs="Arial"/>
                <w:sz w:val="16"/>
                <w:szCs w:val="16"/>
              </w:rPr>
              <w:t xml:space="preserve"> On track to be met. The AEC has continued to maintain an up-to-date public register of political parties. </w:t>
            </w:r>
          </w:p>
          <w:p w:rsidR="00E55150" w:rsidRPr="00AE5868" w:rsidRDefault="00E55150" w:rsidP="00436AFE">
            <w:pPr>
              <w:autoSpaceDE w:val="0"/>
              <w:autoSpaceDN w:val="0"/>
              <w:spacing w:before="60" w:after="60" w:line="240" w:lineRule="auto"/>
              <w:jc w:val="left"/>
              <w:rPr>
                <w:rFonts w:ascii="Arial" w:hAnsi="Arial" w:cs="Arial"/>
                <w:b/>
                <w:bCs/>
                <w:sz w:val="16"/>
                <w:szCs w:val="16"/>
              </w:rPr>
            </w:pPr>
          </w:p>
        </w:tc>
      </w:tr>
    </w:tbl>
    <w:p w:rsidR="00E55150" w:rsidRDefault="00E55150" w:rsidP="00E55150">
      <w:pPr>
        <w:spacing w:after="0" w:line="240" w:lineRule="auto"/>
        <w:jc w:val="left"/>
      </w:pPr>
      <w:r w:rsidRPr="000717B9">
        <w:rPr>
          <w:rFonts w:ascii="Arial" w:hAnsi="Arial"/>
          <w:sz w:val="16"/>
        </w:rPr>
        <w:t>Table continues on next page</w:t>
      </w:r>
      <w:r>
        <w:t xml:space="preserve"> </w:t>
      </w:r>
    </w:p>
    <w:p w:rsidR="00E55150" w:rsidRPr="00E55150" w:rsidRDefault="00E55150" w:rsidP="00E55150">
      <w:pPr>
        <w:pStyle w:val="TableGraphic"/>
        <w:rPr>
          <w:lang w:eastAsia="x-none"/>
        </w:rPr>
      </w:pPr>
    </w:p>
    <w:p w:rsidR="00E55150" w:rsidRDefault="00E55150" w:rsidP="00BF35D9"/>
    <w:p w:rsidR="00E55150" w:rsidRDefault="00E55150" w:rsidP="00BF35D9"/>
    <w:p w:rsidR="00E55150" w:rsidRDefault="00E55150" w:rsidP="00BF35D9"/>
    <w:p w:rsidR="00E55150" w:rsidRDefault="00E55150" w:rsidP="00BF35D9"/>
    <w:p w:rsidR="00E55150" w:rsidRDefault="00E55150" w:rsidP="00E55150">
      <w:pPr>
        <w:pStyle w:val="TableHeading"/>
        <w:rPr>
          <w:lang w:val="en-AU"/>
        </w:rPr>
      </w:pPr>
      <w:r w:rsidRPr="00F71634">
        <w:lastRenderedPageBreak/>
        <w:t>Table 2.</w:t>
      </w:r>
      <w:r>
        <w:rPr>
          <w:lang w:val="en-AU"/>
        </w:rPr>
        <w:t>1</w:t>
      </w:r>
      <w:r w:rsidRPr="00F71634">
        <w:t>.</w:t>
      </w:r>
      <w:r>
        <w:rPr>
          <w:lang w:val="en-AU"/>
        </w:rPr>
        <w:t>2</w:t>
      </w:r>
      <w:r w:rsidRPr="00F71634">
        <w:t xml:space="preserve">: Performance </w:t>
      </w:r>
      <w:r>
        <w:rPr>
          <w:lang w:val="en-AU"/>
        </w:rPr>
        <w:t>measure</w:t>
      </w:r>
      <w:r w:rsidRPr="00F71634">
        <w:t xml:space="preserve"> for Outcome </w:t>
      </w:r>
      <w:r>
        <w:rPr>
          <w:lang w:val="en-AU"/>
        </w:rPr>
        <w:t>1</w:t>
      </w:r>
      <w:r w:rsidRPr="00E55150">
        <w:rPr>
          <w:lang w:val="en-AU"/>
        </w:rPr>
        <w:t xml:space="preserve"> (continued)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3177"/>
        <w:gridCol w:w="3175"/>
      </w:tblGrid>
      <w:tr w:rsidR="00E55150" w:rsidRPr="00617538" w:rsidTr="00E8784B">
        <w:trPr>
          <w:trHeight w:val="312"/>
        </w:trPr>
        <w:tc>
          <w:tcPr>
            <w:tcW w:w="7796" w:type="dxa"/>
            <w:gridSpan w:val="3"/>
            <w:shd w:val="clear" w:color="auto" w:fill="F2F2F2"/>
          </w:tcPr>
          <w:p w:rsidR="00E55150" w:rsidRPr="00617538" w:rsidRDefault="00677731" w:rsidP="00436AFE">
            <w:pPr>
              <w:pStyle w:val="TableTextLeft"/>
              <w:rPr>
                <w:rFonts w:eastAsia="Arial"/>
                <w:b/>
                <w:highlight w:val="yellow"/>
              </w:rPr>
            </w:pPr>
            <w:r w:rsidRPr="00BA090C">
              <w:rPr>
                <w:b/>
                <w:szCs w:val="18"/>
              </w:rPr>
              <w:t xml:space="preserve">Performance information: </w:t>
            </w:r>
            <w:r w:rsidR="00E55150" w:rsidRPr="00617538">
              <w:rPr>
                <w:b/>
              </w:rPr>
              <w:t>Program 1.</w:t>
            </w:r>
            <w:r w:rsidR="00E55150" w:rsidRPr="00091B3B">
              <w:rPr>
                <w:b/>
              </w:rPr>
              <w:t>1 – Deliver Electoral Events</w:t>
            </w:r>
          </w:p>
        </w:tc>
      </w:tr>
      <w:tr w:rsidR="00E55150" w:rsidRPr="00160C23" w:rsidTr="00E8784B">
        <w:trPr>
          <w:trHeight w:val="312"/>
        </w:trPr>
        <w:tc>
          <w:tcPr>
            <w:tcW w:w="1444" w:type="dxa"/>
            <w:tcBorders>
              <w:top w:val="single" w:sz="4" w:space="0" w:color="auto"/>
              <w:bottom w:val="single" w:sz="4" w:space="0" w:color="auto"/>
              <w:right w:val="single" w:sz="4" w:space="0" w:color="auto"/>
            </w:tcBorders>
          </w:tcPr>
          <w:p w:rsidR="00E55150" w:rsidRPr="00160C23" w:rsidRDefault="00E55150" w:rsidP="00436AFE">
            <w:pPr>
              <w:pStyle w:val="TableTextBase"/>
              <w:rPr>
                <w:b/>
                <w:sz w:val="16"/>
                <w:szCs w:val="16"/>
              </w:rPr>
            </w:pPr>
            <w:r w:rsidRPr="00160C23">
              <w:rPr>
                <w:b/>
                <w:sz w:val="16"/>
                <w:szCs w:val="16"/>
              </w:rPr>
              <w:t>Year</w:t>
            </w:r>
          </w:p>
        </w:tc>
        <w:tc>
          <w:tcPr>
            <w:tcW w:w="3177" w:type="dxa"/>
            <w:tcBorders>
              <w:top w:val="single" w:sz="4" w:space="0" w:color="auto"/>
              <w:left w:val="single" w:sz="4" w:space="0" w:color="auto"/>
              <w:bottom w:val="single" w:sz="4" w:space="0" w:color="auto"/>
              <w:right w:val="single" w:sz="4" w:space="0" w:color="auto"/>
            </w:tcBorders>
          </w:tcPr>
          <w:p w:rsidR="00E55150" w:rsidRPr="00783FCC" w:rsidRDefault="00E55150" w:rsidP="00436AFE">
            <w:pPr>
              <w:pStyle w:val="TableTextBase"/>
              <w:rPr>
                <w:rFonts w:cs="Arial"/>
                <w:b/>
                <w:sz w:val="16"/>
                <w:szCs w:val="16"/>
              </w:rPr>
            </w:pPr>
            <w:r w:rsidRPr="00783FCC">
              <w:rPr>
                <w:rFonts w:cs="Arial"/>
                <w:b/>
                <w:sz w:val="16"/>
                <w:szCs w:val="16"/>
              </w:rPr>
              <w:t>Performance measures</w:t>
            </w:r>
          </w:p>
        </w:tc>
        <w:tc>
          <w:tcPr>
            <w:tcW w:w="3175" w:type="dxa"/>
            <w:tcBorders>
              <w:top w:val="single" w:sz="4" w:space="0" w:color="auto"/>
              <w:left w:val="single" w:sz="4" w:space="0" w:color="auto"/>
              <w:bottom w:val="single" w:sz="4" w:space="0" w:color="auto"/>
            </w:tcBorders>
          </w:tcPr>
          <w:p w:rsidR="00E55150" w:rsidRPr="00783FCC" w:rsidRDefault="00E55150" w:rsidP="00436AFE">
            <w:pPr>
              <w:pStyle w:val="TableTextBase"/>
              <w:rPr>
                <w:rFonts w:cs="Arial"/>
                <w:b/>
                <w:sz w:val="16"/>
                <w:szCs w:val="16"/>
              </w:rPr>
            </w:pPr>
            <w:r w:rsidRPr="00783FCC">
              <w:rPr>
                <w:rFonts w:cs="Arial"/>
                <w:b/>
                <w:sz w:val="16"/>
                <w:szCs w:val="16"/>
              </w:rPr>
              <w:t>Expected Performance Results</w:t>
            </w:r>
          </w:p>
        </w:tc>
      </w:tr>
      <w:tr w:rsidR="00E55150" w:rsidRPr="00F16945" w:rsidTr="00436AFE">
        <w:trPr>
          <w:trHeight w:val="4064"/>
        </w:trPr>
        <w:tc>
          <w:tcPr>
            <w:tcW w:w="1444" w:type="dxa"/>
            <w:tcBorders>
              <w:top w:val="single" w:sz="4" w:space="0" w:color="auto"/>
              <w:bottom w:val="dotted" w:sz="4" w:space="0" w:color="auto"/>
              <w:right w:val="single" w:sz="4" w:space="0" w:color="auto"/>
            </w:tcBorders>
          </w:tcPr>
          <w:p w:rsidR="00213599" w:rsidRPr="006804A1" w:rsidRDefault="00213599" w:rsidP="00213599">
            <w:pPr>
              <w:pStyle w:val="TableTextBase"/>
              <w:autoSpaceDE w:val="0"/>
              <w:autoSpaceDN w:val="0"/>
              <w:contextualSpacing/>
              <w:rPr>
                <w:rFonts w:cs="Arial"/>
                <w:sz w:val="16"/>
                <w:szCs w:val="16"/>
              </w:rPr>
            </w:pPr>
            <w:r w:rsidRPr="006804A1">
              <w:rPr>
                <w:rFonts w:cs="Arial"/>
                <w:sz w:val="16"/>
                <w:szCs w:val="16"/>
              </w:rPr>
              <w:t xml:space="preserve">Current year </w:t>
            </w:r>
          </w:p>
          <w:p w:rsidR="00213599" w:rsidRPr="006804A1" w:rsidRDefault="00213599" w:rsidP="00213599">
            <w:pPr>
              <w:pStyle w:val="TableTextBase"/>
              <w:autoSpaceDE w:val="0"/>
              <w:autoSpaceDN w:val="0"/>
              <w:contextualSpacing/>
              <w:rPr>
                <w:rFonts w:cs="Arial"/>
                <w:sz w:val="16"/>
                <w:szCs w:val="16"/>
              </w:rPr>
            </w:pPr>
            <w:r w:rsidRPr="006804A1">
              <w:rPr>
                <w:rFonts w:cs="Arial"/>
                <w:sz w:val="16"/>
                <w:szCs w:val="16"/>
              </w:rPr>
              <w:t>2021-22</w:t>
            </w:r>
          </w:p>
          <w:p w:rsidR="00E55150" w:rsidRDefault="00213599" w:rsidP="00213599">
            <w:pPr>
              <w:pStyle w:val="TableTextBase"/>
              <w:rPr>
                <w:rFonts w:cs="Arial"/>
                <w:sz w:val="16"/>
                <w:szCs w:val="16"/>
              </w:rPr>
            </w:pPr>
            <w:r w:rsidRPr="006804A1">
              <w:rPr>
                <w:rFonts w:cs="Arial"/>
                <w:sz w:val="16"/>
                <w:szCs w:val="16"/>
              </w:rPr>
              <w:t>(continued)</w:t>
            </w:r>
          </w:p>
          <w:p w:rsidR="00E55150" w:rsidRDefault="00E55150" w:rsidP="00436AFE">
            <w:pPr>
              <w:pStyle w:val="TableTextBase"/>
              <w:rPr>
                <w:rFonts w:cs="Arial"/>
                <w:sz w:val="16"/>
                <w:szCs w:val="16"/>
              </w:rPr>
            </w:pPr>
          </w:p>
          <w:p w:rsidR="00E55150" w:rsidRDefault="00E55150" w:rsidP="00436AFE">
            <w:pPr>
              <w:pStyle w:val="TableTextBase"/>
              <w:rPr>
                <w:rFonts w:cs="Arial"/>
                <w:sz w:val="16"/>
                <w:szCs w:val="16"/>
              </w:rPr>
            </w:pPr>
          </w:p>
          <w:p w:rsidR="00E55150" w:rsidRDefault="00E55150" w:rsidP="00436AFE">
            <w:pPr>
              <w:pStyle w:val="TableTextBase"/>
              <w:rPr>
                <w:rFonts w:cs="Arial"/>
                <w:sz w:val="16"/>
                <w:szCs w:val="16"/>
              </w:rPr>
            </w:pPr>
          </w:p>
          <w:p w:rsidR="00E55150" w:rsidRDefault="00E55150" w:rsidP="00436AFE">
            <w:pPr>
              <w:pStyle w:val="TableTextBase"/>
              <w:rPr>
                <w:rFonts w:cs="Arial"/>
                <w:sz w:val="16"/>
                <w:szCs w:val="16"/>
              </w:rPr>
            </w:pPr>
          </w:p>
          <w:p w:rsidR="00E55150" w:rsidRDefault="00E55150" w:rsidP="00436AFE">
            <w:pPr>
              <w:pStyle w:val="TableTextBase"/>
              <w:rPr>
                <w:rFonts w:cs="Arial"/>
                <w:sz w:val="16"/>
                <w:szCs w:val="16"/>
              </w:rPr>
            </w:pPr>
          </w:p>
          <w:p w:rsidR="00E55150" w:rsidRDefault="00E55150" w:rsidP="00436AFE">
            <w:pPr>
              <w:pStyle w:val="TableTextBase"/>
              <w:rPr>
                <w:rFonts w:cs="Arial"/>
                <w:sz w:val="16"/>
                <w:szCs w:val="16"/>
              </w:rPr>
            </w:pPr>
          </w:p>
          <w:p w:rsidR="00E55150" w:rsidRDefault="00E55150" w:rsidP="00436AFE">
            <w:pPr>
              <w:pStyle w:val="TableTextBase"/>
              <w:rPr>
                <w:rFonts w:cs="Arial"/>
                <w:sz w:val="16"/>
                <w:szCs w:val="16"/>
              </w:rPr>
            </w:pPr>
          </w:p>
          <w:p w:rsidR="00E55150" w:rsidRDefault="00E55150" w:rsidP="00436AFE">
            <w:pPr>
              <w:pStyle w:val="TableTextBase"/>
              <w:rPr>
                <w:rFonts w:cs="Arial"/>
                <w:sz w:val="16"/>
                <w:szCs w:val="16"/>
              </w:rPr>
            </w:pPr>
          </w:p>
          <w:p w:rsidR="00E55150" w:rsidRDefault="00E55150" w:rsidP="00436AFE">
            <w:pPr>
              <w:pStyle w:val="TableTextBase"/>
              <w:rPr>
                <w:rFonts w:cs="Arial"/>
                <w:sz w:val="16"/>
                <w:szCs w:val="16"/>
              </w:rPr>
            </w:pPr>
          </w:p>
          <w:p w:rsidR="00E55150" w:rsidRDefault="00E55150" w:rsidP="00436AFE">
            <w:pPr>
              <w:pStyle w:val="TableTextBase"/>
              <w:rPr>
                <w:rFonts w:cs="Arial"/>
                <w:sz w:val="16"/>
                <w:szCs w:val="16"/>
              </w:rPr>
            </w:pPr>
          </w:p>
          <w:p w:rsidR="00E55150" w:rsidRDefault="00E55150" w:rsidP="00436AFE">
            <w:pPr>
              <w:pStyle w:val="TableTextBase"/>
              <w:rPr>
                <w:rFonts w:cs="Arial"/>
                <w:sz w:val="16"/>
                <w:szCs w:val="16"/>
              </w:rPr>
            </w:pPr>
          </w:p>
          <w:p w:rsidR="00E55150" w:rsidRDefault="00E55150" w:rsidP="00436AFE">
            <w:pPr>
              <w:pStyle w:val="TableTextBase"/>
              <w:rPr>
                <w:rFonts w:cs="Arial"/>
                <w:sz w:val="16"/>
                <w:szCs w:val="16"/>
              </w:rPr>
            </w:pPr>
          </w:p>
          <w:p w:rsidR="00E55150" w:rsidRDefault="00E55150" w:rsidP="00436AFE">
            <w:pPr>
              <w:pStyle w:val="TableTextBase"/>
              <w:rPr>
                <w:rFonts w:cs="Arial"/>
                <w:sz w:val="16"/>
                <w:szCs w:val="16"/>
              </w:rPr>
            </w:pPr>
          </w:p>
          <w:p w:rsidR="00E55150" w:rsidRDefault="00E55150" w:rsidP="00436AFE">
            <w:pPr>
              <w:pStyle w:val="TableTextBase"/>
              <w:rPr>
                <w:rFonts w:cs="Arial"/>
                <w:sz w:val="16"/>
                <w:szCs w:val="16"/>
              </w:rPr>
            </w:pPr>
          </w:p>
          <w:p w:rsidR="00E55150" w:rsidRPr="00F16945" w:rsidRDefault="00E55150" w:rsidP="00436AFE">
            <w:pPr>
              <w:pStyle w:val="TableTextBase"/>
              <w:rPr>
                <w:rFonts w:cs="Arial"/>
                <w:sz w:val="16"/>
                <w:szCs w:val="16"/>
              </w:rPr>
            </w:pPr>
          </w:p>
        </w:tc>
        <w:tc>
          <w:tcPr>
            <w:tcW w:w="3177" w:type="dxa"/>
            <w:tcBorders>
              <w:top w:val="single" w:sz="4" w:space="0" w:color="auto"/>
              <w:left w:val="single" w:sz="4" w:space="0" w:color="auto"/>
              <w:bottom w:val="dotted" w:sz="4" w:space="0" w:color="auto"/>
              <w:right w:val="single" w:sz="4" w:space="0" w:color="auto"/>
            </w:tcBorders>
          </w:tcPr>
          <w:p w:rsidR="00E55150" w:rsidRPr="00AE5868" w:rsidRDefault="00E55150" w:rsidP="00F76FE4">
            <w:pPr>
              <w:numPr>
                <w:ilvl w:val="0"/>
                <w:numId w:val="21"/>
              </w:numPr>
              <w:autoSpaceDE w:val="0"/>
              <w:autoSpaceDN w:val="0"/>
              <w:adjustRightInd w:val="0"/>
              <w:spacing w:before="60" w:after="60" w:line="240" w:lineRule="auto"/>
              <w:ind w:left="374" w:hanging="357"/>
              <w:contextualSpacing/>
              <w:jc w:val="left"/>
              <w:rPr>
                <w:rFonts w:ascii="Arial" w:eastAsia="Calibri" w:hAnsi="Arial" w:cs="Arial"/>
                <w:sz w:val="16"/>
                <w:szCs w:val="16"/>
                <w:lang w:val="en-US" w:eastAsia="en-US"/>
              </w:rPr>
            </w:pPr>
            <w:r w:rsidRPr="00AE5868">
              <w:rPr>
                <w:rFonts w:ascii="Arial" w:eastAsia="Calibri" w:hAnsi="Arial" w:cs="Arial"/>
                <w:sz w:val="16"/>
                <w:szCs w:val="16"/>
                <w:lang w:val="en-US" w:eastAsia="en-US"/>
              </w:rPr>
              <w:t xml:space="preserve">Disclosure returns are published and regulated in accordance with timeframes in the </w:t>
            </w:r>
            <w:r w:rsidRPr="00AE5868">
              <w:rPr>
                <w:rFonts w:ascii="Arial" w:eastAsia="Calibri" w:hAnsi="Arial" w:cs="Arial"/>
                <w:i/>
                <w:sz w:val="16"/>
                <w:szCs w:val="16"/>
                <w:lang w:val="en-US" w:eastAsia="en-US"/>
              </w:rPr>
              <w:t>Commonwealth Electoral Act 1918</w:t>
            </w:r>
            <w:r w:rsidRPr="00AE5868">
              <w:rPr>
                <w:rFonts w:ascii="Arial" w:eastAsia="Calibri" w:hAnsi="Arial" w:cs="Arial"/>
                <w:sz w:val="16"/>
                <w:szCs w:val="16"/>
                <w:lang w:val="en-US" w:eastAsia="en-US"/>
              </w:rPr>
              <w:t>.</w:t>
            </w:r>
          </w:p>
          <w:p w:rsidR="00E55150" w:rsidRPr="00AE5868" w:rsidRDefault="00E55150" w:rsidP="00436AFE">
            <w:pPr>
              <w:autoSpaceDE w:val="0"/>
              <w:autoSpaceDN w:val="0"/>
              <w:spacing w:before="10" w:after="10" w:line="240" w:lineRule="auto"/>
              <w:jc w:val="left"/>
              <w:rPr>
                <w:rFonts w:ascii="Arial" w:hAnsi="Arial" w:cs="Arial"/>
                <w:sz w:val="16"/>
                <w:szCs w:val="16"/>
              </w:rPr>
            </w:pPr>
          </w:p>
          <w:p w:rsidR="00E55150" w:rsidRPr="00AE5868" w:rsidRDefault="00E55150" w:rsidP="00436AFE">
            <w:pPr>
              <w:autoSpaceDE w:val="0"/>
              <w:autoSpaceDN w:val="0"/>
              <w:spacing w:before="10" w:after="10" w:line="240" w:lineRule="auto"/>
              <w:jc w:val="left"/>
              <w:rPr>
                <w:rFonts w:ascii="Arial" w:hAnsi="Arial" w:cs="Arial"/>
                <w:i/>
                <w:sz w:val="16"/>
                <w:szCs w:val="16"/>
              </w:rPr>
            </w:pPr>
          </w:p>
        </w:tc>
        <w:tc>
          <w:tcPr>
            <w:tcW w:w="3175" w:type="dxa"/>
            <w:tcBorders>
              <w:top w:val="single" w:sz="4" w:space="0" w:color="auto"/>
              <w:left w:val="single" w:sz="4" w:space="0" w:color="auto"/>
              <w:bottom w:val="dotted" w:sz="4" w:space="0" w:color="auto"/>
            </w:tcBorders>
          </w:tcPr>
          <w:p w:rsidR="00E55150" w:rsidRPr="00AE5868" w:rsidRDefault="00E55150" w:rsidP="00436AFE">
            <w:pPr>
              <w:autoSpaceDE w:val="0"/>
              <w:autoSpaceDN w:val="0"/>
              <w:spacing w:before="60" w:after="60" w:line="240" w:lineRule="auto"/>
              <w:jc w:val="left"/>
              <w:rPr>
                <w:rFonts w:ascii="Arial" w:hAnsi="Arial" w:cs="Arial"/>
                <w:sz w:val="16"/>
                <w:szCs w:val="16"/>
              </w:rPr>
            </w:pPr>
            <w:r w:rsidRPr="00AE5868">
              <w:rPr>
                <w:rFonts w:ascii="Arial" w:hAnsi="Arial" w:cs="Arial"/>
                <w:b/>
                <w:bCs/>
                <w:sz w:val="16"/>
                <w:szCs w:val="16"/>
              </w:rPr>
              <w:t>Target:</w:t>
            </w:r>
            <w:r w:rsidRPr="00AE5868">
              <w:rPr>
                <w:rFonts w:ascii="Arial" w:hAnsi="Arial" w:cs="Arial"/>
                <w:sz w:val="16"/>
                <w:szCs w:val="16"/>
              </w:rPr>
              <w:t xml:space="preserve"> Annual returns published on the first working day in February. </w:t>
            </w:r>
          </w:p>
          <w:p w:rsidR="00E55150" w:rsidRPr="00AE5868" w:rsidRDefault="00E55150" w:rsidP="00436AFE">
            <w:pPr>
              <w:autoSpaceDE w:val="0"/>
              <w:autoSpaceDN w:val="0"/>
              <w:spacing w:before="60" w:after="60" w:line="240" w:lineRule="auto"/>
              <w:jc w:val="left"/>
              <w:rPr>
                <w:rFonts w:ascii="Arial" w:hAnsi="Arial" w:cs="Arial"/>
                <w:sz w:val="16"/>
                <w:szCs w:val="16"/>
              </w:rPr>
            </w:pPr>
          </w:p>
          <w:p w:rsidR="00E55150" w:rsidRPr="00AE5868" w:rsidRDefault="00E55150" w:rsidP="00436AFE">
            <w:pPr>
              <w:spacing w:before="60" w:after="60" w:line="240" w:lineRule="auto"/>
              <w:jc w:val="left"/>
              <w:rPr>
                <w:rFonts w:ascii="Arial" w:hAnsi="Arial" w:cs="Arial"/>
                <w:sz w:val="16"/>
                <w:szCs w:val="16"/>
              </w:rPr>
            </w:pPr>
            <w:r w:rsidRPr="00AE5868">
              <w:rPr>
                <w:rFonts w:ascii="Arial" w:hAnsi="Arial" w:cs="Arial"/>
                <w:b/>
                <w:bCs/>
                <w:sz w:val="16"/>
                <w:szCs w:val="16"/>
              </w:rPr>
              <w:t>Performance:</w:t>
            </w:r>
            <w:r w:rsidRPr="00AE5868">
              <w:rPr>
                <w:rFonts w:ascii="Arial" w:hAnsi="Arial" w:cs="Arial"/>
                <w:sz w:val="16"/>
                <w:szCs w:val="16"/>
              </w:rPr>
              <w:t xml:space="preserve"> On track to be met. 2020–21 annual disclosure returns received by the AEC were published, as planned, on the first working day in February 2022. The annual disclosure returns related to </w:t>
            </w:r>
            <w:r w:rsidRPr="00AE5868">
              <w:rPr>
                <w:rFonts w:ascii="Arial" w:hAnsi="Arial" w:cs="Arial"/>
                <w:i/>
                <w:iCs/>
                <w:sz w:val="16"/>
                <w:szCs w:val="16"/>
              </w:rPr>
              <w:t>the Electoral Legislation Amendment (Annual Disclosure Equality) Act 2021</w:t>
            </w:r>
            <w:r w:rsidRPr="00AE5868">
              <w:rPr>
                <w:rFonts w:ascii="Arial" w:hAnsi="Arial" w:cs="Arial"/>
                <w:sz w:val="16"/>
                <w:szCs w:val="16"/>
              </w:rPr>
              <w:t> were published on 1 March 2022 in line with the recent legislative amendment to the aforementioned Bill. </w:t>
            </w:r>
          </w:p>
          <w:p w:rsidR="00E55150" w:rsidRPr="00AE5868" w:rsidRDefault="00E55150" w:rsidP="00436AFE">
            <w:pPr>
              <w:autoSpaceDE w:val="0"/>
              <w:autoSpaceDN w:val="0"/>
              <w:spacing w:before="60" w:after="60" w:line="240" w:lineRule="auto"/>
              <w:jc w:val="left"/>
              <w:rPr>
                <w:rFonts w:ascii="Arial" w:hAnsi="Arial" w:cs="Arial"/>
                <w:sz w:val="16"/>
                <w:szCs w:val="16"/>
              </w:rPr>
            </w:pPr>
          </w:p>
          <w:p w:rsidR="00E55150" w:rsidRPr="00AE5868" w:rsidRDefault="00E55150" w:rsidP="00436AFE">
            <w:pPr>
              <w:autoSpaceDE w:val="0"/>
              <w:autoSpaceDN w:val="0"/>
              <w:spacing w:before="60" w:after="60" w:line="240" w:lineRule="auto"/>
              <w:jc w:val="left"/>
              <w:rPr>
                <w:rFonts w:ascii="Arial" w:hAnsi="Arial" w:cs="Arial"/>
                <w:sz w:val="16"/>
                <w:szCs w:val="16"/>
              </w:rPr>
            </w:pPr>
            <w:r w:rsidRPr="00AE5868">
              <w:rPr>
                <w:rFonts w:ascii="Arial" w:hAnsi="Arial" w:cs="Arial"/>
                <w:b/>
                <w:bCs/>
                <w:sz w:val="16"/>
                <w:szCs w:val="16"/>
              </w:rPr>
              <w:t>Target</w:t>
            </w:r>
            <w:r w:rsidRPr="00AE5868">
              <w:rPr>
                <w:rFonts w:ascii="Arial" w:hAnsi="Arial" w:cs="Arial"/>
                <w:sz w:val="16"/>
                <w:szCs w:val="16"/>
              </w:rPr>
              <w:t>: Election returns published 24 weeks after polling day for each electoral event.</w:t>
            </w:r>
          </w:p>
          <w:p w:rsidR="00E55150" w:rsidRPr="00AE5868" w:rsidRDefault="00E55150" w:rsidP="00436AFE">
            <w:pPr>
              <w:autoSpaceDE w:val="0"/>
              <w:autoSpaceDN w:val="0"/>
              <w:spacing w:before="60" w:after="60" w:line="240" w:lineRule="auto"/>
              <w:jc w:val="left"/>
              <w:rPr>
                <w:rFonts w:ascii="Arial" w:hAnsi="Arial" w:cs="Arial"/>
                <w:sz w:val="16"/>
                <w:szCs w:val="16"/>
                <w:highlight w:val="red"/>
              </w:rPr>
            </w:pPr>
          </w:p>
          <w:p w:rsidR="00E55150" w:rsidRPr="00AE5868" w:rsidRDefault="00E55150" w:rsidP="00436AFE">
            <w:pPr>
              <w:autoSpaceDE w:val="0"/>
              <w:autoSpaceDN w:val="0"/>
              <w:spacing w:before="60" w:after="60" w:line="240" w:lineRule="auto"/>
              <w:jc w:val="left"/>
              <w:rPr>
                <w:rFonts w:ascii="Arial" w:hAnsi="Arial" w:cs="Arial"/>
                <w:b/>
                <w:bCs/>
                <w:sz w:val="16"/>
                <w:szCs w:val="16"/>
              </w:rPr>
            </w:pPr>
            <w:r w:rsidRPr="00AE5868">
              <w:rPr>
                <w:rFonts w:ascii="Arial" w:hAnsi="Arial" w:cs="Arial"/>
                <w:b/>
                <w:bCs/>
                <w:sz w:val="16"/>
                <w:szCs w:val="16"/>
              </w:rPr>
              <w:t xml:space="preserve">Performance: </w:t>
            </w:r>
            <w:r w:rsidRPr="00AE5868">
              <w:rPr>
                <w:rFonts w:ascii="Arial" w:hAnsi="Arial" w:cs="Arial"/>
                <w:sz w:val="16"/>
                <w:szCs w:val="16"/>
              </w:rPr>
              <w:t>On track to be met. Note that there have been no electoral events within the reportable timeframe.</w:t>
            </w:r>
            <w:r w:rsidRPr="00AE5868">
              <w:rPr>
                <w:rFonts w:ascii="Arial" w:hAnsi="Arial" w:cs="Arial"/>
                <w:b/>
                <w:bCs/>
                <w:sz w:val="16"/>
                <w:szCs w:val="16"/>
              </w:rPr>
              <w:t xml:space="preserve"> </w:t>
            </w:r>
          </w:p>
        </w:tc>
      </w:tr>
      <w:tr w:rsidR="00E55150" w:rsidRPr="00160C23" w:rsidTr="00E8784B">
        <w:trPr>
          <w:trHeight w:val="312"/>
        </w:trPr>
        <w:tc>
          <w:tcPr>
            <w:tcW w:w="1444" w:type="dxa"/>
            <w:tcBorders>
              <w:top w:val="single" w:sz="4" w:space="0" w:color="auto"/>
              <w:left w:val="single" w:sz="4" w:space="0" w:color="auto"/>
              <w:bottom w:val="single" w:sz="4" w:space="0" w:color="auto"/>
              <w:right w:val="single" w:sz="4" w:space="0" w:color="auto"/>
            </w:tcBorders>
          </w:tcPr>
          <w:p w:rsidR="00E55150" w:rsidRPr="00783FCC" w:rsidRDefault="00E55150" w:rsidP="00436AFE">
            <w:pPr>
              <w:pStyle w:val="TableTextBase"/>
              <w:rPr>
                <w:rFonts w:cs="Arial"/>
                <w:sz w:val="16"/>
                <w:szCs w:val="16"/>
              </w:rPr>
            </w:pPr>
            <w:r w:rsidRPr="00783FCC">
              <w:rPr>
                <w:rFonts w:cs="Arial"/>
                <w:b/>
                <w:sz w:val="16"/>
                <w:szCs w:val="16"/>
              </w:rPr>
              <w:t>Year</w:t>
            </w:r>
          </w:p>
        </w:tc>
        <w:tc>
          <w:tcPr>
            <w:tcW w:w="3177" w:type="dxa"/>
            <w:tcBorders>
              <w:top w:val="single" w:sz="4" w:space="0" w:color="auto"/>
              <w:left w:val="single" w:sz="4" w:space="0" w:color="auto"/>
              <w:bottom w:val="single" w:sz="4" w:space="0" w:color="auto"/>
              <w:right w:val="single" w:sz="4" w:space="0" w:color="auto"/>
            </w:tcBorders>
          </w:tcPr>
          <w:p w:rsidR="00E55150" w:rsidRPr="00AE5868" w:rsidRDefault="00E55150" w:rsidP="00436AFE">
            <w:pPr>
              <w:autoSpaceDE w:val="0"/>
              <w:autoSpaceDN w:val="0"/>
              <w:spacing w:before="10" w:after="10"/>
              <w:ind w:left="280" w:hanging="284"/>
              <w:rPr>
                <w:rFonts w:ascii="Arial" w:hAnsi="Arial" w:cs="Arial"/>
                <w:b/>
                <w:sz w:val="16"/>
                <w:szCs w:val="16"/>
              </w:rPr>
            </w:pPr>
            <w:r w:rsidRPr="00AE5868">
              <w:rPr>
                <w:rFonts w:ascii="Arial" w:hAnsi="Arial" w:cs="Arial"/>
                <w:b/>
                <w:sz w:val="16"/>
                <w:szCs w:val="16"/>
              </w:rPr>
              <w:t>Performance measures</w:t>
            </w:r>
          </w:p>
        </w:tc>
        <w:tc>
          <w:tcPr>
            <w:tcW w:w="3175" w:type="dxa"/>
            <w:tcBorders>
              <w:top w:val="single" w:sz="4" w:space="0" w:color="auto"/>
              <w:left w:val="single" w:sz="4" w:space="0" w:color="auto"/>
              <w:bottom w:val="single" w:sz="4" w:space="0" w:color="auto"/>
              <w:right w:val="single" w:sz="4" w:space="0" w:color="auto"/>
            </w:tcBorders>
          </w:tcPr>
          <w:p w:rsidR="00E55150" w:rsidRPr="00AE5868" w:rsidRDefault="00E55150" w:rsidP="00436AFE">
            <w:pPr>
              <w:autoSpaceDE w:val="0"/>
              <w:autoSpaceDN w:val="0"/>
              <w:spacing w:before="10" w:after="10"/>
              <w:rPr>
                <w:rFonts w:ascii="Arial" w:hAnsi="Arial" w:cs="Arial"/>
                <w:b/>
                <w:bCs/>
                <w:sz w:val="16"/>
                <w:szCs w:val="16"/>
              </w:rPr>
            </w:pPr>
            <w:r w:rsidRPr="00AE5868">
              <w:rPr>
                <w:rFonts w:ascii="Arial" w:hAnsi="Arial" w:cs="Arial"/>
                <w:b/>
                <w:bCs/>
                <w:sz w:val="16"/>
                <w:szCs w:val="16"/>
              </w:rPr>
              <w:t>Planned Performance Results</w:t>
            </w:r>
          </w:p>
        </w:tc>
      </w:tr>
      <w:tr w:rsidR="00E55150" w:rsidRPr="00C552B1" w:rsidTr="00E8784B">
        <w:trPr>
          <w:trHeight w:val="4213"/>
        </w:trPr>
        <w:tc>
          <w:tcPr>
            <w:tcW w:w="1444" w:type="dxa"/>
            <w:tcBorders>
              <w:top w:val="single" w:sz="4" w:space="0" w:color="auto"/>
              <w:left w:val="single" w:sz="4" w:space="0" w:color="auto"/>
              <w:bottom w:val="single" w:sz="4" w:space="0" w:color="auto"/>
              <w:right w:val="single" w:sz="4" w:space="0" w:color="auto"/>
            </w:tcBorders>
          </w:tcPr>
          <w:p w:rsidR="00E55150" w:rsidRPr="00783FCC" w:rsidRDefault="00E55150" w:rsidP="00436AFE">
            <w:pPr>
              <w:pStyle w:val="TableTextBase"/>
              <w:rPr>
                <w:rFonts w:cs="Arial"/>
                <w:sz w:val="16"/>
                <w:szCs w:val="16"/>
              </w:rPr>
            </w:pPr>
            <w:r w:rsidRPr="00783FCC">
              <w:rPr>
                <w:rFonts w:cs="Arial"/>
                <w:sz w:val="16"/>
                <w:szCs w:val="16"/>
              </w:rPr>
              <w:t>Budget Year     2022-23</w:t>
            </w:r>
          </w:p>
          <w:p w:rsidR="00E55150" w:rsidRPr="00783FCC" w:rsidRDefault="00E55150" w:rsidP="00436AFE">
            <w:pPr>
              <w:pStyle w:val="TableTextBase"/>
              <w:rPr>
                <w:rFonts w:cs="Arial"/>
                <w:sz w:val="16"/>
                <w:szCs w:val="16"/>
              </w:rPr>
            </w:pPr>
          </w:p>
          <w:p w:rsidR="00E55150" w:rsidRPr="00783FCC" w:rsidRDefault="00E55150" w:rsidP="00436AFE">
            <w:pPr>
              <w:pStyle w:val="TableTextBase"/>
              <w:rPr>
                <w:rFonts w:cs="Arial"/>
                <w:sz w:val="16"/>
                <w:szCs w:val="16"/>
              </w:rPr>
            </w:pPr>
          </w:p>
          <w:p w:rsidR="00E55150" w:rsidRPr="00783FCC" w:rsidRDefault="00E55150" w:rsidP="00436AFE">
            <w:pPr>
              <w:pStyle w:val="TableTextBase"/>
              <w:rPr>
                <w:rFonts w:cs="Arial"/>
                <w:sz w:val="16"/>
                <w:szCs w:val="16"/>
              </w:rPr>
            </w:pPr>
          </w:p>
          <w:p w:rsidR="00E55150" w:rsidRPr="00783FCC" w:rsidRDefault="00E55150" w:rsidP="00436AFE">
            <w:pPr>
              <w:pStyle w:val="TableTextBase"/>
              <w:rPr>
                <w:rFonts w:cs="Arial"/>
                <w:sz w:val="16"/>
                <w:szCs w:val="16"/>
              </w:rPr>
            </w:pPr>
          </w:p>
          <w:p w:rsidR="00E55150" w:rsidRPr="00783FCC" w:rsidRDefault="00E55150" w:rsidP="00436AFE">
            <w:pPr>
              <w:pStyle w:val="TableTextBase"/>
              <w:rPr>
                <w:rFonts w:cs="Arial"/>
                <w:sz w:val="16"/>
                <w:szCs w:val="16"/>
              </w:rPr>
            </w:pPr>
          </w:p>
          <w:p w:rsidR="00E55150" w:rsidRPr="00783FCC" w:rsidRDefault="00E55150" w:rsidP="00436AFE">
            <w:pPr>
              <w:pStyle w:val="TableTextBase"/>
              <w:rPr>
                <w:rFonts w:cs="Arial"/>
                <w:sz w:val="16"/>
                <w:szCs w:val="16"/>
              </w:rPr>
            </w:pPr>
          </w:p>
          <w:p w:rsidR="00E55150" w:rsidRPr="00783FCC" w:rsidRDefault="00E55150" w:rsidP="00436AFE">
            <w:pPr>
              <w:pStyle w:val="TableTextBase"/>
              <w:rPr>
                <w:rFonts w:cs="Arial"/>
                <w:sz w:val="16"/>
                <w:szCs w:val="16"/>
              </w:rPr>
            </w:pPr>
          </w:p>
          <w:p w:rsidR="00E55150" w:rsidRPr="00783FCC" w:rsidRDefault="00E55150" w:rsidP="00436AFE">
            <w:pPr>
              <w:pStyle w:val="TableTextBase"/>
              <w:rPr>
                <w:rFonts w:cs="Arial"/>
                <w:sz w:val="16"/>
                <w:szCs w:val="16"/>
              </w:rPr>
            </w:pPr>
          </w:p>
          <w:p w:rsidR="00E55150" w:rsidRPr="00783FCC" w:rsidRDefault="00E55150" w:rsidP="00436AFE">
            <w:pPr>
              <w:pStyle w:val="TableTextBase"/>
              <w:rPr>
                <w:rFonts w:cs="Arial"/>
                <w:sz w:val="16"/>
                <w:szCs w:val="16"/>
              </w:rPr>
            </w:pPr>
          </w:p>
          <w:p w:rsidR="00E55150" w:rsidRPr="00783FCC" w:rsidRDefault="00E55150" w:rsidP="00436AFE">
            <w:pPr>
              <w:pStyle w:val="TableTextBase"/>
              <w:rPr>
                <w:rFonts w:cs="Arial"/>
                <w:sz w:val="16"/>
                <w:szCs w:val="16"/>
              </w:rPr>
            </w:pPr>
          </w:p>
          <w:p w:rsidR="00E55150" w:rsidRPr="00783FCC" w:rsidRDefault="00E55150" w:rsidP="00436AFE">
            <w:pPr>
              <w:pStyle w:val="TableTextBase"/>
              <w:rPr>
                <w:rFonts w:cs="Arial"/>
                <w:sz w:val="16"/>
                <w:szCs w:val="16"/>
              </w:rPr>
            </w:pPr>
          </w:p>
          <w:p w:rsidR="00E55150" w:rsidRPr="00783FCC" w:rsidRDefault="00E55150" w:rsidP="00436AFE">
            <w:pPr>
              <w:pStyle w:val="TableTextBase"/>
              <w:rPr>
                <w:rFonts w:cs="Arial"/>
                <w:sz w:val="16"/>
                <w:szCs w:val="16"/>
              </w:rPr>
            </w:pPr>
          </w:p>
          <w:p w:rsidR="00E55150" w:rsidRPr="00783FCC" w:rsidRDefault="00E55150" w:rsidP="00436AFE">
            <w:pPr>
              <w:pStyle w:val="TableTextBase"/>
              <w:rPr>
                <w:rFonts w:cs="Arial"/>
                <w:sz w:val="16"/>
                <w:szCs w:val="16"/>
              </w:rPr>
            </w:pPr>
          </w:p>
          <w:p w:rsidR="00E55150" w:rsidRPr="00783FCC" w:rsidRDefault="00E55150" w:rsidP="00436AFE">
            <w:pPr>
              <w:pStyle w:val="TableTextBase"/>
              <w:rPr>
                <w:rFonts w:cs="Arial"/>
                <w:sz w:val="16"/>
                <w:szCs w:val="16"/>
              </w:rPr>
            </w:pPr>
          </w:p>
          <w:p w:rsidR="00E55150" w:rsidRPr="00783FCC" w:rsidRDefault="00E55150" w:rsidP="00436AFE">
            <w:pPr>
              <w:pStyle w:val="TableTextBase"/>
              <w:rPr>
                <w:rFonts w:cs="Arial"/>
                <w:sz w:val="16"/>
                <w:szCs w:val="16"/>
              </w:rPr>
            </w:pPr>
          </w:p>
          <w:p w:rsidR="00E55150" w:rsidRPr="00783FCC" w:rsidRDefault="00E55150" w:rsidP="00436AFE">
            <w:pPr>
              <w:pStyle w:val="TableTextBase"/>
              <w:rPr>
                <w:rFonts w:cs="Arial"/>
                <w:sz w:val="16"/>
                <w:szCs w:val="16"/>
              </w:rPr>
            </w:pPr>
          </w:p>
        </w:tc>
        <w:tc>
          <w:tcPr>
            <w:tcW w:w="3177" w:type="dxa"/>
            <w:tcBorders>
              <w:top w:val="single" w:sz="4" w:space="0" w:color="auto"/>
              <w:left w:val="single" w:sz="4" w:space="0" w:color="auto"/>
              <w:bottom w:val="single" w:sz="4" w:space="0" w:color="auto"/>
              <w:right w:val="single" w:sz="4" w:space="0" w:color="auto"/>
            </w:tcBorders>
          </w:tcPr>
          <w:p w:rsidR="00E55150" w:rsidRPr="00AE5868" w:rsidRDefault="00E55150" w:rsidP="00436AFE">
            <w:pPr>
              <w:autoSpaceDE w:val="0"/>
              <w:autoSpaceDN w:val="0"/>
              <w:spacing w:before="10" w:after="10" w:line="240" w:lineRule="auto"/>
              <w:jc w:val="left"/>
              <w:rPr>
                <w:rFonts w:ascii="Arial" w:hAnsi="Arial" w:cs="Arial"/>
                <w:b/>
                <w:sz w:val="16"/>
                <w:szCs w:val="16"/>
              </w:rPr>
            </w:pPr>
            <w:r w:rsidRPr="00AE5868">
              <w:rPr>
                <w:rFonts w:ascii="Arial" w:hAnsi="Arial" w:cs="Arial"/>
                <w:b/>
                <w:sz w:val="16"/>
                <w:szCs w:val="16"/>
              </w:rPr>
              <w:t xml:space="preserve">Electoral Roll Management </w:t>
            </w:r>
          </w:p>
          <w:p w:rsidR="00E55150" w:rsidRPr="00AE5868" w:rsidRDefault="00E55150" w:rsidP="00F76FE4">
            <w:pPr>
              <w:numPr>
                <w:ilvl w:val="0"/>
                <w:numId w:val="21"/>
              </w:numPr>
              <w:autoSpaceDE w:val="0"/>
              <w:autoSpaceDN w:val="0"/>
              <w:adjustRightInd w:val="0"/>
              <w:spacing w:before="60" w:after="60" w:line="240" w:lineRule="auto"/>
              <w:ind w:left="374" w:hanging="357"/>
              <w:contextualSpacing/>
              <w:jc w:val="left"/>
              <w:rPr>
                <w:rFonts w:ascii="Arial" w:eastAsia="Calibri" w:hAnsi="Arial" w:cs="Arial"/>
                <w:sz w:val="16"/>
                <w:szCs w:val="16"/>
                <w:lang w:val="en-US" w:eastAsia="en-US"/>
              </w:rPr>
            </w:pPr>
            <w:r w:rsidRPr="00AE5868">
              <w:rPr>
                <w:rFonts w:ascii="Arial" w:eastAsia="Calibri" w:hAnsi="Arial" w:cs="Arial"/>
                <w:sz w:val="16"/>
                <w:szCs w:val="16"/>
                <w:lang w:val="en-US" w:eastAsia="en-US"/>
              </w:rPr>
              <w:t>Percentage of eligible voters enrolled (enrolment rate).</w:t>
            </w:r>
          </w:p>
          <w:p w:rsidR="00E55150" w:rsidRPr="00AE5868" w:rsidRDefault="00E55150" w:rsidP="00436AFE">
            <w:pPr>
              <w:autoSpaceDE w:val="0"/>
              <w:autoSpaceDN w:val="0"/>
              <w:spacing w:before="60" w:after="60" w:line="240" w:lineRule="auto"/>
              <w:ind w:left="357" w:hanging="357"/>
              <w:jc w:val="left"/>
              <w:rPr>
                <w:rFonts w:ascii="Arial" w:hAnsi="Arial" w:cs="Arial"/>
                <w:sz w:val="16"/>
                <w:szCs w:val="16"/>
              </w:rPr>
            </w:pPr>
          </w:p>
          <w:p w:rsidR="00E55150" w:rsidRPr="00AE5868" w:rsidRDefault="00E55150" w:rsidP="00F76FE4">
            <w:pPr>
              <w:numPr>
                <w:ilvl w:val="0"/>
                <w:numId w:val="21"/>
              </w:numPr>
              <w:autoSpaceDE w:val="0"/>
              <w:autoSpaceDN w:val="0"/>
              <w:adjustRightInd w:val="0"/>
              <w:spacing w:before="60" w:after="60" w:line="240" w:lineRule="auto"/>
              <w:ind w:left="374" w:hanging="357"/>
              <w:contextualSpacing/>
              <w:jc w:val="left"/>
              <w:rPr>
                <w:rFonts w:ascii="Arial" w:eastAsia="Calibri" w:hAnsi="Arial" w:cs="Arial"/>
                <w:i/>
                <w:sz w:val="16"/>
                <w:szCs w:val="16"/>
                <w:lang w:val="en-US" w:eastAsia="en-US"/>
              </w:rPr>
            </w:pPr>
            <w:r w:rsidRPr="00AE5868">
              <w:rPr>
                <w:rFonts w:ascii="Arial" w:eastAsia="Calibri" w:hAnsi="Arial" w:cs="Arial"/>
                <w:sz w:val="16"/>
                <w:szCs w:val="16"/>
                <w:lang w:val="en-US" w:eastAsia="en-US"/>
              </w:rPr>
              <w:t xml:space="preserve">Redistributions determined in accordance with </w:t>
            </w:r>
            <w:r w:rsidRPr="00AE5868">
              <w:rPr>
                <w:rFonts w:ascii="Arial" w:eastAsia="Calibri" w:hAnsi="Arial" w:cs="Arial"/>
                <w:i/>
                <w:sz w:val="16"/>
                <w:szCs w:val="16"/>
                <w:lang w:val="en-US" w:eastAsia="en-US"/>
              </w:rPr>
              <w:t>the Commonwealth Electoral Act 1918</w:t>
            </w:r>
            <w:r w:rsidRPr="00AE5868">
              <w:rPr>
                <w:rFonts w:ascii="Arial" w:eastAsia="Calibri" w:hAnsi="Arial" w:cs="Arial"/>
                <w:sz w:val="16"/>
                <w:szCs w:val="16"/>
                <w:lang w:val="en-US" w:eastAsia="en-US"/>
              </w:rPr>
              <w:t>.</w:t>
            </w:r>
          </w:p>
          <w:p w:rsidR="00E55150" w:rsidRPr="00AE5868" w:rsidRDefault="00E55150" w:rsidP="00436AFE">
            <w:pPr>
              <w:autoSpaceDE w:val="0"/>
              <w:autoSpaceDN w:val="0"/>
              <w:spacing w:before="60" w:after="60" w:line="240" w:lineRule="auto"/>
              <w:ind w:left="357" w:hanging="357"/>
              <w:jc w:val="left"/>
              <w:rPr>
                <w:rFonts w:ascii="Arial" w:hAnsi="Arial" w:cs="Arial"/>
                <w:sz w:val="16"/>
                <w:szCs w:val="16"/>
              </w:rPr>
            </w:pPr>
          </w:p>
          <w:p w:rsidR="00E55150" w:rsidRPr="00AE5868" w:rsidRDefault="00E55150" w:rsidP="00436AFE">
            <w:pPr>
              <w:autoSpaceDE w:val="0"/>
              <w:autoSpaceDN w:val="0"/>
              <w:spacing w:before="60" w:after="60" w:line="240" w:lineRule="auto"/>
              <w:ind w:left="357" w:hanging="357"/>
              <w:jc w:val="left"/>
              <w:rPr>
                <w:rFonts w:ascii="Arial" w:hAnsi="Arial" w:cs="Arial"/>
                <w:sz w:val="16"/>
                <w:szCs w:val="16"/>
              </w:rPr>
            </w:pPr>
          </w:p>
          <w:p w:rsidR="00E55150" w:rsidRPr="00AE5868" w:rsidRDefault="00E55150" w:rsidP="00436AFE">
            <w:pPr>
              <w:autoSpaceDE w:val="0"/>
              <w:autoSpaceDN w:val="0"/>
              <w:spacing w:before="60" w:after="60" w:line="240" w:lineRule="auto"/>
              <w:ind w:left="357" w:hanging="357"/>
              <w:jc w:val="left"/>
              <w:rPr>
                <w:rFonts w:ascii="Arial" w:hAnsi="Arial" w:cs="Arial"/>
                <w:sz w:val="16"/>
                <w:szCs w:val="16"/>
              </w:rPr>
            </w:pPr>
          </w:p>
          <w:p w:rsidR="00E55150" w:rsidRPr="00AE5868" w:rsidRDefault="00E55150" w:rsidP="00436AFE">
            <w:pPr>
              <w:autoSpaceDE w:val="0"/>
              <w:autoSpaceDN w:val="0"/>
              <w:spacing w:before="10" w:after="10" w:line="240" w:lineRule="auto"/>
              <w:jc w:val="left"/>
              <w:rPr>
                <w:rFonts w:ascii="Arial" w:hAnsi="Arial" w:cs="Arial"/>
                <w:sz w:val="16"/>
                <w:szCs w:val="16"/>
              </w:rPr>
            </w:pPr>
            <w:r w:rsidRPr="00AE5868">
              <w:rPr>
                <w:rFonts w:ascii="Arial" w:hAnsi="Arial" w:cs="Arial"/>
                <w:b/>
                <w:sz w:val="16"/>
                <w:szCs w:val="16"/>
              </w:rPr>
              <w:t>Elections, By-elections and</w:t>
            </w:r>
            <w:r w:rsidRPr="00AE5868">
              <w:rPr>
                <w:rFonts w:ascii="Arial" w:hAnsi="Arial" w:cs="Arial"/>
                <w:sz w:val="16"/>
                <w:szCs w:val="16"/>
              </w:rPr>
              <w:t xml:space="preserve"> </w:t>
            </w:r>
            <w:r w:rsidRPr="00AE5868">
              <w:rPr>
                <w:rFonts w:ascii="Arial" w:hAnsi="Arial" w:cs="Arial"/>
                <w:b/>
                <w:sz w:val="16"/>
                <w:szCs w:val="16"/>
              </w:rPr>
              <w:t>Referendums</w:t>
            </w:r>
          </w:p>
          <w:p w:rsidR="00E55150" w:rsidRPr="00AE5868" w:rsidRDefault="00E55150" w:rsidP="00F76FE4">
            <w:pPr>
              <w:numPr>
                <w:ilvl w:val="0"/>
                <w:numId w:val="21"/>
              </w:numPr>
              <w:autoSpaceDE w:val="0"/>
              <w:autoSpaceDN w:val="0"/>
              <w:adjustRightInd w:val="0"/>
              <w:spacing w:before="60" w:after="60" w:line="240" w:lineRule="auto"/>
              <w:ind w:left="374" w:hanging="357"/>
              <w:contextualSpacing/>
              <w:jc w:val="left"/>
              <w:rPr>
                <w:rFonts w:ascii="Arial" w:eastAsia="Calibri" w:hAnsi="Arial" w:cs="Arial"/>
                <w:sz w:val="16"/>
                <w:szCs w:val="16"/>
                <w:lang w:val="en-US" w:eastAsia="en-US"/>
              </w:rPr>
            </w:pPr>
            <w:r w:rsidRPr="00AE5868">
              <w:rPr>
                <w:rFonts w:ascii="Arial" w:eastAsia="Calibri" w:hAnsi="Arial" w:cs="Arial"/>
                <w:sz w:val="16"/>
                <w:szCs w:val="16"/>
                <w:lang w:val="en-US" w:eastAsia="en-US"/>
              </w:rPr>
              <w:t xml:space="preserve">The election result – for each event – is delivered in accordance with the </w:t>
            </w:r>
            <w:r w:rsidRPr="00AE5868">
              <w:rPr>
                <w:rFonts w:ascii="Arial" w:eastAsia="Calibri" w:hAnsi="Arial" w:cs="Arial"/>
                <w:i/>
                <w:sz w:val="16"/>
                <w:szCs w:val="16"/>
                <w:lang w:val="en-US" w:eastAsia="en-US"/>
              </w:rPr>
              <w:t>Commonwealth Electoral Act 1918</w:t>
            </w:r>
            <w:r w:rsidRPr="00AE5868">
              <w:rPr>
                <w:rFonts w:ascii="Arial" w:eastAsia="Calibri" w:hAnsi="Arial" w:cs="Arial"/>
                <w:sz w:val="16"/>
                <w:szCs w:val="16"/>
                <w:lang w:val="en-US" w:eastAsia="en-US"/>
              </w:rPr>
              <w:t>.</w:t>
            </w:r>
          </w:p>
          <w:p w:rsidR="00E55150" w:rsidRPr="00AE5868" w:rsidRDefault="00E55150" w:rsidP="00436AFE">
            <w:pPr>
              <w:autoSpaceDE w:val="0"/>
              <w:autoSpaceDN w:val="0"/>
              <w:spacing w:before="60" w:after="60" w:line="240" w:lineRule="auto"/>
              <w:jc w:val="left"/>
              <w:rPr>
                <w:rFonts w:ascii="Arial" w:hAnsi="Arial" w:cs="Arial"/>
                <w:sz w:val="16"/>
                <w:szCs w:val="16"/>
              </w:rPr>
            </w:pPr>
          </w:p>
          <w:p w:rsidR="00E55150" w:rsidRPr="00AE5868" w:rsidRDefault="00E55150" w:rsidP="00F76FE4">
            <w:pPr>
              <w:numPr>
                <w:ilvl w:val="0"/>
                <w:numId w:val="21"/>
              </w:numPr>
              <w:autoSpaceDE w:val="0"/>
              <w:autoSpaceDN w:val="0"/>
              <w:adjustRightInd w:val="0"/>
              <w:spacing w:before="60" w:after="60" w:line="240" w:lineRule="auto"/>
              <w:ind w:left="374" w:hanging="357"/>
              <w:contextualSpacing/>
              <w:jc w:val="left"/>
              <w:rPr>
                <w:rFonts w:ascii="Arial" w:eastAsia="Calibri" w:hAnsi="Arial" w:cs="Arial"/>
                <w:sz w:val="16"/>
                <w:szCs w:val="16"/>
                <w:lang w:val="en-US" w:eastAsia="en-US"/>
              </w:rPr>
            </w:pPr>
            <w:r w:rsidRPr="00AE5868">
              <w:rPr>
                <w:rFonts w:ascii="Arial" w:eastAsia="Calibri" w:hAnsi="Arial" w:cs="Arial"/>
                <w:sz w:val="16"/>
                <w:szCs w:val="16"/>
                <w:lang w:val="en-US" w:eastAsia="en-US"/>
              </w:rPr>
              <w:t>Industrial election and ballot results are delivered with integrity and withstand scrutiny.</w:t>
            </w:r>
          </w:p>
          <w:p w:rsidR="00E55150" w:rsidRPr="00AE5868" w:rsidRDefault="00E55150" w:rsidP="00436AFE">
            <w:pPr>
              <w:autoSpaceDE w:val="0"/>
              <w:autoSpaceDN w:val="0"/>
              <w:spacing w:before="60" w:after="60" w:line="240" w:lineRule="auto"/>
              <w:ind w:left="357" w:hanging="357"/>
              <w:jc w:val="left"/>
              <w:rPr>
                <w:rFonts w:ascii="Arial" w:hAnsi="Arial" w:cs="Arial"/>
                <w:sz w:val="16"/>
                <w:szCs w:val="16"/>
              </w:rPr>
            </w:pPr>
          </w:p>
          <w:p w:rsidR="00E55150" w:rsidRPr="00AE5868" w:rsidRDefault="00E55150" w:rsidP="00436AFE">
            <w:pPr>
              <w:autoSpaceDE w:val="0"/>
              <w:autoSpaceDN w:val="0"/>
              <w:spacing w:before="10" w:after="10" w:line="240" w:lineRule="auto"/>
              <w:jc w:val="left"/>
              <w:rPr>
                <w:rFonts w:ascii="Arial" w:hAnsi="Arial" w:cs="Arial"/>
                <w:sz w:val="16"/>
                <w:szCs w:val="16"/>
              </w:rPr>
            </w:pPr>
          </w:p>
          <w:p w:rsidR="00E55150" w:rsidRPr="00AE5868" w:rsidRDefault="00E55150" w:rsidP="00436AFE">
            <w:pPr>
              <w:autoSpaceDE w:val="0"/>
              <w:autoSpaceDN w:val="0"/>
              <w:spacing w:before="10" w:after="10" w:line="240" w:lineRule="auto"/>
              <w:ind w:left="280" w:hanging="284"/>
              <w:jc w:val="left"/>
              <w:rPr>
                <w:rFonts w:ascii="Arial" w:hAnsi="Arial" w:cs="Arial"/>
                <w:sz w:val="16"/>
                <w:szCs w:val="16"/>
              </w:rPr>
            </w:pPr>
          </w:p>
        </w:tc>
        <w:tc>
          <w:tcPr>
            <w:tcW w:w="3175" w:type="dxa"/>
            <w:tcBorders>
              <w:top w:val="single" w:sz="4" w:space="0" w:color="auto"/>
              <w:left w:val="single" w:sz="4" w:space="0" w:color="auto"/>
              <w:bottom w:val="single" w:sz="4" w:space="0" w:color="auto"/>
              <w:right w:val="single" w:sz="4" w:space="0" w:color="auto"/>
            </w:tcBorders>
          </w:tcPr>
          <w:p w:rsidR="00E55150" w:rsidRPr="00AE5868" w:rsidRDefault="00E55150" w:rsidP="00436AFE">
            <w:pPr>
              <w:autoSpaceDE w:val="0"/>
              <w:autoSpaceDN w:val="0"/>
              <w:spacing w:before="10" w:after="10" w:line="240" w:lineRule="auto"/>
              <w:ind w:left="280"/>
              <w:jc w:val="left"/>
              <w:rPr>
                <w:rFonts w:ascii="Arial" w:hAnsi="Arial" w:cs="Arial"/>
                <w:sz w:val="16"/>
                <w:szCs w:val="16"/>
              </w:rPr>
            </w:pPr>
          </w:p>
          <w:p w:rsidR="00E55150" w:rsidRPr="00AE5868" w:rsidRDefault="00E55150" w:rsidP="00F76FE4">
            <w:pPr>
              <w:numPr>
                <w:ilvl w:val="0"/>
                <w:numId w:val="21"/>
              </w:numPr>
              <w:autoSpaceDE w:val="0"/>
              <w:autoSpaceDN w:val="0"/>
              <w:adjustRightInd w:val="0"/>
              <w:spacing w:before="60" w:after="60" w:line="240" w:lineRule="auto"/>
              <w:ind w:left="374" w:hanging="357"/>
              <w:contextualSpacing/>
              <w:jc w:val="left"/>
              <w:rPr>
                <w:rFonts w:ascii="Arial" w:eastAsia="Calibri" w:hAnsi="Arial" w:cs="Arial"/>
                <w:sz w:val="16"/>
                <w:szCs w:val="16"/>
                <w:lang w:val="en-US" w:eastAsia="en-US"/>
              </w:rPr>
            </w:pPr>
            <w:r w:rsidRPr="00AE5868">
              <w:rPr>
                <w:rFonts w:ascii="Arial" w:eastAsia="Calibri" w:hAnsi="Arial" w:cs="Arial"/>
                <w:sz w:val="16"/>
                <w:szCs w:val="16"/>
                <w:lang w:val="en-US" w:eastAsia="en-US"/>
              </w:rPr>
              <w:t>≥ 95% reported annually and at close of rolls for a federal election or referendum.</w:t>
            </w:r>
          </w:p>
          <w:p w:rsidR="00E55150" w:rsidRPr="00AE5868" w:rsidRDefault="00E55150" w:rsidP="00436AFE">
            <w:pPr>
              <w:autoSpaceDE w:val="0"/>
              <w:autoSpaceDN w:val="0"/>
              <w:spacing w:before="10" w:after="10" w:line="240" w:lineRule="auto"/>
              <w:ind w:left="280"/>
              <w:jc w:val="left"/>
              <w:rPr>
                <w:rFonts w:ascii="Arial" w:hAnsi="Arial" w:cs="Arial"/>
                <w:sz w:val="16"/>
                <w:szCs w:val="16"/>
              </w:rPr>
            </w:pPr>
          </w:p>
          <w:p w:rsidR="00E55150" w:rsidRPr="00AE5868" w:rsidRDefault="00E55150" w:rsidP="00F76FE4">
            <w:pPr>
              <w:numPr>
                <w:ilvl w:val="0"/>
                <w:numId w:val="21"/>
              </w:numPr>
              <w:autoSpaceDE w:val="0"/>
              <w:autoSpaceDN w:val="0"/>
              <w:adjustRightInd w:val="0"/>
              <w:spacing w:before="60" w:after="60" w:line="240" w:lineRule="auto"/>
              <w:ind w:left="374" w:hanging="357"/>
              <w:contextualSpacing/>
              <w:jc w:val="left"/>
              <w:rPr>
                <w:rFonts w:ascii="Arial" w:eastAsia="Calibri" w:hAnsi="Arial" w:cs="Arial"/>
                <w:sz w:val="16"/>
                <w:szCs w:val="16"/>
                <w:lang w:val="en-US" w:eastAsia="en-US"/>
              </w:rPr>
            </w:pPr>
            <w:r w:rsidRPr="00AE5868">
              <w:rPr>
                <w:rFonts w:ascii="Arial" w:eastAsia="Calibri" w:hAnsi="Arial" w:cs="Arial"/>
                <w:sz w:val="16"/>
                <w:szCs w:val="16"/>
                <w:lang w:val="en-US" w:eastAsia="en-US"/>
              </w:rPr>
              <w:t>All redistributions are determined in accordance with the planned determination date and impacted electors are notified prior to the relevant federal election.</w:t>
            </w:r>
          </w:p>
          <w:p w:rsidR="00E55150" w:rsidRPr="00AE5868" w:rsidRDefault="00E55150" w:rsidP="00436AFE">
            <w:pPr>
              <w:autoSpaceDE w:val="0"/>
              <w:autoSpaceDN w:val="0"/>
              <w:spacing w:before="10" w:after="10" w:line="240" w:lineRule="auto"/>
              <w:jc w:val="left"/>
              <w:rPr>
                <w:rFonts w:ascii="Arial" w:hAnsi="Arial" w:cs="Arial"/>
                <w:sz w:val="16"/>
                <w:szCs w:val="16"/>
              </w:rPr>
            </w:pPr>
          </w:p>
          <w:p w:rsidR="00E55150" w:rsidRPr="00AE5868" w:rsidRDefault="00E55150" w:rsidP="00436AFE">
            <w:pPr>
              <w:autoSpaceDE w:val="0"/>
              <w:autoSpaceDN w:val="0"/>
              <w:spacing w:before="10" w:after="10" w:line="240" w:lineRule="auto"/>
              <w:jc w:val="left"/>
              <w:rPr>
                <w:rFonts w:ascii="Arial" w:hAnsi="Arial" w:cs="Arial"/>
                <w:sz w:val="16"/>
                <w:szCs w:val="16"/>
              </w:rPr>
            </w:pPr>
          </w:p>
          <w:p w:rsidR="00E55150" w:rsidRPr="00AE5868" w:rsidRDefault="00E55150" w:rsidP="00436AFE">
            <w:pPr>
              <w:autoSpaceDE w:val="0"/>
              <w:autoSpaceDN w:val="0"/>
              <w:spacing w:before="10" w:after="10" w:line="240" w:lineRule="auto"/>
              <w:jc w:val="left"/>
              <w:rPr>
                <w:rFonts w:ascii="Arial" w:hAnsi="Arial" w:cs="Arial"/>
                <w:sz w:val="16"/>
                <w:szCs w:val="16"/>
              </w:rPr>
            </w:pPr>
          </w:p>
          <w:p w:rsidR="00E55150" w:rsidRPr="00AE5868" w:rsidRDefault="00E55150" w:rsidP="00F76FE4">
            <w:pPr>
              <w:numPr>
                <w:ilvl w:val="0"/>
                <w:numId w:val="21"/>
              </w:numPr>
              <w:autoSpaceDE w:val="0"/>
              <w:autoSpaceDN w:val="0"/>
              <w:adjustRightInd w:val="0"/>
              <w:spacing w:before="60" w:after="60" w:line="240" w:lineRule="auto"/>
              <w:ind w:left="374" w:hanging="357"/>
              <w:contextualSpacing/>
              <w:jc w:val="left"/>
              <w:rPr>
                <w:rFonts w:ascii="Arial" w:eastAsia="Calibri" w:hAnsi="Arial" w:cs="Arial"/>
                <w:sz w:val="16"/>
                <w:szCs w:val="16"/>
                <w:lang w:val="en-US" w:eastAsia="en-US"/>
              </w:rPr>
            </w:pPr>
            <w:r w:rsidRPr="00AE5868">
              <w:rPr>
                <w:rFonts w:ascii="Arial" w:eastAsia="Calibri" w:hAnsi="Arial" w:cs="Arial"/>
                <w:sz w:val="16"/>
                <w:szCs w:val="16"/>
                <w:lang w:val="en-US" w:eastAsia="en-US"/>
              </w:rPr>
              <w:t xml:space="preserve">The writs for a federal election event are issued and returned in accordance with legislative requirements and timeframes. </w:t>
            </w:r>
          </w:p>
          <w:p w:rsidR="00E55150" w:rsidRPr="00AE5868" w:rsidRDefault="00E55150" w:rsidP="00436AFE">
            <w:pPr>
              <w:autoSpaceDE w:val="0"/>
              <w:autoSpaceDN w:val="0"/>
              <w:spacing w:before="10" w:after="10" w:line="240" w:lineRule="auto"/>
              <w:ind w:left="280"/>
              <w:jc w:val="left"/>
              <w:rPr>
                <w:rFonts w:ascii="Arial" w:hAnsi="Arial" w:cs="Arial"/>
                <w:sz w:val="16"/>
                <w:szCs w:val="16"/>
              </w:rPr>
            </w:pPr>
          </w:p>
          <w:p w:rsidR="00E55150" w:rsidRPr="00AE5868" w:rsidRDefault="00E55150" w:rsidP="00F76FE4">
            <w:pPr>
              <w:numPr>
                <w:ilvl w:val="0"/>
                <w:numId w:val="21"/>
              </w:numPr>
              <w:autoSpaceDE w:val="0"/>
              <w:autoSpaceDN w:val="0"/>
              <w:adjustRightInd w:val="0"/>
              <w:spacing w:before="60" w:after="60" w:line="240" w:lineRule="auto"/>
              <w:ind w:left="374" w:hanging="357"/>
              <w:contextualSpacing/>
              <w:jc w:val="left"/>
              <w:rPr>
                <w:rFonts w:ascii="Arial" w:hAnsi="Arial" w:cs="Arial"/>
                <w:sz w:val="16"/>
                <w:szCs w:val="16"/>
              </w:rPr>
            </w:pPr>
            <w:r w:rsidRPr="00AE5868">
              <w:rPr>
                <w:rFonts w:ascii="Arial" w:eastAsia="Calibri" w:hAnsi="Arial" w:cs="Arial"/>
                <w:sz w:val="16"/>
                <w:szCs w:val="16"/>
                <w:lang w:val="en-US" w:eastAsia="en-US"/>
              </w:rPr>
              <w:t>The AEC will report on the outcomes and number of events in which the AEC's conduct is challenged before a court.</w:t>
            </w:r>
          </w:p>
        </w:tc>
      </w:tr>
    </w:tbl>
    <w:p w:rsidR="00E55150" w:rsidRDefault="00E55150" w:rsidP="00E55150">
      <w:pPr>
        <w:spacing w:after="0" w:line="240" w:lineRule="auto"/>
        <w:jc w:val="left"/>
      </w:pPr>
      <w:r w:rsidRPr="000717B9">
        <w:rPr>
          <w:rFonts w:ascii="Arial" w:hAnsi="Arial"/>
          <w:sz w:val="16"/>
        </w:rPr>
        <w:t>Table continues on next page</w:t>
      </w:r>
      <w:r>
        <w:t xml:space="preserve"> </w:t>
      </w:r>
    </w:p>
    <w:p w:rsidR="00E55150" w:rsidRDefault="00E55150" w:rsidP="00BF35D9"/>
    <w:p w:rsidR="00E55150" w:rsidRDefault="00E55150" w:rsidP="00BF35D9"/>
    <w:p w:rsidR="00E55150" w:rsidRDefault="00E55150" w:rsidP="00E55150">
      <w:pPr>
        <w:pStyle w:val="TableHeading"/>
        <w:rPr>
          <w:lang w:val="en-AU"/>
        </w:rPr>
      </w:pPr>
      <w:r w:rsidRPr="00F71634">
        <w:lastRenderedPageBreak/>
        <w:t>Table 2.</w:t>
      </w:r>
      <w:r>
        <w:rPr>
          <w:lang w:val="en-AU"/>
        </w:rPr>
        <w:t>1</w:t>
      </w:r>
      <w:r w:rsidRPr="00F71634">
        <w:t>.</w:t>
      </w:r>
      <w:r>
        <w:rPr>
          <w:lang w:val="en-AU"/>
        </w:rPr>
        <w:t>2</w:t>
      </w:r>
      <w:r w:rsidRPr="00F71634">
        <w:t xml:space="preserve">: Performance </w:t>
      </w:r>
      <w:r>
        <w:rPr>
          <w:lang w:val="en-AU"/>
        </w:rPr>
        <w:t>measure</w:t>
      </w:r>
      <w:r w:rsidRPr="00F71634">
        <w:t xml:space="preserve"> for Outcome </w:t>
      </w:r>
      <w:r>
        <w:rPr>
          <w:lang w:val="en-AU"/>
        </w:rPr>
        <w:t>1</w:t>
      </w:r>
      <w:r w:rsidRPr="00E55150">
        <w:rPr>
          <w:lang w:val="en-AU"/>
        </w:rPr>
        <w:t xml:space="preserve"> (continued)</w:t>
      </w:r>
    </w:p>
    <w:tbl>
      <w:tblPr>
        <w:tblW w:w="78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175"/>
        <w:gridCol w:w="3190"/>
      </w:tblGrid>
      <w:tr w:rsidR="00E55150" w:rsidRPr="00617538" w:rsidTr="00DC4614">
        <w:trPr>
          <w:trHeight w:val="312"/>
        </w:trPr>
        <w:tc>
          <w:tcPr>
            <w:tcW w:w="7811" w:type="dxa"/>
            <w:gridSpan w:val="3"/>
            <w:shd w:val="clear" w:color="auto" w:fill="F2F2F2"/>
          </w:tcPr>
          <w:p w:rsidR="00E55150" w:rsidRPr="00617538" w:rsidRDefault="00677731" w:rsidP="00436AFE">
            <w:pPr>
              <w:pStyle w:val="TableTextLeft"/>
              <w:rPr>
                <w:rFonts w:eastAsia="Arial"/>
                <w:b/>
                <w:highlight w:val="yellow"/>
              </w:rPr>
            </w:pPr>
            <w:r w:rsidRPr="00BA090C">
              <w:rPr>
                <w:b/>
                <w:szCs w:val="18"/>
              </w:rPr>
              <w:t xml:space="preserve">Performance information: </w:t>
            </w:r>
            <w:r w:rsidR="00E55150" w:rsidRPr="00617538">
              <w:rPr>
                <w:b/>
              </w:rPr>
              <w:t>Program 1.</w:t>
            </w:r>
            <w:r w:rsidR="00E55150" w:rsidRPr="00091B3B">
              <w:rPr>
                <w:b/>
              </w:rPr>
              <w:t>1 – Deliver Electoral Events</w:t>
            </w:r>
          </w:p>
        </w:tc>
      </w:tr>
      <w:tr w:rsidR="00E55150" w:rsidRPr="00783FCC" w:rsidTr="00297E20">
        <w:trPr>
          <w:trHeight w:val="312"/>
        </w:trPr>
        <w:tc>
          <w:tcPr>
            <w:tcW w:w="1446" w:type="dxa"/>
            <w:tcBorders>
              <w:top w:val="single" w:sz="4" w:space="0" w:color="auto"/>
              <w:bottom w:val="single" w:sz="4" w:space="0" w:color="auto"/>
              <w:right w:val="single" w:sz="4" w:space="0" w:color="auto"/>
            </w:tcBorders>
          </w:tcPr>
          <w:p w:rsidR="00E55150" w:rsidRPr="00783FCC" w:rsidRDefault="00E55150" w:rsidP="00436AFE">
            <w:pPr>
              <w:pStyle w:val="TableTextBase"/>
              <w:rPr>
                <w:b/>
                <w:sz w:val="16"/>
                <w:szCs w:val="16"/>
              </w:rPr>
            </w:pPr>
            <w:r w:rsidRPr="00F13016">
              <w:rPr>
                <w:b/>
                <w:sz w:val="16"/>
                <w:szCs w:val="16"/>
              </w:rPr>
              <w:t>Year</w:t>
            </w:r>
          </w:p>
        </w:tc>
        <w:tc>
          <w:tcPr>
            <w:tcW w:w="3175" w:type="dxa"/>
            <w:tcBorders>
              <w:top w:val="single" w:sz="4" w:space="0" w:color="auto"/>
              <w:left w:val="single" w:sz="4" w:space="0" w:color="auto"/>
              <w:bottom w:val="single" w:sz="4" w:space="0" w:color="auto"/>
              <w:right w:val="single" w:sz="4" w:space="0" w:color="auto"/>
            </w:tcBorders>
          </w:tcPr>
          <w:p w:rsidR="00E55150" w:rsidRPr="00783FCC" w:rsidRDefault="00E55150" w:rsidP="00436AFE">
            <w:pPr>
              <w:pStyle w:val="TableTextBase"/>
              <w:rPr>
                <w:rFonts w:cs="Arial"/>
                <w:b/>
                <w:sz w:val="16"/>
                <w:szCs w:val="16"/>
              </w:rPr>
            </w:pPr>
            <w:r w:rsidRPr="00F13016">
              <w:rPr>
                <w:rFonts w:cs="Arial"/>
                <w:b/>
                <w:sz w:val="16"/>
                <w:szCs w:val="16"/>
              </w:rPr>
              <w:t>Performance measures</w:t>
            </w:r>
          </w:p>
        </w:tc>
        <w:tc>
          <w:tcPr>
            <w:tcW w:w="2713" w:type="dxa"/>
            <w:tcBorders>
              <w:top w:val="single" w:sz="4" w:space="0" w:color="auto"/>
              <w:left w:val="single" w:sz="4" w:space="0" w:color="auto"/>
              <w:bottom w:val="single" w:sz="4" w:space="0" w:color="auto"/>
            </w:tcBorders>
          </w:tcPr>
          <w:p w:rsidR="00E55150" w:rsidRPr="00783FCC" w:rsidRDefault="00E55150" w:rsidP="00436AFE">
            <w:pPr>
              <w:pStyle w:val="TableTextBase"/>
              <w:rPr>
                <w:rFonts w:cs="Arial"/>
                <w:b/>
                <w:bCs/>
                <w:sz w:val="16"/>
                <w:szCs w:val="16"/>
              </w:rPr>
            </w:pPr>
            <w:r w:rsidRPr="00783FCC">
              <w:rPr>
                <w:rFonts w:cs="Arial"/>
                <w:b/>
                <w:bCs/>
                <w:sz w:val="16"/>
                <w:szCs w:val="16"/>
              </w:rPr>
              <w:t>Planned Performance Results</w:t>
            </w:r>
          </w:p>
        </w:tc>
      </w:tr>
      <w:tr w:rsidR="00E55150" w:rsidRPr="00783FCC" w:rsidTr="00297E20">
        <w:trPr>
          <w:trHeight w:val="642"/>
        </w:trPr>
        <w:tc>
          <w:tcPr>
            <w:tcW w:w="1446" w:type="dxa"/>
            <w:tcBorders>
              <w:top w:val="single" w:sz="4" w:space="0" w:color="FFFFFF" w:themeColor="background1"/>
              <w:bottom w:val="single" w:sz="4" w:space="0" w:color="auto"/>
              <w:right w:val="single" w:sz="4" w:space="0" w:color="auto"/>
            </w:tcBorders>
          </w:tcPr>
          <w:p w:rsidR="00213599" w:rsidRPr="006804A1" w:rsidRDefault="00213599" w:rsidP="00213599">
            <w:pPr>
              <w:pStyle w:val="TableTextBase"/>
              <w:autoSpaceDE w:val="0"/>
              <w:autoSpaceDN w:val="0"/>
              <w:contextualSpacing/>
              <w:rPr>
                <w:rFonts w:cs="Arial"/>
                <w:sz w:val="16"/>
                <w:szCs w:val="16"/>
              </w:rPr>
            </w:pPr>
            <w:r>
              <w:rPr>
                <w:rFonts w:cs="Arial"/>
                <w:sz w:val="16"/>
                <w:szCs w:val="16"/>
              </w:rPr>
              <w:t>Budget</w:t>
            </w:r>
            <w:r w:rsidRPr="006804A1">
              <w:rPr>
                <w:rFonts w:cs="Arial"/>
                <w:sz w:val="16"/>
                <w:szCs w:val="16"/>
              </w:rPr>
              <w:t xml:space="preserve"> year </w:t>
            </w:r>
          </w:p>
          <w:p w:rsidR="00213599" w:rsidRPr="006804A1" w:rsidRDefault="006241BA" w:rsidP="00213599">
            <w:pPr>
              <w:pStyle w:val="TableTextBase"/>
              <w:autoSpaceDE w:val="0"/>
              <w:autoSpaceDN w:val="0"/>
              <w:contextualSpacing/>
              <w:rPr>
                <w:rFonts w:cs="Arial"/>
                <w:sz w:val="16"/>
                <w:szCs w:val="16"/>
              </w:rPr>
            </w:pPr>
            <w:r>
              <w:rPr>
                <w:rFonts w:cs="Arial"/>
                <w:sz w:val="16"/>
                <w:szCs w:val="16"/>
              </w:rPr>
              <w:t>2022</w:t>
            </w:r>
            <w:r w:rsidR="00213599" w:rsidRPr="006804A1">
              <w:rPr>
                <w:rFonts w:cs="Arial"/>
                <w:sz w:val="16"/>
                <w:szCs w:val="16"/>
              </w:rPr>
              <w:t>-2</w:t>
            </w:r>
            <w:r>
              <w:rPr>
                <w:rFonts w:cs="Arial"/>
                <w:sz w:val="16"/>
                <w:szCs w:val="16"/>
              </w:rPr>
              <w:t>3</w:t>
            </w:r>
          </w:p>
          <w:p w:rsidR="00213599" w:rsidRDefault="00213599" w:rsidP="00213599">
            <w:pPr>
              <w:pStyle w:val="TableTextBase"/>
              <w:rPr>
                <w:rFonts w:cs="Arial"/>
                <w:sz w:val="16"/>
                <w:szCs w:val="16"/>
              </w:rPr>
            </w:pPr>
            <w:r w:rsidRPr="006804A1">
              <w:rPr>
                <w:rFonts w:cs="Arial"/>
                <w:sz w:val="16"/>
                <w:szCs w:val="16"/>
              </w:rPr>
              <w:t>(continued)</w:t>
            </w:r>
          </w:p>
          <w:p w:rsidR="00213599" w:rsidRPr="00783FCC" w:rsidRDefault="00213599" w:rsidP="00213599">
            <w:pPr>
              <w:pStyle w:val="TableTextBase"/>
              <w:rPr>
                <w:rFonts w:cs="Arial"/>
                <w:sz w:val="16"/>
                <w:szCs w:val="16"/>
              </w:rPr>
            </w:pPr>
          </w:p>
          <w:p w:rsidR="00E55150" w:rsidRPr="00783FCC" w:rsidRDefault="00E55150" w:rsidP="00436AFE">
            <w:pPr>
              <w:pStyle w:val="TableTextBase"/>
              <w:rPr>
                <w:rFonts w:cs="Arial"/>
                <w:sz w:val="16"/>
                <w:szCs w:val="16"/>
              </w:rPr>
            </w:pPr>
          </w:p>
        </w:tc>
        <w:tc>
          <w:tcPr>
            <w:tcW w:w="3175" w:type="dxa"/>
            <w:tcBorders>
              <w:top w:val="single" w:sz="4" w:space="0" w:color="FFFFFF" w:themeColor="background1"/>
              <w:left w:val="single" w:sz="4" w:space="0" w:color="auto"/>
              <w:bottom w:val="single" w:sz="4" w:space="0" w:color="auto"/>
              <w:right w:val="single" w:sz="4" w:space="0" w:color="auto"/>
            </w:tcBorders>
          </w:tcPr>
          <w:p w:rsidR="00E55150" w:rsidRPr="00783FCC" w:rsidRDefault="00E55150" w:rsidP="00436AFE">
            <w:pPr>
              <w:autoSpaceDE w:val="0"/>
              <w:autoSpaceDN w:val="0"/>
              <w:spacing w:before="10" w:after="10" w:line="240" w:lineRule="auto"/>
              <w:ind w:left="-4"/>
              <w:jc w:val="left"/>
              <w:rPr>
                <w:rFonts w:ascii="Arial" w:hAnsi="Arial" w:cs="Arial"/>
                <w:b/>
                <w:bCs/>
                <w:sz w:val="16"/>
                <w:szCs w:val="16"/>
              </w:rPr>
            </w:pPr>
            <w:r w:rsidRPr="00783FCC">
              <w:rPr>
                <w:rFonts w:ascii="Arial" w:hAnsi="Arial" w:cs="Arial"/>
                <w:b/>
                <w:bCs/>
                <w:sz w:val="16"/>
                <w:szCs w:val="16"/>
              </w:rPr>
              <w:t>Public Awareness</w:t>
            </w:r>
          </w:p>
          <w:p w:rsidR="00E55150" w:rsidRPr="00AF0BDC" w:rsidRDefault="00E55150" w:rsidP="00F76FE4">
            <w:pPr>
              <w:pStyle w:val="ListParagraph"/>
              <w:numPr>
                <w:ilvl w:val="0"/>
                <w:numId w:val="23"/>
              </w:numPr>
              <w:autoSpaceDE w:val="0"/>
              <w:autoSpaceDN w:val="0"/>
              <w:spacing w:before="60" w:after="60" w:line="240" w:lineRule="auto"/>
              <w:ind w:left="374" w:hanging="357"/>
              <w:rPr>
                <w:rFonts w:ascii="Arial" w:hAnsi="Arial" w:cs="Arial"/>
                <w:sz w:val="16"/>
                <w:szCs w:val="16"/>
              </w:rPr>
            </w:pPr>
            <w:r w:rsidRPr="00AF0BDC">
              <w:rPr>
                <w:rFonts w:ascii="Arial" w:hAnsi="Arial" w:cs="Arial"/>
                <w:sz w:val="16"/>
                <w:szCs w:val="16"/>
              </w:rPr>
              <w:t>Deliver public awareness and education products that target all Australian citizens aged 18 years and over.</w:t>
            </w:r>
          </w:p>
          <w:p w:rsidR="00E55150" w:rsidRPr="00783FCC" w:rsidRDefault="00E55150" w:rsidP="00436AFE">
            <w:pPr>
              <w:autoSpaceDE w:val="0"/>
              <w:autoSpaceDN w:val="0"/>
              <w:spacing w:before="10" w:after="10" w:line="240" w:lineRule="auto"/>
              <w:ind w:left="-4"/>
              <w:jc w:val="left"/>
              <w:rPr>
                <w:rFonts w:ascii="Arial" w:hAnsi="Arial" w:cs="Arial"/>
                <w:b/>
                <w:bCs/>
                <w:sz w:val="16"/>
                <w:szCs w:val="16"/>
              </w:rPr>
            </w:pPr>
          </w:p>
          <w:p w:rsidR="00E55150" w:rsidRPr="00783FCC" w:rsidRDefault="00E55150" w:rsidP="00436AFE">
            <w:pPr>
              <w:autoSpaceDE w:val="0"/>
              <w:autoSpaceDN w:val="0"/>
              <w:spacing w:before="10" w:after="10" w:line="240" w:lineRule="auto"/>
              <w:ind w:left="-4"/>
              <w:jc w:val="left"/>
              <w:rPr>
                <w:rFonts w:ascii="Arial" w:hAnsi="Arial" w:cs="Arial"/>
                <w:b/>
                <w:bCs/>
                <w:sz w:val="16"/>
                <w:szCs w:val="16"/>
              </w:rPr>
            </w:pPr>
            <w:r w:rsidRPr="00783FCC">
              <w:rPr>
                <w:rFonts w:ascii="Arial" w:hAnsi="Arial" w:cs="Arial"/>
                <w:b/>
                <w:bCs/>
                <w:sz w:val="16"/>
                <w:szCs w:val="16"/>
              </w:rPr>
              <w:t>Party Registration and Financial Disclosure</w:t>
            </w:r>
          </w:p>
          <w:p w:rsidR="00E55150" w:rsidRPr="00AF0BDC" w:rsidRDefault="00E55150" w:rsidP="00F76FE4">
            <w:pPr>
              <w:pStyle w:val="ListParagraph"/>
              <w:numPr>
                <w:ilvl w:val="0"/>
                <w:numId w:val="23"/>
              </w:numPr>
              <w:autoSpaceDE w:val="0"/>
              <w:autoSpaceDN w:val="0"/>
              <w:adjustRightInd w:val="0"/>
              <w:spacing w:before="60" w:after="60" w:line="240" w:lineRule="auto"/>
              <w:ind w:left="374" w:hanging="357"/>
              <w:rPr>
                <w:rFonts w:ascii="Arial" w:hAnsi="Arial" w:cs="Arial"/>
                <w:sz w:val="16"/>
                <w:szCs w:val="16"/>
              </w:rPr>
            </w:pPr>
            <w:r w:rsidRPr="00AF0BDC">
              <w:rPr>
                <w:rFonts w:ascii="Arial" w:hAnsi="Arial" w:cs="Arial"/>
                <w:sz w:val="16"/>
                <w:szCs w:val="16"/>
              </w:rPr>
              <w:t>The AEC maintains an up-to-date public register of political parties</w:t>
            </w:r>
            <w:r w:rsidRPr="00783FCC">
              <w:rPr>
                <w:rFonts w:ascii="Arial" w:hAnsi="Arial" w:cs="Arial"/>
                <w:sz w:val="16"/>
                <w:szCs w:val="16"/>
              </w:rPr>
              <w:t>.</w:t>
            </w:r>
          </w:p>
          <w:p w:rsidR="00E55150" w:rsidRPr="00783FCC" w:rsidRDefault="00E55150" w:rsidP="00F76FE4">
            <w:pPr>
              <w:pStyle w:val="ListParagraph"/>
              <w:numPr>
                <w:ilvl w:val="0"/>
                <w:numId w:val="23"/>
              </w:numPr>
              <w:autoSpaceDE w:val="0"/>
              <w:autoSpaceDN w:val="0"/>
              <w:adjustRightInd w:val="0"/>
              <w:spacing w:before="60" w:after="60" w:line="240" w:lineRule="auto"/>
              <w:ind w:left="374" w:hanging="357"/>
              <w:rPr>
                <w:rFonts w:ascii="Arial" w:hAnsi="Arial" w:cs="Arial"/>
                <w:sz w:val="16"/>
                <w:szCs w:val="16"/>
              </w:rPr>
            </w:pPr>
            <w:r w:rsidRPr="00783FCC">
              <w:rPr>
                <w:rFonts w:ascii="Arial" w:hAnsi="Arial" w:cs="Arial"/>
                <w:sz w:val="16"/>
                <w:szCs w:val="16"/>
              </w:rPr>
              <w:t xml:space="preserve">Disclosure returns are published and regulated in accordance with timeframes in the </w:t>
            </w:r>
            <w:r w:rsidRPr="000738AB">
              <w:rPr>
                <w:rFonts w:ascii="Arial" w:hAnsi="Arial" w:cs="Arial"/>
                <w:i/>
                <w:sz w:val="16"/>
                <w:szCs w:val="16"/>
              </w:rPr>
              <w:t>Commonwealth Electoral Act 1918</w:t>
            </w:r>
            <w:r w:rsidRPr="00783FCC">
              <w:rPr>
                <w:rFonts w:ascii="Arial" w:hAnsi="Arial" w:cs="Arial"/>
                <w:sz w:val="16"/>
                <w:szCs w:val="16"/>
              </w:rPr>
              <w:t>.</w:t>
            </w:r>
          </w:p>
          <w:p w:rsidR="00E55150" w:rsidRPr="00783FCC" w:rsidRDefault="00E55150" w:rsidP="00436AFE">
            <w:pPr>
              <w:spacing w:before="10" w:after="10" w:line="240" w:lineRule="auto"/>
              <w:jc w:val="left"/>
              <w:rPr>
                <w:rFonts w:ascii="Arial" w:hAnsi="Arial" w:cs="Arial"/>
                <w:b/>
                <w:sz w:val="16"/>
                <w:szCs w:val="16"/>
              </w:rPr>
            </w:pPr>
          </w:p>
        </w:tc>
        <w:tc>
          <w:tcPr>
            <w:tcW w:w="2713" w:type="dxa"/>
            <w:tcBorders>
              <w:top w:val="single" w:sz="4" w:space="0" w:color="FFFFFF" w:themeColor="background1"/>
              <w:left w:val="single" w:sz="4" w:space="0" w:color="auto"/>
              <w:bottom w:val="single" w:sz="4" w:space="0" w:color="auto"/>
            </w:tcBorders>
          </w:tcPr>
          <w:p w:rsidR="00E55150" w:rsidRPr="00783FCC" w:rsidRDefault="00E55150" w:rsidP="00F76FE4">
            <w:pPr>
              <w:pStyle w:val="ListParagraph"/>
              <w:numPr>
                <w:ilvl w:val="0"/>
                <w:numId w:val="23"/>
              </w:numPr>
              <w:autoSpaceDE w:val="0"/>
              <w:autoSpaceDN w:val="0"/>
              <w:adjustRightInd w:val="0"/>
              <w:spacing w:before="60" w:after="60" w:line="240" w:lineRule="auto"/>
              <w:ind w:left="374" w:hanging="357"/>
              <w:rPr>
                <w:rFonts w:ascii="Arial" w:hAnsi="Arial" w:cs="Arial"/>
                <w:sz w:val="16"/>
                <w:szCs w:val="16"/>
              </w:rPr>
            </w:pPr>
            <w:r w:rsidRPr="00783FCC">
              <w:rPr>
                <w:rFonts w:ascii="Arial" w:hAnsi="Arial" w:cs="Arial"/>
                <w:sz w:val="16"/>
                <w:szCs w:val="16"/>
              </w:rPr>
              <w:t>The AEC's public awareness campaign is delivered in accordance with key objectives outlined in the campaign strategy.</w:t>
            </w:r>
          </w:p>
          <w:p w:rsidR="00E55150" w:rsidRPr="00783FCC" w:rsidRDefault="00E55150" w:rsidP="00DC4614">
            <w:pPr>
              <w:autoSpaceDE w:val="0"/>
              <w:autoSpaceDN w:val="0"/>
              <w:adjustRightInd w:val="0"/>
              <w:spacing w:before="60" w:after="60" w:line="240" w:lineRule="auto"/>
              <w:ind w:left="374" w:hanging="357"/>
              <w:contextualSpacing/>
              <w:jc w:val="left"/>
              <w:rPr>
                <w:rFonts w:ascii="Arial" w:hAnsi="Arial" w:cs="Arial"/>
                <w:sz w:val="16"/>
                <w:szCs w:val="16"/>
              </w:rPr>
            </w:pPr>
          </w:p>
          <w:p w:rsidR="00E55150" w:rsidRPr="00783FCC" w:rsidRDefault="00E55150" w:rsidP="00F76FE4">
            <w:pPr>
              <w:pStyle w:val="ListParagraph"/>
              <w:numPr>
                <w:ilvl w:val="0"/>
                <w:numId w:val="23"/>
              </w:numPr>
              <w:autoSpaceDE w:val="0"/>
              <w:autoSpaceDN w:val="0"/>
              <w:adjustRightInd w:val="0"/>
              <w:spacing w:before="60" w:after="60" w:line="240" w:lineRule="auto"/>
              <w:ind w:left="374" w:hanging="357"/>
              <w:rPr>
                <w:rFonts w:ascii="Arial" w:hAnsi="Arial" w:cs="Arial"/>
                <w:sz w:val="16"/>
                <w:szCs w:val="16"/>
              </w:rPr>
            </w:pPr>
            <w:r w:rsidRPr="00783FCC">
              <w:rPr>
                <w:rFonts w:ascii="Arial" w:hAnsi="Arial" w:cs="Arial"/>
                <w:sz w:val="16"/>
                <w:szCs w:val="16"/>
              </w:rPr>
              <w:t xml:space="preserve">Compliance with s125(1) of Part XI of the </w:t>
            </w:r>
            <w:r w:rsidRPr="00AF0BDC">
              <w:rPr>
                <w:rFonts w:ascii="Arial" w:hAnsi="Arial" w:cs="Arial"/>
                <w:i/>
                <w:sz w:val="16"/>
                <w:szCs w:val="16"/>
              </w:rPr>
              <w:t>Commonwealth Electoral Act 1918</w:t>
            </w:r>
            <w:r w:rsidRPr="00783FCC">
              <w:rPr>
                <w:rFonts w:ascii="Arial" w:hAnsi="Arial" w:cs="Arial"/>
                <w:sz w:val="16"/>
                <w:szCs w:val="16"/>
              </w:rPr>
              <w:t>.</w:t>
            </w:r>
          </w:p>
          <w:p w:rsidR="00E55150" w:rsidRPr="00783FCC" w:rsidRDefault="00E55150" w:rsidP="00F76FE4">
            <w:pPr>
              <w:pStyle w:val="ListParagraph"/>
              <w:numPr>
                <w:ilvl w:val="0"/>
                <w:numId w:val="21"/>
              </w:numPr>
              <w:autoSpaceDE w:val="0"/>
              <w:autoSpaceDN w:val="0"/>
              <w:adjustRightInd w:val="0"/>
              <w:spacing w:before="60" w:after="60" w:line="240" w:lineRule="auto"/>
              <w:ind w:left="374" w:hanging="357"/>
              <w:rPr>
                <w:rFonts w:ascii="Arial" w:hAnsi="Arial" w:cs="Arial"/>
                <w:sz w:val="16"/>
                <w:szCs w:val="16"/>
              </w:rPr>
            </w:pPr>
            <w:r w:rsidRPr="00783FCC">
              <w:rPr>
                <w:rFonts w:ascii="Arial" w:hAnsi="Arial" w:cs="Arial"/>
                <w:sz w:val="16"/>
                <w:szCs w:val="16"/>
              </w:rPr>
              <w:t>Annual returns published on the first working day in February.</w:t>
            </w:r>
          </w:p>
          <w:p w:rsidR="00E55150" w:rsidRPr="00783FCC" w:rsidRDefault="00E55150" w:rsidP="00F76FE4">
            <w:pPr>
              <w:pStyle w:val="ListParagraph"/>
              <w:numPr>
                <w:ilvl w:val="0"/>
                <w:numId w:val="21"/>
              </w:numPr>
              <w:autoSpaceDE w:val="0"/>
              <w:autoSpaceDN w:val="0"/>
              <w:adjustRightInd w:val="0"/>
              <w:spacing w:before="60" w:after="60" w:line="240" w:lineRule="auto"/>
              <w:ind w:left="374" w:hanging="357"/>
              <w:rPr>
                <w:rFonts w:ascii="Arial" w:hAnsi="Arial" w:cs="Arial"/>
                <w:sz w:val="16"/>
                <w:szCs w:val="16"/>
              </w:rPr>
            </w:pPr>
            <w:r w:rsidRPr="00783FCC">
              <w:rPr>
                <w:rFonts w:ascii="Arial" w:hAnsi="Arial" w:cs="Arial"/>
                <w:sz w:val="16"/>
                <w:szCs w:val="16"/>
              </w:rPr>
              <w:t>Election returns published 24 weeks after polling day for each electoral event.</w:t>
            </w:r>
          </w:p>
          <w:p w:rsidR="00E55150" w:rsidRPr="00783FCC" w:rsidRDefault="00E55150" w:rsidP="00436AFE">
            <w:pPr>
              <w:autoSpaceDE w:val="0"/>
              <w:autoSpaceDN w:val="0"/>
              <w:spacing w:before="10" w:after="10" w:line="240" w:lineRule="auto"/>
              <w:jc w:val="left"/>
              <w:rPr>
                <w:rFonts w:ascii="Arial" w:hAnsi="Arial" w:cs="Arial"/>
                <w:sz w:val="16"/>
                <w:szCs w:val="16"/>
              </w:rPr>
            </w:pPr>
          </w:p>
        </w:tc>
      </w:tr>
      <w:tr w:rsidR="00E55150" w:rsidRPr="00783FCC" w:rsidTr="00297E20">
        <w:trPr>
          <w:trHeight w:val="58"/>
        </w:trPr>
        <w:tc>
          <w:tcPr>
            <w:tcW w:w="1446" w:type="dxa"/>
            <w:tcBorders>
              <w:top w:val="single" w:sz="4" w:space="0" w:color="auto"/>
              <w:bottom w:val="dotted" w:sz="4" w:space="0" w:color="auto"/>
              <w:right w:val="single" w:sz="4" w:space="0" w:color="auto"/>
            </w:tcBorders>
          </w:tcPr>
          <w:p w:rsidR="00E55150" w:rsidRPr="00783FCC" w:rsidRDefault="00E55150" w:rsidP="00436AFE">
            <w:pPr>
              <w:pStyle w:val="TableTextBase"/>
              <w:rPr>
                <w:rFonts w:cs="Arial"/>
                <w:sz w:val="16"/>
                <w:szCs w:val="16"/>
              </w:rPr>
            </w:pPr>
            <w:r w:rsidRPr="00783FCC">
              <w:rPr>
                <w:rFonts w:cs="Arial"/>
                <w:sz w:val="16"/>
                <w:szCs w:val="16"/>
              </w:rPr>
              <w:t xml:space="preserve">Forward Estimates </w:t>
            </w:r>
          </w:p>
          <w:p w:rsidR="00E55150" w:rsidRPr="00783FCC" w:rsidRDefault="00E55150" w:rsidP="00436AFE">
            <w:pPr>
              <w:pStyle w:val="TableTextBase"/>
              <w:rPr>
                <w:rFonts w:cs="Arial"/>
                <w:b/>
                <w:sz w:val="16"/>
                <w:szCs w:val="16"/>
              </w:rPr>
            </w:pPr>
            <w:r w:rsidRPr="00783FCC">
              <w:rPr>
                <w:rFonts w:cs="Arial"/>
                <w:sz w:val="16"/>
                <w:szCs w:val="16"/>
              </w:rPr>
              <w:t xml:space="preserve">2023-26 </w:t>
            </w:r>
          </w:p>
        </w:tc>
        <w:tc>
          <w:tcPr>
            <w:tcW w:w="3175" w:type="dxa"/>
            <w:tcBorders>
              <w:top w:val="single" w:sz="4" w:space="0" w:color="auto"/>
              <w:left w:val="single" w:sz="4" w:space="0" w:color="auto"/>
              <w:bottom w:val="dotted" w:sz="4" w:space="0" w:color="auto"/>
              <w:right w:val="single" w:sz="4" w:space="0" w:color="auto"/>
            </w:tcBorders>
          </w:tcPr>
          <w:p w:rsidR="00E55150" w:rsidRPr="00783FCC" w:rsidRDefault="00E55150" w:rsidP="00436AFE">
            <w:pPr>
              <w:pStyle w:val="TableTextBase"/>
              <w:rPr>
                <w:rFonts w:cs="Arial"/>
                <w:b/>
                <w:color w:val="0070C0"/>
                <w:sz w:val="16"/>
                <w:szCs w:val="16"/>
              </w:rPr>
            </w:pPr>
            <w:r w:rsidRPr="00783FCC">
              <w:rPr>
                <w:rFonts w:cs="Arial"/>
                <w:iCs/>
                <w:sz w:val="16"/>
                <w:szCs w:val="16"/>
              </w:rPr>
              <w:t>As per 2022-23</w:t>
            </w:r>
            <w:r>
              <w:rPr>
                <w:rFonts w:cs="Arial"/>
                <w:iCs/>
                <w:sz w:val="16"/>
                <w:szCs w:val="16"/>
              </w:rPr>
              <w:t>.</w:t>
            </w:r>
          </w:p>
        </w:tc>
        <w:tc>
          <w:tcPr>
            <w:tcW w:w="2713" w:type="dxa"/>
            <w:tcBorders>
              <w:top w:val="single" w:sz="4" w:space="0" w:color="auto"/>
              <w:left w:val="single" w:sz="4" w:space="0" w:color="auto"/>
              <w:bottom w:val="dotted" w:sz="4" w:space="0" w:color="auto"/>
            </w:tcBorders>
          </w:tcPr>
          <w:p w:rsidR="00E55150" w:rsidRPr="00783FCC" w:rsidRDefault="00E55150" w:rsidP="00436AFE">
            <w:pPr>
              <w:pStyle w:val="TableTextBase"/>
              <w:rPr>
                <w:b/>
                <w:color w:val="0070C0"/>
                <w:sz w:val="16"/>
                <w:szCs w:val="16"/>
              </w:rPr>
            </w:pPr>
            <w:r w:rsidRPr="00783FCC">
              <w:rPr>
                <w:rFonts w:cs="Arial"/>
                <w:iCs/>
                <w:sz w:val="16"/>
                <w:szCs w:val="16"/>
              </w:rPr>
              <w:t>As per 2022-23</w:t>
            </w:r>
            <w:r>
              <w:rPr>
                <w:rFonts w:cs="Arial"/>
                <w:iCs/>
                <w:sz w:val="16"/>
                <w:szCs w:val="16"/>
              </w:rPr>
              <w:t>.</w:t>
            </w:r>
          </w:p>
        </w:tc>
      </w:tr>
      <w:tr w:rsidR="00E55150" w:rsidRPr="00783FCC" w:rsidTr="00436AFE">
        <w:trPr>
          <w:trHeight w:val="58"/>
        </w:trPr>
        <w:tc>
          <w:tcPr>
            <w:tcW w:w="7811" w:type="dxa"/>
            <w:gridSpan w:val="3"/>
          </w:tcPr>
          <w:p w:rsidR="00E55150" w:rsidRPr="00783FCC" w:rsidRDefault="00E55150" w:rsidP="00436AFE">
            <w:pPr>
              <w:pStyle w:val="TableTextBase"/>
              <w:rPr>
                <w:rFonts w:cs="Arial"/>
                <w:sz w:val="16"/>
                <w:szCs w:val="16"/>
              </w:rPr>
            </w:pPr>
            <w:r w:rsidRPr="00783FCC">
              <w:rPr>
                <w:rFonts w:cs="Arial"/>
                <w:sz w:val="16"/>
                <w:szCs w:val="16"/>
              </w:rPr>
              <w:t>Material changes to Program 1.1 resulting from 2022-23 Budget Measures: Nil</w:t>
            </w:r>
          </w:p>
        </w:tc>
      </w:tr>
    </w:tbl>
    <w:p w:rsidR="00E55150" w:rsidRPr="00F71634" w:rsidRDefault="00E55150" w:rsidP="00BF35D9"/>
    <w:p w:rsidR="00BF35D9" w:rsidRPr="00AD42E2" w:rsidRDefault="00BF35D9" w:rsidP="00BF35D9">
      <w:pPr>
        <w:pStyle w:val="Heading2"/>
      </w:pPr>
      <w:r w:rsidRPr="005B6A94">
        <w:br w:type="page"/>
      </w:r>
      <w:bookmarkStart w:id="9" w:name="_Toc98181327"/>
      <w:r w:rsidRPr="00AD42E2">
        <w:lastRenderedPageBreak/>
        <w:t>Section 3: Budgeted financial statements</w:t>
      </w:r>
      <w:bookmarkEnd w:id="9"/>
    </w:p>
    <w:p w:rsidR="00BF35D9" w:rsidRDefault="00BF35D9" w:rsidP="00BF35D9">
      <w:r>
        <w:t>Section 3 presents budgeted financial statements which provide a comprehensive snapshot of entity finances for the 2022-23</w:t>
      </w:r>
      <w:r>
        <w:rPr>
          <w:color w:val="00B050"/>
        </w:rPr>
        <w:t xml:space="preserve"> </w:t>
      </w:r>
      <w:r>
        <w:t>budget year, including the impact of budget measures and resourcing on financial statements.</w:t>
      </w:r>
    </w:p>
    <w:p w:rsidR="00BF35D9" w:rsidRPr="005328A9" w:rsidRDefault="00BF35D9" w:rsidP="00BF35D9">
      <w:pPr>
        <w:pStyle w:val="Heading3"/>
      </w:pPr>
      <w:bookmarkStart w:id="10" w:name="_Toc98181328"/>
      <w:r w:rsidRPr="005328A9">
        <w:t>3.1</w:t>
      </w:r>
      <w:r w:rsidRPr="005328A9">
        <w:tab/>
        <w:t>Budgeted financial statements</w:t>
      </w:r>
      <w:bookmarkEnd w:id="10"/>
    </w:p>
    <w:p w:rsidR="00BF35D9" w:rsidRDefault="00BF35D9" w:rsidP="00BF35D9">
      <w:pPr>
        <w:pStyle w:val="Heading4"/>
      </w:pPr>
      <w:r>
        <w:t>3.1.1</w:t>
      </w:r>
      <w:r>
        <w:tab/>
        <w:t>Differences between entity resourcing and financial statements</w:t>
      </w:r>
    </w:p>
    <w:p w:rsidR="00BF35D9" w:rsidRPr="00150452" w:rsidRDefault="00BF35D9" w:rsidP="00BF35D9">
      <w:pPr>
        <w:jc w:val="left"/>
      </w:pPr>
      <w:r w:rsidRPr="00150452">
        <w:t>No material differences exist between entity resourcing and the financial statements.</w:t>
      </w:r>
    </w:p>
    <w:p w:rsidR="00BF35D9" w:rsidRDefault="00BF35D9" w:rsidP="00BF35D9">
      <w:pPr>
        <w:pStyle w:val="Heading4"/>
      </w:pPr>
      <w:r>
        <w:t>3.1.2</w:t>
      </w:r>
      <w:r>
        <w:tab/>
        <w:t>Explanatory notes and analysis of budgeted financial statements</w:t>
      </w:r>
    </w:p>
    <w:p w:rsidR="00BF35D9" w:rsidRPr="00150452" w:rsidRDefault="00BF35D9" w:rsidP="00BF35D9">
      <w:pPr>
        <w:jc w:val="left"/>
      </w:pPr>
      <w:r w:rsidRPr="00150452">
        <w:t>The budgeted financial statements have not changed materially from the amounts published in the Portfolio Additional Estimates Statements 2021-22 (PAES). The changes reflect the effect of economic parameter adjustments.</w:t>
      </w:r>
    </w:p>
    <w:p w:rsidR="00BF35D9" w:rsidRDefault="00BF35D9" w:rsidP="00BF35D9">
      <w:pPr>
        <w:jc w:val="left"/>
      </w:pPr>
      <w:r>
        <w:br w:type="page"/>
      </w:r>
      <w:r w:rsidRPr="00D232B7">
        <w:rPr>
          <w:rStyle w:val="TableHeadingChar"/>
        </w:rPr>
        <w:lastRenderedPageBreak/>
        <w:t>3.2.</w:t>
      </w:r>
      <w:r w:rsidRPr="00D232B7">
        <w:rPr>
          <w:rStyle w:val="TableHeadingChar"/>
        </w:rPr>
        <w:tab/>
        <w:t>Budgeted financial statements tables</w:t>
      </w:r>
    </w:p>
    <w:p w:rsidR="00BF35D9" w:rsidRDefault="00BF35D9" w:rsidP="00BF35D9">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p w:rsidR="00BF35D9" w:rsidRDefault="00BF35D9" w:rsidP="00BF35D9">
      <w:pPr>
        <w:pStyle w:val="TableGraphic"/>
        <w:rPr>
          <w:lang w:val="x-none" w:eastAsia="x-none"/>
        </w:rPr>
      </w:pPr>
      <w:r w:rsidRPr="0077020F">
        <w:rPr>
          <w:noProof/>
          <w:lang w:eastAsia="zh-CN"/>
        </w:rPr>
        <w:drawing>
          <wp:inline distT="0" distB="0" distL="0" distR="0" wp14:anchorId="4DFDC9ED" wp14:editId="1C386BDB">
            <wp:extent cx="4819650" cy="42957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19650" cy="4295775"/>
                    </a:xfrm>
                    <a:prstGeom prst="rect">
                      <a:avLst/>
                    </a:prstGeom>
                    <a:noFill/>
                    <a:ln>
                      <a:noFill/>
                    </a:ln>
                  </pic:spPr>
                </pic:pic>
              </a:graphicData>
            </a:graphic>
          </wp:inline>
        </w:drawing>
      </w:r>
    </w:p>
    <w:p w:rsidR="00BF35D9" w:rsidRDefault="00BF35D9" w:rsidP="00BF35D9">
      <w:r w:rsidRPr="00432F71">
        <w:rPr>
          <w:rFonts w:ascii="Arial" w:hAnsi="Arial" w:cs="Arial"/>
          <w:sz w:val="16"/>
          <w:szCs w:val="16"/>
        </w:rPr>
        <w:t>Table continues on next page</w:t>
      </w:r>
      <w:r>
        <w:t xml:space="preserve"> </w:t>
      </w:r>
      <w:r>
        <w:br w:type="page"/>
      </w:r>
    </w:p>
    <w:tbl>
      <w:tblPr>
        <w:tblW w:w="7710" w:type="dxa"/>
        <w:tblLook w:val="04A0" w:firstRow="1" w:lastRow="0" w:firstColumn="1" w:lastColumn="0" w:noHBand="0" w:noVBand="1"/>
      </w:tblPr>
      <w:tblGrid>
        <w:gridCol w:w="7710"/>
      </w:tblGrid>
      <w:tr w:rsidR="00BF35D9" w:rsidRPr="00432F71" w:rsidTr="005D36C8">
        <w:trPr>
          <w:trHeight w:val="225"/>
        </w:trPr>
        <w:tc>
          <w:tcPr>
            <w:tcW w:w="7710" w:type="dxa"/>
            <w:tcBorders>
              <w:top w:val="nil"/>
              <w:left w:val="nil"/>
              <w:bottom w:val="nil"/>
              <w:right w:val="nil"/>
            </w:tcBorders>
            <w:shd w:val="clear" w:color="auto" w:fill="auto"/>
            <w:vAlign w:val="bottom"/>
            <w:hideMark/>
          </w:tcPr>
          <w:p w:rsidR="00BF35D9" w:rsidRDefault="00BF35D9" w:rsidP="005D36C8">
            <w:pPr>
              <w:pStyle w:val="TableHeadingcontinued"/>
              <w:ind w:left="-105"/>
              <w:rPr>
                <w:snapToGrid w:val="0"/>
              </w:rPr>
            </w:pPr>
            <w:r w:rsidRPr="00E855E0">
              <w:lastRenderedPageBreak/>
              <w:t>Table</w:t>
            </w:r>
            <w:r>
              <w:t xml:space="preserve"> 3.</w:t>
            </w:r>
            <w:r w:rsidRPr="00E855E0">
              <w:t>1</w:t>
            </w:r>
            <w:r>
              <w:t>:</w:t>
            </w:r>
            <w:r w:rsidRPr="00E855E0">
              <w:t xml:space="preserve"> Comprehensive income statement (showing net cost of services)</w:t>
            </w:r>
            <w:r>
              <w:t xml:space="preserve"> </w:t>
            </w:r>
            <w:r>
              <w:rPr>
                <w:snapToGrid w:val="0"/>
              </w:rPr>
              <w:t>for the period ended 30 June (continued)</w:t>
            </w:r>
          </w:p>
          <w:p w:rsidR="00BF35D9" w:rsidRDefault="00BF35D9" w:rsidP="005D36C8">
            <w:pPr>
              <w:pStyle w:val="TableHeadingNoTable"/>
              <w:spacing w:after="0"/>
            </w:pPr>
          </w:p>
          <w:p w:rsidR="00BF35D9" w:rsidRPr="00A72726" w:rsidRDefault="00BF35D9" w:rsidP="005D36C8">
            <w:pPr>
              <w:pStyle w:val="TableHeadingNoTable"/>
              <w:spacing w:after="0"/>
              <w:ind w:left="-105"/>
            </w:pPr>
            <w:r w:rsidRPr="003819E1">
              <w:t>Note: Impact of net cash appropriation arrangements</w:t>
            </w:r>
            <w:r w:rsidRPr="00BC74F4">
              <w:rPr>
                <w:noProof/>
                <w:lang w:val="en-AU" w:eastAsia="zh-CN"/>
              </w:rPr>
              <w:drawing>
                <wp:inline distT="0" distB="0" distL="0" distR="0" wp14:anchorId="3B8E7378" wp14:editId="62F0A44C">
                  <wp:extent cx="4819650" cy="19145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19650" cy="1914525"/>
                          </a:xfrm>
                          <a:prstGeom prst="rect">
                            <a:avLst/>
                          </a:prstGeom>
                          <a:noFill/>
                          <a:ln>
                            <a:noFill/>
                          </a:ln>
                        </pic:spPr>
                      </pic:pic>
                    </a:graphicData>
                  </a:graphic>
                </wp:inline>
              </w:drawing>
            </w:r>
          </w:p>
        </w:tc>
      </w:tr>
    </w:tbl>
    <w:p w:rsidR="00BF35D9" w:rsidRDefault="00BF35D9" w:rsidP="00150452">
      <w:pPr>
        <w:pStyle w:val="Source"/>
      </w:pPr>
      <w:r w:rsidRPr="009D54F3">
        <w:rPr>
          <w:rFonts w:cs="Arial"/>
        </w:rPr>
        <w:t>Prepared on Australian Accounting Standards basis.</w:t>
      </w:r>
      <w:r>
        <w:fldChar w:fldCharType="begin"/>
      </w:r>
      <w:r>
        <w:instrText xml:space="preserve"> LINK Excel.Sheet.12 "\\\\prod.aec.gov.au\\can0\\branch\\CFO\\Financial Management\\Budgeting\\Budget 22-23\\External Budget\\PBS\\Excel\\Attachment B - 2022-23 PBS Excel Tables draft.xlsx" "Table 3.1 NCCE!R45C3:R50C8" \a \f 4 \h </w:instrText>
      </w:r>
      <w:r>
        <w:fldChar w:fldCharType="end"/>
      </w:r>
      <w:r>
        <w:fldChar w:fldCharType="begin"/>
      </w:r>
      <w:r>
        <w:instrText xml:space="preserve"> LINK Excel.Sheet.12 "\\\\prod.aec.gov.au\\can0\\branch\\CFO\\Financial Management\\Budgeting\\Budget 22-23\\External Budget\\PBS\\Excel\\Attachment B - 2022-23 PBS Excel Tables draft.xlsx" "Table 3.1 NCCE!R45C3:R50C8" \a \f 4 \h </w:instrText>
      </w:r>
      <w:r>
        <w:fldChar w:fldCharType="end"/>
      </w:r>
    </w:p>
    <w:p w:rsidR="00BF35D9" w:rsidRDefault="00BF35D9" w:rsidP="00DA1F4B">
      <w:pPr>
        <w:pStyle w:val="ChartandTableFootnoteAlpha"/>
        <w:numPr>
          <w:ilvl w:val="0"/>
          <w:numId w:val="58"/>
        </w:numPr>
        <w:rPr>
          <w:rFonts w:cs="Arial"/>
        </w:rPr>
      </w:pPr>
      <w:r w:rsidRPr="009D54F3">
        <w:rPr>
          <w:rFonts w:cs="Arial"/>
        </w:rP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rsidR="00BF35D9" w:rsidRPr="002A0F2E" w:rsidRDefault="00BF35D9" w:rsidP="00DA1F4B">
      <w:pPr>
        <w:pStyle w:val="ChartandTableFootnoteAlpha"/>
        <w:numPr>
          <w:ilvl w:val="0"/>
          <w:numId w:val="58"/>
        </w:numPr>
      </w:pPr>
      <w:r w:rsidRPr="00D52088">
        <w:t>Applies</w:t>
      </w:r>
      <w:r>
        <w:t xml:space="preserve"> to</w:t>
      </w:r>
      <w:r w:rsidRPr="00D52088">
        <w:t xml:space="preserve"> leases under AASB 16 Leases.</w:t>
      </w:r>
    </w:p>
    <w:p w:rsidR="00BF35D9" w:rsidRDefault="00BF35D9" w:rsidP="00BF35D9">
      <w:pPr>
        <w:pStyle w:val="Source"/>
        <w:rPr>
          <w:rFonts w:cs="Arial"/>
        </w:rPr>
      </w:pPr>
    </w:p>
    <w:p w:rsidR="00BF35D9" w:rsidRDefault="00BF35D9" w:rsidP="00BF35D9">
      <w:pPr>
        <w:pStyle w:val="Source"/>
        <w:rPr>
          <w:rFonts w:cs="Arial"/>
        </w:rPr>
      </w:pPr>
    </w:p>
    <w:p w:rsidR="00BF35D9" w:rsidRDefault="00BF35D9" w:rsidP="00BF35D9">
      <w:pPr>
        <w:pStyle w:val="Source"/>
        <w:rPr>
          <w:rFonts w:cs="Arial"/>
        </w:rPr>
      </w:pPr>
    </w:p>
    <w:p w:rsidR="00BF35D9" w:rsidRPr="00150452" w:rsidRDefault="00BF35D9" w:rsidP="00BF35D9">
      <w:pPr>
        <w:pStyle w:val="TableHeadingcontinued"/>
        <w:rPr>
          <w:rFonts w:ascii="Arial" w:hAnsi="Arial" w:cs="Arial"/>
        </w:rPr>
      </w:pPr>
      <w:r>
        <w:br w:type="page"/>
      </w:r>
      <w:r w:rsidRPr="00150452">
        <w:rPr>
          <w:rFonts w:ascii="Arial" w:hAnsi="Arial" w:cs="Arial"/>
        </w:rPr>
        <w:lastRenderedPageBreak/>
        <w:t>Table 3.2: Budgeted departmental balance sheet (as at 30 June)</w:t>
      </w:r>
    </w:p>
    <w:p w:rsidR="00BF35D9" w:rsidRDefault="00BF35D9" w:rsidP="00BF35D9">
      <w:pPr>
        <w:pStyle w:val="TableHeadingcontinued"/>
        <w:rPr>
          <w:rFonts w:ascii="Arial" w:hAnsi="Arial" w:cs="Arial"/>
          <w:b w:val="0"/>
          <w:color w:val="000000"/>
          <w:sz w:val="16"/>
          <w:lang w:val="x-none" w:eastAsia="x-none"/>
        </w:rPr>
      </w:pPr>
      <w:r w:rsidRPr="0085611C">
        <w:rPr>
          <w:noProof/>
          <w:lang w:eastAsia="zh-CN"/>
        </w:rPr>
        <w:drawing>
          <wp:inline distT="0" distB="0" distL="0" distR="0" wp14:anchorId="44DBF26B" wp14:editId="44EFC18C">
            <wp:extent cx="4819650" cy="57245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19650" cy="5724525"/>
                    </a:xfrm>
                    <a:prstGeom prst="rect">
                      <a:avLst/>
                    </a:prstGeom>
                    <a:noFill/>
                    <a:ln>
                      <a:noFill/>
                    </a:ln>
                  </pic:spPr>
                </pic:pic>
              </a:graphicData>
            </a:graphic>
          </wp:inline>
        </w:drawing>
      </w:r>
    </w:p>
    <w:p w:rsidR="00BF35D9" w:rsidRPr="00C26B46" w:rsidRDefault="00BF35D9" w:rsidP="00BF35D9">
      <w:pPr>
        <w:pStyle w:val="TableHeadingcontinued"/>
        <w:rPr>
          <w:rFonts w:ascii="Arial" w:hAnsi="Arial" w:cs="Arial"/>
          <w:b w:val="0"/>
          <w:color w:val="000000"/>
          <w:sz w:val="16"/>
          <w:lang w:val="x-none" w:eastAsia="x-none"/>
        </w:rPr>
      </w:pPr>
      <w:r w:rsidRPr="00C26B46">
        <w:rPr>
          <w:rFonts w:ascii="Arial" w:hAnsi="Arial" w:cs="Arial"/>
          <w:b w:val="0"/>
          <w:color w:val="000000"/>
          <w:sz w:val="16"/>
          <w:lang w:val="x-none" w:eastAsia="x-none"/>
        </w:rPr>
        <w:t>Prepared on Australian Accounting Standards basis.</w:t>
      </w:r>
    </w:p>
    <w:p w:rsidR="00BF35D9" w:rsidRPr="00132F9E" w:rsidRDefault="00BF35D9" w:rsidP="00BF35D9">
      <w:pPr>
        <w:pStyle w:val="ChartandTableFootnote"/>
        <w:rPr>
          <w:rFonts w:cs="Arial"/>
        </w:rPr>
      </w:pPr>
      <w:r w:rsidRPr="00132F9E">
        <w:rPr>
          <w:rFonts w:cs="Arial"/>
        </w:rPr>
        <w:t>*</w:t>
      </w:r>
      <w:r w:rsidRPr="00132F9E">
        <w:rPr>
          <w:rFonts w:cs="Arial"/>
          <w:lang w:val="en-AU"/>
        </w:rPr>
        <w:t>‘</w:t>
      </w:r>
      <w:r w:rsidRPr="00132F9E">
        <w:rPr>
          <w:rFonts w:cs="Arial"/>
        </w:rPr>
        <w:t>Equity’ is the residual interest in assets after deduction of liabilities.</w:t>
      </w:r>
    </w:p>
    <w:p w:rsidR="00BF35D9" w:rsidRPr="00152B2B" w:rsidRDefault="00BF35D9" w:rsidP="00BF35D9"/>
    <w:p w:rsidR="00BF35D9" w:rsidRPr="00444858" w:rsidRDefault="00BF35D9" w:rsidP="00BF35D9">
      <w:pPr>
        <w:pStyle w:val="TableHeading"/>
      </w:pPr>
      <w:r>
        <w:br w:type="page"/>
      </w:r>
      <w:r w:rsidRPr="00AD42E2">
        <w:lastRenderedPageBreak/>
        <w:t>Table 3.3: Departmental statement of changes in equity — summary of</w:t>
      </w:r>
      <w:r>
        <w:t xml:space="preserve"> movement (Budget year </w:t>
      </w:r>
      <w:r>
        <w:rPr>
          <w:lang w:val="en-AU"/>
        </w:rPr>
        <w:t>2022-23</w:t>
      </w:r>
      <w:r w:rsidRPr="00D30CBA">
        <w:t>)</w:t>
      </w:r>
      <w:r>
        <w:fldChar w:fldCharType="begin"/>
      </w:r>
      <w:r>
        <w:instrText xml:space="preserve"> LINK Excel.Sheet.12 "\\\\prod.aec.gov.au\\can0\\branch\\CFO\\Financial Management\\Budgeting\\Budget 22-23\\External Budget\\PBS\\Excel\\Attachment B - 2022-23 PBS Excel Tables draft.xlsx" "Table 3.3!R3C4:R34C9" \a \f 4 \h </w:instrText>
      </w:r>
      <w:r>
        <w:fldChar w:fldCharType="separate"/>
      </w:r>
    </w:p>
    <w:p w:rsidR="00BF35D9" w:rsidRDefault="009E689A" w:rsidP="00BF35D9">
      <w:pPr>
        <w:pStyle w:val="TableHeading"/>
      </w:pPr>
      <w:r>
        <w:pict w14:anchorId="0C197D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240.75pt" o:ole="">
            <v:imagedata r:id="rId29" o:title=""/>
          </v:shape>
        </w:pict>
      </w:r>
    </w:p>
    <w:p w:rsidR="00BF35D9" w:rsidRPr="00C26B46" w:rsidRDefault="00BF35D9" w:rsidP="00BF35D9">
      <w:pPr>
        <w:pStyle w:val="TableHeading"/>
        <w:rPr>
          <w:b w:val="0"/>
          <w:color w:val="auto"/>
          <w:sz w:val="16"/>
          <w:lang w:val="en-AU" w:eastAsia="en-AU"/>
        </w:rPr>
      </w:pPr>
      <w:r>
        <w:fldChar w:fldCharType="end"/>
      </w:r>
      <w:r w:rsidRPr="00C26B46">
        <w:rPr>
          <w:b w:val="0"/>
          <w:color w:val="auto"/>
          <w:sz w:val="16"/>
          <w:lang w:val="en-AU" w:eastAsia="en-AU"/>
        </w:rPr>
        <w:t>Prepared on Australian Accounting Standards basis</w:t>
      </w:r>
    </w:p>
    <w:p w:rsidR="00BF35D9" w:rsidRDefault="00BF35D9" w:rsidP="00BF35D9">
      <w:pPr>
        <w:pStyle w:val="Source"/>
      </w:pPr>
    </w:p>
    <w:p w:rsidR="00BF35D9" w:rsidRPr="00152B2B" w:rsidRDefault="00BF35D9" w:rsidP="00BF35D9"/>
    <w:p w:rsidR="00BF35D9" w:rsidRDefault="00BF35D9" w:rsidP="00BF35D9">
      <w:pPr>
        <w:pStyle w:val="TableHeading"/>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p w:rsidR="00BF35D9" w:rsidRPr="00917267" w:rsidRDefault="00BF35D9" w:rsidP="00BF35D9">
      <w:pPr>
        <w:pStyle w:val="TableHeading"/>
        <w:rPr>
          <w:rFonts w:ascii="Times New Roman" w:hAnsi="Times New Roman"/>
        </w:rPr>
      </w:pPr>
      <w:r w:rsidRPr="009C4941">
        <w:rPr>
          <w:noProof/>
          <w:lang w:val="en-AU" w:eastAsia="zh-CN"/>
        </w:rPr>
        <w:drawing>
          <wp:inline distT="0" distB="0" distL="0" distR="0" wp14:anchorId="3CE0E70F" wp14:editId="1B0D0411">
            <wp:extent cx="4819650" cy="54673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19650" cy="5467350"/>
                    </a:xfrm>
                    <a:prstGeom prst="rect">
                      <a:avLst/>
                    </a:prstGeom>
                    <a:noFill/>
                    <a:ln>
                      <a:noFill/>
                    </a:ln>
                  </pic:spPr>
                </pic:pic>
              </a:graphicData>
            </a:graphic>
          </wp:inline>
        </w:drawing>
      </w:r>
      <w:r>
        <w:rPr>
          <w:noProof/>
        </w:rPr>
        <w:fldChar w:fldCharType="begin"/>
      </w:r>
      <w:r>
        <w:rPr>
          <w:noProof/>
        </w:rPr>
        <w:instrText xml:space="preserve"> LINK Excel.Sheet.12 "\\\\prod.aec.gov.au\\can0\\branch\\CFO\\Financial Management\\Budgeting\\Budget 22-23\\External Budget\\PBS\\Excel\\Attachment B - 2022-23 PBS Excel Tables draft.xlsx" "Table 3.4!R3C4:R61C9" \a \f 4 \h  \* MERGEFORMAT </w:instrText>
      </w:r>
      <w:r>
        <w:rPr>
          <w:noProof/>
        </w:rPr>
        <w:fldChar w:fldCharType="separate"/>
      </w:r>
    </w:p>
    <w:p w:rsidR="00BF35D9" w:rsidRPr="00C26B46" w:rsidRDefault="00BF35D9" w:rsidP="00BF35D9">
      <w:pPr>
        <w:pStyle w:val="TableGraphic"/>
        <w:tabs>
          <w:tab w:val="left" w:pos="6237"/>
        </w:tabs>
      </w:pPr>
      <w:r>
        <w:rPr>
          <w:noProof/>
        </w:rPr>
        <w:fldChar w:fldCharType="end"/>
      </w:r>
      <w:r w:rsidRPr="00132F9E">
        <w:rPr>
          <w:rFonts w:ascii="Arial" w:hAnsi="Arial" w:cs="Arial"/>
          <w:sz w:val="16"/>
          <w:szCs w:val="16"/>
        </w:rPr>
        <w:t>Prepared on Australian Accounting Standards basis.</w:t>
      </w:r>
    </w:p>
    <w:p w:rsidR="00BF35D9" w:rsidRPr="00132F9E" w:rsidRDefault="00BF35D9" w:rsidP="00BF35D9">
      <w:pPr>
        <w:pStyle w:val="NoSpacing"/>
        <w:rPr>
          <w:rFonts w:ascii="Arial" w:hAnsi="Arial" w:cs="Arial"/>
          <w:sz w:val="16"/>
          <w:szCs w:val="16"/>
        </w:rPr>
      </w:pPr>
    </w:p>
    <w:p w:rsidR="00F1472B" w:rsidRDefault="00BF35D9" w:rsidP="00BF35D9">
      <w:pPr>
        <w:pStyle w:val="TableHeading"/>
      </w:pPr>
      <w:r>
        <w:br w:type="page"/>
      </w:r>
      <w:r w:rsidRPr="00D30CBA">
        <w:lastRenderedPageBreak/>
        <w:t>Table</w:t>
      </w:r>
      <w:r>
        <w:t xml:space="preserve"> 3.5</w:t>
      </w:r>
      <w:r w:rsidRPr="00D30CBA">
        <w:t xml:space="preserve">: </w:t>
      </w:r>
      <w:r>
        <w:t>Departmental capital budget statement (for the period ended 30 June)</w:t>
      </w:r>
    </w:p>
    <w:p w:rsidR="00F1472B" w:rsidRPr="00906EA8" w:rsidRDefault="00F1472B" w:rsidP="00150452">
      <w:pPr>
        <w:pStyle w:val="TableGraphic"/>
      </w:pPr>
      <w:r w:rsidRPr="00F1472B">
        <w:rPr>
          <w:noProof/>
          <w:lang w:eastAsia="zh-CN"/>
        </w:rPr>
        <w:drawing>
          <wp:inline distT="0" distB="0" distL="0" distR="0" wp14:anchorId="01E9CC41" wp14:editId="2F6AF578">
            <wp:extent cx="4895850" cy="2764281"/>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95850" cy="2764281"/>
                    </a:xfrm>
                    <a:prstGeom prst="rect">
                      <a:avLst/>
                    </a:prstGeom>
                    <a:noFill/>
                    <a:ln>
                      <a:noFill/>
                    </a:ln>
                  </pic:spPr>
                </pic:pic>
              </a:graphicData>
            </a:graphic>
          </wp:inline>
        </w:drawing>
      </w:r>
    </w:p>
    <w:p w:rsidR="00BF35D9" w:rsidRPr="00C40EFA" w:rsidRDefault="00F1472B" w:rsidP="00BF35D9">
      <w:pPr>
        <w:pStyle w:val="TableHeading"/>
        <w:rPr>
          <w:rFonts w:cs="Arial"/>
          <w:b w:val="0"/>
          <w:sz w:val="16"/>
          <w:szCs w:val="16"/>
        </w:rPr>
      </w:pPr>
      <w:r w:rsidRPr="00C40EFA">
        <w:rPr>
          <w:rFonts w:cs="Arial"/>
          <w:b w:val="0"/>
          <w:noProof/>
          <w:sz w:val="16"/>
          <w:szCs w:val="16"/>
        </w:rPr>
        <w:t>Prepared on Australian Accounting Standards basis.</w:t>
      </w:r>
      <w:r w:rsidR="00BF35D9" w:rsidRPr="00150452">
        <w:rPr>
          <w:rFonts w:cs="Arial"/>
          <w:b w:val="0"/>
          <w:noProof/>
          <w:sz w:val="16"/>
          <w:szCs w:val="16"/>
        </w:rPr>
        <w:fldChar w:fldCharType="begin"/>
      </w:r>
      <w:r w:rsidR="00BF35D9" w:rsidRPr="00C40EFA">
        <w:rPr>
          <w:rFonts w:cs="Arial"/>
          <w:b w:val="0"/>
          <w:noProof/>
          <w:sz w:val="16"/>
          <w:szCs w:val="16"/>
        </w:rPr>
        <w:instrText xml:space="preserve"> LINK Excel.Sheet.12 "\\\\prod.aec.gov.au\\can0\\branch\\CFO\\Financial Management\\Budgeting\\Budget 22-23\\External Budget\\PBS\\Excel\\Attachment B - 2022-23 PBS Excel Tables draft.xlsx" "Table 3.5!R3C3:R27C8" \a \f 4 \h </w:instrText>
      </w:r>
      <w:r w:rsidRPr="00C40EFA">
        <w:rPr>
          <w:rFonts w:cs="Arial"/>
          <w:b w:val="0"/>
          <w:noProof/>
          <w:sz w:val="16"/>
          <w:szCs w:val="16"/>
        </w:rPr>
        <w:instrText xml:space="preserve"> \* MERGEFORMAT </w:instrText>
      </w:r>
      <w:r w:rsidR="00BF35D9" w:rsidRPr="00150452">
        <w:rPr>
          <w:rFonts w:cs="Arial"/>
          <w:b w:val="0"/>
          <w:noProof/>
          <w:sz w:val="16"/>
          <w:szCs w:val="16"/>
        </w:rPr>
        <w:fldChar w:fldCharType="separate"/>
      </w:r>
    </w:p>
    <w:p w:rsidR="00BF35D9" w:rsidRPr="00C26B46" w:rsidRDefault="00BF35D9" w:rsidP="00BF35D9">
      <w:pPr>
        <w:pStyle w:val="TableGraphic"/>
      </w:pPr>
      <w:r w:rsidRPr="00150452">
        <w:rPr>
          <w:rFonts w:ascii="Arial" w:hAnsi="Arial" w:cs="Arial"/>
          <w:noProof/>
          <w:sz w:val="16"/>
          <w:szCs w:val="16"/>
        </w:rPr>
        <w:fldChar w:fldCharType="end"/>
      </w:r>
    </w:p>
    <w:p w:rsidR="00BF35D9" w:rsidRPr="00C26B46" w:rsidRDefault="00BF35D9" w:rsidP="00BF35D9">
      <w:pPr>
        <w:pStyle w:val="ChartandTableFootnoteAlpha"/>
        <w:rPr>
          <w:rFonts w:cs="Arial"/>
          <w:szCs w:val="16"/>
        </w:rPr>
      </w:pPr>
    </w:p>
    <w:p w:rsidR="00A74101" w:rsidRDefault="00A74101">
      <w:pPr>
        <w:spacing w:after="0" w:line="240" w:lineRule="auto"/>
        <w:jc w:val="left"/>
        <w:rPr>
          <w:rFonts w:ascii="Arial" w:hAnsi="Arial"/>
          <w:b/>
          <w:color w:val="000000"/>
          <w:lang w:val="x-none" w:eastAsia="x-none"/>
        </w:rPr>
      </w:pPr>
      <w:r>
        <w:br w:type="page"/>
      </w:r>
    </w:p>
    <w:p w:rsidR="00BF35D9" w:rsidRDefault="00BF35D9" w:rsidP="00BF35D9">
      <w:pPr>
        <w:pStyle w:val="TableHeading"/>
      </w:pPr>
      <w:r w:rsidRPr="00D30CBA">
        <w:lastRenderedPageBreak/>
        <w:t>Table</w:t>
      </w:r>
      <w:r>
        <w:t xml:space="preserve"> 3.6</w:t>
      </w:r>
      <w:r w:rsidRPr="00D30CBA">
        <w:t xml:space="preserve">: </w:t>
      </w:r>
      <w:r>
        <w:t xml:space="preserve">Statement of </w:t>
      </w:r>
      <w:r>
        <w:rPr>
          <w:lang w:val="en-AU"/>
        </w:rPr>
        <w:t xml:space="preserve">departmental </w:t>
      </w:r>
      <w:r>
        <w:t xml:space="preserve">asset movements (Budget year </w:t>
      </w:r>
      <w:r>
        <w:rPr>
          <w:lang w:val="en-AU"/>
        </w:rPr>
        <w:t>2022-23</w:t>
      </w:r>
      <w:r>
        <w:t>)</w:t>
      </w:r>
    </w:p>
    <w:p w:rsidR="00BF35D9" w:rsidRPr="00056DAC" w:rsidRDefault="00BF35D9" w:rsidP="00BF35D9">
      <w:pPr>
        <w:pStyle w:val="TableHeading"/>
      </w:pPr>
      <w:r w:rsidRPr="00B06E77">
        <w:rPr>
          <w:noProof/>
          <w:lang w:val="en-AU" w:eastAsia="zh-CN"/>
        </w:rPr>
        <w:drawing>
          <wp:inline distT="0" distB="0" distL="0" distR="0" wp14:anchorId="7FE1306F" wp14:editId="7D0C0F00">
            <wp:extent cx="4514850" cy="48672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14850" cy="4867275"/>
                    </a:xfrm>
                    <a:prstGeom prst="rect">
                      <a:avLst/>
                    </a:prstGeom>
                    <a:noFill/>
                    <a:ln>
                      <a:noFill/>
                    </a:ln>
                  </pic:spPr>
                </pic:pic>
              </a:graphicData>
            </a:graphic>
          </wp:inline>
        </w:drawing>
      </w:r>
      <w:r>
        <w:fldChar w:fldCharType="begin"/>
      </w:r>
      <w:r>
        <w:instrText xml:space="preserve"> LINK Excel.Sheet.12 "\\\\prod.aec.gov.au\\can0\\branch\\CFO\\Financial Management\\Budgeting\\Budget 22-23\\External Budget\\PBS\\Excel\\Attachment B - 2022-23 PBS Excel Tables draft.xlsx" "Table 3.6!R4C3:R42C12" \a \f 4 \h </w:instrText>
      </w:r>
      <w:r>
        <w:fldChar w:fldCharType="separate"/>
      </w:r>
    </w:p>
    <w:p w:rsidR="00586D78" w:rsidRDefault="00BF35D9" w:rsidP="00586D78">
      <w:pPr>
        <w:pStyle w:val="TableGraphic"/>
        <w:rPr>
          <w:rFonts w:ascii="Arial" w:hAnsi="Arial" w:cs="Arial"/>
          <w:sz w:val="16"/>
          <w:szCs w:val="16"/>
        </w:rPr>
      </w:pPr>
      <w:r>
        <w:fldChar w:fldCharType="end"/>
      </w:r>
      <w:r w:rsidRPr="00C26B46">
        <w:rPr>
          <w:rFonts w:ascii="Arial" w:hAnsi="Arial" w:cs="Arial"/>
          <w:sz w:val="16"/>
          <w:szCs w:val="16"/>
        </w:rPr>
        <w:t>Prepared on Australian Accounting Standards basis.</w:t>
      </w:r>
    </w:p>
    <w:p w:rsidR="00FF53F1" w:rsidRPr="00586D78" w:rsidRDefault="009A11D4" w:rsidP="00DA1F4B">
      <w:pPr>
        <w:pStyle w:val="TableGraphic"/>
        <w:numPr>
          <w:ilvl w:val="1"/>
          <w:numId w:val="62"/>
        </w:numPr>
        <w:ind w:left="357" w:right="0" w:hanging="357"/>
        <w:rPr>
          <w:rFonts w:ascii="Arial" w:hAnsi="Arial" w:cs="Arial"/>
          <w:sz w:val="16"/>
          <w:szCs w:val="16"/>
        </w:rPr>
      </w:pPr>
      <w:r w:rsidRPr="00586D78">
        <w:rPr>
          <w:rFonts w:ascii="Arial" w:hAnsi="Arial" w:cs="Arial"/>
          <w:sz w:val="16"/>
          <w:szCs w:val="16"/>
        </w:rPr>
        <w:t>‘</w:t>
      </w:r>
      <w:r w:rsidR="0015701B" w:rsidRPr="00586D78">
        <w:rPr>
          <w:rFonts w:ascii="Arial" w:hAnsi="Arial" w:cs="Arial"/>
          <w:sz w:val="16"/>
          <w:szCs w:val="16"/>
        </w:rPr>
        <w:t>Appropriation ordinary annual services’ refers to funding provided through Appropriation Bill (No. 1)</w:t>
      </w:r>
      <w:r w:rsidR="00586D78" w:rsidRPr="00586D78">
        <w:rPr>
          <w:rFonts w:ascii="Arial" w:hAnsi="Arial" w:cs="Arial"/>
          <w:sz w:val="16"/>
          <w:szCs w:val="16"/>
        </w:rPr>
        <w:t xml:space="preserve"> </w:t>
      </w:r>
      <w:r w:rsidR="00FF53F1" w:rsidRPr="00586D78">
        <w:rPr>
          <w:rFonts w:ascii="Arial" w:hAnsi="Arial" w:cs="Arial"/>
          <w:sz w:val="16"/>
          <w:szCs w:val="16"/>
        </w:rPr>
        <w:t>Departmental Capital Budget 2022-23.</w:t>
      </w:r>
    </w:p>
    <w:p w:rsidR="00FF53F1" w:rsidRDefault="00FF53F1" w:rsidP="00FF53F1">
      <w:pPr>
        <w:jc w:val="left"/>
        <w:rPr>
          <w:rFonts w:ascii="Arial" w:hAnsi="Arial" w:cs="Arial"/>
          <w:sz w:val="16"/>
          <w:szCs w:val="16"/>
        </w:rPr>
      </w:pPr>
    </w:p>
    <w:p w:rsidR="0015701B" w:rsidRPr="00117D51" w:rsidRDefault="00FF53F1" w:rsidP="00FF53F1">
      <w:pPr>
        <w:jc w:val="left"/>
      </w:pPr>
      <w:r>
        <w:rPr>
          <w:rFonts w:ascii="Arial" w:hAnsi="Arial" w:cs="Arial"/>
          <w:sz w:val="16"/>
          <w:szCs w:val="16"/>
        </w:rPr>
        <w:t xml:space="preserve"> </w:t>
      </w:r>
    </w:p>
    <w:p w:rsidR="00BF35D9" w:rsidRDefault="00BF35D9" w:rsidP="00117D51">
      <w:pPr>
        <w:pStyle w:val="ChartandTableFootnoteAlpha"/>
        <w:rPr>
          <w:rFonts w:cs="Arial"/>
          <w:szCs w:val="16"/>
        </w:rPr>
      </w:pPr>
    </w:p>
    <w:p w:rsidR="00266E0D" w:rsidRPr="00266E0D" w:rsidRDefault="00266E0D" w:rsidP="00DA1F4B">
      <w:pPr>
        <w:pStyle w:val="ChartandTableFootnoteAlpha"/>
        <w:numPr>
          <w:ilvl w:val="0"/>
          <w:numId w:val="31"/>
        </w:numPr>
        <w:jc w:val="left"/>
        <w:rPr>
          <w:b/>
          <w:color w:val="000000"/>
          <w:lang w:val="x-none" w:eastAsia="x-none"/>
        </w:rPr>
      </w:pPr>
      <w:r>
        <w:br w:type="page"/>
      </w:r>
    </w:p>
    <w:p w:rsidR="00BF35D9" w:rsidRDefault="00BF35D9" w:rsidP="00BF35D9">
      <w:pPr>
        <w:pStyle w:val="TableHeading"/>
        <w:rPr>
          <w:rFonts w:ascii="Times New Roman" w:hAnsi="Times New Roman"/>
        </w:rPr>
      </w:pPr>
      <w:r w:rsidRPr="00D30CBA">
        <w:lastRenderedPageBreak/>
        <w:t>Table</w:t>
      </w:r>
      <w:r>
        <w:t xml:space="preserve"> 3.7</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r>
        <w:rPr>
          <w:noProof/>
        </w:rPr>
        <w:fldChar w:fldCharType="begin"/>
      </w:r>
      <w:r>
        <w:rPr>
          <w:noProof/>
        </w:rPr>
        <w:instrText xml:space="preserve"> LINK Excel.Sheet.12 "\\\\prod.aec.gov.au\\can0\\branch\\CFO\\Financial Management\\Budgeting\\Budget 22-23\\External Budget\\PBS\\Excel\\Attachment B - 2022-23 PBS Excel Tables draft.xlsx" "Table 3.7!R3C3:R54C8" \a \f 4 \h </w:instrText>
      </w:r>
      <w:r>
        <w:rPr>
          <w:noProof/>
        </w:rPr>
        <w:fldChar w:fldCharType="separate"/>
      </w:r>
    </w:p>
    <w:p w:rsidR="00BF35D9" w:rsidRDefault="009E689A" w:rsidP="00BF35D9">
      <w:pPr>
        <w:pStyle w:val="TableGraphic"/>
        <w:rPr>
          <w:noProof/>
        </w:rPr>
      </w:pPr>
      <w:r>
        <w:pict w14:anchorId="48EB85CB">
          <v:shape id="_x0000_i1026" type="#_x0000_t75" style="width:381pt;height:262.5pt" o:ole="">
            <v:imagedata r:id="rId33" o:title=""/>
          </v:shape>
        </w:pict>
      </w:r>
    </w:p>
    <w:p w:rsidR="00BF35D9" w:rsidRPr="00C26B46" w:rsidRDefault="00BF35D9" w:rsidP="00BF35D9">
      <w:pPr>
        <w:pStyle w:val="TableGraphic"/>
        <w:rPr>
          <w:rFonts w:ascii="Arial" w:hAnsi="Arial" w:cs="Arial"/>
          <w:sz w:val="16"/>
        </w:rPr>
      </w:pPr>
      <w:r>
        <w:rPr>
          <w:noProof/>
        </w:rPr>
        <w:fldChar w:fldCharType="end"/>
      </w:r>
      <w:r w:rsidRPr="00C26B46">
        <w:rPr>
          <w:rFonts w:ascii="Arial" w:hAnsi="Arial" w:cs="Arial"/>
          <w:sz w:val="16"/>
        </w:rPr>
        <w:t>Prepared on Australian Accounting Standards basis.</w:t>
      </w:r>
    </w:p>
    <w:p w:rsidR="00BF35D9" w:rsidRPr="00FD522D" w:rsidRDefault="00BF35D9" w:rsidP="00BF35D9"/>
    <w:p w:rsidR="00BF35D9" w:rsidRDefault="00BF35D9" w:rsidP="00BF35D9">
      <w:pPr>
        <w:pStyle w:val="TableHeading"/>
      </w:pPr>
      <w:r w:rsidRPr="00D30CBA">
        <w:t>Table</w:t>
      </w:r>
      <w:r>
        <w:t xml:space="preserve"> 3.8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p>
    <w:p w:rsidR="00BF35D9" w:rsidRPr="009763C1" w:rsidRDefault="00BF35D9" w:rsidP="00BF35D9">
      <w:pPr>
        <w:pStyle w:val="TableGraphic"/>
        <w:rPr>
          <w:lang w:val="x-none" w:eastAsia="x-none"/>
        </w:rPr>
      </w:pPr>
    </w:p>
    <w:p w:rsidR="00BF35D9" w:rsidRPr="003B6C79" w:rsidRDefault="00BF35D9" w:rsidP="00BF35D9">
      <w:r w:rsidRPr="003B6C79">
        <w:t xml:space="preserve">The AEC has no budgeted assets and liabilities administered on behalf of the Government. </w:t>
      </w:r>
    </w:p>
    <w:p w:rsidR="00BF35D9" w:rsidRPr="00B7521F" w:rsidRDefault="00BF35D9" w:rsidP="00BF35D9">
      <w:pPr>
        <w:pStyle w:val="TableHeadingcontinued"/>
      </w:pPr>
    </w:p>
    <w:p w:rsidR="00BF35D9" w:rsidRPr="00B7521F" w:rsidRDefault="00BF35D9" w:rsidP="00BF35D9">
      <w:pPr>
        <w:pStyle w:val="SingleParagraph"/>
        <w:spacing w:line="240" w:lineRule="auto"/>
        <w:rPr>
          <w:rFonts w:ascii="Arial" w:hAnsi="Arial" w:cs="Arial"/>
          <w:sz w:val="16"/>
          <w:szCs w:val="16"/>
        </w:rPr>
      </w:pPr>
    </w:p>
    <w:p w:rsidR="00BF35D9" w:rsidRDefault="00BF35D9" w:rsidP="00BF35D9">
      <w:pPr>
        <w:pStyle w:val="TableHeading"/>
      </w:pPr>
      <w:r>
        <w:br w:type="page"/>
      </w:r>
      <w:r>
        <w:lastRenderedPageBreak/>
        <w:t xml:space="preserve">Table 3.9: </w:t>
      </w:r>
      <w:r w:rsidRPr="00C41D55">
        <w:t xml:space="preserve">Schedule of </w:t>
      </w:r>
      <w:r>
        <w:t xml:space="preserve">budgeted administered cash flows </w:t>
      </w:r>
      <w:r w:rsidRPr="00C41D55">
        <w:t>(for</w:t>
      </w:r>
      <w:r>
        <w:t> the </w:t>
      </w:r>
      <w:r w:rsidRPr="00C41D55">
        <w:t>period ended 30 June)</w:t>
      </w:r>
    </w:p>
    <w:p w:rsidR="00BF35D9" w:rsidRPr="00444858" w:rsidRDefault="00BF35D9" w:rsidP="00BF35D9">
      <w:pPr>
        <w:pStyle w:val="TableHeading"/>
      </w:pPr>
      <w:r w:rsidRPr="00056DAC">
        <w:rPr>
          <w:noProof/>
          <w:lang w:val="en-AU" w:eastAsia="zh-CN"/>
        </w:rPr>
        <w:drawing>
          <wp:inline distT="0" distB="0" distL="0" distR="0" wp14:anchorId="52A87CCB" wp14:editId="24C85316">
            <wp:extent cx="4818380" cy="3275965"/>
            <wp:effectExtent l="0" t="0" r="127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18380" cy="3275965"/>
                    </a:xfrm>
                    <a:prstGeom prst="rect">
                      <a:avLst/>
                    </a:prstGeom>
                    <a:noFill/>
                    <a:ln>
                      <a:noFill/>
                    </a:ln>
                  </pic:spPr>
                </pic:pic>
              </a:graphicData>
            </a:graphic>
          </wp:inline>
        </w:drawing>
      </w:r>
      <w:r>
        <w:rPr>
          <w:noProof/>
        </w:rPr>
        <w:fldChar w:fldCharType="begin"/>
      </w:r>
      <w:r>
        <w:rPr>
          <w:noProof/>
        </w:rPr>
        <w:instrText xml:space="preserve"> LINK Excel.Sheet.12 "\\\\prod.aec.gov.au\\can0\\branch\\CFO\\Financial Management\\Budgeting\\Budget 22-23\\External Budget\\PBS\\Excel\\Attachment B - 2022-23 PBS Excel Tables draft.xlsx" "Table 3.9!R3C3:R77C8" \a \f 4 \h  \* MERGEFORMAT </w:instrText>
      </w:r>
      <w:r>
        <w:rPr>
          <w:noProof/>
        </w:rPr>
        <w:fldChar w:fldCharType="separate"/>
      </w:r>
    </w:p>
    <w:p w:rsidR="00BF35D9" w:rsidRDefault="00BF35D9" w:rsidP="00BF35D9">
      <w:pPr>
        <w:pStyle w:val="TableGraphic"/>
      </w:pPr>
      <w:r>
        <w:rPr>
          <w:noProof/>
        </w:rPr>
        <w:fldChar w:fldCharType="end"/>
      </w:r>
      <w:r w:rsidRPr="00C26B46">
        <w:rPr>
          <w:rFonts w:ascii="Arial" w:hAnsi="Arial" w:cs="Arial"/>
          <w:sz w:val="16"/>
        </w:rPr>
        <w:t>Prepared on Australian Accounting Standards basis.</w:t>
      </w:r>
    </w:p>
    <w:p w:rsidR="00BF35D9" w:rsidRDefault="00BF35D9" w:rsidP="00BF35D9">
      <w:pPr>
        <w:pStyle w:val="TableHeading"/>
      </w:pPr>
    </w:p>
    <w:p w:rsidR="00BF35D9" w:rsidRDefault="00BF35D9" w:rsidP="00BF35D9">
      <w:pPr>
        <w:pStyle w:val="TableHeading"/>
      </w:pPr>
    </w:p>
    <w:p w:rsidR="00BF35D9" w:rsidRDefault="00BF35D9" w:rsidP="00BF35D9">
      <w:pPr>
        <w:pStyle w:val="TableHeading"/>
        <w:rPr>
          <w:lang w:val="en-AU"/>
        </w:rPr>
      </w:pPr>
      <w:r w:rsidRPr="00D30CBA">
        <w:t>Table</w:t>
      </w:r>
      <w:r>
        <w:t xml:space="preserve"> 3.10</w:t>
      </w:r>
      <w:r w:rsidRPr="00D30CBA">
        <w:t xml:space="preserve">: </w:t>
      </w:r>
      <w:r>
        <w:rPr>
          <w:lang w:val="en-AU"/>
        </w:rPr>
        <w:t xml:space="preserve">Schedule of </w:t>
      </w:r>
      <w:r>
        <w:t>administered capital budget statement (for the period ended 30 June)</w:t>
      </w:r>
    </w:p>
    <w:p w:rsidR="00BF35D9" w:rsidRPr="00C26B46" w:rsidRDefault="00BF35D9" w:rsidP="00BF35D9">
      <w:pPr>
        <w:pStyle w:val="TableGraphic"/>
        <w:rPr>
          <w:lang w:eastAsia="x-none"/>
        </w:rPr>
      </w:pPr>
    </w:p>
    <w:p w:rsidR="00BF35D9" w:rsidRDefault="00BF35D9" w:rsidP="00BF35D9">
      <w:r w:rsidRPr="00D63A79">
        <w:t>The AEC has no budgeted capital administered on behalf of the Government.</w:t>
      </w:r>
    </w:p>
    <w:p w:rsidR="00BF35D9" w:rsidRDefault="00BF35D9" w:rsidP="00BF35D9">
      <w:pPr>
        <w:pStyle w:val="TableHeading"/>
        <w:keepNext w:val="0"/>
        <w:spacing w:after="0" w:line="260" w:lineRule="exact"/>
        <w:jc w:val="both"/>
      </w:pPr>
      <w:r>
        <w:t xml:space="preserve">Table 3.11: Statement of administered asset movements (Budget year </w:t>
      </w:r>
      <w:r>
        <w:rPr>
          <w:lang w:val="en-AU"/>
        </w:rPr>
        <w:t>2022-23</w:t>
      </w:r>
      <w:r>
        <w:t>)</w:t>
      </w:r>
    </w:p>
    <w:p w:rsidR="00BF35D9" w:rsidRPr="000867C1" w:rsidRDefault="00BF35D9" w:rsidP="000867C1">
      <w:pPr>
        <w:pStyle w:val="TableGraphic"/>
        <w:jc w:val="left"/>
      </w:pPr>
    </w:p>
    <w:p w:rsidR="006127BD" w:rsidRPr="000867C1" w:rsidRDefault="00BF35D9" w:rsidP="00DC5110">
      <w:pPr>
        <w:pStyle w:val="Source"/>
        <w:jc w:val="left"/>
        <w:rPr>
          <w:rFonts w:ascii="Book Antiqua" w:hAnsi="Book Antiqua"/>
          <w:sz w:val="20"/>
        </w:rPr>
      </w:pPr>
      <w:r w:rsidRPr="000867C1">
        <w:rPr>
          <w:rFonts w:ascii="Book Antiqua" w:hAnsi="Book Antiqua"/>
          <w:sz w:val="20"/>
        </w:rPr>
        <w:t>The AEC has no budgeted non-financial assets administered on behalf of the Government</w:t>
      </w:r>
      <w:bookmarkEnd w:id="2"/>
      <w:r w:rsidRPr="000867C1">
        <w:rPr>
          <w:rFonts w:ascii="Book Antiqua" w:hAnsi="Book Antiqua"/>
          <w:sz w:val="20"/>
        </w:rPr>
        <w:t>.</w:t>
      </w:r>
      <w:r w:rsidR="00DC5110" w:rsidRPr="000867C1">
        <w:rPr>
          <w:rFonts w:ascii="Book Antiqua" w:hAnsi="Book Antiqua"/>
          <w:sz w:val="20"/>
        </w:rPr>
        <w:t xml:space="preserve"> </w:t>
      </w:r>
    </w:p>
    <w:sectPr w:rsidR="006127BD" w:rsidRPr="000867C1" w:rsidSect="00503FD8">
      <w:headerReference w:type="even" r:id="rId35"/>
      <w:headerReference w:type="default" r:id="rId36"/>
      <w:headerReference w:type="first" r:id="rId37"/>
      <w:footerReference w:type="first" r:id="rId38"/>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BBC" w:rsidRDefault="00CE4BBC" w:rsidP="00C07DEC">
      <w:r>
        <w:separator/>
      </w:r>
    </w:p>
  </w:endnote>
  <w:endnote w:type="continuationSeparator" w:id="0">
    <w:p w:rsidR="00CE4BBC" w:rsidRDefault="00CE4BBC"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110" w:rsidRPr="00DC5110" w:rsidRDefault="00DC5110" w:rsidP="00DC5110">
    <w:pPr>
      <w:pStyle w:val="FooterEven"/>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sidR="009E689A">
      <w:rPr>
        <w:rStyle w:val="PageNumber"/>
        <w:rFonts w:cs="Times New Roman"/>
        <w:b/>
        <w:bCs w:val="0"/>
        <w:noProof/>
        <w:sz w:val="18"/>
      </w:rPr>
      <w:t>76</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9E689A">
      <w:rPr>
        <w:rStyle w:val="PageNumber"/>
        <w:rFonts w:cs="Times New Roman"/>
        <w:noProof/>
        <w:sz w:val="18"/>
      </w:rPr>
      <w:t>Australian Electoral Commission</w:t>
    </w:r>
    <w:r>
      <w:rPr>
        <w:rStyle w:val="PageNumber"/>
        <w:rFonts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110" w:rsidRPr="00DC5110" w:rsidRDefault="00DC5110" w:rsidP="00DC5110">
    <w:pPr>
      <w:pStyle w:val="FooterOdd"/>
      <w:rPr>
        <w:noProof/>
      </w:rPr>
    </w:pPr>
    <w:r>
      <w:rPr>
        <w:rStyle w:val="PageNumber"/>
        <w:rFonts w:cs="Times New Roman"/>
        <w:sz w:val="18"/>
        <w:lang w:val="en-AU"/>
      </w:rPr>
      <w:fldChar w:fldCharType="begin"/>
    </w:r>
    <w:r>
      <w:rPr>
        <w:rStyle w:val="PageNumber"/>
        <w:rFonts w:cs="Times New Roman"/>
        <w:sz w:val="18"/>
        <w:lang w:val="en-AU"/>
      </w:rPr>
      <w:instrText xml:space="preserve"> STYLEREF  "Heading 1"  \* MERGEFORMAT </w:instrText>
    </w:r>
    <w:r>
      <w:rPr>
        <w:rStyle w:val="PageNumber"/>
        <w:rFonts w:cs="Times New Roman"/>
        <w:sz w:val="18"/>
        <w:lang w:val="en-AU"/>
      </w:rPr>
      <w:fldChar w:fldCharType="separate"/>
    </w:r>
    <w:r w:rsidR="009E689A">
      <w:rPr>
        <w:rStyle w:val="PageNumber"/>
        <w:rFonts w:cs="Times New Roman"/>
        <w:noProof/>
        <w:sz w:val="18"/>
        <w:lang w:val="en-AU"/>
      </w:rPr>
      <w:t>Australian Electoral Commission</w:t>
    </w:r>
    <w:r>
      <w:rPr>
        <w:rStyle w:val="PageNumber"/>
        <w:rFonts w:cs="Times New Roman"/>
        <w:sz w:val="18"/>
        <w:lang w:val="en-AU"/>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b/>
        <w:bCs/>
      </w:rPr>
      <w:fldChar w:fldCharType="begin"/>
    </w:r>
    <w:r w:rsidRPr="00B628E8">
      <w:rPr>
        <w:b/>
        <w:bCs/>
      </w:rPr>
      <w:instrText xml:space="preserve"> PAGE   \* MERGEFORMAT </w:instrText>
    </w:r>
    <w:r w:rsidRPr="00B628E8">
      <w:rPr>
        <w:b/>
        <w:bCs/>
      </w:rPr>
      <w:fldChar w:fldCharType="separate"/>
    </w:r>
    <w:r w:rsidR="009E689A">
      <w:rPr>
        <w:b/>
        <w:bCs/>
        <w:noProof/>
      </w:rPr>
      <w:t>73</w:t>
    </w:r>
    <w:r w:rsidRPr="00B628E8">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B628E8" w:rsidRDefault="00CE4BBC" w:rsidP="00266E0D">
    <w:pPr>
      <w:pStyle w:val="FooterOdd"/>
      <w:pBdr>
        <w:top w:val="none" w:sz="0" w:space="0" w:color="auto"/>
      </w:pBdr>
      <w:rPr>
        <w:b/>
        <w:bCs/>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Default="00CE4BBC" w:rsidP="00782467">
    <w:pPr>
      <w:pStyle w:val="FooterOdd"/>
      <w:rPr>
        <w:noProof/>
      </w:rPr>
    </w:pPr>
    <w:r>
      <w:rPr>
        <w:rStyle w:val="PageNumber"/>
        <w:rFonts w:cs="Times New Roman"/>
        <w:sz w:val="18"/>
        <w:lang w:val="en-AU"/>
      </w:rPr>
      <w:fldChar w:fldCharType="begin"/>
    </w:r>
    <w:r>
      <w:rPr>
        <w:rStyle w:val="PageNumber"/>
        <w:rFonts w:cs="Times New Roman"/>
        <w:sz w:val="18"/>
        <w:lang w:val="en-AU"/>
      </w:rPr>
      <w:instrText xml:space="preserve"> STYLEREF  "Heading 1"  \* MERGEFORMAT </w:instrText>
    </w:r>
    <w:r>
      <w:rPr>
        <w:rStyle w:val="PageNumber"/>
        <w:rFonts w:cs="Times New Roman"/>
        <w:sz w:val="18"/>
        <w:lang w:val="en-AU"/>
      </w:rPr>
      <w:fldChar w:fldCharType="separate"/>
    </w:r>
    <w:r w:rsidR="009E689A">
      <w:rPr>
        <w:rStyle w:val="PageNumber"/>
        <w:rFonts w:cs="Times New Roman"/>
        <w:noProof/>
        <w:sz w:val="18"/>
        <w:lang w:val="en-AU"/>
      </w:rPr>
      <w:t>Australian Electoral Commission</w:t>
    </w:r>
    <w:r>
      <w:rPr>
        <w:rStyle w:val="PageNumber"/>
        <w:rFonts w:cs="Times New Roman"/>
        <w:sz w:val="18"/>
        <w:lang w:val="en-AU"/>
      </w:rPr>
      <w:fldChar w:fldCharType="end"/>
    </w:r>
    <w:r w:rsidRPr="00B628E8">
      <w:rPr>
        <w:rStyle w:val="PageNumber"/>
        <w:rFonts w:cs="Times New Roman"/>
        <w:sz w:val="18"/>
      </w:rPr>
      <w:t xml:space="preserve"> </w:t>
    </w:r>
    <w:r>
      <w:rPr>
        <w:rStyle w:val="PageNumber"/>
        <w:rFonts w:cs="Times New Roman"/>
        <w:sz w:val="18"/>
        <w:lang w:val="en-AU"/>
      </w:rPr>
      <w:t xml:space="preserve"> </w:t>
    </w:r>
    <w:proofErr w:type="gramStart"/>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Page</w:t>
    </w:r>
    <w:proofErr w:type="gramEnd"/>
    <w:r w:rsidRPr="00B628E8">
      <w:rPr>
        <w:rStyle w:val="PageNumber"/>
        <w:rFonts w:cs="Times New Roman"/>
        <w:b/>
        <w:bCs/>
        <w:sz w:val="18"/>
      </w:rPr>
      <w:t xml:space="preserve"> </w:t>
    </w:r>
    <w:r w:rsidRPr="00B628E8">
      <w:rPr>
        <w:b/>
        <w:bCs/>
      </w:rPr>
      <w:fldChar w:fldCharType="begin"/>
    </w:r>
    <w:r w:rsidRPr="00B628E8">
      <w:rPr>
        <w:b/>
        <w:bCs/>
      </w:rPr>
      <w:instrText xml:space="preserve"> PAGE   \* MERGEFORMAT </w:instrText>
    </w:r>
    <w:r w:rsidRPr="00B628E8">
      <w:rPr>
        <w:b/>
        <w:bCs/>
      </w:rPr>
      <w:fldChar w:fldCharType="separate"/>
    </w:r>
    <w:r w:rsidR="009E689A">
      <w:rPr>
        <w:b/>
        <w:bCs/>
        <w:noProof/>
      </w:rPr>
      <w:t>71</w:t>
    </w:r>
    <w:r w:rsidRPr="00B628E8">
      <w:rPr>
        <w:b/>
        <w:bCs/>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223291" w:rsidRDefault="00CE4BBC" w:rsidP="00223291">
    <w:pPr>
      <w:pStyle w:val="FooterOdd"/>
      <w:rPr>
        <w:b/>
        <w:bCs/>
        <w:noProof/>
      </w:rPr>
    </w:pPr>
    <w:r>
      <w:rPr>
        <w:rStyle w:val="PageNumber"/>
        <w:rFonts w:cs="Times New Roman"/>
        <w:sz w:val="18"/>
        <w:lang w:val="en-AU"/>
      </w:rPr>
      <w:fldChar w:fldCharType="begin"/>
    </w:r>
    <w:r>
      <w:rPr>
        <w:rStyle w:val="PageNumber"/>
        <w:rFonts w:cs="Times New Roman"/>
        <w:sz w:val="18"/>
        <w:lang w:val="en-AU"/>
      </w:rPr>
      <w:instrText xml:space="preserve"> STYLEREF  "Heading 1"  \* MERGEFORMAT </w:instrText>
    </w:r>
    <w:r>
      <w:rPr>
        <w:rStyle w:val="PageNumber"/>
        <w:rFonts w:cs="Times New Roman"/>
        <w:sz w:val="18"/>
        <w:lang w:val="en-AU"/>
      </w:rPr>
      <w:fldChar w:fldCharType="separate"/>
    </w:r>
    <w:r w:rsidR="009E689A" w:rsidRPr="009E689A">
      <w:rPr>
        <w:rStyle w:val="PageNumber"/>
        <w:rFonts w:cs="Times New Roman"/>
        <w:bCs/>
        <w:noProof/>
        <w:sz w:val="18"/>
        <w:lang w:val="en-US"/>
      </w:rPr>
      <w:t>Australian</w:t>
    </w:r>
    <w:r w:rsidR="009E689A">
      <w:rPr>
        <w:rStyle w:val="PageNumber"/>
        <w:rFonts w:cs="Times New Roman"/>
        <w:noProof/>
        <w:sz w:val="18"/>
        <w:lang w:val="en-AU"/>
      </w:rPr>
      <w:t xml:space="preserve"> Electoral Commission</w:t>
    </w:r>
    <w:r>
      <w:rPr>
        <w:rStyle w:val="PageNumber"/>
        <w:rFonts w:cs="Times New Roman"/>
        <w:sz w:val="18"/>
        <w:lang w:val="en-AU"/>
      </w:rPr>
      <w:fldChar w:fldCharType="end"/>
    </w:r>
    <w:bookmarkStart w:id="11" w:name="_Toc444523502"/>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b/>
        <w:bCs/>
      </w:rPr>
      <w:fldChar w:fldCharType="begin"/>
    </w:r>
    <w:r w:rsidRPr="00B628E8">
      <w:rPr>
        <w:b/>
        <w:bCs/>
      </w:rPr>
      <w:instrText xml:space="preserve"> PAGE   \* MERGEFORMAT </w:instrText>
    </w:r>
    <w:r w:rsidRPr="00B628E8">
      <w:rPr>
        <w:b/>
        <w:bCs/>
      </w:rPr>
      <w:fldChar w:fldCharType="separate"/>
    </w:r>
    <w:r w:rsidR="009E689A">
      <w:rPr>
        <w:b/>
        <w:bCs/>
        <w:noProof/>
      </w:rPr>
      <w:t>75</w:t>
    </w:r>
    <w:r w:rsidRPr="00B628E8">
      <w:rPr>
        <w:b/>
        <w:bCs/>
        <w:noProof/>
      </w:rPr>
      <w:fldChar w:fldCharType="end"/>
    </w:r>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BBC" w:rsidRDefault="00CE4BBC" w:rsidP="00C07DEC">
      <w:r>
        <w:separator/>
      </w:r>
    </w:p>
  </w:footnote>
  <w:footnote w:type="continuationSeparator" w:id="0">
    <w:p w:rsidR="00CE4BBC" w:rsidRDefault="00CE4BBC"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970E65" w:rsidRDefault="00CE4BBC" w:rsidP="004461A4">
    <w:pPr>
      <w:pStyle w:val="HeaderOd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CE4BBC" w:rsidTr="005D36C8">
      <w:trPr>
        <w:trHeight w:hRule="exact" w:val="340"/>
      </w:trPr>
      <w:tc>
        <w:tcPr>
          <w:tcW w:w="7797" w:type="dxa"/>
        </w:tcPr>
        <w:p w:rsidR="00CE4BBC" w:rsidRDefault="00CE4BBC" w:rsidP="003F458D">
          <w:pPr>
            <w:pStyle w:val="HeaderEven"/>
            <w:ind w:left="-113"/>
          </w:pPr>
          <w:r w:rsidRPr="000635BE">
            <w:rPr>
              <w:rFonts w:ascii="Arial Bold" w:hAnsi="Arial Bold"/>
              <w:b/>
              <w:bCs/>
              <w:noProof/>
              <w:position w:val="-10"/>
              <w:lang w:eastAsia="zh-CN"/>
            </w:rPr>
            <w:drawing>
              <wp:inline distT="0" distB="0" distL="0" distR="0" wp14:anchorId="1435A102" wp14:editId="686E8D03">
                <wp:extent cx="989308" cy="170121"/>
                <wp:effectExtent l="0" t="0" r="1905"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Portfolio Budget Statements</w:t>
          </w:r>
        </w:p>
      </w:tc>
    </w:tr>
  </w:tbl>
  <w:p w:rsidR="00CE4BBC" w:rsidRPr="00F00984" w:rsidRDefault="00CE4BBC" w:rsidP="00A02E16">
    <w:pPr>
      <w:pStyle w:val="HeaderEven"/>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CE4BBC" w:rsidTr="005D36C8">
      <w:trPr>
        <w:trHeight w:hRule="exact" w:val="340"/>
      </w:trPr>
      <w:tc>
        <w:tcPr>
          <w:tcW w:w="7797" w:type="dxa"/>
        </w:tcPr>
        <w:p w:rsidR="00CE4BBC" w:rsidRDefault="00CE4BBC" w:rsidP="00050A97">
          <w:pPr>
            <w:pStyle w:val="HeaderOdd"/>
          </w:pPr>
          <w:r w:rsidRPr="00213592">
            <w:rPr>
              <w:position w:val="-2"/>
            </w:rPr>
            <w:t>Portfolio Budget Statements  |</w:t>
          </w:r>
          <w:r>
            <w:t xml:space="preserve">  </w:t>
          </w:r>
          <w:r w:rsidRPr="000635BE">
            <w:rPr>
              <w:rFonts w:ascii="Arial Bold" w:hAnsi="Arial Bold"/>
              <w:b/>
              <w:bCs/>
              <w:noProof/>
              <w:position w:val="-10"/>
              <w:lang w:eastAsia="zh-CN"/>
            </w:rPr>
            <w:drawing>
              <wp:inline distT="0" distB="0" distL="0" distR="0" wp14:anchorId="74248A46" wp14:editId="38D985A2">
                <wp:extent cx="989308" cy="170121"/>
                <wp:effectExtent l="0" t="0" r="1905"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rsidR="00CE4BBC" w:rsidRDefault="00CE4BBC" w:rsidP="00A02E16">
    <w:pPr>
      <w:pStyle w:val="HeaderOd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CE4BBC" w:rsidTr="00CE4BBC">
      <w:trPr>
        <w:trHeight w:hRule="exact" w:val="340"/>
      </w:trPr>
      <w:tc>
        <w:tcPr>
          <w:tcW w:w="7797" w:type="dxa"/>
        </w:tcPr>
        <w:p w:rsidR="00CE4BBC" w:rsidRDefault="00CE4BBC" w:rsidP="00CE4BBC">
          <w:pPr>
            <w:pStyle w:val="HeaderOdd"/>
          </w:pPr>
          <w:r w:rsidRPr="00213592">
            <w:rPr>
              <w:position w:val="-2"/>
            </w:rPr>
            <w:t>Portfolio Budget Statements  |</w:t>
          </w:r>
          <w:r>
            <w:t xml:space="preserve">  </w:t>
          </w:r>
          <w:r w:rsidRPr="000635BE">
            <w:rPr>
              <w:rFonts w:ascii="Arial Bold" w:hAnsi="Arial Bold"/>
              <w:b/>
              <w:bCs/>
              <w:noProof/>
              <w:position w:val="-10"/>
              <w:lang w:eastAsia="zh-CN"/>
            </w:rPr>
            <w:drawing>
              <wp:inline distT="0" distB="0" distL="0" distR="0" wp14:anchorId="02E7D26C" wp14:editId="12803135">
                <wp:extent cx="989308" cy="170121"/>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rsidR="00CE4BBC" w:rsidRPr="00970E65" w:rsidRDefault="00CE4BBC" w:rsidP="004461A4">
    <w:pPr>
      <w:pStyle w:val="HeaderOd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DC5110" w:rsidTr="002971DE">
      <w:trPr>
        <w:trHeight w:hRule="exact" w:val="340"/>
      </w:trPr>
      <w:tc>
        <w:tcPr>
          <w:tcW w:w="7797" w:type="dxa"/>
        </w:tcPr>
        <w:p w:rsidR="00DC5110" w:rsidRDefault="00DC5110" w:rsidP="00DC5110">
          <w:pPr>
            <w:pStyle w:val="HeaderEven"/>
            <w:ind w:left="-113"/>
          </w:pPr>
          <w:r w:rsidRPr="000635BE">
            <w:rPr>
              <w:rFonts w:ascii="Arial Bold" w:hAnsi="Arial Bold"/>
              <w:b/>
              <w:bCs/>
              <w:noProof/>
              <w:position w:val="-10"/>
              <w:lang w:eastAsia="zh-CN"/>
            </w:rPr>
            <w:drawing>
              <wp:inline distT="0" distB="0" distL="0" distR="0" wp14:anchorId="7073EC05" wp14:editId="2A3278B9">
                <wp:extent cx="989308" cy="170121"/>
                <wp:effectExtent l="0" t="0" r="1905" b="190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Portfolio Budget Statements</w:t>
          </w:r>
        </w:p>
      </w:tc>
    </w:tr>
  </w:tbl>
  <w:p w:rsidR="00CE4BBC" w:rsidRPr="00DC5110" w:rsidRDefault="00CE4BBC" w:rsidP="00DC51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DC5110" w:rsidTr="002971DE">
      <w:trPr>
        <w:trHeight w:hRule="exact" w:val="340"/>
      </w:trPr>
      <w:tc>
        <w:tcPr>
          <w:tcW w:w="7797" w:type="dxa"/>
        </w:tcPr>
        <w:p w:rsidR="00DC5110" w:rsidRDefault="00DC5110" w:rsidP="00DC5110">
          <w:pPr>
            <w:pStyle w:val="HeaderOdd"/>
          </w:pPr>
          <w:r w:rsidRPr="00213592">
            <w:rPr>
              <w:position w:val="-2"/>
            </w:rPr>
            <w:t>Portfolio Budget Statements  |</w:t>
          </w:r>
          <w:r>
            <w:t xml:space="preserve">  </w:t>
          </w:r>
          <w:r w:rsidRPr="000635BE">
            <w:rPr>
              <w:rFonts w:ascii="Arial Bold" w:hAnsi="Arial Bold"/>
              <w:b/>
              <w:bCs/>
              <w:noProof/>
              <w:position w:val="-10"/>
              <w:lang w:eastAsia="zh-CN"/>
            </w:rPr>
            <w:drawing>
              <wp:inline distT="0" distB="0" distL="0" distR="0" wp14:anchorId="3E3E9D7D" wp14:editId="032C9D0E">
                <wp:extent cx="989308" cy="170121"/>
                <wp:effectExtent l="0" t="0" r="1905" b="190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rsidR="00CE4BBC" w:rsidRPr="00DC5110" w:rsidRDefault="00CE4BBC" w:rsidP="00DC511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DC5110" w:rsidTr="002971DE">
      <w:trPr>
        <w:trHeight w:hRule="exact" w:val="340"/>
      </w:trPr>
      <w:tc>
        <w:tcPr>
          <w:tcW w:w="7797" w:type="dxa"/>
        </w:tcPr>
        <w:p w:rsidR="00DC5110" w:rsidRDefault="00DC5110" w:rsidP="00DC5110">
          <w:pPr>
            <w:pStyle w:val="HeaderOdd"/>
          </w:pPr>
          <w:r w:rsidRPr="00213592">
            <w:rPr>
              <w:position w:val="-2"/>
            </w:rPr>
            <w:t>Portfolio Budget Statements  |</w:t>
          </w:r>
          <w:r>
            <w:t xml:space="preserve">  </w:t>
          </w:r>
          <w:r w:rsidRPr="000635BE">
            <w:rPr>
              <w:rFonts w:ascii="Arial Bold" w:hAnsi="Arial Bold"/>
              <w:b/>
              <w:bCs/>
              <w:noProof/>
              <w:position w:val="-10"/>
              <w:lang w:eastAsia="zh-CN"/>
            </w:rPr>
            <w:drawing>
              <wp:inline distT="0" distB="0" distL="0" distR="0" wp14:anchorId="44AFED59" wp14:editId="2C313C49">
                <wp:extent cx="989308" cy="170121"/>
                <wp:effectExtent l="0" t="0" r="1905" b="190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rsidR="00CE4BBC" w:rsidRPr="00DC5110" w:rsidRDefault="00CE4BBC" w:rsidP="00DC5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4D01"/>
    <w:multiLevelType w:val="hybridMultilevel"/>
    <w:tmpl w:val="C2305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D0F2B"/>
    <w:multiLevelType w:val="hybridMultilevel"/>
    <w:tmpl w:val="D160CC20"/>
    <w:lvl w:ilvl="0" w:tplc="6854B8E0">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7933471"/>
    <w:multiLevelType w:val="multilevel"/>
    <w:tmpl w:val="3D36C280"/>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800" w:hanging="720"/>
      </w:pPr>
      <w:rPr>
        <w:rFonts w:hint="default"/>
      </w:rPr>
    </w:lvl>
    <w:lvl w:ilvl="2">
      <w:start w:val="1"/>
      <w:numFmt w:val="upp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64E9F"/>
    <w:multiLevelType w:val="hybridMultilevel"/>
    <w:tmpl w:val="45D67EC6"/>
    <w:lvl w:ilvl="0" w:tplc="F0E40EDC">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A7F6329"/>
    <w:multiLevelType w:val="hybridMultilevel"/>
    <w:tmpl w:val="72D6DC22"/>
    <w:lvl w:ilvl="0" w:tplc="9A5C3602">
      <w:start w:val="1"/>
      <w:numFmt w:val="lowerLetter"/>
      <w:lvlText w:val="(%1)"/>
      <w:lvlJc w:val="left"/>
      <w:pPr>
        <w:ind w:left="360" w:hanging="360"/>
      </w:pPr>
      <w:rPr>
        <w:rFonts w:ascii="Arial" w:eastAsia="Times New Roman" w:hAnsi="Arial" w:cs="Arial"/>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7F48D4"/>
    <w:multiLevelType w:val="hybridMultilevel"/>
    <w:tmpl w:val="D124F6D2"/>
    <w:lvl w:ilvl="0" w:tplc="6252375C">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E8B1916"/>
    <w:multiLevelType w:val="hybridMultilevel"/>
    <w:tmpl w:val="17346D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0" w15:restartNumberingAfterBreak="0">
    <w:nsid w:val="13056BC9"/>
    <w:multiLevelType w:val="hybridMultilevel"/>
    <w:tmpl w:val="26DC12C2"/>
    <w:lvl w:ilvl="0" w:tplc="EE2E0B36">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3956330"/>
    <w:multiLevelType w:val="hybridMultilevel"/>
    <w:tmpl w:val="B78C0B6E"/>
    <w:lvl w:ilvl="0" w:tplc="D526BCFE">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67542CF"/>
    <w:multiLevelType w:val="hybridMultilevel"/>
    <w:tmpl w:val="4D926388"/>
    <w:lvl w:ilvl="0" w:tplc="F12A6DD4">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6F0193F"/>
    <w:multiLevelType w:val="hybridMultilevel"/>
    <w:tmpl w:val="8A36DD7A"/>
    <w:lvl w:ilvl="0" w:tplc="1DD829E2">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70B2ABC"/>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8AD4D60"/>
    <w:multiLevelType w:val="hybridMultilevel"/>
    <w:tmpl w:val="630A0BCC"/>
    <w:lvl w:ilvl="0" w:tplc="136A4B5E">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9520E69"/>
    <w:multiLevelType w:val="hybridMultilevel"/>
    <w:tmpl w:val="F64C75CE"/>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B4278CF"/>
    <w:multiLevelType w:val="hybridMultilevel"/>
    <w:tmpl w:val="3EBC4560"/>
    <w:lvl w:ilvl="0" w:tplc="D6C4BF78">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BAC5539"/>
    <w:multiLevelType w:val="hybridMultilevel"/>
    <w:tmpl w:val="B25C0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E0D1E2C"/>
    <w:multiLevelType w:val="hybridMultilevel"/>
    <w:tmpl w:val="547A5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330869"/>
    <w:multiLevelType w:val="hybridMultilevel"/>
    <w:tmpl w:val="A4FC0082"/>
    <w:lvl w:ilvl="0" w:tplc="E9B2D55E">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DD13CF"/>
    <w:multiLevelType w:val="hybridMultilevel"/>
    <w:tmpl w:val="A3DCC688"/>
    <w:lvl w:ilvl="0" w:tplc="FD869E72">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5C7774E"/>
    <w:multiLevelType w:val="hybridMultilevel"/>
    <w:tmpl w:val="5824E44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15:restartNumberingAfterBreak="0">
    <w:nsid w:val="264E4A8F"/>
    <w:multiLevelType w:val="hybridMultilevel"/>
    <w:tmpl w:val="8F7E7818"/>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5" w15:restartNumberingAfterBreak="0">
    <w:nsid w:val="2B3E33FD"/>
    <w:multiLevelType w:val="hybridMultilevel"/>
    <w:tmpl w:val="DC5C44E8"/>
    <w:lvl w:ilvl="0" w:tplc="04A44BE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7" w15:restartNumberingAfterBreak="0">
    <w:nsid w:val="2EC0261C"/>
    <w:multiLevelType w:val="hybridMultilevel"/>
    <w:tmpl w:val="CA2C9E08"/>
    <w:lvl w:ilvl="0" w:tplc="3140DB3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11230D5"/>
    <w:multiLevelType w:val="hybridMultilevel"/>
    <w:tmpl w:val="A3E05E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578030E"/>
    <w:multiLevelType w:val="hybridMultilevel"/>
    <w:tmpl w:val="D24C364C"/>
    <w:lvl w:ilvl="0" w:tplc="61BAB61A">
      <w:start w:val="1"/>
      <w:numFmt w:val="lowerLetter"/>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7FB6309"/>
    <w:multiLevelType w:val="hybridMultilevel"/>
    <w:tmpl w:val="35906312"/>
    <w:lvl w:ilvl="0" w:tplc="00147F72">
      <w:numFmt w:val="bullet"/>
      <w:lvlText w:val=""/>
      <w:lvlJc w:val="left"/>
      <w:pPr>
        <w:ind w:left="465" w:hanging="358"/>
      </w:pPr>
      <w:rPr>
        <w:rFonts w:ascii="Symbol" w:eastAsia="Symbol" w:hAnsi="Symbol" w:cs="Symbol" w:hint="default"/>
        <w:w w:val="100"/>
        <w:sz w:val="16"/>
        <w:szCs w:val="16"/>
        <w:lang w:val="en-AU" w:eastAsia="en-US" w:bidi="ar-SA"/>
      </w:rPr>
    </w:lvl>
    <w:lvl w:ilvl="1" w:tplc="BA5E52C6">
      <w:numFmt w:val="bullet"/>
      <w:lvlText w:val="•"/>
      <w:lvlJc w:val="left"/>
      <w:pPr>
        <w:ind w:left="1017" w:hanging="358"/>
      </w:pPr>
      <w:rPr>
        <w:rFonts w:hint="default"/>
        <w:lang w:val="en-AU" w:eastAsia="en-US" w:bidi="ar-SA"/>
      </w:rPr>
    </w:lvl>
    <w:lvl w:ilvl="2" w:tplc="D0F4A838">
      <w:numFmt w:val="bullet"/>
      <w:lvlText w:val="•"/>
      <w:lvlJc w:val="left"/>
      <w:pPr>
        <w:ind w:left="1574" w:hanging="358"/>
      </w:pPr>
      <w:rPr>
        <w:rFonts w:hint="default"/>
        <w:lang w:val="en-AU" w:eastAsia="en-US" w:bidi="ar-SA"/>
      </w:rPr>
    </w:lvl>
    <w:lvl w:ilvl="3" w:tplc="E3BC2544">
      <w:numFmt w:val="bullet"/>
      <w:lvlText w:val="•"/>
      <w:lvlJc w:val="left"/>
      <w:pPr>
        <w:ind w:left="2131" w:hanging="358"/>
      </w:pPr>
      <w:rPr>
        <w:rFonts w:hint="default"/>
        <w:lang w:val="en-AU" w:eastAsia="en-US" w:bidi="ar-SA"/>
      </w:rPr>
    </w:lvl>
    <w:lvl w:ilvl="4" w:tplc="08C6E67E">
      <w:numFmt w:val="bullet"/>
      <w:lvlText w:val="•"/>
      <w:lvlJc w:val="left"/>
      <w:pPr>
        <w:ind w:left="2688" w:hanging="358"/>
      </w:pPr>
      <w:rPr>
        <w:rFonts w:hint="default"/>
        <w:lang w:val="en-AU" w:eastAsia="en-US" w:bidi="ar-SA"/>
      </w:rPr>
    </w:lvl>
    <w:lvl w:ilvl="5" w:tplc="ED847CB8">
      <w:numFmt w:val="bullet"/>
      <w:lvlText w:val="•"/>
      <w:lvlJc w:val="left"/>
      <w:pPr>
        <w:ind w:left="3245" w:hanging="358"/>
      </w:pPr>
      <w:rPr>
        <w:rFonts w:hint="default"/>
        <w:lang w:val="en-AU" w:eastAsia="en-US" w:bidi="ar-SA"/>
      </w:rPr>
    </w:lvl>
    <w:lvl w:ilvl="6" w:tplc="30EE96E4">
      <w:numFmt w:val="bullet"/>
      <w:lvlText w:val="•"/>
      <w:lvlJc w:val="left"/>
      <w:pPr>
        <w:ind w:left="3802" w:hanging="358"/>
      </w:pPr>
      <w:rPr>
        <w:rFonts w:hint="default"/>
        <w:lang w:val="en-AU" w:eastAsia="en-US" w:bidi="ar-SA"/>
      </w:rPr>
    </w:lvl>
    <w:lvl w:ilvl="7" w:tplc="4B3EF0D4">
      <w:numFmt w:val="bullet"/>
      <w:lvlText w:val="•"/>
      <w:lvlJc w:val="left"/>
      <w:pPr>
        <w:ind w:left="4359" w:hanging="358"/>
      </w:pPr>
      <w:rPr>
        <w:rFonts w:hint="default"/>
        <w:lang w:val="en-AU" w:eastAsia="en-US" w:bidi="ar-SA"/>
      </w:rPr>
    </w:lvl>
    <w:lvl w:ilvl="8" w:tplc="8F60BEE8">
      <w:numFmt w:val="bullet"/>
      <w:lvlText w:val="•"/>
      <w:lvlJc w:val="left"/>
      <w:pPr>
        <w:ind w:left="4916" w:hanging="358"/>
      </w:pPr>
      <w:rPr>
        <w:rFonts w:hint="default"/>
        <w:lang w:val="en-AU" w:eastAsia="en-US" w:bidi="ar-SA"/>
      </w:rPr>
    </w:lvl>
  </w:abstractNum>
  <w:abstractNum w:abstractNumId="32" w15:restartNumberingAfterBreak="0">
    <w:nsid w:val="39676E51"/>
    <w:multiLevelType w:val="hybridMultilevel"/>
    <w:tmpl w:val="77D0FD54"/>
    <w:lvl w:ilvl="0" w:tplc="24BEF2E8">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397B6E65"/>
    <w:multiLevelType w:val="hybridMultilevel"/>
    <w:tmpl w:val="73C0EF78"/>
    <w:lvl w:ilvl="0" w:tplc="84C88830">
      <w:start w:val="1"/>
      <w:numFmt w:val="lowerLetter"/>
      <w:lvlText w:val="(%1)"/>
      <w:lvlJc w:val="left"/>
      <w:pPr>
        <w:ind w:left="360" w:hanging="360"/>
      </w:pPr>
      <w:rPr>
        <w:rFonts w:ascii="Arial" w:eastAsia="Times New Roman" w:hAnsi="Arial" w:cs="Times New Roman"/>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B321E0A"/>
    <w:multiLevelType w:val="hybridMultilevel"/>
    <w:tmpl w:val="25069A82"/>
    <w:lvl w:ilvl="0" w:tplc="D6B46802">
      <w:start w:val="1"/>
      <w:numFmt w:val="lowerLetter"/>
      <w:lvlText w:val="(%1)"/>
      <w:lvlJc w:val="left"/>
      <w:pPr>
        <w:tabs>
          <w:tab w:val="num" w:pos="397"/>
        </w:tabs>
        <w:ind w:left="397" w:hanging="397"/>
      </w:pPr>
      <w:rPr>
        <w:rFonts w:ascii="Arial" w:eastAsia="Times New Roman" w:hAnsi="Arial" w:cs="Arial"/>
        <w:b w:val="0"/>
        <w:i w:val="0"/>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F0C020E"/>
    <w:multiLevelType w:val="hybridMultilevel"/>
    <w:tmpl w:val="AEC08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0C62B25"/>
    <w:multiLevelType w:val="multilevel"/>
    <w:tmpl w:val="AB709054"/>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bullet"/>
      <w:lvlText w:val="o"/>
      <w:lvlJc w:val="left"/>
      <w:pPr>
        <w:tabs>
          <w:tab w:val="num" w:pos="1134"/>
        </w:tabs>
        <w:ind w:left="1134" w:hanging="567"/>
      </w:pPr>
      <w:rPr>
        <w:rFonts w:ascii="Courier New" w:hAnsi="Courier New" w:cs="Courier New"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37" w15:restartNumberingAfterBreak="0">
    <w:nsid w:val="417A2C26"/>
    <w:multiLevelType w:val="hybridMultilevel"/>
    <w:tmpl w:val="61F8D2E0"/>
    <w:lvl w:ilvl="0" w:tplc="8D047D26">
      <w:start w:val="1"/>
      <w:numFmt w:val="lowerLetter"/>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39" w15:restartNumberingAfterBreak="0">
    <w:nsid w:val="462542BE"/>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40" w15:restartNumberingAfterBreak="0">
    <w:nsid w:val="490B7AD5"/>
    <w:multiLevelType w:val="hybridMultilevel"/>
    <w:tmpl w:val="0A5A7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1C5322A"/>
    <w:multiLevelType w:val="hybridMultilevel"/>
    <w:tmpl w:val="57FA6FA8"/>
    <w:lvl w:ilvl="0" w:tplc="21D40EDC">
      <w:start w:val="1"/>
      <w:numFmt w:val="bullet"/>
      <w:lvlText w:val="–"/>
      <w:lvlJc w:val="left"/>
      <w:pPr>
        <w:ind w:left="927" w:hanging="360"/>
      </w:pPr>
      <w:rPr>
        <w:rFonts w:ascii="Calibri" w:hAnsi="Calibri" w:hint="default"/>
        <w:b w:val="0"/>
        <w:color w:val="auto"/>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2" w15:restartNumberingAfterBreak="0">
    <w:nsid w:val="52E30E41"/>
    <w:multiLevelType w:val="hybridMultilevel"/>
    <w:tmpl w:val="25069A82"/>
    <w:lvl w:ilvl="0" w:tplc="D6B46802">
      <w:start w:val="1"/>
      <w:numFmt w:val="lowerLetter"/>
      <w:lvlText w:val="(%1)"/>
      <w:lvlJc w:val="left"/>
      <w:pPr>
        <w:tabs>
          <w:tab w:val="num" w:pos="397"/>
        </w:tabs>
        <w:ind w:left="397" w:hanging="397"/>
      </w:pPr>
      <w:rPr>
        <w:rFonts w:ascii="Arial" w:eastAsia="Times New Roman" w:hAnsi="Arial" w:cs="Arial"/>
        <w:b w:val="0"/>
        <w:i w:val="0"/>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41039A9"/>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72A22A3"/>
    <w:multiLevelType w:val="hybridMultilevel"/>
    <w:tmpl w:val="553435DA"/>
    <w:lvl w:ilvl="0" w:tplc="7C88035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7DD7823"/>
    <w:multiLevelType w:val="hybridMultilevel"/>
    <w:tmpl w:val="68A894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47" w15:restartNumberingAfterBreak="0">
    <w:nsid w:val="5C446FB6"/>
    <w:multiLevelType w:val="hybridMultilevel"/>
    <w:tmpl w:val="186C5F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CCB101D"/>
    <w:multiLevelType w:val="hybridMultilevel"/>
    <w:tmpl w:val="97226F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5DCD5807"/>
    <w:multiLevelType w:val="hybridMultilevel"/>
    <w:tmpl w:val="9BEA0498"/>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5F3F3638"/>
    <w:multiLevelType w:val="hybridMultilevel"/>
    <w:tmpl w:val="A092ADC0"/>
    <w:lvl w:ilvl="0" w:tplc="0EA89F9C">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61F1207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52" w15:restartNumberingAfterBreak="0">
    <w:nsid w:val="62B8784D"/>
    <w:multiLevelType w:val="hybridMultilevel"/>
    <w:tmpl w:val="0ABC439E"/>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63DF1DA9"/>
    <w:multiLevelType w:val="hybridMultilevel"/>
    <w:tmpl w:val="54269128"/>
    <w:lvl w:ilvl="0" w:tplc="329C1098">
      <w:start w:val="1"/>
      <w:numFmt w:val="lowerLetter"/>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68777B55"/>
    <w:multiLevelType w:val="hybridMultilevel"/>
    <w:tmpl w:val="DB12C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6" w15:restartNumberingAfterBreak="0">
    <w:nsid w:val="6B6957C0"/>
    <w:multiLevelType w:val="hybridMultilevel"/>
    <w:tmpl w:val="F808EADE"/>
    <w:lvl w:ilvl="0" w:tplc="5BBC9562">
      <w:start w:val="1"/>
      <w:numFmt w:val="bullet"/>
      <w:lvlText w:val=""/>
      <w:lvlJc w:val="left"/>
      <w:pPr>
        <w:ind w:left="502" w:hanging="360"/>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7" w15:restartNumberingAfterBreak="0">
    <w:nsid w:val="6DB210D5"/>
    <w:multiLevelType w:val="hybridMultilevel"/>
    <w:tmpl w:val="C3C00F4C"/>
    <w:lvl w:ilvl="0" w:tplc="7062CFFE">
      <w:start w:val="1"/>
      <w:numFmt w:val="lowerLetter"/>
      <w:lvlText w:val="(%1)"/>
      <w:lvlJc w:val="left"/>
      <w:pPr>
        <w:ind w:left="360" w:hanging="360"/>
      </w:pPr>
      <w:rPr>
        <w:rFonts w:hint="default"/>
        <w:b w:val="0"/>
        <w:i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703F726E"/>
    <w:multiLevelType w:val="hybridMultilevel"/>
    <w:tmpl w:val="10A4AE4C"/>
    <w:lvl w:ilvl="0" w:tplc="1F4E3688">
      <w:start w:val="1"/>
      <w:numFmt w:val="lowerLetter"/>
      <w:lvlText w:val="(%1)"/>
      <w:lvlJc w:val="left"/>
      <w:pPr>
        <w:ind w:left="360" w:hanging="360"/>
      </w:pPr>
      <w:rPr>
        <w:rFonts w:ascii="Arial" w:eastAsia="Times New Roman" w:hAnsi="Arial" w:cs="Arial"/>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0" w15:restartNumberingAfterBreak="0">
    <w:nsid w:val="75AD3829"/>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6BA1812"/>
    <w:multiLevelType w:val="hybridMultilevel"/>
    <w:tmpl w:val="31783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78AF368A"/>
    <w:multiLevelType w:val="hybridMultilevel"/>
    <w:tmpl w:val="A78C54C6"/>
    <w:lvl w:ilvl="0" w:tplc="312E0204">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7A2A5D82"/>
    <w:multiLevelType w:val="multilevel"/>
    <w:tmpl w:val="1876A8A6"/>
    <w:lvl w:ilvl="0">
      <w:start w:val="1"/>
      <w:numFmt w:val="lowerLetter"/>
      <w:lvlText w:val="(%1)"/>
      <w:lvlJc w:val="left"/>
      <w:pPr>
        <w:tabs>
          <w:tab w:val="num" w:pos="360"/>
        </w:tabs>
        <w:ind w:left="360" w:hanging="360"/>
      </w:pPr>
      <w:rPr>
        <w:rFonts w:hint="default"/>
        <w:b w:val="0"/>
        <w:i w:val="0"/>
        <w:sz w:val="16"/>
        <w:szCs w:val="16"/>
      </w:rPr>
    </w:lvl>
    <w:lvl w:ilvl="1">
      <w:start w:val="1"/>
      <w:numFmt w:val="lowerLetter"/>
      <w:lvlText w:val="(%2)"/>
      <w:lvlJc w:val="left"/>
      <w:pPr>
        <w:ind w:left="1440" w:hanging="720"/>
      </w:pPr>
      <w:rPr>
        <w:rFonts w:hint="default"/>
      </w:rPr>
    </w:lvl>
    <w:lvl w:ilvl="2">
      <w:start w:val="1"/>
      <w:numFmt w:val="upperLetter"/>
      <w:lvlText w:val="(%3)"/>
      <w:lvlJc w:val="left"/>
      <w:pPr>
        <w:ind w:left="1800" w:hanging="360"/>
      </w:pPr>
      <w:rPr>
        <w:rFonts w:hint="default"/>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4" w15:restartNumberingAfterBreak="0">
    <w:nsid w:val="7E8C1392"/>
    <w:multiLevelType w:val="hybridMultilevel"/>
    <w:tmpl w:val="11DCA4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8"/>
  </w:num>
  <w:num w:numId="2">
    <w:abstractNumId w:val="8"/>
  </w:num>
  <w:num w:numId="3">
    <w:abstractNumId w:val="55"/>
  </w:num>
  <w:num w:numId="4">
    <w:abstractNumId w:val="59"/>
  </w:num>
  <w:num w:numId="5">
    <w:abstractNumId w:val="26"/>
  </w:num>
  <w:num w:numId="6">
    <w:abstractNumId w:val="46"/>
  </w:num>
  <w:num w:numId="7">
    <w:abstractNumId w:val="5"/>
  </w:num>
  <w:num w:numId="8">
    <w:abstractNumId w:val="24"/>
  </w:num>
  <w:num w:numId="9">
    <w:abstractNumId w:val="16"/>
  </w:num>
  <w:num w:numId="10">
    <w:abstractNumId w:val="2"/>
  </w:num>
  <w:num w:numId="11">
    <w:abstractNumId w:val="36"/>
  </w:num>
  <w:num w:numId="12">
    <w:abstractNumId w:val="7"/>
  </w:num>
  <w:num w:numId="13">
    <w:abstractNumId w:val="61"/>
  </w:num>
  <w:num w:numId="14">
    <w:abstractNumId w:val="48"/>
  </w:num>
  <w:num w:numId="15">
    <w:abstractNumId w:val="47"/>
  </w:num>
  <w:num w:numId="16">
    <w:abstractNumId w:val="44"/>
  </w:num>
  <w:num w:numId="17">
    <w:abstractNumId w:val="43"/>
  </w:num>
  <w:num w:numId="18">
    <w:abstractNumId w:val="14"/>
  </w:num>
  <w:num w:numId="19">
    <w:abstractNumId w:val="60"/>
  </w:num>
  <w:num w:numId="20">
    <w:abstractNumId w:val="41"/>
  </w:num>
  <w:num w:numId="21">
    <w:abstractNumId w:val="56"/>
  </w:num>
  <w:num w:numId="22">
    <w:abstractNumId w:val="22"/>
  </w:num>
  <w:num w:numId="23">
    <w:abstractNumId w:val="64"/>
  </w:num>
  <w:num w:numId="24">
    <w:abstractNumId w:val="23"/>
  </w:num>
  <w:num w:numId="25">
    <w:abstractNumId w:val="52"/>
  </w:num>
  <w:num w:numId="26">
    <w:abstractNumId w:val="31"/>
  </w:num>
  <w:num w:numId="27">
    <w:abstractNumId w:val="45"/>
  </w:num>
  <w:num w:numId="28">
    <w:abstractNumId w:val="18"/>
  </w:num>
  <w:num w:numId="29">
    <w:abstractNumId w:val="40"/>
  </w:num>
  <w:num w:numId="30">
    <w:abstractNumId w:val="28"/>
  </w:num>
  <w:num w:numId="31">
    <w:abstractNumId w:val="39"/>
  </w:num>
  <w:num w:numId="32">
    <w:abstractNumId w:val="51"/>
  </w:num>
  <w:num w:numId="33">
    <w:abstractNumId w:val="19"/>
  </w:num>
  <w:num w:numId="34">
    <w:abstractNumId w:val="54"/>
  </w:num>
  <w:num w:numId="35">
    <w:abstractNumId w:val="49"/>
  </w:num>
  <w:num w:numId="36">
    <w:abstractNumId w:val="35"/>
  </w:num>
  <w:num w:numId="37">
    <w:abstractNumId w:val="0"/>
  </w:num>
  <w:num w:numId="38">
    <w:abstractNumId w:val="62"/>
  </w:num>
  <w:num w:numId="39">
    <w:abstractNumId w:val="27"/>
  </w:num>
  <w:num w:numId="40">
    <w:abstractNumId w:val="20"/>
  </w:num>
  <w:num w:numId="41">
    <w:abstractNumId w:val="33"/>
  </w:num>
  <w:num w:numId="42">
    <w:abstractNumId w:val="32"/>
  </w:num>
  <w:num w:numId="43">
    <w:abstractNumId w:val="21"/>
  </w:num>
  <w:num w:numId="44">
    <w:abstractNumId w:val="34"/>
  </w:num>
  <w:num w:numId="45">
    <w:abstractNumId w:val="58"/>
  </w:num>
  <w:num w:numId="46">
    <w:abstractNumId w:val="6"/>
  </w:num>
  <w:num w:numId="47">
    <w:abstractNumId w:val="4"/>
  </w:num>
  <w:num w:numId="48">
    <w:abstractNumId w:val="53"/>
  </w:num>
  <w:num w:numId="49">
    <w:abstractNumId w:val="29"/>
  </w:num>
  <w:num w:numId="50">
    <w:abstractNumId w:val="13"/>
  </w:num>
  <w:num w:numId="51">
    <w:abstractNumId w:val="3"/>
  </w:num>
  <w:num w:numId="52">
    <w:abstractNumId w:val="15"/>
  </w:num>
  <w:num w:numId="53">
    <w:abstractNumId w:val="25"/>
  </w:num>
  <w:num w:numId="54">
    <w:abstractNumId w:val="10"/>
  </w:num>
  <w:num w:numId="55">
    <w:abstractNumId w:val="1"/>
  </w:num>
  <w:num w:numId="56">
    <w:abstractNumId w:val="12"/>
  </w:num>
  <w:num w:numId="57">
    <w:abstractNumId w:val="11"/>
  </w:num>
  <w:num w:numId="58">
    <w:abstractNumId w:val="37"/>
  </w:num>
  <w:num w:numId="59">
    <w:abstractNumId w:val="17"/>
  </w:num>
  <w:num w:numId="60">
    <w:abstractNumId w:val="50"/>
  </w:num>
  <w:num w:numId="61">
    <w:abstractNumId w:val="42"/>
  </w:num>
  <w:num w:numId="62">
    <w:abstractNumId w:val="63"/>
  </w:num>
  <w:num w:numId="63">
    <w:abstractNumId w:val="5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18EC"/>
    <w:rsid w:val="0000358C"/>
    <w:rsid w:val="00003AC4"/>
    <w:rsid w:val="00003CA0"/>
    <w:rsid w:val="00003FFA"/>
    <w:rsid w:val="0000528D"/>
    <w:rsid w:val="00005CA1"/>
    <w:rsid w:val="0000614C"/>
    <w:rsid w:val="00006AE4"/>
    <w:rsid w:val="00006B50"/>
    <w:rsid w:val="0000711B"/>
    <w:rsid w:val="00007D7B"/>
    <w:rsid w:val="00011C70"/>
    <w:rsid w:val="0001294C"/>
    <w:rsid w:val="00012BB0"/>
    <w:rsid w:val="00012D09"/>
    <w:rsid w:val="00013D25"/>
    <w:rsid w:val="0001438C"/>
    <w:rsid w:val="0001570B"/>
    <w:rsid w:val="00016075"/>
    <w:rsid w:val="0001615A"/>
    <w:rsid w:val="00016D95"/>
    <w:rsid w:val="00017619"/>
    <w:rsid w:val="00017840"/>
    <w:rsid w:val="00020573"/>
    <w:rsid w:val="00020766"/>
    <w:rsid w:val="000216BF"/>
    <w:rsid w:val="00021DA6"/>
    <w:rsid w:val="00021F8F"/>
    <w:rsid w:val="000220B0"/>
    <w:rsid w:val="0002265B"/>
    <w:rsid w:val="00022A1A"/>
    <w:rsid w:val="00023B08"/>
    <w:rsid w:val="00023CED"/>
    <w:rsid w:val="00025381"/>
    <w:rsid w:val="000254E0"/>
    <w:rsid w:val="00025737"/>
    <w:rsid w:val="00025CB2"/>
    <w:rsid w:val="00026D37"/>
    <w:rsid w:val="000277D1"/>
    <w:rsid w:val="00027C3A"/>
    <w:rsid w:val="000300D7"/>
    <w:rsid w:val="000304FC"/>
    <w:rsid w:val="000309D2"/>
    <w:rsid w:val="00030D39"/>
    <w:rsid w:val="00030FDA"/>
    <w:rsid w:val="00032558"/>
    <w:rsid w:val="00032AA7"/>
    <w:rsid w:val="00032B09"/>
    <w:rsid w:val="0003384E"/>
    <w:rsid w:val="00033DF5"/>
    <w:rsid w:val="00033F08"/>
    <w:rsid w:val="00033F86"/>
    <w:rsid w:val="000343BE"/>
    <w:rsid w:val="00034C41"/>
    <w:rsid w:val="0003503B"/>
    <w:rsid w:val="00036095"/>
    <w:rsid w:val="000364F3"/>
    <w:rsid w:val="000366AE"/>
    <w:rsid w:val="000369AC"/>
    <w:rsid w:val="0003724F"/>
    <w:rsid w:val="00037BA1"/>
    <w:rsid w:val="00037E08"/>
    <w:rsid w:val="00040B2E"/>
    <w:rsid w:val="000411D5"/>
    <w:rsid w:val="000413D4"/>
    <w:rsid w:val="000425E2"/>
    <w:rsid w:val="00042FDD"/>
    <w:rsid w:val="00044CF1"/>
    <w:rsid w:val="0004509D"/>
    <w:rsid w:val="00045667"/>
    <w:rsid w:val="00045B04"/>
    <w:rsid w:val="00045B1E"/>
    <w:rsid w:val="00045DB0"/>
    <w:rsid w:val="000476D8"/>
    <w:rsid w:val="0005030D"/>
    <w:rsid w:val="00050A97"/>
    <w:rsid w:val="00052A73"/>
    <w:rsid w:val="00054A04"/>
    <w:rsid w:val="00054BE6"/>
    <w:rsid w:val="00054CC3"/>
    <w:rsid w:val="000555DE"/>
    <w:rsid w:val="0005600E"/>
    <w:rsid w:val="00056260"/>
    <w:rsid w:val="0005722F"/>
    <w:rsid w:val="000606CB"/>
    <w:rsid w:val="00060890"/>
    <w:rsid w:val="0006135F"/>
    <w:rsid w:val="000613EA"/>
    <w:rsid w:val="00061415"/>
    <w:rsid w:val="0006171A"/>
    <w:rsid w:val="0006199A"/>
    <w:rsid w:val="00061A2A"/>
    <w:rsid w:val="00061FD8"/>
    <w:rsid w:val="000627C7"/>
    <w:rsid w:val="00063C44"/>
    <w:rsid w:val="00063CE1"/>
    <w:rsid w:val="000641DA"/>
    <w:rsid w:val="0006427C"/>
    <w:rsid w:val="00065053"/>
    <w:rsid w:val="000655E4"/>
    <w:rsid w:val="000656AD"/>
    <w:rsid w:val="00065B93"/>
    <w:rsid w:val="00065C71"/>
    <w:rsid w:val="00066BBA"/>
    <w:rsid w:val="000671B7"/>
    <w:rsid w:val="00067B6F"/>
    <w:rsid w:val="00067E1D"/>
    <w:rsid w:val="0007064C"/>
    <w:rsid w:val="000712EE"/>
    <w:rsid w:val="000716C3"/>
    <w:rsid w:val="000717B9"/>
    <w:rsid w:val="000725C0"/>
    <w:rsid w:val="00072F14"/>
    <w:rsid w:val="00073878"/>
    <w:rsid w:val="000738AB"/>
    <w:rsid w:val="00074361"/>
    <w:rsid w:val="00074CE6"/>
    <w:rsid w:val="00075452"/>
    <w:rsid w:val="000768A5"/>
    <w:rsid w:val="00076B48"/>
    <w:rsid w:val="00077277"/>
    <w:rsid w:val="0007743A"/>
    <w:rsid w:val="00080069"/>
    <w:rsid w:val="00080125"/>
    <w:rsid w:val="00080F4F"/>
    <w:rsid w:val="000817F1"/>
    <w:rsid w:val="00081CBC"/>
    <w:rsid w:val="00082159"/>
    <w:rsid w:val="0008233C"/>
    <w:rsid w:val="00083AD8"/>
    <w:rsid w:val="0008449F"/>
    <w:rsid w:val="000846ED"/>
    <w:rsid w:val="000850E6"/>
    <w:rsid w:val="00085982"/>
    <w:rsid w:val="000867C1"/>
    <w:rsid w:val="0008687E"/>
    <w:rsid w:val="00090681"/>
    <w:rsid w:val="00090974"/>
    <w:rsid w:val="00090B84"/>
    <w:rsid w:val="000919F4"/>
    <w:rsid w:val="00091B3B"/>
    <w:rsid w:val="000921EE"/>
    <w:rsid w:val="000924A7"/>
    <w:rsid w:val="00093D79"/>
    <w:rsid w:val="00094B28"/>
    <w:rsid w:val="00094B9A"/>
    <w:rsid w:val="00096568"/>
    <w:rsid w:val="00096DEE"/>
    <w:rsid w:val="00096EB1"/>
    <w:rsid w:val="00097063"/>
    <w:rsid w:val="00097336"/>
    <w:rsid w:val="000975DA"/>
    <w:rsid w:val="000A1920"/>
    <w:rsid w:val="000A1A89"/>
    <w:rsid w:val="000A1C91"/>
    <w:rsid w:val="000A24C4"/>
    <w:rsid w:val="000A2FD9"/>
    <w:rsid w:val="000A3454"/>
    <w:rsid w:val="000A345B"/>
    <w:rsid w:val="000A372A"/>
    <w:rsid w:val="000A395D"/>
    <w:rsid w:val="000A532C"/>
    <w:rsid w:val="000A56A5"/>
    <w:rsid w:val="000A5B19"/>
    <w:rsid w:val="000A5C86"/>
    <w:rsid w:val="000A6897"/>
    <w:rsid w:val="000A6CD5"/>
    <w:rsid w:val="000A6DBE"/>
    <w:rsid w:val="000A7CB1"/>
    <w:rsid w:val="000A7E1F"/>
    <w:rsid w:val="000B0B97"/>
    <w:rsid w:val="000B165D"/>
    <w:rsid w:val="000B1FC4"/>
    <w:rsid w:val="000B21D6"/>
    <w:rsid w:val="000B2404"/>
    <w:rsid w:val="000B36D8"/>
    <w:rsid w:val="000B3B7D"/>
    <w:rsid w:val="000B6E38"/>
    <w:rsid w:val="000C056F"/>
    <w:rsid w:val="000C08A5"/>
    <w:rsid w:val="000C09FE"/>
    <w:rsid w:val="000C10E1"/>
    <w:rsid w:val="000C1442"/>
    <w:rsid w:val="000C1928"/>
    <w:rsid w:val="000C19B3"/>
    <w:rsid w:val="000C19EF"/>
    <w:rsid w:val="000C2D7D"/>
    <w:rsid w:val="000C3134"/>
    <w:rsid w:val="000C3B86"/>
    <w:rsid w:val="000C3C4E"/>
    <w:rsid w:val="000C4A46"/>
    <w:rsid w:val="000C4F54"/>
    <w:rsid w:val="000C55A6"/>
    <w:rsid w:val="000C5928"/>
    <w:rsid w:val="000C6691"/>
    <w:rsid w:val="000C6A39"/>
    <w:rsid w:val="000C6FB8"/>
    <w:rsid w:val="000D0547"/>
    <w:rsid w:val="000D13E5"/>
    <w:rsid w:val="000D203B"/>
    <w:rsid w:val="000D28EB"/>
    <w:rsid w:val="000D308C"/>
    <w:rsid w:val="000D3CA0"/>
    <w:rsid w:val="000D4262"/>
    <w:rsid w:val="000D43DE"/>
    <w:rsid w:val="000D519D"/>
    <w:rsid w:val="000D55B5"/>
    <w:rsid w:val="000D58A1"/>
    <w:rsid w:val="000D68E5"/>
    <w:rsid w:val="000D7E54"/>
    <w:rsid w:val="000E04C6"/>
    <w:rsid w:val="000E0A5A"/>
    <w:rsid w:val="000E0A85"/>
    <w:rsid w:val="000E1306"/>
    <w:rsid w:val="000E2F5F"/>
    <w:rsid w:val="000E4F0F"/>
    <w:rsid w:val="000E55A5"/>
    <w:rsid w:val="000E67DB"/>
    <w:rsid w:val="000E68E3"/>
    <w:rsid w:val="000E6DDB"/>
    <w:rsid w:val="000E72AB"/>
    <w:rsid w:val="000E74A6"/>
    <w:rsid w:val="000E7545"/>
    <w:rsid w:val="000F03B1"/>
    <w:rsid w:val="000F08AE"/>
    <w:rsid w:val="000F0DA6"/>
    <w:rsid w:val="000F1AAB"/>
    <w:rsid w:val="000F2D33"/>
    <w:rsid w:val="000F43F4"/>
    <w:rsid w:val="000F440E"/>
    <w:rsid w:val="000F54E8"/>
    <w:rsid w:val="000F6143"/>
    <w:rsid w:val="000F6647"/>
    <w:rsid w:val="000F73B7"/>
    <w:rsid w:val="000F7464"/>
    <w:rsid w:val="000F794F"/>
    <w:rsid w:val="000F7E7B"/>
    <w:rsid w:val="001002F8"/>
    <w:rsid w:val="00100956"/>
    <w:rsid w:val="00102654"/>
    <w:rsid w:val="001028CC"/>
    <w:rsid w:val="00102932"/>
    <w:rsid w:val="001045F9"/>
    <w:rsid w:val="00104624"/>
    <w:rsid w:val="0010472B"/>
    <w:rsid w:val="00104F95"/>
    <w:rsid w:val="001064BD"/>
    <w:rsid w:val="0010654B"/>
    <w:rsid w:val="0010657F"/>
    <w:rsid w:val="00106FE5"/>
    <w:rsid w:val="001078E6"/>
    <w:rsid w:val="001079D3"/>
    <w:rsid w:val="00111159"/>
    <w:rsid w:val="0011116D"/>
    <w:rsid w:val="00111439"/>
    <w:rsid w:val="0011221E"/>
    <w:rsid w:val="00112D0F"/>
    <w:rsid w:val="001133E0"/>
    <w:rsid w:val="0011401D"/>
    <w:rsid w:val="00114218"/>
    <w:rsid w:val="00114FDA"/>
    <w:rsid w:val="0011559E"/>
    <w:rsid w:val="00115AEC"/>
    <w:rsid w:val="00115DE5"/>
    <w:rsid w:val="001163D6"/>
    <w:rsid w:val="0011726A"/>
    <w:rsid w:val="0011781D"/>
    <w:rsid w:val="00117D51"/>
    <w:rsid w:val="0012022D"/>
    <w:rsid w:val="00120B5E"/>
    <w:rsid w:val="0012108F"/>
    <w:rsid w:val="00121410"/>
    <w:rsid w:val="00121EB0"/>
    <w:rsid w:val="0012228D"/>
    <w:rsid w:val="00123218"/>
    <w:rsid w:val="001237BA"/>
    <w:rsid w:val="00123925"/>
    <w:rsid w:val="0012530F"/>
    <w:rsid w:val="00126641"/>
    <w:rsid w:val="00126954"/>
    <w:rsid w:val="00127081"/>
    <w:rsid w:val="001303BE"/>
    <w:rsid w:val="001320CB"/>
    <w:rsid w:val="00132F9E"/>
    <w:rsid w:val="00133D3A"/>
    <w:rsid w:val="001352EE"/>
    <w:rsid w:val="00135505"/>
    <w:rsid w:val="001364A7"/>
    <w:rsid w:val="0013653C"/>
    <w:rsid w:val="00136827"/>
    <w:rsid w:val="001375D4"/>
    <w:rsid w:val="0013768B"/>
    <w:rsid w:val="00140574"/>
    <w:rsid w:val="00140AED"/>
    <w:rsid w:val="001414B9"/>
    <w:rsid w:val="0014158A"/>
    <w:rsid w:val="00141928"/>
    <w:rsid w:val="001432E5"/>
    <w:rsid w:val="0014334B"/>
    <w:rsid w:val="00143385"/>
    <w:rsid w:val="00143750"/>
    <w:rsid w:val="00143E1F"/>
    <w:rsid w:val="00143E88"/>
    <w:rsid w:val="001455D8"/>
    <w:rsid w:val="001465DA"/>
    <w:rsid w:val="00146836"/>
    <w:rsid w:val="00146B5E"/>
    <w:rsid w:val="0014778B"/>
    <w:rsid w:val="0014790A"/>
    <w:rsid w:val="001479E6"/>
    <w:rsid w:val="00147A2F"/>
    <w:rsid w:val="00150452"/>
    <w:rsid w:val="0015046D"/>
    <w:rsid w:val="00150E70"/>
    <w:rsid w:val="00150E8B"/>
    <w:rsid w:val="00151609"/>
    <w:rsid w:val="00151975"/>
    <w:rsid w:val="00151ABB"/>
    <w:rsid w:val="00152B2B"/>
    <w:rsid w:val="00153D74"/>
    <w:rsid w:val="00153FB3"/>
    <w:rsid w:val="00154447"/>
    <w:rsid w:val="001549BE"/>
    <w:rsid w:val="00154CDE"/>
    <w:rsid w:val="00154DF3"/>
    <w:rsid w:val="00154F5B"/>
    <w:rsid w:val="00155582"/>
    <w:rsid w:val="0015701B"/>
    <w:rsid w:val="001570A4"/>
    <w:rsid w:val="00160C23"/>
    <w:rsid w:val="001610AC"/>
    <w:rsid w:val="00161DAC"/>
    <w:rsid w:val="00162141"/>
    <w:rsid w:val="00162B55"/>
    <w:rsid w:val="00162D8B"/>
    <w:rsid w:val="00163101"/>
    <w:rsid w:val="001638E9"/>
    <w:rsid w:val="00165824"/>
    <w:rsid w:val="00165C4D"/>
    <w:rsid w:val="001666EA"/>
    <w:rsid w:val="001668EA"/>
    <w:rsid w:val="001669F4"/>
    <w:rsid w:val="00167406"/>
    <w:rsid w:val="001674BB"/>
    <w:rsid w:val="00167A04"/>
    <w:rsid w:val="0017111A"/>
    <w:rsid w:val="00171A85"/>
    <w:rsid w:val="00173D57"/>
    <w:rsid w:val="00173F5C"/>
    <w:rsid w:val="00174186"/>
    <w:rsid w:val="00174565"/>
    <w:rsid w:val="00174584"/>
    <w:rsid w:val="00174EC9"/>
    <w:rsid w:val="00175BB3"/>
    <w:rsid w:val="0017606E"/>
    <w:rsid w:val="00176E68"/>
    <w:rsid w:val="001777A1"/>
    <w:rsid w:val="00177A9A"/>
    <w:rsid w:val="00177DE4"/>
    <w:rsid w:val="001808A4"/>
    <w:rsid w:val="00180FF3"/>
    <w:rsid w:val="001815A5"/>
    <w:rsid w:val="001816CB"/>
    <w:rsid w:val="00181F30"/>
    <w:rsid w:val="00182740"/>
    <w:rsid w:val="00184071"/>
    <w:rsid w:val="00184354"/>
    <w:rsid w:val="001852C5"/>
    <w:rsid w:val="00185A3B"/>
    <w:rsid w:val="00186850"/>
    <w:rsid w:val="001904A5"/>
    <w:rsid w:val="0019133F"/>
    <w:rsid w:val="001923C8"/>
    <w:rsid w:val="001939FF"/>
    <w:rsid w:val="00194786"/>
    <w:rsid w:val="00194DE8"/>
    <w:rsid w:val="00194FD7"/>
    <w:rsid w:val="00197990"/>
    <w:rsid w:val="001A0106"/>
    <w:rsid w:val="001A0280"/>
    <w:rsid w:val="001A02CB"/>
    <w:rsid w:val="001A02FD"/>
    <w:rsid w:val="001A11DB"/>
    <w:rsid w:val="001A16A7"/>
    <w:rsid w:val="001A19ED"/>
    <w:rsid w:val="001A33F4"/>
    <w:rsid w:val="001A50DE"/>
    <w:rsid w:val="001A510C"/>
    <w:rsid w:val="001A5164"/>
    <w:rsid w:val="001A53AE"/>
    <w:rsid w:val="001A6256"/>
    <w:rsid w:val="001A62AD"/>
    <w:rsid w:val="001A6DE3"/>
    <w:rsid w:val="001A6F29"/>
    <w:rsid w:val="001A789B"/>
    <w:rsid w:val="001B03CC"/>
    <w:rsid w:val="001B0C75"/>
    <w:rsid w:val="001B2010"/>
    <w:rsid w:val="001B2944"/>
    <w:rsid w:val="001B2A29"/>
    <w:rsid w:val="001B2DEE"/>
    <w:rsid w:val="001B368E"/>
    <w:rsid w:val="001B3FE6"/>
    <w:rsid w:val="001B44C2"/>
    <w:rsid w:val="001B4BDA"/>
    <w:rsid w:val="001B4EC1"/>
    <w:rsid w:val="001B5203"/>
    <w:rsid w:val="001B659F"/>
    <w:rsid w:val="001B693C"/>
    <w:rsid w:val="001B7399"/>
    <w:rsid w:val="001B7655"/>
    <w:rsid w:val="001B7BAD"/>
    <w:rsid w:val="001B7F09"/>
    <w:rsid w:val="001C1166"/>
    <w:rsid w:val="001C261E"/>
    <w:rsid w:val="001C323A"/>
    <w:rsid w:val="001C3AC7"/>
    <w:rsid w:val="001C42D0"/>
    <w:rsid w:val="001C7B78"/>
    <w:rsid w:val="001C7FB4"/>
    <w:rsid w:val="001D06D5"/>
    <w:rsid w:val="001D0A25"/>
    <w:rsid w:val="001D0BA6"/>
    <w:rsid w:val="001D1354"/>
    <w:rsid w:val="001D1903"/>
    <w:rsid w:val="001D1942"/>
    <w:rsid w:val="001D1D2A"/>
    <w:rsid w:val="001D1DDB"/>
    <w:rsid w:val="001D53EA"/>
    <w:rsid w:val="001D6F7C"/>
    <w:rsid w:val="001D7BEB"/>
    <w:rsid w:val="001E0086"/>
    <w:rsid w:val="001E0156"/>
    <w:rsid w:val="001E0A60"/>
    <w:rsid w:val="001E12A5"/>
    <w:rsid w:val="001E1BF9"/>
    <w:rsid w:val="001E1EDB"/>
    <w:rsid w:val="001E3A18"/>
    <w:rsid w:val="001E41DC"/>
    <w:rsid w:val="001E41E7"/>
    <w:rsid w:val="001E4485"/>
    <w:rsid w:val="001E48ED"/>
    <w:rsid w:val="001E4B0F"/>
    <w:rsid w:val="001E58FB"/>
    <w:rsid w:val="001E68A6"/>
    <w:rsid w:val="001E6DA0"/>
    <w:rsid w:val="001E7093"/>
    <w:rsid w:val="001E717D"/>
    <w:rsid w:val="001E71F5"/>
    <w:rsid w:val="001E7D86"/>
    <w:rsid w:val="001F1306"/>
    <w:rsid w:val="001F135D"/>
    <w:rsid w:val="001F193E"/>
    <w:rsid w:val="001F377B"/>
    <w:rsid w:val="001F3CF9"/>
    <w:rsid w:val="001F5561"/>
    <w:rsid w:val="001F55E5"/>
    <w:rsid w:val="001F5CB9"/>
    <w:rsid w:val="001F6DC7"/>
    <w:rsid w:val="001F7FA9"/>
    <w:rsid w:val="002003A1"/>
    <w:rsid w:val="00200577"/>
    <w:rsid w:val="00200DC3"/>
    <w:rsid w:val="002011E2"/>
    <w:rsid w:val="00201BB9"/>
    <w:rsid w:val="00202925"/>
    <w:rsid w:val="00202C70"/>
    <w:rsid w:val="00202F3D"/>
    <w:rsid w:val="002050B0"/>
    <w:rsid w:val="00205D80"/>
    <w:rsid w:val="00206401"/>
    <w:rsid w:val="00210874"/>
    <w:rsid w:val="0021093F"/>
    <w:rsid w:val="00212F20"/>
    <w:rsid w:val="002133CA"/>
    <w:rsid w:val="00213592"/>
    <w:rsid w:val="00213599"/>
    <w:rsid w:val="002146B5"/>
    <w:rsid w:val="00214FA2"/>
    <w:rsid w:val="00215783"/>
    <w:rsid w:val="0021644B"/>
    <w:rsid w:val="00216489"/>
    <w:rsid w:val="00216DC9"/>
    <w:rsid w:val="00217CA0"/>
    <w:rsid w:val="002202EB"/>
    <w:rsid w:val="00220FCF"/>
    <w:rsid w:val="00221705"/>
    <w:rsid w:val="002218FB"/>
    <w:rsid w:val="00221972"/>
    <w:rsid w:val="002231C8"/>
    <w:rsid w:val="00223208"/>
    <w:rsid w:val="00223291"/>
    <w:rsid w:val="002237E8"/>
    <w:rsid w:val="00224154"/>
    <w:rsid w:val="00224375"/>
    <w:rsid w:val="002254E4"/>
    <w:rsid w:val="00227086"/>
    <w:rsid w:val="0022725F"/>
    <w:rsid w:val="00230194"/>
    <w:rsid w:val="00231923"/>
    <w:rsid w:val="002329C3"/>
    <w:rsid w:val="00232EEF"/>
    <w:rsid w:val="002332AE"/>
    <w:rsid w:val="002333C2"/>
    <w:rsid w:val="002339F7"/>
    <w:rsid w:val="00233CA5"/>
    <w:rsid w:val="00233F2D"/>
    <w:rsid w:val="00234040"/>
    <w:rsid w:val="0023583A"/>
    <w:rsid w:val="00235D67"/>
    <w:rsid w:val="0023626B"/>
    <w:rsid w:val="00236356"/>
    <w:rsid w:val="00236FE7"/>
    <w:rsid w:val="002376AD"/>
    <w:rsid w:val="00242F07"/>
    <w:rsid w:val="00243020"/>
    <w:rsid w:val="002435F6"/>
    <w:rsid w:val="00243D6C"/>
    <w:rsid w:val="00244D22"/>
    <w:rsid w:val="0024648E"/>
    <w:rsid w:val="00246C09"/>
    <w:rsid w:val="002470E4"/>
    <w:rsid w:val="00247262"/>
    <w:rsid w:val="0025009B"/>
    <w:rsid w:val="0025144C"/>
    <w:rsid w:val="00252A74"/>
    <w:rsid w:val="00253FF3"/>
    <w:rsid w:val="0025607B"/>
    <w:rsid w:val="0025616B"/>
    <w:rsid w:val="00256A8D"/>
    <w:rsid w:val="00257285"/>
    <w:rsid w:val="00257FF4"/>
    <w:rsid w:val="002608CE"/>
    <w:rsid w:val="0026165D"/>
    <w:rsid w:val="00261660"/>
    <w:rsid w:val="002617F8"/>
    <w:rsid w:val="00262682"/>
    <w:rsid w:val="0026279C"/>
    <w:rsid w:val="00262CD3"/>
    <w:rsid w:val="002638DA"/>
    <w:rsid w:val="00264181"/>
    <w:rsid w:val="00264BB2"/>
    <w:rsid w:val="00265289"/>
    <w:rsid w:val="00265ED2"/>
    <w:rsid w:val="00266613"/>
    <w:rsid w:val="00266CF9"/>
    <w:rsid w:val="00266E0D"/>
    <w:rsid w:val="00266FE9"/>
    <w:rsid w:val="00267226"/>
    <w:rsid w:val="0027100C"/>
    <w:rsid w:val="00271180"/>
    <w:rsid w:val="00271502"/>
    <w:rsid w:val="00272396"/>
    <w:rsid w:val="00273D98"/>
    <w:rsid w:val="00274936"/>
    <w:rsid w:val="00275838"/>
    <w:rsid w:val="00275A4E"/>
    <w:rsid w:val="0027614D"/>
    <w:rsid w:val="0027651A"/>
    <w:rsid w:val="00276BF9"/>
    <w:rsid w:val="002770A1"/>
    <w:rsid w:val="002771DF"/>
    <w:rsid w:val="0028001E"/>
    <w:rsid w:val="00280D53"/>
    <w:rsid w:val="002819E3"/>
    <w:rsid w:val="00281CF6"/>
    <w:rsid w:val="0028359B"/>
    <w:rsid w:val="0028428E"/>
    <w:rsid w:val="00284441"/>
    <w:rsid w:val="002857FE"/>
    <w:rsid w:val="0028585E"/>
    <w:rsid w:val="002863D9"/>
    <w:rsid w:val="00290933"/>
    <w:rsid w:val="00291A80"/>
    <w:rsid w:val="00291E57"/>
    <w:rsid w:val="00292D6A"/>
    <w:rsid w:val="0029312A"/>
    <w:rsid w:val="0029325C"/>
    <w:rsid w:val="00293B2D"/>
    <w:rsid w:val="00293B46"/>
    <w:rsid w:val="00294E5F"/>
    <w:rsid w:val="00295D14"/>
    <w:rsid w:val="002960B7"/>
    <w:rsid w:val="0029711F"/>
    <w:rsid w:val="00297643"/>
    <w:rsid w:val="00297824"/>
    <w:rsid w:val="00297942"/>
    <w:rsid w:val="00297E20"/>
    <w:rsid w:val="002A0F2E"/>
    <w:rsid w:val="002A1206"/>
    <w:rsid w:val="002A153F"/>
    <w:rsid w:val="002A1CC2"/>
    <w:rsid w:val="002A23D5"/>
    <w:rsid w:val="002A32FD"/>
    <w:rsid w:val="002A3D61"/>
    <w:rsid w:val="002A40DC"/>
    <w:rsid w:val="002A4534"/>
    <w:rsid w:val="002A4A53"/>
    <w:rsid w:val="002A5329"/>
    <w:rsid w:val="002A5C2D"/>
    <w:rsid w:val="002A5CB3"/>
    <w:rsid w:val="002A61E5"/>
    <w:rsid w:val="002A664B"/>
    <w:rsid w:val="002A74DD"/>
    <w:rsid w:val="002A7FC8"/>
    <w:rsid w:val="002B0A81"/>
    <w:rsid w:val="002B1CE7"/>
    <w:rsid w:val="002B2F0F"/>
    <w:rsid w:val="002B3A98"/>
    <w:rsid w:val="002B50A9"/>
    <w:rsid w:val="002B54C2"/>
    <w:rsid w:val="002B595D"/>
    <w:rsid w:val="002B5F6A"/>
    <w:rsid w:val="002B72F0"/>
    <w:rsid w:val="002B779E"/>
    <w:rsid w:val="002B7D6F"/>
    <w:rsid w:val="002B7D78"/>
    <w:rsid w:val="002C0552"/>
    <w:rsid w:val="002C0961"/>
    <w:rsid w:val="002C1CF7"/>
    <w:rsid w:val="002C1D11"/>
    <w:rsid w:val="002C25D0"/>
    <w:rsid w:val="002C280B"/>
    <w:rsid w:val="002C2CB2"/>
    <w:rsid w:val="002C2DB0"/>
    <w:rsid w:val="002C4D41"/>
    <w:rsid w:val="002C5E54"/>
    <w:rsid w:val="002C75B0"/>
    <w:rsid w:val="002C761B"/>
    <w:rsid w:val="002C7703"/>
    <w:rsid w:val="002C7A63"/>
    <w:rsid w:val="002D0153"/>
    <w:rsid w:val="002D0985"/>
    <w:rsid w:val="002D1B46"/>
    <w:rsid w:val="002D1FB7"/>
    <w:rsid w:val="002D21E3"/>
    <w:rsid w:val="002D3540"/>
    <w:rsid w:val="002D403A"/>
    <w:rsid w:val="002D4262"/>
    <w:rsid w:val="002D46B7"/>
    <w:rsid w:val="002D6163"/>
    <w:rsid w:val="002D7A39"/>
    <w:rsid w:val="002E1064"/>
    <w:rsid w:val="002E2551"/>
    <w:rsid w:val="002E31DB"/>
    <w:rsid w:val="002E323F"/>
    <w:rsid w:val="002E3678"/>
    <w:rsid w:val="002E3C88"/>
    <w:rsid w:val="002E53DD"/>
    <w:rsid w:val="002E5554"/>
    <w:rsid w:val="002E59C4"/>
    <w:rsid w:val="002E5D24"/>
    <w:rsid w:val="002E671E"/>
    <w:rsid w:val="002F08EB"/>
    <w:rsid w:val="002F196B"/>
    <w:rsid w:val="002F1B12"/>
    <w:rsid w:val="002F2256"/>
    <w:rsid w:val="002F301D"/>
    <w:rsid w:val="002F47EC"/>
    <w:rsid w:val="002F530C"/>
    <w:rsid w:val="002F563E"/>
    <w:rsid w:val="002F591B"/>
    <w:rsid w:val="002F5C70"/>
    <w:rsid w:val="002F7B47"/>
    <w:rsid w:val="002F7FE2"/>
    <w:rsid w:val="00300013"/>
    <w:rsid w:val="0030032D"/>
    <w:rsid w:val="003006F8"/>
    <w:rsid w:val="00300BF2"/>
    <w:rsid w:val="00300C20"/>
    <w:rsid w:val="00300E2E"/>
    <w:rsid w:val="003013E3"/>
    <w:rsid w:val="003027C1"/>
    <w:rsid w:val="00302A25"/>
    <w:rsid w:val="00303CE6"/>
    <w:rsid w:val="00304900"/>
    <w:rsid w:val="00304C13"/>
    <w:rsid w:val="00304E05"/>
    <w:rsid w:val="00305718"/>
    <w:rsid w:val="00305EC5"/>
    <w:rsid w:val="00306107"/>
    <w:rsid w:val="00306C90"/>
    <w:rsid w:val="003074A8"/>
    <w:rsid w:val="003077B8"/>
    <w:rsid w:val="003101A3"/>
    <w:rsid w:val="00310272"/>
    <w:rsid w:val="00310332"/>
    <w:rsid w:val="003111F8"/>
    <w:rsid w:val="0031204A"/>
    <w:rsid w:val="00312493"/>
    <w:rsid w:val="0031272B"/>
    <w:rsid w:val="00313067"/>
    <w:rsid w:val="00314B8B"/>
    <w:rsid w:val="00315435"/>
    <w:rsid w:val="003164BB"/>
    <w:rsid w:val="00317BF9"/>
    <w:rsid w:val="0032038C"/>
    <w:rsid w:val="00320550"/>
    <w:rsid w:val="0032119E"/>
    <w:rsid w:val="00321889"/>
    <w:rsid w:val="00325C5E"/>
    <w:rsid w:val="00327269"/>
    <w:rsid w:val="0032738E"/>
    <w:rsid w:val="00327C00"/>
    <w:rsid w:val="00331B40"/>
    <w:rsid w:val="00331C5F"/>
    <w:rsid w:val="003325B9"/>
    <w:rsid w:val="00332E95"/>
    <w:rsid w:val="00333074"/>
    <w:rsid w:val="0033318A"/>
    <w:rsid w:val="00333223"/>
    <w:rsid w:val="0033397A"/>
    <w:rsid w:val="00333A43"/>
    <w:rsid w:val="00333B9F"/>
    <w:rsid w:val="00333F62"/>
    <w:rsid w:val="00334137"/>
    <w:rsid w:val="00334F7E"/>
    <w:rsid w:val="003364C1"/>
    <w:rsid w:val="00336B3E"/>
    <w:rsid w:val="00337F82"/>
    <w:rsid w:val="00340640"/>
    <w:rsid w:val="00340810"/>
    <w:rsid w:val="003435D6"/>
    <w:rsid w:val="003455BB"/>
    <w:rsid w:val="003458E0"/>
    <w:rsid w:val="00345CCD"/>
    <w:rsid w:val="00347E11"/>
    <w:rsid w:val="003511CE"/>
    <w:rsid w:val="00351909"/>
    <w:rsid w:val="00352BE0"/>
    <w:rsid w:val="0035333E"/>
    <w:rsid w:val="003538F0"/>
    <w:rsid w:val="00353C44"/>
    <w:rsid w:val="00354588"/>
    <w:rsid w:val="00355B4B"/>
    <w:rsid w:val="00357DAE"/>
    <w:rsid w:val="003602A5"/>
    <w:rsid w:val="003603E9"/>
    <w:rsid w:val="00361259"/>
    <w:rsid w:val="00361429"/>
    <w:rsid w:val="00362AA7"/>
    <w:rsid w:val="00362CFE"/>
    <w:rsid w:val="00363219"/>
    <w:rsid w:val="00363B11"/>
    <w:rsid w:val="003672D6"/>
    <w:rsid w:val="003705BF"/>
    <w:rsid w:val="00370935"/>
    <w:rsid w:val="00370F86"/>
    <w:rsid w:val="00371C1A"/>
    <w:rsid w:val="00372EBB"/>
    <w:rsid w:val="00374A2F"/>
    <w:rsid w:val="00375E52"/>
    <w:rsid w:val="00380888"/>
    <w:rsid w:val="00380D9F"/>
    <w:rsid w:val="003819E1"/>
    <w:rsid w:val="00382234"/>
    <w:rsid w:val="0038297F"/>
    <w:rsid w:val="0038323B"/>
    <w:rsid w:val="003852C0"/>
    <w:rsid w:val="00385A6A"/>
    <w:rsid w:val="003864EF"/>
    <w:rsid w:val="0038672F"/>
    <w:rsid w:val="003869D0"/>
    <w:rsid w:val="00386BC9"/>
    <w:rsid w:val="00386F24"/>
    <w:rsid w:val="003876AB"/>
    <w:rsid w:val="00387957"/>
    <w:rsid w:val="0039053D"/>
    <w:rsid w:val="00390C8F"/>
    <w:rsid w:val="00390D39"/>
    <w:rsid w:val="00390FD9"/>
    <w:rsid w:val="00391C9E"/>
    <w:rsid w:val="003926EA"/>
    <w:rsid w:val="00392B8A"/>
    <w:rsid w:val="00392B92"/>
    <w:rsid w:val="00392C13"/>
    <w:rsid w:val="00392DD1"/>
    <w:rsid w:val="0039387D"/>
    <w:rsid w:val="00393D23"/>
    <w:rsid w:val="00394434"/>
    <w:rsid w:val="0039449C"/>
    <w:rsid w:val="00395E02"/>
    <w:rsid w:val="0039684C"/>
    <w:rsid w:val="003A0290"/>
    <w:rsid w:val="003A25BB"/>
    <w:rsid w:val="003A300D"/>
    <w:rsid w:val="003A3E7B"/>
    <w:rsid w:val="003A4566"/>
    <w:rsid w:val="003A60B4"/>
    <w:rsid w:val="003A7067"/>
    <w:rsid w:val="003B09F6"/>
    <w:rsid w:val="003B0D03"/>
    <w:rsid w:val="003B1F0A"/>
    <w:rsid w:val="003B2445"/>
    <w:rsid w:val="003B2C1F"/>
    <w:rsid w:val="003B329D"/>
    <w:rsid w:val="003B3684"/>
    <w:rsid w:val="003B3D60"/>
    <w:rsid w:val="003B532E"/>
    <w:rsid w:val="003B5533"/>
    <w:rsid w:val="003B5A85"/>
    <w:rsid w:val="003B6269"/>
    <w:rsid w:val="003B71EE"/>
    <w:rsid w:val="003B7621"/>
    <w:rsid w:val="003B7C64"/>
    <w:rsid w:val="003C057F"/>
    <w:rsid w:val="003C0593"/>
    <w:rsid w:val="003C13A6"/>
    <w:rsid w:val="003C1615"/>
    <w:rsid w:val="003C1EB4"/>
    <w:rsid w:val="003C2A44"/>
    <w:rsid w:val="003C2EBC"/>
    <w:rsid w:val="003C4E3A"/>
    <w:rsid w:val="003C6E27"/>
    <w:rsid w:val="003C6E92"/>
    <w:rsid w:val="003C7EF0"/>
    <w:rsid w:val="003D0E1C"/>
    <w:rsid w:val="003D1104"/>
    <w:rsid w:val="003D1E47"/>
    <w:rsid w:val="003D3662"/>
    <w:rsid w:val="003D366F"/>
    <w:rsid w:val="003D39FF"/>
    <w:rsid w:val="003D3C14"/>
    <w:rsid w:val="003D4188"/>
    <w:rsid w:val="003D4557"/>
    <w:rsid w:val="003D543D"/>
    <w:rsid w:val="003D59FD"/>
    <w:rsid w:val="003E0953"/>
    <w:rsid w:val="003E10B8"/>
    <w:rsid w:val="003E115C"/>
    <w:rsid w:val="003E11FE"/>
    <w:rsid w:val="003E122D"/>
    <w:rsid w:val="003E13F5"/>
    <w:rsid w:val="003E1978"/>
    <w:rsid w:val="003E2031"/>
    <w:rsid w:val="003E2AE6"/>
    <w:rsid w:val="003E2B5E"/>
    <w:rsid w:val="003E3FF4"/>
    <w:rsid w:val="003E4881"/>
    <w:rsid w:val="003E4E15"/>
    <w:rsid w:val="003E53E8"/>
    <w:rsid w:val="003E5912"/>
    <w:rsid w:val="003E5AE8"/>
    <w:rsid w:val="003E68C4"/>
    <w:rsid w:val="003F07EE"/>
    <w:rsid w:val="003F0C8B"/>
    <w:rsid w:val="003F1607"/>
    <w:rsid w:val="003F29F2"/>
    <w:rsid w:val="003F3C77"/>
    <w:rsid w:val="003F458D"/>
    <w:rsid w:val="003F47DF"/>
    <w:rsid w:val="003F509C"/>
    <w:rsid w:val="003F6209"/>
    <w:rsid w:val="003F64C5"/>
    <w:rsid w:val="00400A8B"/>
    <w:rsid w:val="00401831"/>
    <w:rsid w:val="0040314A"/>
    <w:rsid w:val="004035D9"/>
    <w:rsid w:val="00404B4D"/>
    <w:rsid w:val="004054F6"/>
    <w:rsid w:val="0040574F"/>
    <w:rsid w:val="00405DAB"/>
    <w:rsid w:val="00405E90"/>
    <w:rsid w:val="004061FD"/>
    <w:rsid w:val="0040629D"/>
    <w:rsid w:val="004065CE"/>
    <w:rsid w:val="00406802"/>
    <w:rsid w:val="0040713C"/>
    <w:rsid w:val="00407A61"/>
    <w:rsid w:val="0041023D"/>
    <w:rsid w:val="004105DD"/>
    <w:rsid w:val="00410DCE"/>
    <w:rsid w:val="004128EA"/>
    <w:rsid w:val="00412C0B"/>
    <w:rsid w:val="00413DBF"/>
    <w:rsid w:val="0041404E"/>
    <w:rsid w:val="004141C4"/>
    <w:rsid w:val="0041429D"/>
    <w:rsid w:val="004147D0"/>
    <w:rsid w:val="00414E1F"/>
    <w:rsid w:val="0041581E"/>
    <w:rsid w:val="00415922"/>
    <w:rsid w:val="004161E5"/>
    <w:rsid w:val="0041765C"/>
    <w:rsid w:val="00420022"/>
    <w:rsid w:val="00420506"/>
    <w:rsid w:val="00420837"/>
    <w:rsid w:val="00421EEC"/>
    <w:rsid w:val="00422057"/>
    <w:rsid w:val="00422933"/>
    <w:rsid w:val="00422D13"/>
    <w:rsid w:val="00422F4B"/>
    <w:rsid w:val="00423003"/>
    <w:rsid w:val="0042482B"/>
    <w:rsid w:val="004248B4"/>
    <w:rsid w:val="00424C66"/>
    <w:rsid w:val="0042526D"/>
    <w:rsid w:val="004254A2"/>
    <w:rsid w:val="004254F4"/>
    <w:rsid w:val="00426D71"/>
    <w:rsid w:val="00430256"/>
    <w:rsid w:val="00430E3D"/>
    <w:rsid w:val="0043145F"/>
    <w:rsid w:val="0043194D"/>
    <w:rsid w:val="00431BE6"/>
    <w:rsid w:val="00431BF1"/>
    <w:rsid w:val="0043270D"/>
    <w:rsid w:val="00433D22"/>
    <w:rsid w:val="004342F8"/>
    <w:rsid w:val="00434A2F"/>
    <w:rsid w:val="00434B63"/>
    <w:rsid w:val="004356EB"/>
    <w:rsid w:val="00435E45"/>
    <w:rsid w:val="004368FE"/>
    <w:rsid w:val="00436AFE"/>
    <w:rsid w:val="00440016"/>
    <w:rsid w:val="0044083A"/>
    <w:rsid w:val="004408FA"/>
    <w:rsid w:val="004415E3"/>
    <w:rsid w:val="0044552A"/>
    <w:rsid w:val="00445663"/>
    <w:rsid w:val="004461A4"/>
    <w:rsid w:val="00446612"/>
    <w:rsid w:val="0044701E"/>
    <w:rsid w:val="004503EC"/>
    <w:rsid w:val="00450E44"/>
    <w:rsid w:val="00451501"/>
    <w:rsid w:val="00451558"/>
    <w:rsid w:val="004528D0"/>
    <w:rsid w:val="00453C86"/>
    <w:rsid w:val="00454564"/>
    <w:rsid w:val="0045495B"/>
    <w:rsid w:val="00454A2D"/>
    <w:rsid w:val="0045591E"/>
    <w:rsid w:val="004561C1"/>
    <w:rsid w:val="004562E5"/>
    <w:rsid w:val="0045637B"/>
    <w:rsid w:val="00457A3D"/>
    <w:rsid w:val="00457BC3"/>
    <w:rsid w:val="0046034D"/>
    <w:rsid w:val="00461801"/>
    <w:rsid w:val="00462272"/>
    <w:rsid w:val="0046390C"/>
    <w:rsid w:val="00464189"/>
    <w:rsid w:val="00464569"/>
    <w:rsid w:val="00465D4E"/>
    <w:rsid w:val="00465F27"/>
    <w:rsid w:val="00466381"/>
    <w:rsid w:val="00467393"/>
    <w:rsid w:val="00467A52"/>
    <w:rsid w:val="00467BDD"/>
    <w:rsid w:val="004717F6"/>
    <w:rsid w:val="00471FDA"/>
    <w:rsid w:val="00472458"/>
    <w:rsid w:val="00473441"/>
    <w:rsid w:val="0047364D"/>
    <w:rsid w:val="0047481E"/>
    <w:rsid w:val="00474918"/>
    <w:rsid w:val="00474B5A"/>
    <w:rsid w:val="00475EAF"/>
    <w:rsid w:val="004760E4"/>
    <w:rsid w:val="0047681C"/>
    <w:rsid w:val="0047758F"/>
    <w:rsid w:val="00480D4B"/>
    <w:rsid w:val="004815F8"/>
    <w:rsid w:val="00481E32"/>
    <w:rsid w:val="004831ED"/>
    <w:rsid w:val="004831FC"/>
    <w:rsid w:val="004833A1"/>
    <w:rsid w:val="004836A7"/>
    <w:rsid w:val="004847B4"/>
    <w:rsid w:val="00484921"/>
    <w:rsid w:val="00485B3F"/>
    <w:rsid w:val="00485B4E"/>
    <w:rsid w:val="00486217"/>
    <w:rsid w:val="00486614"/>
    <w:rsid w:val="00487DA5"/>
    <w:rsid w:val="00487E11"/>
    <w:rsid w:val="00487FB8"/>
    <w:rsid w:val="004900FE"/>
    <w:rsid w:val="004919D4"/>
    <w:rsid w:val="00491CD2"/>
    <w:rsid w:val="00491FB2"/>
    <w:rsid w:val="0049200C"/>
    <w:rsid w:val="0049212C"/>
    <w:rsid w:val="00493232"/>
    <w:rsid w:val="00494DBE"/>
    <w:rsid w:val="00495C39"/>
    <w:rsid w:val="004975DB"/>
    <w:rsid w:val="00497991"/>
    <w:rsid w:val="00497B06"/>
    <w:rsid w:val="00497E35"/>
    <w:rsid w:val="004A0194"/>
    <w:rsid w:val="004A1224"/>
    <w:rsid w:val="004A166E"/>
    <w:rsid w:val="004A16BD"/>
    <w:rsid w:val="004A247B"/>
    <w:rsid w:val="004A28C5"/>
    <w:rsid w:val="004A29ED"/>
    <w:rsid w:val="004A2F59"/>
    <w:rsid w:val="004A3865"/>
    <w:rsid w:val="004A490A"/>
    <w:rsid w:val="004A5838"/>
    <w:rsid w:val="004A5E53"/>
    <w:rsid w:val="004A64B4"/>
    <w:rsid w:val="004A660C"/>
    <w:rsid w:val="004A6B44"/>
    <w:rsid w:val="004A6C5F"/>
    <w:rsid w:val="004A6E0E"/>
    <w:rsid w:val="004A7619"/>
    <w:rsid w:val="004B04CB"/>
    <w:rsid w:val="004B0B19"/>
    <w:rsid w:val="004B0D66"/>
    <w:rsid w:val="004B1E81"/>
    <w:rsid w:val="004B23D0"/>
    <w:rsid w:val="004B35F0"/>
    <w:rsid w:val="004B37A7"/>
    <w:rsid w:val="004B4426"/>
    <w:rsid w:val="004B44E1"/>
    <w:rsid w:val="004B4862"/>
    <w:rsid w:val="004B5F2A"/>
    <w:rsid w:val="004B6034"/>
    <w:rsid w:val="004B6D61"/>
    <w:rsid w:val="004B74B2"/>
    <w:rsid w:val="004C103D"/>
    <w:rsid w:val="004C1303"/>
    <w:rsid w:val="004C1399"/>
    <w:rsid w:val="004C13A2"/>
    <w:rsid w:val="004C1463"/>
    <w:rsid w:val="004C1C09"/>
    <w:rsid w:val="004C1F8D"/>
    <w:rsid w:val="004C2A17"/>
    <w:rsid w:val="004C2B0E"/>
    <w:rsid w:val="004C2CC5"/>
    <w:rsid w:val="004C5507"/>
    <w:rsid w:val="004C7915"/>
    <w:rsid w:val="004D0D6B"/>
    <w:rsid w:val="004D1269"/>
    <w:rsid w:val="004D177A"/>
    <w:rsid w:val="004D1DAA"/>
    <w:rsid w:val="004D1E1A"/>
    <w:rsid w:val="004D1EFF"/>
    <w:rsid w:val="004D23A9"/>
    <w:rsid w:val="004D2683"/>
    <w:rsid w:val="004D29F5"/>
    <w:rsid w:val="004D2F90"/>
    <w:rsid w:val="004D572C"/>
    <w:rsid w:val="004D61C2"/>
    <w:rsid w:val="004D660D"/>
    <w:rsid w:val="004D7804"/>
    <w:rsid w:val="004E0294"/>
    <w:rsid w:val="004E0308"/>
    <w:rsid w:val="004E0AE1"/>
    <w:rsid w:val="004E0C95"/>
    <w:rsid w:val="004E15D3"/>
    <w:rsid w:val="004E25C9"/>
    <w:rsid w:val="004E2825"/>
    <w:rsid w:val="004E3079"/>
    <w:rsid w:val="004E3276"/>
    <w:rsid w:val="004E3836"/>
    <w:rsid w:val="004E3B3F"/>
    <w:rsid w:val="004E3FFE"/>
    <w:rsid w:val="004E4BC8"/>
    <w:rsid w:val="004E62E4"/>
    <w:rsid w:val="004E687B"/>
    <w:rsid w:val="004E7C41"/>
    <w:rsid w:val="004F0621"/>
    <w:rsid w:val="004F0E90"/>
    <w:rsid w:val="004F0F5B"/>
    <w:rsid w:val="004F1212"/>
    <w:rsid w:val="004F22B8"/>
    <w:rsid w:val="004F2437"/>
    <w:rsid w:val="004F3044"/>
    <w:rsid w:val="004F38E1"/>
    <w:rsid w:val="004F3A7E"/>
    <w:rsid w:val="004F4624"/>
    <w:rsid w:val="004F5573"/>
    <w:rsid w:val="004F5D8B"/>
    <w:rsid w:val="004F634F"/>
    <w:rsid w:val="004F64C4"/>
    <w:rsid w:val="004F7556"/>
    <w:rsid w:val="004F78BF"/>
    <w:rsid w:val="00500700"/>
    <w:rsid w:val="0050141B"/>
    <w:rsid w:val="00502638"/>
    <w:rsid w:val="005029BC"/>
    <w:rsid w:val="00502B87"/>
    <w:rsid w:val="0050346A"/>
    <w:rsid w:val="00503FD8"/>
    <w:rsid w:val="00504472"/>
    <w:rsid w:val="005048E3"/>
    <w:rsid w:val="00504A35"/>
    <w:rsid w:val="00505A77"/>
    <w:rsid w:val="00505CB3"/>
    <w:rsid w:val="005061B3"/>
    <w:rsid w:val="005067C7"/>
    <w:rsid w:val="00506EB0"/>
    <w:rsid w:val="00506EBE"/>
    <w:rsid w:val="00506FFB"/>
    <w:rsid w:val="0050795F"/>
    <w:rsid w:val="0050798C"/>
    <w:rsid w:val="005112E2"/>
    <w:rsid w:val="00511EE7"/>
    <w:rsid w:val="0051207B"/>
    <w:rsid w:val="005123E8"/>
    <w:rsid w:val="005136CD"/>
    <w:rsid w:val="00514B1A"/>
    <w:rsid w:val="00514E2B"/>
    <w:rsid w:val="005150C5"/>
    <w:rsid w:val="005166EF"/>
    <w:rsid w:val="00517351"/>
    <w:rsid w:val="00517763"/>
    <w:rsid w:val="00521860"/>
    <w:rsid w:val="00521D74"/>
    <w:rsid w:val="00521F26"/>
    <w:rsid w:val="005222CC"/>
    <w:rsid w:val="0052248D"/>
    <w:rsid w:val="00522622"/>
    <w:rsid w:val="00523B5E"/>
    <w:rsid w:val="005250EE"/>
    <w:rsid w:val="00525AB1"/>
    <w:rsid w:val="0052645C"/>
    <w:rsid w:val="0052679C"/>
    <w:rsid w:val="00526B01"/>
    <w:rsid w:val="00526C61"/>
    <w:rsid w:val="00527492"/>
    <w:rsid w:val="005277F5"/>
    <w:rsid w:val="005310C1"/>
    <w:rsid w:val="00531934"/>
    <w:rsid w:val="005328A9"/>
    <w:rsid w:val="00532994"/>
    <w:rsid w:val="005329BE"/>
    <w:rsid w:val="00533515"/>
    <w:rsid w:val="00533EDE"/>
    <w:rsid w:val="005342DE"/>
    <w:rsid w:val="005348C1"/>
    <w:rsid w:val="00534AC0"/>
    <w:rsid w:val="00535557"/>
    <w:rsid w:val="00535AD3"/>
    <w:rsid w:val="00535E36"/>
    <w:rsid w:val="0053606A"/>
    <w:rsid w:val="00536398"/>
    <w:rsid w:val="005369C0"/>
    <w:rsid w:val="00536B92"/>
    <w:rsid w:val="00540004"/>
    <w:rsid w:val="00540811"/>
    <w:rsid w:val="00540B25"/>
    <w:rsid w:val="00540D82"/>
    <w:rsid w:val="00541254"/>
    <w:rsid w:val="005412DC"/>
    <w:rsid w:val="005412E3"/>
    <w:rsid w:val="005421CC"/>
    <w:rsid w:val="00542884"/>
    <w:rsid w:val="00542BA5"/>
    <w:rsid w:val="00543374"/>
    <w:rsid w:val="00544841"/>
    <w:rsid w:val="00545C10"/>
    <w:rsid w:val="00545F45"/>
    <w:rsid w:val="00547058"/>
    <w:rsid w:val="0054724F"/>
    <w:rsid w:val="00547CD4"/>
    <w:rsid w:val="00547E34"/>
    <w:rsid w:val="00547EB8"/>
    <w:rsid w:val="005509E8"/>
    <w:rsid w:val="00551532"/>
    <w:rsid w:val="00552206"/>
    <w:rsid w:val="00552A37"/>
    <w:rsid w:val="00552ADC"/>
    <w:rsid w:val="00552FC2"/>
    <w:rsid w:val="0055343F"/>
    <w:rsid w:val="00553688"/>
    <w:rsid w:val="00553DA2"/>
    <w:rsid w:val="005543FB"/>
    <w:rsid w:val="00555623"/>
    <w:rsid w:val="005562DC"/>
    <w:rsid w:val="00556329"/>
    <w:rsid w:val="00556725"/>
    <w:rsid w:val="00557563"/>
    <w:rsid w:val="00557A85"/>
    <w:rsid w:val="00557B35"/>
    <w:rsid w:val="005606AE"/>
    <w:rsid w:val="005606B5"/>
    <w:rsid w:val="00560E2D"/>
    <w:rsid w:val="00562BAD"/>
    <w:rsid w:val="0056365E"/>
    <w:rsid w:val="00565712"/>
    <w:rsid w:val="00565C77"/>
    <w:rsid w:val="00566181"/>
    <w:rsid w:val="00566D48"/>
    <w:rsid w:val="00570160"/>
    <w:rsid w:val="005708BD"/>
    <w:rsid w:val="00571FE7"/>
    <w:rsid w:val="0057317E"/>
    <w:rsid w:val="005731D3"/>
    <w:rsid w:val="00573C7D"/>
    <w:rsid w:val="00574906"/>
    <w:rsid w:val="00574E9E"/>
    <w:rsid w:val="00575124"/>
    <w:rsid w:val="005752BC"/>
    <w:rsid w:val="0057622F"/>
    <w:rsid w:val="00577772"/>
    <w:rsid w:val="00577977"/>
    <w:rsid w:val="00577A3D"/>
    <w:rsid w:val="00581719"/>
    <w:rsid w:val="00581D30"/>
    <w:rsid w:val="0058259C"/>
    <w:rsid w:val="00583362"/>
    <w:rsid w:val="0058376C"/>
    <w:rsid w:val="00584245"/>
    <w:rsid w:val="00584C2D"/>
    <w:rsid w:val="00584D80"/>
    <w:rsid w:val="00584E57"/>
    <w:rsid w:val="00586535"/>
    <w:rsid w:val="00586BB5"/>
    <w:rsid w:val="00586D78"/>
    <w:rsid w:val="00586DFB"/>
    <w:rsid w:val="00587C83"/>
    <w:rsid w:val="005905BC"/>
    <w:rsid w:val="005909CB"/>
    <w:rsid w:val="00590B75"/>
    <w:rsid w:val="00590DAA"/>
    <w:rsid w:val="00591826"/>
    <w:rsid w:val="0059205C"/>
    <w:rsid w:val="00592349"/>
    <w:rsid w:val="00592D49"/>
    <w:rsid w:val="0059409C"/>
    <w:rsid w:val="005943D4"/>
    <w:rsid w:val="0059481F"/>
    <w:rsid w:val="005955BA"/>
    <w:rsid w:val="00596F3F"/>
    <w:rsid w:val="00596F9B"/>
    <w:rsid w:val="00597409"/>
    <w:rsid w:val="00597EEF"/>
    <w:rsid w:val="005A1C4E"/>
    <w:rsid w:val="005A2E0C"/>
    <w:rsid w:val="005A3678"/>
    <w:rsid w:val="005A3836"/>
    <w:rsid w:val="005A3DAF"/>
    <w:rsid w:val="005A4251"/>
    <w:rsid w:val="005A4A1A"/>
    <w:rsid w:val="005A5DF2"/>
    <w:rsid w:val="005A61D3"/>
    <w:rsid w:val="005A7C0B"/>
    <w:rsid w:val="005A7E70"/>
    <w:rsid w:val="005B18D0"/>
    <w:rsid w:val="005B1903"/>
    <w:rsid w:val="005B1A53"/>
    <w:rsid w:val="005B1AC5"/>
    <w:rsid w:val="005B2AF7"/>
    <w:rsid w:val="005B40E8"/>
    <w:rsid w:val="005B4779"/>
    <w:rsid w:val="005B6A94"/>
    <w:rsid w:val="005B6DAA"/>
    <w:rsid w:val="005B7314"/>
    <w:rsid w:val="005B7C27"/>
    <w:rsid w:val="005B7D8B"/>
    <w:rsid w:val="005C03F6"/>
    <w:rsid w:val="005C0475"/>
    <w:rsid w:val="005C1569"/>
    <w:rsid w:val="005C224F"/>
    <w:rsid w:val="005C2F76"/>
    <w:rsid w:val="005C348A"/>
    <w:rsid w:val="005C3C1A"/>
    <w:rsid w:val="005C4604"/>
    <w:rsid w:val="005C46D8"/>
    <w:rsid w:val="005C4BEE"/>
    <w:rsid w:val="005C5EA6"/>
    <w:rsid w:val="005C6E74"/>
    <w:rsid w:val="005C732E"/>
    <w:rsid w:val="005C781C"/>
    <w:rsid w:val="005D13ED"/>
    <w:rsid w:val="005D181E"/>
    <w:rsid w:val="005D1E16"/>
    <w:rsid w:val="005D2B5B"/>
    <w:rsid w:val="005D330E"/>
    <w:rsid w:val="005D36C8"/>
    <w:rsid w:val="005D5A8F"/>
    <w:rsid w:val="005D7A35"/>
    <w:rsid w:val="005E034F"/>
    <w:rsid w:val="005E09A7"/>
    <w:rsid w:val="005E198B"/>
    <w:rsid w:val="005E19D9"/>
    <w:rsid w:val="005E1D35"/>
    <w:rsid w:val="005E2A31"/>
    <w:rsid w:val="005E3D2F"/>
    <w:rsid w:val="005E442F"/>
    <w:rsid w:val="005E4644"/>
    <w:rsid w:val="005E54A3"/>
    <w:rsid w:val="005E5625"/>
    <w:rsid w:val="005E5653"/>
    <w:rsid w:val="005E57B7"/>
    <w:rsid w:val="005E589A"/>
    <w:rsid w:val="005E61D8"/>
    <w:rsid w:val="005E6F2B"/>
    <w:rsid w:val="005E7E2C"/>
    <w:rsid w:val="005F11F2"/>
    <w:rsid w:val="005F1ADE"/>
    <w:rsid w:val="005F29CD"/>
    <w:rsid w:val="005F3175"/>
    <w:rsid w:val="005F3436"/>
    <w:rsid w:val="005F3506"/>
    <w:rsid w:val="005F40EE"/>
    <w:rsid w:val="005F41D8"/>
    <w:rsid w:val="005F4446"/>
    <w:rsid w:val="005F4739"/>
    <w:rsid w:val="005F4AE8"/>
    <w:rsid w:val="005F6228"/>
    <w:rsid w:val="005F642B"/>
    <w:rsid w:val="005F67FC"/>
    <w:rsid w:val="005F76DF"/>
    <w:rsid w:val="006005BE"/>
    <w:rsid w:val="006015C9"/>
    <w:rsid w:val="00601630"/>
    <w:rsid w:val="00601995"/>
    <w:rsid w:val="00601A28"/>
    <w:rsid w:val="006026E1"/>
    <w:rsid w:val="00603A90"/>
    <w:rsid w:val="00605163"/>
    <w:rsid w:val="00605217"/>
    <w:rsid w:val="006065BF"/>
    <w:rsid w:val="00606621"/>
    <w:rsid w:val="00606F5E"/>
    <w:rsid w:val="006070EA"/>
    <w:rsid w:val="00607ABE"/>
    <w:rsid w:val="00607BD3"/>
    <w:rsid w:val="00607F53"/>
    <w:rsid w:val="006103D0"/>
    <w:rsid w:val="0061103A"/>
    <w:rsid w:val="00611EAE"/>
    <w:rsid w:val="006127BD"/>
    <w:rsid w:val="00613200"/>
    <w:rsid w:val="0061364A"/>
    <w:rsid w:val="00613BEA"/>
    <w:rsid w:val="0061402C"/>
    <w:rsid w:val="006156CA"/>
    <w:rsid w:val="0061595F"/>
    <w:rsid w:val="00615A79"/>
    <w:rsid w:val="00616179"/>
    <w:rsid w:val="006164D2"/>
    <w:rsid w:val="0061675B"/>
    <w:rsid w:val="0062052B"/>
    <w:rsid w:val="00620797"/>
    <w:rsid w:val="00620CED"/>
    <w:rsid w:val="00620F8F"/>
    <w:rsid w:val="00621A86"/>
    <w:rsid w:val="00623401"/>
    <w:rsid w:val="006241BA"/>
    <w:rsid w:val="006258B8"/>
    <w:rsid w:val="00625C40"/>
    <w:rsid w:val="00625EFA"/>
    <w:rsid w:val="0062706E"/>
    <w:rsid w:val="00627524"/>
    <w:rsid w:val="00627DFE"/>
    <w:rsid w:val="00627E7C"/>
    <w:rsid w:val="00630CFF"/>
    <w:rsid w:val="00631369"/>
    <w:rsid w:val="00632481"/>
    <w:rsid w:val="0063262D"/>
    <w:rsid w:val="0063268B"/>
    <w:rsid w:val="0063390E"/>
    <w:rsid w:val="00634673"/>
    <w:rsid w:val="00634FFC"/>
    <w:rsid w:val="00636AAB"/>
    <w:rsid w:val="00637BBD"/>
    <w:rsid w:val="00640D17"/>
    <w:rsid w:val="00641A99"/>
    <w:rsid w:val="00641CCA"/>
    <w:rsid w:val="00642156"/>
    <w:rsid w:val="00642768"/>
    <w:rsid w:val="00642A84"/>
    <w:rsid w:val="0064411F"/>
    <w:rsid w:val="00644847"/>
    <w:rsid w:val="00645E69"/>
    <w:rsid w:val="006460B4"/>
    <w:rsid w:val="00646130"/>
    <w:rsid w:val="00646ACE"/>
    <w:rsid w:val="006474C0"/>
    <w:rsid w:val="00647927"/>
    <w:rsid w:val="00650B2D"/>
    <w:rsid w:val="006513DB"/>
    <w:rsid w:val="00652B9B"/>
    <w:rsid w:val="00652F78"/>
    <w:rsid w:val="00653743"/>
    <w:rsid w:val="00653DD9"/>
    <w:rsid w:val="00654119"/>
    <w:rsid w:val="00654E6A"/>
    <w:rsid w:val="00654EC2"/>
    <w:rsid w:val="006551FC"/>
    <w:rsid w:val="00656768"/>
    <w:rsid w:val="00657135"/>
    <w:rsid w:val="006575F3"/>
    <w:rsid w:val="00657E08"/>
    <w:rsid w:val="00660871"/>
    <w:rsid w:val="006614ED"/>
    <w:rsid w:val="0066176D"/>
    <w:rsid w:val="00662809"/>
    <w:rsid w:val="00663823"/>
    <w:rsid w:val="00663FB9"/>
    <w:rsid w:val="00664E08"/>
    <w:rsid w:val="006650D0"/>
    <w:rsid w:val="006655A0"/>
    <w:rsid w:val="006667D5"/>
    <w:rsid w:val="0066774D"/>
    <w:rsid w:val="00667F42"/>
    <w:rsid w:val="00671284"/>
    <w:rsid w:val="00671516"/>
    <w:rsid w:val="00671517"/>
    <w:rsid w:val="00671784"/>
    <w:rsid w:val="006727FC"/>
    <w:rsid w:val="00673906"/>
    <w:rsid w:val="006746EB"/>
    <w:rsid w:val="006756CD"/>
    <w:rsid w:val="00675BD7"/>
    <w:rsid w:val="00676E5B"/>
    <w:rsid w:val="00677731"/>
    <w:rsid w:val="00677D6B"/>
    <w:rsid w:val="006804A1"/>
    <w:rsid w:val="00680795"/>
    <w:rsid w:val="006819B5"/>
    <w:rsid w:val="00682713"/>
    <w:rsid w:val="006832E2"/>
    <w:rsid w:val="00683451"/>
    <w:rsid w:val="00683579"/>
    <w:rsid w:val="006843F4"/>
    <w:rsid w:val="00684598"/>
    <w:rsid w:val="006854CE"/>
    <w:rsid w:val="00686B47"/>
    <w:rsid w:val="0068790B"/>
    <w:rsid w:val="006906E4"/>
    <w:rsid w:val="00690A9B"/>
    <w:rsid w:val="00690EDF"/>
    <w:rsid w:val="00691A75"/>
    <w:rsid w:val="00691C54"/>
    <w:rsid w:val="00691E49"/>
    <w:rsid w:val="006922DC"/>
    <w:rsid w:val="006928E4"/>
    <w:rsid w:val="00694195"/>
    <w:rsid w:val="006941DD"/>
    <w:rsid w:val="006943D1"/>
    <w:rsid w:val="0069466B"/>
    <w:rsid w:val="00694795"/>
    <w:rsid w:val="00695014"/>
    <w:rsid w:val="00695097"/>
    <w:rsid w:val="006953B2"/>
    <w:rsid w:val="00695626"/>
    <w:rsid w:val="00695D7D"/>
    <w:rsid w:val="0069681B"/>
    <w:rsid w:val="00696AA8"/>
    <w:rsid w:val="00696B38"/>
    <w:rsid w:val="00696F64"/>
    <w:rsid w:val="006976C4"/>
    <w:rsid w:val="006A257C"/>
    <w:rsid w:val="006A2615"/>
    <w:rsid w:val="006A4158"/>
    <w:rsid w:val="006A4649"/>
    <w:rsid w:val="006A4AA7"/>
    <w:rsid w:val="006A4E15"/>
    <w:rsid w:val="006A5866"/>
    <w:rsid w:val="006A5E4F"/>
    <w:rsid w:val="006A643C"/>
    <w:rsid w:val="006A76A9"/>
    <w:rsid w:val="006B02F2"/>
    <w:rsid w:val="006B0F54"/>
    <w:rsid w:val="006B12C6"/>
    <w:rsid w:val="006B36B2"/>
    <w:rsid w:val="006B37F2"/>
    <w:rsid w:val="006B415B"/>
    <w:rsid w:val="006B43CE"/>
    <w:rsid w:val="006B4C95"/>
    <w:rsid w:val="006B4CBA"/>
    <w:rsid w:val="006B5595"/>
    <w:rsid w:val="006B55CB"/>
    <w:rsid w:val="006B59AD"/>
    <w:rsid w:val="006B6FEB"/>
    <w:rsid w:val="006B7542"/>
    <w:rsid w:val="006B7A16"/>
    <w:rsid w:val="006C0A59"/>
    <w:rsid w:val="006C19EE"/>
    <w:rsid w:val="006C2E46"/>
    <w:rsid w:val="006C2E93"/>
    <w:rsid w:val="006C309B"/>
    <w:rsid w:val="006C35DA"/>
    <w:rsid w:val="006C3B05"/>
    <w:rsid w:val="006C4E45"/>
    <w:rsid w:val="006C5EE1"/>
    <w:rsid w:val="006C61B1"/>
    <w:rsid w:val="006C6DB8"/>
    <w:rsid w:val="006C747E"/>
    <w:rsid w:val="006C774B"/>
    <w:rsid w:val="006D0195"/>
    <w:rsid w:val="006D0669"/>
    <w:rsid w:val="006D1663"/>
    <w:rsid w:val="006D1D4E"/>
    <w:rsid w:val="006D3771"/>
    <w:rsid w:val="006D440A"/>
    <w:rsid w:val="006D5599"/>
    <w:rsid w:val="006D592F"/>
    <w:rsid w:val="006D5EA8"/>
    <w:rsid w:val="006D62BE"/>
    <w:rsid w:val="006D76DB"/>
    <w:rsid w:val="006D799C"/>
    <w:rsid w:val="006D7B71"/>
    <w:rsid w:val="006E0006"/>
    <w:rsid w:val="006E01BB"/>
    <w:rsid w:val="006E0C5F"/>
    <w:rsid w:val="006E0DF6"/>
    <w:rsid w:val="006E10E1"/>
    <w:rsid w:val="006E1BDE"/>
    <w:rsid w:val="006E2039"/>
    <w:rsid w:val="006E233B"/>
    <w:rsid w:val="006E2CEA"/>
    <w:rsid w:val="006E3073"/>
    <w:rsid w:val="006E336C"/>
    <w:rsid w:val="006E35A9"/>
    <w:rsid w:val="006E3B9E"/>
    <w:rsid w:val="006E4119"/>
    <w:rsid w:val="006E4A27"/>
    <w:rsid w:val="006E4DF1"/>
    <w:rsid w:val="006E5828"/>
    <w:rsid w:val="006E5926"/>
    <w:rsid w:val="006E5BCF"/>
    <w:rsid w:val="006E62C6"/>
    <w:rsid w:val="006E6BB9"/>
    <w:rsid w:val="006E7320"/>
    <w:rsid w:val="006E784F"/>
    <w:rsid w:val="006E7954"/>
    <w:rsid w:val="006E7C38"/>
    <w:rsid w:val="006F089E"/>
    <w:rsid w:val="006F0B4F"/>
    <w:rsid w:val="006F0BC0"/>
    <w:rsid w:val="006F0E97"/>
    <w:rsid w:val="006F1592"/>
    <w:rsid w:val="006F2DF3"/>
    <w:rsid w:val="006F2DF9"/>
    <w:rsid w:val="006F3C6F"/>
    <w:rsid w:val="006F41C6"/>
    <w:rsid w:val="006F53D0"/>
    <w:rsid w:val="006F5DD9"/>
    <w:rsid w:val="006F6FA2"/>
    <w:rsid w:val="006F751E"/>
    <w:rsid w:val="006F7A68"/>
    <w:rsid w:val="007001D0"/>
    <w:rsid w:val="00700CE3"/>
    <w:rsid w:val="00701498"/>
    <w:rsid w:val="00701955"/>
    <w:rsid w:val="00701D55"/>
    <w:rsid w:val="00701E70"/>
    <w:rsid w:val="00703415"/>
    <w:rsid w:val="00704BB6"/>
    <w:rsid w:val="00704F47"/>
    <w:rsid w:val="00705001"/>
    <w:rsid w:val="00705172"/>
    <w:rsid w:val="00705BC0"/>
    <w:rsid w:val="007072C2"/>
    <w:rsid w:val="0070746B"/>
    <w:rsid w:val="007075CA"/>
    <w:rsid w:val="00710C02"/>
    <w:rsid w:val="0071151E"/>
    <w:rsid w:val="007118AC"/>
    <w:rsid w:val="00711FC7"/>
    <w:rsid w:val="007123A5"/>
    <w:rsid w:val="0071482B"/>
    <w:rsid w:val="00714C8F"/>
    <w:rsid w:val="0071549E"/>
    <w:rsid w:val="00715A32"/>
    <w:rsid w:val="00715D27"/>
    <w:rsid w:val="00716F57"/>
    <w:rsid w:val="00717A74"/>
    <w:rsid w:val="00720BFF"/>
    <w:rsid w:val="00720EA2"/>
    <w:rsid w:val="00721409"/>
    <w:rsid w:val="00721CE0"/>
    <w:rsid w:val="007221A2"/>
    <w:rsid w:val="00722935"/>
    <w:rsid w:val="00722B0A"/>
    <w:rsid w:val="00723881"/>
    <w:rsid w:val="00723BA8"/>
    <w:rsid w:val="00724257"/>
    <w:rsid w:val="0072568C"/>
    <w:rsid w:val="00726698"/>
    <w:rsid w:val="00726FDE"/>
    <w:rsid w:val="00727815"/>
    <w:rsid w:val="007301A7"/>
    <w:rsid w:val="00730E31"/>
    <w:rsid w:val="00731DEF"/>
    <w:rsid w:val="00732436"/>
    <w:rsid w:val="00732556"/>
    <w:rsid w:val="007346F8"/>
    <w:rsid w:val="00734D66"/>
    <w:rsid w:val="00734E06"/>
    <w:rsid w:val="00736E9D"/>
    <w:rsid w:val="00736ED7"/>
    <w:rsid w:val="007373FA"/>
    <w:rsid w:val="00737E7D"/>
    <w:rsid w:val="007400CA"/>
    <w:rsid w:val="00740399"/>
    <w:rsid w:val="0074063F"/>
    <w:rsid w:val="00740EF1"/>
    <w:rsid w:val="00741BF8"/>
    <w:rsid w:val="00741D43"/>
    <w:rsid w:val="0074250E"/>
    <w:rsid w:val="007437BA"/>
    <w:rsid w:val="00743AB0"/>
    <w:rsid w:val="007444E7"/>
    <w:rsid w:val="00744525"/>
    <w:rsid w:val="00744D7C"/>
    <w:rsid w:val="00744DBD"/>
    <w:rsid w:val="00745217"/>
    <w:rsid w:val="00745398"/>
    <w:rsid w:val="00746FC3"/>
    <w:rsid w:val="00747286"/>
    <w:rsid w:val="00747B90"/>
    <w:rsid w:val="00747BE4"/>
    <w:rsid w:val="00750119"/>
    <w:rsid w:val="00754870"/>
    <w:rsid w:val="007561F0"/>
    <w:rsid w:val="00756632"/>
    <w:rsid w:val="00756AD6"/>
    <w:rsid w:val="0075754A"/>
    <w:rsid w:val="00757FDC"/>
    <w:rsid w:val="007601F3"/>
    <w:rsid w:val="007603EB"/>
    <w:rsid w:val="00760554"/>
    <w:rsid w:val="0076083D"/>
    <w:rsid w:val="00761DC2"/>
    <w:rsid w:val="00762859"/>
    <w:rsid w:val="00762B1E"/>
    <w:rsid w:val="00762C3A"/>
    <w:rsid w:val="00762EEE"/>
    <w:rsid w:val="00764387"/>
    <w:rsid w:val="00764B94"/>
    <w:rsid w:val="007652E2"/>
    <w:rsid w:val="0076583C"/>
    <w:rsid w:val="00765A82"/>
    <w:rsid w:val="00766434"/>
    <w:rsid w:val="00767BE0"/>
    <w:rsid w:val="00770E10"/>
    <w:rsid w:val="00771BA0"/>
    <w:rsid w:val="00771E5C"/>
    <w:rsid w:val="00771EDB"/>
    <w:rsid w:val="00772107"/>
    <w:rsid w:val="00772BA7"/>
    <w:rsid w:val="00773E30"/>
    <w:rsid w:val="007742FF"/>
    <w:rsid w:val="00774A83"/>
    <w:rsid w:val="00775146"/>
    <w:rsid w:val="0077566D"/>
    <w:rsid w:val="00775D53"/>
    <w:rsid w:val="00776097"/>
    <w:rsid w:val="007765AC"/>
    <w:rsid w:val="0077661D"/>
    <w:rsid w:val="007766A5"/>
    <w:rsid w:val="0077699B"/>
    <w:rsid w:val="00776ABD"/>
    <w:rsid w:val="00776E39"/>
    <w:rsid w:val="00777FAE"/>
    <w:rsid w:val="0078016D"/>
    <w:rsid w:val="007808BE"/>
    <w:rsid w:val="00781778"/>
    <w:rsid w:val="00782098"/>
    <w:rsid w:val="00782467"/>
    <w:rsid w:val="00783D75"/>
    <w:rsid w:val="00783FCC"/>
    <w:rsid w:val="007857E3"/>
    <w:rsid w:val="00785EA1"/>
    <w:rsid w:val="00786231"/>
    <w:rsid w:val="0079000B"/>
    <w:rsid w:val="007900CB"/>
    <w:rsid w:val="007905B2"/>
    <w:rsid w:val="00790E9B"/>
    <w:rsid w:val="007917E7"/>
    <w:rsid w:val="007927C6"/>
    <w:rsid w:val="007933C1"/>
    <w:rsid w:val="0079348E"/>
    <w:rsid w:val="00793A0A"/>
    <w:rsid w:val="00793EEB"/>
    <w:rsid w:val="0079405B"/>
    <w:rsid w:val="007948F2"/>
    <w:rsid w:val="00794EFF"/>
    <w:rsid w:val="00795679"/>
    <w:rsid w:val="0079797F"/>
    <w:rsid w:val="007A00E7"/>
    <w:rsid w:val="007A05F4"/>
    <w:rsid w:val="007A0BB9"/>
    <w:rsid w:val="007A14E8"/>
    <w:rsid w:val="007A1D73"/>
    <w:rsid w:val="007A3FD7"/>
    <w:rsid w:val="007A4023"/>
    <w:rsid w:val="007A5445"/>
    <w:rsid w:val="007A5A94"/>
    <w:rsid w:val="007A5E11"/>
    <w:rsid w:val="007A6C47"/>
    <w:rsid w:val="007A7910"/>
    <w:rsid w:val="007A7921"/>
    <w:rsid w:val="007B09DF"/>
    <w:rsid w:val="007B1018"/>
    <w:rsid w:val="007B31F7"/>
    <w:rsid w:val="007B347F"/>
    <w:rsid w:val="007B3889"/>
    <w:rsid w:val="007B39F6"/>
    <w:rsid w:val="007B4481"/>
    <w:rsid w:val="007B45F9"/>
    <w:rsid w:val="007B5A98"/>
    <w:rsid w:val="007B5E30"/>
    <w:rsid w:val="007B5E45"/>
    <w:rsid w:val="007B6746"/>
    <w:rsid w:val="007C0E55"/>
    <w:rsid w:val="007C0EF5"/>
    <w:rsid w:val="007C1DB0"/>
    <w:rsid w:val="007C2270"/>
    <w:rsid w:val="007C27D4"/>
    <w:rsid w:val="007C31A6"/>
    <w:rsid w:val="007C4720"/>
    <w:rsid w:val="007C4CCE"/>
    <w:rsid w:val="007C570A"/>
    <w:rsid w:val="007C638E"/>
    <w:rsid w:val="007C6F9F"/>
    <w:rsid w:val="007C7D49"/>
    <w:rsid w:val="007C7DE5"/>
    <w:rsid w:val="007D0EEB"/>
    <w:rsid w:val="007D1D99"/>
    <w:rsid w:val="007D3CBB"/>
    <w:rsid w:val="007D4044"/>
    <w:rsid w:val="007D4D2A"/>
    <w:rsid w:val="007D5E52"/>
    <w:rsid w:val="007D6805"/>
    <w:rsid w:val="007D759E"/>
    <w:rsid w:val="007D763D"/>
    <w:rsid w:val="007D77A3"/>
    <w:rsid w:val="007D7F29"/>
    <w:rsid w:val="007E00B1"/>
    <w:rsid w:val="007E0749"/>
    <w:rsid w:val="007E2F87"/>
    <w:rsid w:val="007E334F"/>
    <w:rsid w:val="007E3AC7"/>
    <w:rsid w:val="007E3F9D"/>
    <w:rsid w:val="007E3FC0"/>
    <w:rsid w:val="007E4155"/>
    <w:rsid w:val="007E53AD"/>
    <w:rsid w:val="007E57B5"/>
    <w:rsid w:val="007E5D39"/>
    <w:rsid w:val="007E66C8"/>
    <w:rsid w:val="007E67BD"/>
    <w:rsid w:val="007E6BBD"/>
    <w:rsid w:val="007F0171"/>
    <w:rsid w:val="007F06E1"/>
    <w:rsid w:val="007F0C09"/>
    <w:rsid w:val="007F2D26"/>
    <w:rsid w:val="007F3E75"/>
    <w:rsid w:val="007F517F"/>
    <w:rsid w:val="007F58C2"/>
    <w:rsid w:val="007F6391"/>
    <w:rsid w:val="007F6CAD"/>
    <w:rsid w:val="007F6FB8"/>
    <w:rsid w:val="007F7481"/>
    <w:rsid w:val="007F76FF"/>
    <w:rsid w:val="007F7E51"/>
    <w:rsid w:val="007F7E83"/>
    <w:rsid w:val="00801491"/>
    <w:rsid w:val="008015A7"/>
    <w:rsid w:val="00801B8F"/>
    <w:rsid w:val="00801EF6"/>
    <w:rsid w:val="00802A36"/>
    <w:rsid w:val="00802AEC"/>
    <w:rsid w:val="00803099"/>
    <w:rsid w:val="0080406C"/>
    <w:rsid w:val="008040CC"/>
    <w:rsid w:val="0080562C"/>
    <w:rsid w:val="008071D0"/>
    <w:rsid w:val="00807626"/>
    <w:rsid w:val="0081037F"/>
    <w:rsid w:val="0081066B"/>
    <w:rsid w:val="00810809"/>
    <w:rsid w:val="00810C6A"/>
    <w:rsid w:val="00810C86"/>
    <w:rsid w:val="0081161F"/>
    <w:rsid w:val="008121B8"/>
    <w:rsid w:val="00812350"/>
    <w:rsid w:val="00812369"/>
    <w:rsid w:val="00812741"/>
    <w:rsid w:val="008128E3"/>
    <w:rsid w:val="00812B12"/>
    <w:rsid w:val="00815871"/>
    <w:rsid w:val="0081622B"/>
    <w:rsid w:val="008163DB"/>
    <w:rsid w:val="00817208"/>
    <w:rsid w:val="0082022F"/>
    <w:rsid w:val="00821789"/>
    <w:rsid w:val="0082180B"/>
    <w:rsid w:val="00821BC9"/>
    <w:rsid w:val="00821C36"/>
    <w:rsid w:val="00822868"/>
    <w:rsid w:val="00824C83"/>
    <w:rsid w:val="00825147"/>
    <w:rsid w:val="00825D4F"/>
    <w:rsid w:val="00830017"/>
    <w:rsid w:val="00830787"/>
    <w:rsid w:val="00830DC9"/>
    <w:rsid w:val="00831489"/>
    <w:rsid w:val="00832587"/>
    <w:rsid w:val="008325BC"/>
    <w:rsid w:val="00833A6A"/>
    <w:rsid w:val="00833E2F"/>
    <w:rsid w:val="00834240"/>
    <w:rsid w:val="00834F9A"/>
    <w:rsid w:val="00836544"/>
    <w:rsid w:val="008368F3"/>
    <w:rsid w:val="008400A8"/>
    <w:rsid w:val="008410E7"/>
    <w:rsid w:val="0084156A"/>
    <w:rsid w:val="0084169A"/>
    <w:rsid w:val="0084191D"/>
    <w:rsid w:val="008427B1"/>
    <w:rsid w:val="008449FF"/>
    <w:rsid w:val="00845E77"/>
    <w:rsid w:val="0084601D"/>
    <w:rsid w:val="008462FB"/>
    <w:rsid w:val="00846C73"/>
    <w:rsid w:val="00847D16"/>
    <w:rsid w:val="008500CD"/>
    <w:rsid w:val="00850462"/>
    <w:rsid w:val="0085161D"/>
    <w:rsid w:val="008518CA"/>
    <w:rsid w:val="008525EF"/>
    <w:rsid w:val="008526EB"/>
    <w:rsid w:val="00852EEF"/>
    <w:rsid w:val="008536F6"/>
    <w:rsid w:val="00854312"/>
    <w:rsid w:val="00855597"/>
    <w:rsid w:val="00855749"/>
    <w:rsid w:val="00855780"/>
    <w:rsid w:val="008557AA"/>
    <w:rsid w:val="00855DF4"/>
    <w:rsid w:val="00856178"/>
    <w:rsid w:val="008567C0"/>
    <w:rsid w:val="00856C69"/>
    <w:rsid w:val="008570AB"/>
    <w:rsid w:val="00857E5D"/>
    <w:rsid w:val="0086012C"/>
    <w:rsid w:val="00861399"/>
    <w:rsid w:val="00862545"/>
    <w:rsid w:val="00862D62"/>
    <w:rsid w:val="00863356"/>
    <w:rsid w:val="008636BF"/>
    <w:rsid w:val="00864333"/>
    <w:rsid w:val="008644A5"/>
    <w:rsid w:val="00864544"/>
    <w:rsid w:val="00864F86"/>
    <w:rsid w:val="008653B5"/>
    <w:rsid w:val="00865A76"/>
    <w:rsid w:val="008663D7"/>
    <w:rsid w:val="0086730B"/>
    <w:rsid w:val="008674DC"/>
    <w:rsid w:val="00867985"/>
    <w:rsid w:val="008679E6"/>
    <w:rsid w:val="00867A0F"/>
    <w:rsid w:val="00871811"/>
    <w:rsid w:val="00871F84"/>
    <w:rsid w:val="00872E1F"/>
    <w:rsid w:val="00873942"/>
    <w:rsid w:val="0087400E"/>
    <w:rsid w:val="0087743B"/>
    <w:rsid w:val="00877BC9"/>
    <w:rsid w:val="00877C6A"/>
    <w:rsid w:val="00880558"/>
    <w:rsid w:val="00881DD6"/>
    <w:rsid w:val="00882ED0"/>
    <w:rsid w:val="00883894"/>
    <w:rsid w:val="00884490"/>
    <w:rsid w:val="00884776"/>
    <w:rsid w:val="00885DA2"/>
    <w:rsid w:val="00885E17"/>
    <w:rsid w:val="00885E6A"/>
    <w:rsid w:val="00886342"/>
    <w:rsid w:val="00886381"/>
    <w:rsid w:val="008866EF"/>
    <w:rsid w:val="00886980"/>
    <w:rsid w:val="008875DE"/>
    <w:rsid w:val="008877BE"/>
    <w:rsid w:val="0089074D"/>
    <w:rsid w:val="0089092F"/>
    <w:rsid w:val="00891154"/>
    <w:rsid w:val="00891880"/>
    <w:rsid w:val="0089325C"/>
    <w:rsid w:val="00893594"/>
    <w:rsid w:val="008947EA"/>
    <w:rsid w:val="00894ABF"/>
    <w:rsid w:val="00895FFF"/>
    <w:rsid w:val="0089681B"/>
    <w:rsid w:val="00896FF4"/>
    <w:rsid w:val="00897D71"/>
    <w:rsid w:val="008A0E85"/>
    <w:rsid w:val="008A15CB"/>
    <w:rsid w:val="008A1DDE"/>
    <w:rsid w:val="008A2544"/>
    <w:rsid w:val="008A34CE"/>
    <w:rsid w:val="008A371D"/>
    <w:rsid w:val="008A375C"/>
    <w:rsid w:val="008A3B54"/>
    <w:rsid w:val="008A5009"/>
    <w:rsid w:val="008A5443"/>
    <w:rsid w:val="008A55A8"/>
    <w:rsid w:val="008A5F01"/>
    <w:rsid w:val="008A6A98"/>
    <w:rsid w:val="008A6B66"/>
    <w:rsid w:val="008A7078"/>
    <w:rsid w:val="008A7609"/>
    <w:rsid w:val="008B0969"/>
    <w:rsid w:val="008B11D0"/>
    <w:rsid w:val="008B1648"/>
    <w:rsid w:val="008B32B6"/>
    <w:rsid w:val="008B4464"/>
    <w:rsid w:val="008B4BF2"/>
    <w:rsid w:val="008B56E5"/>
    <w:rsid w:val="008B5AFD"/>
    <w:rsid w:val="008B5BAA"/>
    <w:rsid w:val="008B6650"/>
    <w:rsid w:val="008B729C"/>
    <w:rsid w:val="008B7A4E"/>
    <w:rsid w:val="008C1506"/>
    <w:rsid w:val="008C156B"/>
    <w:rsid w:val="008C2D30"/>
    <w:rsid w:val="008C33F2"/>
    <w:rsid w:val="008C444D"/>
    <w:rsid w:val="008C5669"/>
    <w:rsid w:val="008C6C92"/>
    <w:rsid w:val="008C77F7"/>
    <w:rsid w:val="008C78C9"/>
    <w:rsid w:val="008D0262"/>
    <w:rsid w:val="008D04B2"/>
    <w:rsid w:val="008D0AE4"/>
    <w:rsid w:val="008D1B0D"/>
    <w:rsid w:val="008D20E6"/>
    <w:rsid w:val="008D2F52"/>
    <w:rsid w:val="008D3E19"/>
    <w:rsid w:val="008D540B"/>
    <w:rsid w:val="008D57A4"/>
    <w:rsid w:val="008D5F06"/>
    <w:rsid w:val="008D6661"/>
    <w:rsid w:val="008D6B57"/>
    <w:rsid w:val="008D74C3"/>
    <w:rsid w:val="008D7DFC"/>
    <w:rsid w:val="008E00FD"/>
    <w:rsid w:val="008E07C6"/>
    <w:rsid w:val="008E0F6F"/>
    <w:rsid w:val="008E152D"/>
    <w:rsid w:val="008E22C6"/>
    <w:rsid w:val="008E3214"/>
    <w:rsid w:val="008E3333"/>
    <w:rsid w:val="008E33EA"/>
    <w:rsid w:val="008E4180"/>
    <w:rsid w:val="008E439B"/>
    <w:rsid w:val="008E4ECE"/>
    <w:rsid w:val="008E568F"/>
    <w:rsid w:val="008E5BB7"/>
    <w:rsid w:val="008E5F84"/>
    <w:rsid w:val="008E6A1B"/>
    <w:rsid w:val="008E6C77"/>
    <w:rsid w:val="008E6FAD"/>
    <w:rsid w:val="008E6FF6"/>
    <w:rsid w:val="008E72E5"/>
    <w:rsid w:val="008E79F9"/>
    <w:rsid w:val="008E7DCC"/>
    <w:rsid w:val="008F0EA9"/>
    <w:rsid w:val="008F1B1E"/>
    <w:rsid w:val="008F2B7E"/>
    <w:rsid w:val="008F31DF"/>
    <w:rsid w:val="008F38F6"/>
    <w:rsid w:val="008F411D"/>
    <w:rsid w:val="008F4D31"/>
    <w:rsid w:val="008F53F5"/>
    <w:rsid w:val="008F56A2"/>
    <w:rsid w:val="008F5EF2"/>
    <w:rsid w:val="008F5FF0"/>
    <w:rsid w:val="008F61F2"/>
    <w:rsid w:val="008F63BC"/>
    <w:rsid w:val="008F6485"/>
    <w:rsid w:val="008F710C"/>
    <w:rsid w:val="008F743D"/>
    <w:rsid w:val="008F7785"/>
    <w:rsid w:val="008F7B17"/>
    <w:rsid w:val="008F7F3E"/>
    <w:rsid w:val="008F7F78"/>
    <w:rsid w:val="00900316"/>
    <w:rsid w:val="009010D0"/>
    <w:rsid w:val="0090122A"/>
    <w:rsid w:val="00901F73"/>
    <w:rsid w:val="00903301"/>
    <w:rsid w:val="0090394F"/>
    <w:rsid w:val="00904670"/>
    <w:rsid w:val="009054D3"/>
    <w:rsid w:val="00905587"/>
    <w:rsid w:val="009057D3"/>
    <w:rsid w:val="00905ADB"/>
    <w:rsid w:val="00905EA5"/>
    <w:rsid w:val="00906EA8"/>
    <w:rsid w:val="00907015"/>
    <w:rsid w:val="00907B9D"/>
    <w:rsid w:val="009102EF"/>
    <w:rsid w:val="00910CFA"/>
    <w:rsid w:val="009125D2"/>
    <w:rsid w:val="009136B2"/>
    <w:rsid w:val="00914007"/>
    <w:rsid w:val="009149FD"/>
    <w:rsid w:val="00915209"/>
    <w:rsid w:val="00915C44"/>
    <w:rsid w:val="00915E3F"/>
    <w:rsid w:val="00915F49"/>
    <w:rsid w:val="00915F97"/>
    <w:rsid w:val="0091787C"/>
    <w:rsid w:val="009179EB"/>
    <w:rsid w:val="00920239"/>
    <w:rsid w:val="009203C1"/>
    <w:rsid w:val="009212C4"/>
    <w:rsid w:val="0092273F"/>
    <w:rsid w:val="009238F1"/>
    <w:rsid w:val="009249B4"/>
    <w:rsid w:val="009253E4"/>
    <w:rsid w:val="00926597"/>
    <w:rsid w:val="00926716"/>
    <w:rsid w:val="009270DB"/>
    <w:rsid w:val="009301D5"/>
    <w:rsid w:val="00930570"/>
    <w:rsid w:val="00930BEB"/>
    <w:rsid w:val="00930C2E"/>
    <w:rsid w:val="009323DF"/>
    <w:rsid w:val="00932AFC"/>
    <w:rsid w:val="00933435"/>
    <w:rsid w:val="009334AE"/>
    <w:rsid w:val="0093389C"/>
    <w:rsid w:val="00933A7D"/>
    <w:rsid w:val="00933DA9"/>
    <w:rsid w:val="00933F6F"/>
    <w:rsid w:val="0093452F"/>
    <w:rsid w:val="0093491F"/>
    <w:rsid w:val="00935E14"/>
    <w:rsid w:val="00941E4F"/>
    <w:rsid w:val="00942454"/>
    <w:rsid w:val="0094480E"/>
    <w:rsid w:val="00947B5B"/>
    <w:rsid w:val="00950281"/>
    <w:rsid w:val="00951BD3"/>
    <w:rsid w:val="009529FD"/>
    <w:rsid w:val="00952B8F"/>
    <w:rsid w:val="00952DA0"/>
    <w:rsid w:val="0095313C"/>
    <w:rsid w:val="00953288"/>
    <w:rsid w:val="0095496C"/>
    <w:rsid w:val="0095569B"/>
    <w:rsid w:val="009559F2"/>
    <w:rsid w:val="009562CC"/>
    <w:rsid w:val="0095695E"/>
    <w:rsid w:val="009571D2"/>
    <w:rsid w:val="00957310"/>
    <w:rsid w:val="0095750D"/>
    <w:rsid w:val="00960B83"/>
    <w:rsid w:val="009611F2"/>
    <w:rsid w:val="00962B8F"/>
    <w:rsid w:val="009637E4"/>
    <w:rsid w:val="00964464"/>
    <w:rsid w:val="00964933"/>
    <w:rsid w:val="009651E4"/>
    <w:rsid w:val="00965665"/>
    <w:rsid w:val="0096632E"/>
    <w:rsid w:val="00966D4F"/>
    <w:rsid w:val="00970E65"/>
    <w:rsid w:val="0097102C"/>
    <w:rsid w:val="00971CBF"/>
    <w:rsid w:val="00971F52"/>
    <w:rsid w:val="0097202E"/>
    <w:rsid w:val="0097282B"/>
    <w:rsid w:val="00972E0B"/>
    <w:rsid w:val="0097462D"/>
    <w:rsid w:val="009748F0"/>
    <w:rsid w:val="00974A7C"/>
    <w:rsid w:val="0097587B"/>
    <w:rsid w:val="009758AD"/>
    <w:rsid w:val="009763C1"/>
    <w:rsid w:val="009766FE"/>
    <w:rsid w:val="00977284"/>
    <w:rsid w:val="00977715"/>
    <w:rsid w:val="00980439"/>
    <w:rsid w:val="00982444"/>
    <w:rsid w:val="00982BA7"/>
    <w:rsid w:val="00982D92"/>
    <w:rsid w:val="00982F10"/>
    <w:rsid w:val="00983027"/>
    <w:rsid w:val="009834A0"/>
    <w:rsid w:val="009839CE"/>
    <w:rsid w:val="009843A8"/>
    <w:rsid w:val="00984993"/>
    <w:rsid w:val="00984CA2"/>
    <w:rsid w:val="009854F1"/>
    <w:rsid w:val="0098714A"/>
    <w:rsid w:val="009901C2"/>
    <w:rsid w:val="00990428"/>
    <w:rsid w:val="00992727"/>
    <w:rsid w:val="00993EA1"/>
    <w:rsid w:val="00994138"/>
    <w:rsid w:val="0099496C"/>
    <w:rsid w:val="00995039"/>
    <w:rsid w:val="009950FA"/>
    <w:rsid w:val="00995582"/>
    <w:rsid w:val="00996569"/>
    <w:rsid w:val="00997D76"/>
    <w:rsid w:val="009A02D4"/>
    <w:rsid w:val="009A057B"/>
    <w:rsid w:val="009A06F0"/>
    <w:rsid w:val="009A11D4"/>
    <w:rsid w:val="009A14DE"/>
    <w:rsid w:val="009A2294"/>
    <w:rsid w:val="009A40DD"/>
    <w:rsid w:val="009A4A7E"/>
    <w:rsid w:val="009A562A"/>
    <w:rsid w:val="009A5F36"/>
    <w:rsid w:val="009A6DED"/>
    <w:rsid w:val="009A72B5"/>
    <w:rsid w:val="009A7BC2"/>
    <w:rsid w:val="009B011E"/>
    <w:rsid w:val="009B180F"/>
    <w:rsid w:val="009B1897"/>
    <w:rsid w:val="009B1BB7"/>
    <w:rsid w:val="009B1C51"/>
    <w:rsid w:val="009B2B31"/>
    <w:rsid w:val="009B2CDB"/>
    <w:rsid w:val="009B48D4"/>
    <w:rsid w:val="009B4DE3"/>
    <w:rsid w:val="009B546D"/>
    <w:rsid w:val="009B581F"/>
    <w:rsid w:val="009B692B"/>
    <w:rsid w:val="009B6BAE"/>
    <w:rsid w:val="009B7444"/>
    <w:rsid w:val="009B751B"/>
    <w:rsid w:val="009C0439"/>
    <w:rsid w:val="009C0992"/>
    <w:rsid w:val="009C0C48"/>
    <w:rsid w:val="009C1830"/>
    <w:rsid w:val="009C23DA"/>
    <w:rsid w:val="009C24B3"/>
    <w:rsid w:val="009C2C09"/>
    <w:rsid w:val="009C2E1B"/>
    <w:rsid w:val="009C2E5A"/>
    <w:rsid w:val="009C4583"/>
    <w:rsid w:val="009C5D44"/>
    <w:rsid w:val="009C6214"/>
    <w:rsid w:val="009C672A"/>
    <w:rsid w:val="009C703A"/>
    <w:rsid w:val="009C7B18"/>
    <w:rsid w:val="009C7D55"/>
    <w:rsid w:val="009C7F52"/>
    <w:rsid w:val="009D07F2"/>
    <w:rsid w:val="009D1884"/>
    <w:rsid w:val="009D24A3"/>
    <w:rsid w:val="009D2FD6"/>
    <w:rsid w:val="009D3295"/>
    <w:rsid w:val="009D3626"/>
    <w:rsid w:val="009D3665"/>
    <w:rsid w:val="009D3C84"/>
    <w:rsid w:val="009D40C6"/>
    <w:rsid w:val="009D54F3"/>
    <w:rsid w:val="009D5CAF"/>
    <w:rsid w:val="009D5DA3"/>
    <w:rsid w:val="009D6969"/>
    <w:rsid w:val="009D7470"/>
    <w:rsid w:val="009D7760"/>
    <w:rsid w:val="009D7A58"/>
    <w:rsid w:val="009D7BFF"/>
    <w:rsid w:val="009E0638"/>
    <w:rsid w:val="009E0828"/>
    <w:rsid w:val="009E0CED"/>
    <w:rsid w:val="009E114C"/>
    <w:rsid w:val="009E17A2"/>
    <w:rsid w:val="009E2363"/>
    <w:rsid w:val="009E2D23"/>
    <w:rsid w:val="009E4043"/>
    <w:rsid w:val="009E43C1"/>
    <w:rsid w:val="009E54AE"/>
    <w:rsid w:val="009E5FC3"/>
    <w:rsid w:val="009E689A"/>
    <w:rsid w:val="009E6DF1"/>
    <w:rsid w:val="009E6F01"/>
    <w:rsid w:val="009F19F1"/>
    <w:rsid w:val="009F3B27"/>
    <w:rsid w:val="009F3BA0"/>
    <w:rsid w:val="009F3F5D"/>
    <w:rsid w:val="009F43CB"/>
    <w:rsid w:val="009F4CB9"/>
    <w:rsid w:val="009F61B9"/>
    <w:rsid w:val="00A00283"/>
    <w:rsid w:val="00A0116B"/>
    <w:rsid w:val="00A01C02"/>
    <w:rsid w:val="00A01DE8"/>
    <w:rsid w:val="00A02167"/>
    <w:rsid w:val="00A02D24"/>
    <w:rsid w:val="00A02E16"/>
    <w:rsid w:val="00A040F8"/>
    <w:rsid w:val="00A05113"/>
    <w:rsid w:val="00A054DC"/>
    <w:rsid w:val="00A05824"/>
    <w:rsid w:val="00A069AE"/>
    <w:rsid w:val="00A071B0"/>
    <w:rsid w:val="00A07332"/>
    <w:rsid w:val="00A10389"/>
    <w:rsid w:val="00A1133E"/>
    <w:rsid w:val="00A11888"/>
    <w:rsid w:val="00A11AAD"/>
    <w:rsid w:val="00A11E62"/>
    <w:rsid w:val="00A11E8F"/>
    <w:rsid w:val="00A12369"/>
    <w:rsid w:val="00A12B9B"/>
    <w:rsid w:val="00A12F37"/>
    <w:rsid w:val="00A132B7"/>
    <w:rsid w:val="00A13522"/>
    <w:rsid w:val="00A13874"/>
    <w:rsid w:val="00A14357"/>
    <w:rsid w:val="00A1497B"/>
    <w:rsid w:val="00A151AA"/>
    <w:rsid w:val="00A1524F"/>
    <w:rsid w:val="00A15E63"/>
    <w:rsid w:val="00A167D9"/>
    <w:rsid w:val="00A16CBA"/>
    <w:rsid w:val="00A16DB9"/>
    <w:rsid w:val="00A171F1"/>
    <w:rsid w:val="00A17672"/>
    <w:rsid w:val="00A17EF0"/>
    <w:rsid w:val="00A206A3"/>
    <w:rsid w:val="00A20A6B"/>
    <w:rsid w:val="00A20C5D"/>
    <w:rsid w:val="00A21EC8"/>
    <w:rsid w:val="00A222CA"/>
    <w:rsid w:val="00A2252E"/>
    <w:rsid w:val="00A225E3"/>
    <w:rsid w:val="00A239CC"/>
    <w:rsid w:val="00A23BC2"/>
    <w:rsid w:val="00A247E9"/>
    <w:rsid w:val="00A248C9"/>
    <w:rsid w:val="00A265E8"/>
    <w:rsid w:val="00A26F01"/>
    <w:rsid w:val="00A279AC"/>
    <w:rsid w:val="00A27A30"/>
    <w:rsid w:val="00A30C5D"/>
    <w:rsid w:val="00A310F1"/>
    <w:rsid w:val="00A31C68"/>
    <w:rsid w:val="00A31FFF"/>
    <w:rsid w:val="00A325AE"/>
    <w:rsid w:val="00A326A6"/>
    <w:rsid w:val="00A342D9"/>
    <w:rsid w:val="00A352C5"/>
    <w:rsid w:val="00A35E30"/>
    <w:rsid w:val="00A35FAA"/>
    <w:rsid w:val="00A40163"/>
    <w:rsid w:val="00A409BC"/>
    <w:rsid w:val="00A40FC3"/>
    <w:rsid w:val="00A41D7C"/>
    <w:rsid w:val="00A42F6D"/>
    <w:rsid w:val="00A43C9A"/>
    <w:rsid w:val="00A43E54"/>
    <w:rsid w:val="00A44612"/>
    <w:rsid w:val="00A44720"/>
    <w:rsid w:val="00A46164"/>
    <w:rsid w:val="00A46A8E"/>
    <w:rsid w:val="00A51337"/>
    <w:rsid w:val="00A537E5"/>
    <w:rsid w:val="00A540A5"/>
    <w:rsid w:val="00A54248"/>
    <w:rsid w:val="00A55B6F"/>
    <w:rsid w:val="00A5670F"/>
    <w:rsid w:val="00A569DF"/>
    <w:rsid w:val="00A5781C"/>
    <w:rsid w:val="00A61BD0"/>
    <w:rsid w:val="00A6388E"/>
    <w:rsid w:val="00A64997"/>
    <w:rsid w:val="00A64BC6"/>
    <w:rsid w:val="00A64FD7"/>
    <w:rsid w:val="00A659CB"/>
    <w:rsid w:val="00A67D19"/>
    <w:rsid w:val="00A70398"/>
    <w:rsid w:val="00A709AD"/>
    <w:rsid w:val="00A70D03"/>
    <w:rsid w:val="00A71441"/>
    <w:rsid w:val="00A721F1"/>
    <w:rsid w:val="00A72DA9"/>
    <w:rsid w:val="00A733CB"/>
    <w:rsid w:val="00A739DF"/>
    <w:rsid w:val="00A73E03"/>
    <w:rsid w:val="00A740A0"/>
    <w:rsid w:val="00A74101"/>
    <w:rsid w:val="00A745EF"/>
    <w:rsid w:val="00A751AD"/>
    <w:rsid w:val="00A76045"/>
    <w:rsid w:val="00A773CD"/>
    <w:rsid w:val="00A775CF"/>
    <w:rsid w:val="00A77853"/>
    <w:rsid w:val="00A77C21"/>
    <w:rsid w:val="00A77FAF"/>
    <w:rsid w:val="00A805EB"/>
    <w:rsid w:val="00A8063F"/>
    <w:rsid w:val="00A80C87"/>
    <w:rsid w:val="00A81EED"/>
    <w:rsid w:val="00A83576"/>
    <w:rsid w:val="00A84193"/>
    <w:rsid w:val="00A84503"/>
    <w:rsid w:val="00A84B76"/>
    <w:rsid w:val="00A85D02"/>
    <w:rsid w:val="00A864DD"/>
    <w:rsid w:val="00A867DA"/>
    <w:rsid w:val="00A87473"/>
    <w:rsid w:val="00A8782F"/>
    <w:rsid w:val="00A9167D"/>
    <w:rsid w:val="00A91895"/>
    <w:rsid w:val="00A92D25"/>
    <w:rsid w:val="00A9401F"/>
    <w:rsid w:val="00A94689"/>
    <w:rsid w:val="00A94DDB"/>
    <w:rsid w:val="00A94F82"/>
    <w:rsid w:val="00A94FB4"/>
    <w:rsid w:val="00A950A1"/>
    <w:rsid w:val="00A965CD"/>
    <w:rsid w:val="00A96970"/>
    <w:rsid w:val="00AA1AD8"/>
    <w:rsid w:val="00AA1BEC"/>
    <w:rsid w:val="00AA27AA"/>
    <w:rsid w:val="00AA2DF3"/>
    <w:rsid w:val="00AA4761"/>
    <w:rsid w:val="00AA4FDE"/>
    <w:rsid w:val="00AA50BC"/>
    <w:rsid w:val="00AA5A42"/>
    <w:rsid w:val="00AA63FF"/>
    <w:rsid w:val="00AA6AE4"/>
    <w:rsid w:val="00AA7C6E"/>
    <w:rsid w:val="00AB24E7"/>
    <w:rsid w:val="00AB3237"/>
    <w:rsid w:val="00AB3917"/>
    <w:rsid w:val="00AB3A2D"/>
    <w:rsid w:val="00AB4AC8"/>
    <w:rsid w:val="00AB5E21"/>
    <w:rsid w:val="00AB6AD4"/>
    <w:rsid w:val="00AB75AE"/>
    <w:rsid w:val="00AB76EC"/>
    <w:rsid w:val="00AB7933"/>
    <w:rsid w:val="00AB7947"/>
    <w:rsid w:val="00AC03C5"/>
    <w:rsid w:val="00AC0659"/>
    <w:rsid w:val="00AC1200"/>
    <w:rsid w:val="00AC1352"/>
    <w:rsid w:val="00AC13C9"/>
    <w:rsid w:val="00AC29A4"/>
    <w:rsid w:val="00AC2D3B"/>
    <w:rsid w:val="00AC3071"/>
    <w:rsid w:val="00AC3127"/>
    <w:rsid w:val="00AC3A08"/>
    <w:rsid w:val="00AC3D18"/>
    <w:rsid w:val="00AC41D0"/>
    <w:rsid w:val="00AC4CF8"/>
    <w:rsid w:val="00AC50DF"/>
    <w:rsid w:val="00AC6332"/>
    <w:rsid w:val="00AC72C2"/>
    <w:rsid w:val="00AD10CF"/>
    <w:rsid w:val="00AD2FC0"/>
    <w:rsid w:val="00AD3119"/>
    <w:rsid w:val="00AD3581"/>
    <w:rsid w:val="00AD35EA"/>
    <w:rsid w:val="00AD3BC7"/>
    <w:rsid w:val="00AD42E2"/>
    <w:rsid w:val="00AD45C8"/>
    <w:rsid w:val="00AD4967"/>
    <w:rsid w:val="00AD4C11"/>
    <w:rsid w:val="00AD562E"/>
    <w:rsid w:val="00AD5B1B"/>
    <w:rsid w:val="00AD66BE"/>
    <w:rsid w:val="00AD6DB9"/>
    <w:rsid w:val="00AE12A9"/>
    <w:rsid w:val="00AE21E0"/>
    <w:rsid w:val="00AE2459"/>
    <w:rsid w:val="00AE278F"/>
    <w:rsid w:val="00AE29C2"/>
    <w:rsid w:val="00AE37DD"/>
    <w:rsid w:val="00AE3D23"/>
    <w:rsid w:val="00AE4CEC"/>
    <w:rsid w:val="00AE4D18"/>
    <w:rsid w:val="00AE4EC8"/>
    <w:rsid w:val="00AE517C"/>
    <w:rsid w:val="00AE5868"/>
    <w:rsid w:val="00AE58BF"/>
    <w:rsid w:val="00AE599E"/>
    <w:rsid w:val="00AE5D9F"/>
    <w:rsid w:val="00AE5F15"/>
    <w:rsid w:val="00AE61C0"/>
    <w:rsid w:val="00AE7126"/>
    <w:rsid w:val="00AE72C2"/>
    <w:rsid w:val="00AE76C9"/>
    <w:rsid w:val="00AE77A3"/>
    <w:rsid w:val="00AF06B4"/>
    <w:rsid w:val="00AF0BDC"/>
    <w:rsid w:val="00AF0C7E"/>
    <w:rsid w:val="00AF0EB2"/>
    <w:rsid w:val="00AF2791"/>
    <w:rsid w:val="00AF2EF5"/>
    <w:rsid w:val="00AF3117"/>
    <w:rsid w:val="00AF326B"/>
    <w:rsid w:val="00AF32F0"/>
    <w:rsid w:val="00AF3811"/>
    <w:rsid w:val="00AF418D"/>
    <w:rsid w:val="00AF4374"/>
    <w:rsid w:val="00AF55E0"/>
    <w:rsid w:val="00AF560E"/>
    <w:rsid w:val="00AF5C2F"/>
    <w:rsid w:val="00AF6220"/>
    <w:rsid w:val="00AF70EE"/>
    <w:rsid w:val="00AF7618"/>
    <w:rsid w:val="00AF79D1"/>
    <w:rsid w:val="00B00B01"/>
    <w:rsid w:val="00B00B34"/>
    <w:rsid w:val="00B01538"/>
    <w:rsid w:val="00B01553"/>
    <w:rsid w:val="00B04550"/>
    <w:rsid w:val="00B04964"/>
    <w:rsid w:val="00B04CBD"/>
    <w:rsid w:val="00B076EB"/>
    <w:rsid w:val="00B10605"/>
    <w:rsid w:val="00B10F95"/>
    <w:rsid w:val="00B116C5"/>
    <w:rsid w:val="00B1175B"/>
    <w:rsid w:val="00B11B0A"/>
    <w:rsid w:val="00B12331"/>
    <w:rsid w:val="00B124AD"/>
    <w:rsid w:val="00B14C81"/>
    <w:rsid w:val="00B15178"/>
    <w:rsid w:val="00B154B3"/>
    <w:rsid w:val="00B15B71"/>
    <w:rsid w:val="00B16085"/>
    <w:rsid w:val="00B1643C"/>
    <w:rsid w:val="00B166C6"/>
    <w:rsid w:val="00B20077"/>
    <w:rsid w:val="00B208FF"/>
    <w:rsid w:val="00B20D70"/>
    <w:rsid w:val="00B21941"/>
    <w:rsid w:val="00B21EB4"/>
    <w:rsid w:val="00B22A5B"/>
    <w:rsid w:val="00B2620A"/>
    <w:rsid w:val="00B2691D"/>
    <w:rsid w:val="00B26C44"/>
    <w:rsid w:val="00B27820"/>
    <w:rsid w:val="00B306EA"/>
    <w:rsid w:val="00B30944"/>
    <w:rsid w:val="00B3104B"/>
    <w:rsid w:val="00B312CE"/>
    <w:rsid w:val="00B32AAC"/>
    <w:rsid w:val="00B33F4D"/>
    <w:rsid w:val="00B36CFC"/>
    <w:rsid w:val="00B37148"/>
    <w:rsid w:val="00B37AFC"/>
    <w:rsid w:val="00B4084B"/>
    <w:rsid w:val="00B40B9F"/>
    <w:rsid w:val="00B41232"/>
    <w:rsid w:val="00B4258C"/>
    <w:rsid w:val="00B42B56"/>
    <w:rsid w:val="00B45864"/>
    <w:rsid w:val="00B460B5"/>
    <w:rsid w:val="00B46519"/>
    <w:rsid w:val="00B476D2"/>
    <w:rsid w:val="00B47849"/>
    <w:rsid w:val="00B47A45"/>
    <w:rsid w:val="00B47F4C"/>
    <w:rsid w:val="00B50032"/>
    <w:rsid w:val="00B50177"/>
    <w:rsid w:val="00B50958"/>
    <w:rsid w:val="00B50C4E"/>
    <w:rsid w:val="00B51526"/>
    <w:rsid w:val="00B52711"/>
    <w:rsid w:val="00B567D8"/>
    <w:rsid w:val="00B56872"/>
    <w:rsid w:val="00B5792D"/>
    <w:rsid w:val="00B60F6F"/>
    <w:rsid w:val="00B61A52"/>
    <w:rsid w:val="00B6230B"/>
    <w:rsid w:val="00B628E8"/>
    <w:rsid w:val="00B62AF2"/>
    <w:rsid w:val="00B63C3C"/>
    <w:rsid w:val="00B644BC"/>
    <w:rsid w:val="00B648BB"/>
    <w:rsid w:val="00B64DE4"/>
    <w:rsid w:val="00B64EAE"/>
    <w:rsid w:val="00B65561"/>
    <w:rsid w:val="00B676B8"/>
    <w:rsid w:val="00B70005"/>
    <w:rsid w:val="00B70124"/>
    <w:rsid w:val="00B70250"/>
    <w:rsid w:val="00B70326"/>
    <w:rsid w:val="00B70C9E"/>
    <w:rsid w:val="00B70F85"/>
    <w:rsid w:val="00B71222"/>
    <w:rsid w:val="00B7174A"/>
    <w:rsid w:val="00B73422"/>
    <w:rsid w:val="00B7358B"/>
    <w:rsid w:val="00B7388C"/>
    <w:rsid w:val="00B73E0D"/>
    <w:rsid w:val="00B74856"/>
    <w:rsid w:val="00B7521F"/>
    <w:rsid w:val="00B816F9"/>
    <w:rsid w:val="00B81B37"/>
    <w:rsid w:val="00B81BF7"/>
    <w:rsid w:val="00B830A1"/>
    <w:rsid w:val="00B83160"/>
    <w:rsid w:val="00B8365B"/>
    <w:rsid w:val="00B83705"/>
    <w:rsid w:val="00B83CA0"/>
    <w:rsid w:val="00B84243"/>
    <w:rsid w:val="00B8505F"/>
    <w:rsid w:val="00B85C34"/>
    <w:rsid w:val="00B86CCD"/>
    <w:rsid w:val="00B876C0"/>
    <w:rsid w:val="00B877B2"/>
    <w:rsid w:val="00B87806"/>
    <w:rsid w:val="00B90763"/>
    <w:rsid w:val="00B92B09"/>
    <w:rsid w:val="00B93884"/>
    <w:rsid w:val="00B93D53"/>
    <w:rsid w:val="00B94405"/>
    <w:rsid w:val="00B94A65"/>
    <w:rsid w:val="00B94ADF"/>
    <w:rsid w:val="00B94FB4"/>
    <w:rsid w:val="00B95C42"/>
    <w:rsid w:val="00B95D2D"/>
    <w:rsid w:val="00B9607C"/>
    <w:rsid w:val="00B9631B"/>
    <w:rsid w:val="00B96564"/>
    <w:rsid w:val="00B9676C"/>
    <w:rsid w:val="00B96A82"/>
    <w:rsid w:val="00BA090C"/>
    <w:rsid w:val="00BA0966"/>
    <w:rsid w:val="00BA0F2F"/>
    <w:rsid w:val="00BA127F"/>
    <w:rsid w:val="00BA28F3"/>
    <w:rsid w:val="00BA379F"/>
    <w:rsid w:val="00BA3F23"/>
    <w:rsid w:val="00BA6777"/>
    <w:rsid w:val="00BA6812"/>
    <w:rsid w:val="00BB0214"/>
    <w:rsid w:val="00BB0A58"/>
    <w:rsid w:val="00BB0E3B"/>
    <w:rsid w:val="00BB2950"/>
    <w:rsid w:val="00BB2A98"/>
    <w:rsid w:val="00BB3AB5"/>
    <w:rsid w:val="00BB3DA8"/>
    <w:rsid w:val="00BB407D"/>
    <w:rsid w:val="00BB498B"/>
    <w:rsid w:val="00BB5176"/>
    <w:rsid w:val="00BB5283"/>
    <w:rsid w:val="00BB5846"/>
    <w:rsid w:val="00BB5A84"/>
    <w:rsid w:val="00BB6D23"/>
    <w:rsid w:val="00BB721D"/>
    <w:rsid w:val="00BB7455"/>
    <w:rsid w:val="00BC20C8"/>
    <w:rsid w:val="00BC2C65"/>
    <w:rsid w:val="00BC3472"/>
    <w:rsid w:val="00BC3CAB"/>
    <w:rsid w:val="00BC3F11"/>
    <w:rsid w:val="00BC42CE"/>
    <w:rsid w:val="00BC6702"/>
    <w:rsid w:val="00BC76B4"/>
    <w:rsid w:val="00BC76E6"/>
    <w:rsid w:val="00BD172B"/>
    <w:rsid w:val="00BD210E"/>
    <w:rsid w:val="00BD29B8"/>
    <w:rsid w:val="00BD2CB2"/>
    <w:rsid w:val="00BD34C3"/>
    <w:rsid w:val="00BD40CB"/>
    <w:rsid w:val="00BD4954"/>
    <w:rsid w:val="00BD498E"/>
    <w:rsid w:val="00BD78D5"/>
    <w:rsid w:val="00BD7A64"/>
    <w:rsid w:val="00BE0007"/>
    <w:rsid w:val="00BE0659"/>
    <w:rsid w:val="00BE0A68"/>
    <w:rsid w:val="00BE2D7E"/>
    <w:rsid w:val="00BE537C"/>
    <w:rsid w:val="00BE64AD"/>
    <w:rsid w:val="00BE674A"/>
    <w:rsid w:val="00BE6D85"/>
    <w:rsid w:val="00BE70B3"/>
    <w:rsid w:val="00BE7412"/>
    <w:rsid w:val="00BE7D58"/>
    <w:rsid w:val="00BF0270"/>
    <w:rsid w:val="00BF0E14"/>
    <w:rsid w:val="00BF164E"/>
    <w:rsid w:val="00BF1A33"/>
    <w:rsid w:val="00BF1EB6"/>
    <w:rsid w:val="00BF23C3"/>
    <w:rsid w:val="00BF3266"/>
    <w:rsid w:val="00BF35D9"/>
    <w:rsid w:val="00BF3D35"/>
    <w:rsid w:val="00BF598C"/>
    <w:rsid w:val="00BF5F61"/>
    <w:rsid w:val="00BF6D42"/>
    <w:rsid w:val="00BF6F79"/>
    <w:rsid w:val="00BF73FE"/>
    <w:rsid w:val="00BF7ED9"/>
    <w:rsid w:val="00C00AA5"/>
    <w:rsid w:val="00C00B3B"/>
    <w:rsid w:val="00C02450"/>
    <w:rsid w:val="00C038D0"/>
    <w:rsid w:val="00C03C4C"/>
    <w:rsid w:val="00C04CE2"/>
    <w:rsid w:val="00C066AF"/>
    <w:rsid w:val="00C06CE4"/>
    <w:rsid w:val="00C072CE"/>
    <w:rsid w:val="00C07DEC"/>
    <w:rsid w:val="00C07F1C"/>
    <w:rsid w:val="00C1005F"/>
    <w:rsid w:val="00C107D2"/>
    <w:rsid w:val="00C11EAA"/>
    <w:rsid w:val="00C11F05"/>
    <w:rsid w:val="00C11F2F"/>
    <w:rsid w:val="00C12D0A"/>
    <w:rsid w:val="00C13681"/>
    <w:rsid w:val="00C13DA0"/>
    <w:rsid w:val="00C14E79"/>
    <w:rsid w:val="00C15DEF"/>
    <w:rsid w:val="00C17B32"/>
    <w:rsid w:val="00C200C8"/>
    <w:rsid w:val="00C201D2"/>
    <w:rsid w:val="00C20E76"/>
    <w:rsid w:val="00C23647"/>
    <w:rsid w:val="00C23E3B"/>
    <w:rsid w:val="00C2476F"/>
    <w:rsid w:val="00C24BB1"/>
    <w:rsid w:val="00C258EF"/>
    <w:rsid w:val="00C25C72"/>
    <w:rsid w:val="00C2641F"/>
    <w:rsid w:val="00C26E37"/>
    <w:rsid w:val="00C276B1"/>
    <w:rsid w:val="00C27F9A"/>
    <w:rsid w:val="00C3009E"/>
    <w:rsid w:val="00C3155F"/>
    <w:rsid w:val="00C31E81"/>
    <w:rsid w:val="00C3239B"/>
    <w:rsid w:val="00C3249E"/>
    <w:rsid w:val="00C3303C"/>
    <w:rsid w:val="00C3324A"/>
    <w:rsid w:val="00C33F82"/>
    <w:rsid w:val="00C342CD"/>
    <w:rsid w:val="00C34390"/>
    <w:rsid w:val="00C34C59"/>
    <w:rsid w:val="00C359BA"/>
    <w:rsid w:val="00C36775"/>
    <w:rsid w:val="00C37004"/>
    <w:rsid w:val="00C37BFF"/>
    <w:rsid w:val="00C404BB"/>
    <w:rsid w:val="00C40689"/>
    <w:rsid w:val="00C40D38"/>
    <w:rsid w:val="00C40EFA"/>
    <w:rsid w:val="00C41058"/>
    <w:rsid w:val="00C41D55"/>
    <w:rsid w:val="00C42089"/>
    <w:rsid w:val="00C428E6"/>
    <w:rsid w:val="00C42D37"/>
    <w:rsid w:val="00C431A3"/>
    <w:rsid w:val="00C43DF8"/>
    <w:rsid w:val="00C44BE3"/>
    <w:rsid w:val="00C44C1D"/>
    <w:rsid w:val="00C450A9"/>
    <w:rsid w:val="00C45903"/>
    <w:rsid w:val="00C46399"/>
    <w:rsid w:val="00C46D0E"/>
    <w:rsid w:val="00C4749C"/>
    <w:rsid w:val="00C47E7C"/>
    <w:rsid w:val="00C50527"/>
    <w:rsid w:val="00C50D03"/>
    <w:rsid w:val="00C5146A"/>
    <w:rsid w:val="00C531D5"/>
    <w:rsid w:val="00C53EF2"/>
    <w:rsid w:val="00C552B1"/>
    <w:rsid w:val="00C55846"/>
    <w:rsid w:val="00C618E7"/>
    <w:rsid w:val="00C61EA2"/>
    <w:rsid w:val="00C6305B"/>
    <w:rsid w:val="00C63109"/>
    <w:rsid w:val="00C63C1F"/>
    <w:rsid w:val="00C63C6E"/>
    <w:rsid w:val="00C63ED7"/>
    <w:rsid w:val="00C65397"/>
    <w:rsid w:val="00C65A5F"/>
    <w:rsid w:val="00C66319"/>
    <w:rsid w:val="00C66C6C"/>
    <w:rsid w:val="00C705DA"/>
    <w:rsid w:val="00C715F0"/>
    <w:rsid w:val="00C7170E"/>
    <w:rsid w:val="00C7356F"/>
    <w:rsid w:val="00C739D5"/>
    <w:rsid w:val="00C74126"/>
    <w:rsid w:val="00C74C39"/>
    <w:rsid w:val="00C74DA9"/>
    <w:rsid w:val="00C74E8D"/>
    <w:rsid w:val="00C753BA"/>
    <w:rsid w:val="00C7638D"/>
    <w:rsid w:val="00C763EA"/>
    <w:rsid w:val="00C763ED"/>
    <w:rsid w:val="00C77417"/>
    <w:rsid w:val="00C7749B"/>
    <w:rsid w:val="00C8049D"/>
    <w:rsid w:val="00C80772"/>
    <w:rsid w:val="00C80C3E"/>
    <w:rsid w:val="00C81B4E"/>
    <w:rsid w:val="00C8277A"/>
    <w:rsid w:val="00C82F5D"/>
    <w:rsid w:val="00C83A84"/>
    <w:rsid w:val="00C84974"/>
    <w:rsid w:val="00C84E09"/>
    <w:rsid w:val="00C854F5"/>
    <w:rsid w:val="00C85C30"/>
    <w:rsid w:val="00C85E77"/>
    <w:rsid w:val="00C86D90"/>
    <w:rsid w:val="00C872C5"/>
    <w:rsid w:val="00C8748F"/>
    <w:rsid w:val="00C87FB8"/>
    <w:rsid w:val="00C91347"/>
    <w:rsid w:val="00C91CF4"/>
    <w:rsid w:val="00C91E97"/>
    <w:rsid w:val="00C92123"/>
    <w:rsid w:val="00C93FD5"/>
    <w:rsid w:val="00C946DC"/>
    <w:rsid w:val="00C951B5"/>
    <w:rsid w:val="00C95596"/>
    <w:rsid w:val="00C95850"/>
    <w:rsid w:val="00C95B85"/>
    <w:rsid w:val="00C9622F"/>
    <w:rsid w:val="00C96C9E"/>
    <w:rsid w:val="00C97362"/>
    <w:rsid w:val="00C978F2"/>
    <w:rsid w:val="00C97F24"/>
    <w:rsid w:val="00C97F3F"/>
    <w:rsid w:val="00CA0B5E"/>
    <w:rsid w:val="00CA0F4F"/>
    <w:rsid w:val="00CA15D7"/>
    <w:rsid w:val="00CA2F21"/>
    <w:rsid w:val="00CA3214"/>
    <w:rsid w:val="00CA4336"/>
    <w:rsid w:val="00CA450E"/>
    <w:rsid w:val="00CA475B"/>
    <w:rsid w:val="00CA4819"/>
    <w:rsid w:val="00CA49A3"/>
    <w:rsid w:val="00CA600B"/>
    <w:rsid w:val="00CA709C"/>
    <w:rsid w:val="00CB1040"/>
    <w:rsid w:val="00CB14B7"/>
    <w:rsid w:val="00CB1F59"/>
    <w:rsid w:val="00CB2844"/>
    <w:rsid w:val="00CB4589"/>
    <w:rsid w:val="00CB54F0"/>
    <w:rsid w:val="00CB60C9"/>
    <w:rsid w:val="00CB62C0"/>
    <w:rsid w:val="00CB6D24"/>
    <w:rsid w:val="00CB795F"/>
    <w:rsid w:val="00CB7D9F"/>
    <w:rsid w:val="00CC0486"/>
    <w:rsid w:val="00CC0B67"/>
    <w:rsid w:val="00CC12AE"/>
    <w:rsid w:val="00CC27A2"/>
    <w:rsid w:val="00CC28DA"/>
    <w:rsid w:val="00CC2A06"/>
    <w:rsid w:val="00CC36A5"/>
    <w:rsid w:val="00CC4867"/>
    <w:rsid w:val="00CC5AB0"/>
    <w:rsid w:val="00CC6371"/>
    <w:rsid w:val="00CC6AFF"/>
    <w:rsid w:val="00CC7ED8"/>
    <w:rsid w:val="00CC7F08"/>
    <w:rsid w:val="00CD12CE"/>
    <w:rsid w:val="00CD1BF3"/>
    <w:rsid w:val="00CD22EC"/>
    <w:rsid w:val="00CD3382"/>
    <w:rsid w:val="00CD4C02"/>
    <w:rsid w:val="00CD54B0"/>
    <w:rsid w:val="00CD6D33"/>
    <w:rsid w:val="00CD73EB"/>
    <w:rsid w:val="00CE0085"/>
    <w:rsid w:val="00CE0472"/>
    <w:rsid w:val="00CE179F"/>
    <w:rsid w:val="00CE2B6C"/>
    <w:rsid w:val="00CE2C1A"/>
    <w:rsid w:val="00CE3F53"/>
    <w:rsid w:val="00CE4134"/>
    <w:rsid w:val="00CE4BBC"/>
    <w:rsid w:val="00CE4D05"/>
    <w:rsid w:val="00CE542C"/>
    <w:rsid w:val="00CE558E"/>
    <w:rsid w:val="00CE5774"/>
    <w:rsid w:val="00CE71CF"/>
    <w:rsid w:val="00CE7933"/>
    <w:rsid w:val="00CF0538"/>
    <w:rsid w:val="00CF164C"/>
    <w:rsid w:val="00CF2C6F"/>
    <w:rsid w:val="00CF4131"/>
    <w:rsid w:val="00CF5085"/>
    <w:rsid w:val="00CF5889"/>
    <w:rsid w:val="00CF5FDC"/>
    <w:rsid w:val="00CF5FED"/>
    <w:rsid w:val="00CF6108"/>
    <w:rsid w:val="00CF6DDB"/>
    <w:rsid w:val="00D00382"/>
    <w:rsid w:val="00D006C6"/>
    <w:rsid w:val="00D0086A"/>
    <w:rsid w:val="00D02C8E"/>
    <w:rsid w:val="00D02EF1"/>
    <w:rsid w:val="00D04C5C"/>
    <w:rsid w:val="00D05719"/>
    <w:rsid w:val="00D0620C"/>
    <w:rsid w:val="00D079A9"/>
    <w:rsid w:val="00D07A8D"/>
    <w:rsid w:val="00D1024D"/>
    <w:rsid w:val="00D118CE"/>
    <w:rsid w:val="00D11F5B"/>
    <w:rsid w:val="00D120BF"/>
    <w:rsid w:val="00D143EC"/>
    <w:rsid w:val="00D1469B"/>
    <w:rsid w:val="00D15703"/>
    <w:rsid w:val="00D15792"/>
    <w:rsid w:val="00D15E52"/>
    <w:rsid w:val="00D1702D"/>
    <w:rsid w:val="00D1741D"/>
    <w:rsid w:val="00D174C3"/>
    <w:rsid w:val="00D17D15"/>
    <w:rsid w:val="00D17E55"/>
    <w:rsid w:val="00D17F96"/>
    <w:rsid w:val="00D2024C"/>
    <w:rsid w:val="00D2179B"/>
    <w:rsid w:val="00D21F46"/>
    <w:rsid w:val="00D22699"/>
    <w:rsid w:val="00D2316C"/>
    <w:rsid w:val="00D232B7"/>
    <w:rsid w:val="00D23531"/>
    <w:rsid w:val="00D24D0C"/>
    <w:rsid w:val="00D24FF4"/>
    <w:rsid w:val="00D27F65"/>
    <w:rsid w:val="00D30A84"/>
    <w:rsid w:val="00D30CBA"/>
    <w:rsid w:val="00D323B5"/>
    <w:rsid w:val="00D327B7"/>
    <w:rsid w:val="00D3305F"/>
    <w:rsid w:val="00D331EE"/>
    <w:rsid w:val="00D33486"/>
    <w:rsid w:val="00D34309"/>
    <w:rsid w:val="00D3564F"/>
    <w:rsid w:val="00D3593F"/>
    <w:rsid w:val="00D36333"/>
    <w:rsid w:val="00D37A7B"/>
    <w:rsid w:val="00D37C36"/>
    <w:rsid w:val="00D402E1"/>
    <w:rsid w:val="00D41691"/>
    <w:rsid w:val="00D4187B"/>
    <w:rsid w:val="00D426C6"/>
    <w:rsid w:val="00D42777"/>
    <w:rsid w:val="00D428B3"/>
    <w:rsid w:val="00D42955"/>
    <w:rsid w:val="00D43E58"/>
    <w:rsid w:val="00D44150"/>
    <w:rsid w:val="00D44D21"/>
    <w:rsid w:val="00D456C4"/>
    <w:rsid w:val="00D459CF"/>
    <w:rsid w:val="00D46A7B"/>
    <w:rsid w:val="00D46D74"/>
    <w:rsid w:val="00D5073A"/>
    <w:rsid w:val="00D50C9B"/>
    <w:rsid w:val="00D51CAC"/>
    <w:rsid w:val="00D52088"/>
    <w:rsid w:val="00D549BF"/>
    <w:rsid w:val="00D54FA0"/>
    <w:rsid w:val="00D551E1"/>
    <w:rsid w:val="00D55763"/>
    <w:rsid w:val="00D5708A"/>
    <w:rsid w:val="00D576B5"/>
    <w:rsid w:val="00D57849"/>
    <w:rsid w:val="00D579C5"/>
    <w:rsid w:val="00D60439"/>
    <w:rsid w:val="00D606C2"/>
    <w:rsid w:val="00D6199A"/>
    <w:rsid w:val="00D61BE4"/>
    <w:rsid w:val="00D62AB4"/>
    <w:rsid w:val="00D634BA"/>
    <w:rsid w:val="00D6392B"/>
    <w:rsid w:val="00D64F82"/>
    <w:rsid w:val="00D65575"/>
    <w:rsid w:val="00D6661E"/>
    <w:rsid w:val="00D6714F"/>
    <w:rsid w:val="00D70BF5"/>
    <w:rsid w:val="00D70EB2"/>
    <w:rsid w:val="00D71530"/>
    <w:rsid w:val="00D715EF"/>
    <w:rsid w:val="00D720BB"/>
    <w:rsid w:val="00D7285C"/>
    <w:rsid w:val="00D729FE"/>
    <w:rsid w:val="00D73A5B"/>
    <w:rsid w:val="00D74365"/>
    <w:rsid w:val="00D75924"/>
    <w:rsid w:val="00D75DD0"/>
    <w:rsid w:val="00D75F1A"/>
    <w:rsid w:val="00D7602E"/>
    <w:rsid w:val="00D76996"/>
    <w:rsid w:val="00D779B6"/>
    <w:rsid w:val="00D77C45"/>
    <w:rsid w:val="00D81071"/>
    <w:rsid w:val="00D821E0"/>
    <w:rsid w:val="00D82879"/>
    <w:rsid w:val="00D82A45"/>
    <w:rsid w:val="00D82E0C"/>
    <w:rsid w:val="00D8337D"/>
    <w:rsid w:val="00D835A8"/>
    <w:rsid w:val="00D83B82"/>
    <w:rsid w:val="00D85D3F"/>
    <w:rsid w:val="00D86FFD"/>
    <w:rsid w:val="00D87479"/>
    <w:rsid w:val="00D9150D"/>
    <w:rsid w:val="00D9184A"/>
    <w:rsid w:val="00D9250A"/>
    <w:rsid w:val="00D92B42"/>
    <w:rsid w:val="00D92E34"/>
    <w:rsid w:val="00D93254"/>
    <w:rsid w:val="00D952A8"/>
    <w:rsid w:val="00D9575D"/>
    <w:rsid w:val="00D961F2"/>
    <w:rsid w:val="00D97687"/>
    <w:rsid w:val="00D9775E"/>
    <w:rsid w:val="00DA0838"/>
    <w:rsid w:val="00DA1610"/>
    <w:rsid w:val="00DA1A11"/>
    <w:rsid w:val="00DA1BEF"/>
    <w:rsid w:val="00DA1F4B"/>
    <w:rsid w:val="00DA28A8"/>
    <w:rsid w:val="00DA3143"/>
    <w:rsid w:val="00DA33B9"/>
    <w:rsid w:val="00DA4109"/>
    <w:rsid w:val="00DA485F"/>
    <w:rsid w:val="00DA4EAE"/>
    <w:rsid w:val="00DA4FEF"/>
    <w:rsid w:val="00DA55D4"/>
    <w:rsid w:val="00DA6854"/>
    <w:rsid w:val="00DA697E"/>
    <w:rsid w:val="00DA6D4F"/>
    <w:rsid w:val="00DA6FB4"/>
    <w:rsid w:val="00DA7AC3"/>
    <w:rsid w:val="00DA7B65"/>
    <w:rsid w:val="00DB08CE"/>
    <w:rsid w:val="00DB10A8"/>
    <w:rsid w:val="00DB22B0"/>
    <w:rsid w:val="00DB4644"/>
    <w:rsid w:val="00DB4C98"/>
    <w:rsid w:val="00DB56F1"/>
    <w:rsid w:val="00DB582A"/>
    <w:rsid w:val="00DB584E"/>
    <w:rsid w:val="00DB69D9"/>
    <w:rsid w:val="00DB6FDB"/>
    <w:rsid w:val="00DB7D23"/>
    <w:rsid w:val="00DC0F9A"/>
    <w:rsid w:val="00DC13D0"/>
    <w:rsid w:val="00DC16AF"/>
    <w:rsid w:val="00DC1B09"/>
    <w:rsid w:val="00DC3139"/>
    <w:rsid w:val="00DC32EC"/>
    <w:rsid w:val="00DC4099"/>
    <w:rsid w:val="00DC4614"/>
    <w:rsid w:val="00DC4790"/>
    <w:rsid w:val="00DC5068"/>
    <w:rsid w:val="00DC5110"/>
    <w:rsid w:val="00DC6737"/>
    <w:rsid w:val="00DD002F"/>
    <w:rsid w:val="00DD051E"/>
    <w:rsid w:val="00DD05B3"/>
    <w:rsid w:val="00DD0BA0"/>
    <w:rsid w:val="00DD1046"/>
    <w:rsid w:val="00DD2A8D"/>
    <w:rsid w:val="00DD45C8"/>
    <w:rsid w:val="00DD53A9"/>
    <w:rsid w:val="00DD5856"/>
    <w:rsid w:val="00DD65F3"/>
    <w:rsid w:val="00DD692B"/>
    <w:rsid w:val="00DD7B40"/>
    <w:rsid w:val="00DE117E"/>
    <w:rsid w:val="00DE1987"/>
    <w:rsid w:val="00DE1EF9"/>
    <w:rsid w:val="00DE2A71"/>
    <w:rsid w:val="00DE2AC1"/>
    <w:rsid w:val="00DE2BA2"/>
    <w:rsid w:val="00DE36CF"/>
    <w:rsid w:val="00DE42BA"/>
    <w:rsid w:val="00DE50C2"/>
    <w:rsid w:val="00DE566F"/>
    <w:rsid w:val="00DE5DF9"/>
    <w:rsid w:val="00DE5E0C"/>
    <w:rsid w:val="00DE75DE"/>
    <w:rsid w:val="00DF0728"/>
    <w:rsid w:val="00DF135E"/>
    <w:rsid w:val="00DF1ADC"/>
    <w:rsid w:val="00DF2249"/>
    <w:rsid w:val="00DF2347"/>
    <w:rsid w:val="00DF2C5D"/>
    <w:rsid w:val="00DF30D5"/>
    <w:rsid w:val="00DF363A"/>
    <w:rsid w:val="00DF4173"/>
    <w:rsid w:val="00DF4488"/>
    <w:rsid w:val="00DF53BC"/>
    <w:rsid w:val="00DF53E8"/>
    <w:rsid w:val="00DF61C8"/>
    <w:rsid w:val="00DF6323"/>
    <w:rsid w:val="00DF6B26"/>
    <w:rsid w:val="00DF744E"/>
    <w:rsid w:val="00E00258"/>
    <w:rsid w:val="00E0068F"/>
    <w:rsid w:val="00E01B7C"/>
    <w:rsid w:val="00E0207C"/>
    <w:rsid w:val="00E0225E"/>
    <w:rsid w:val="00E0355E"/>
    <w:rsid w:val="00E04725"/>
    <w:rsid w:val="00E054BA"/>
    <w:rsid w:val="00E05967"/>
    <w:rsid w:val="00E06F9F"/>
    <w:rsid w:val="00E1099E"/>
    <w:rsid w:val="00E10D3F"/>
    <w:rsid w:val="00E10E65"/>
    <w:rsid w:val="00E110E4"/>
    <w:rsid w:val="00E1129E"/>
    <w:rsid w:val="00E120DB"/>
    <w:rsid w:val="00E121DD"/>
    <w:rsid w:val="00E12264"/>
    <w:rsid w:val="00E12A97"/>
    <w:rsid w:val="00E15A7E"/>
    <w:rsid w:val="00E160CA"/>
    <w:rsid w:val="00E1675C"/>
    <w:rsid w:val="00E16977"/>
    <w:rsid w:val="00E16BE1"/>
    <w:rsid w:val="00E17DAB"/>
    <w:rsid w:val="00E17DD5"/>
    <w:rsid w:val="00E20209"/>
    <w:rsid w:val="00E20628"/>
    <w:rsid w:val="00E2103B"/>
    <w:rsid w:val="00E2116A"/>
    <w:rsid w:val="00E223BE"/>
    <w:rsid w:val="00E22A07"/>
    <w:rsid w:val="00E22B36"/>
    <w:rsid w:val="00E22D9E"/>
    <w:rsid w:val="00E235C3"/>
    <w:rsid w:val="00E247D5"/>
    <w:rsid w:val="00E2528C"/>
    <w:rsid w:val="00E253F7"/>
    <w:rsid w:val="00E26003"/>
    <w:rsid w:val="00E26660"/>
    <w:rsid w:val="00E273FF"/>
    <w:rsid w:val="00E27B91"/>
    <w:rsid w:val="00E306E7"/>
    <w:rsid w:val="00E3087C"/>
    <w:rsid w:val="00E30E1D"/>
    <w:rsid w:val="00E30FE2"/>
    <w:rsid w:val="00E335C8"/>
    <w:rsid w:val="00E3392B"/>
    <w:rsid w:val="00E358F6"/>
    <w:rsid w:val="00E3664F"/>
    <w:rsid w:val="00E37BA9"/>
    <w:rsid w:val="00E37F9B"/>
    <w:rsid w:val="00E42411"/>
    <w:rsid w:val="00E42C8A"/>
    <w:rsid w:val="00E436F2"/>
    <w:rsid w:val="00E43965"/>
    <w:rsid w:val="00E43E3B"/>
    <w:rsid w:val="00E4452C"/>
    <w:rsid w:val="00E4470E"/>
    <w:rsid w:val="00E4582E"/>
    <w:rsid w:val="00E46611"/>
    <w:rsid w:val="00E46AB8"/>
    <w:rsid w:val="00E473B3"/>
    <w:rsid w:val="00E479CE"/>
    <w:rsid w:val="00E47C23"/>
    <w:rsid w:val="00E505CE"/>
    <w:rsid w:val="00E50E8D"/>
    <w:rsid w:val="00E51F1C"/>
    <w:rsid w:val="00E52243"/>
    <w:rsid w:val="00E53F0D"/>
    <w:rsid w:val="00E53F1A"/>
    <w:rsid w:val="00E54185"/>
    <w:rsid w:val="00E5444F"/>
    <w:rsid w:val="00E55150"/>
    <w:rsid w:val="00E55568"/>
    <w:rsid w:val="00E55ABA"/>
    <w:rsid w:val="00E562C9"/>
    <w:rsid w:val="00E56A6D"/>
    <w:rsid w:val="00E5718C"/>
    <w:rsid w:val="00E576C6"/>
    <w:rsid w:val="00E57CA7"/>
    <w:rsid w:val="00E61C5E"/>
    <w:rsid w:val="00E61EC0"/>
    <w:rsid w:val="00E6210D"/>
    <w:rsid w:val="00E62415"/>
    <w:rsid w:val="00E6265C"/>
    <w:rsid w:val="00E62B36"/>
    <w:rsid w:val="00E62DF5"/>
    <w:rsid w:val="00E634F7"/>
    <w:rsid w:val="00E63BDC"/>
    <w:rsid w:val="00E647C8"/>
    <w:rsid w:val="00E64AA9"/>
    <w:rsid w:val="00E64EFB"/>
    <w:rsid w:val="00E671D6"/>
    <w:rsid w:val="00E67BAA"/>
    <w:rsid w:val="00E67C82"/>
    <w:rsid w:val="00E67E53"/>
    <w:rsid w:val="00E702CE"/>
    <w:rsid w:val="00E70F0A"/>
    <w:rsid w:val="00E71844"/>
    <w:rsid w:val="00E71AAA"/>
    <w:rsid w:val="00E7204B"/>
    <w:rsid w:val="00E721C2"/>
    <w:rsid w:val="00E727E1"/>
    <w:rsid w:val="00E72B3A"/>
    <w:rsid w:val="00E731D7"/>
    <w:rsid w:val="00E7371B"/>
    <w:rsid w:val="00E73765"/>
    <w:rsid w:val="00E74408"/>
    <w:rsid w:val="00E74ACE"/>
    <w:rsid w:val="00E7543A"/>
    <w:rsid w:val="00E75A0F"/>
    <w:rsid w:val="00E77C06"/>
    <w:rsid w:val="00E77FF3"/>
    <w:rsid w:val="00E831F7"/>
    <w:rsid w:val="00E83210"/>
    <w:rsid w:val="00E835D7"/>
    <w:rsid w:val="00E8449E"/>
    <w:rsid w:val="00E8504A"/>
    <w:rsid w:val="00E855E0"/>
    <w:rsid w:val="00E860B7"/>
    <w:rsid w:val="00E8733A"/>
    <w:rsid w:val="00E8768D"/>
    <w:rsid w:val="00E8780D"/>
    <w:rsid w:val="00E8784B"/>
    <w:rsid w:val="00E90803"/>
    <w:rsid w:val="00E90D95"/>
    <w:rsid w:val="00E91117"/>
    <w:rsid w:val="00E9221F"/>
    <w:rsid w:val="00E92644"/>
    <w:rsid w:val="00E93B81"/>
    <w:rsid w:val="00E93C24"/>
    <w:rsid w:val="00E94499"/>
    <w:rsid w:val="00E95DB8"/>
    <w:rsid w:val="00E95E3B"/>
    <w:rsid w:val="00E95E6A"/>
    <w:rsid w:val="00E96314"/>
    <w:rsid w:val="00E97527"/>
    <w:rsid w:val="00EA05E6"/>
    <w:rsid w:val="00EA086C"/>
    <w:rsid w:val="00EA0FF4"/>
    <w:rsid w:val="00EA186C"/>
    <w:rsid w:val="00EA2FE1"/>
    <w:rsid w:val="00EA46A8"/>
    <w:rsid w:val="00EA5A9E"/>
    <w:rsid w:val="00EA6556"/>
    <w:rsid w:val="00EA6842"/>
    <w:rsid w:val="00EA6D25"/>
    <w:rsid w:val="00EB04F6"/>
    <w:rsid w:val="00EB12D3"/>
    <w:rsid w:val="00EB154A"/>
    <w:rsid w:val="00EB1B80"/>
    <w:rsid w:val="00EB3427"/>
    <w:rsid w:val="00EB3E39"/>
    <w:rsid w:val="00EB4C26"/>
    <w:rsid w:val="00EB5127"/>
    <w:rsid w:val="00EB537A"/>
    <w:rsid w:val="00EB53F2"/>
    <w:rsid w:val="00EB548C"/>
    <w:rsid w:val="00EB7803"/>
    <w:rsid w:val="00EC0295"/>
    <w:rsid w:val="00EC0454"/>
    <w:rsid w:val="00EC19FA"/>
    <w:rsid w:val="00EC1F39"/>
    <w:rsid w:val="00EC22C3"/>
    <w:rsid w:val="00EC2948"/>
    <w:rsid w:val="00EC4613"/>
    <w:rsid w:val="00EC5F86"/>
    <w:rsid w:val="00EC6953"/>
    <w:rsid w:val="00EC70E5"/>
    <w:rsid w:val="00ED0940"/>
    <w:rsid w:val="00ED1967"/>
    <w:rsid w:val="00ED25CE"/>
    <w:rsid w:val="00ED3A55"/>
    <w:rsid w:val="00ED3B06"/>
    <w:rsid w:val="00ED402C"/>
    <w:rsid w:val="00ED4BF2"/>
    <w:rsid w:val="00ED511B"/>
    <w:rsid w:val="00ED61E7"/>
    <w:rsid w:val="00ED733E"/>
    <w:rsid w:val="00ED7DD7"/>
    <w:rsid w:val="00EE01FA"/>
    <w:rsid w:val="00EE0ACF"/>
    <w:rsid w:val="00EE1890"/>
    <w:rsid w:val="00EE22E3"/>
    <w:rsid w:val="00EE2B10"/>
    <w:rsid w:val="00EE2B7C"/>
    <w:rsid w:val="00EE2ED0"/>
    <w:rsid w:val="00EE37DE"/>
    <w:rsid w:val="00EE4659"/>
    <w:rsid w:val="00EE61AF"/>
    <w:rsid w:val="00EE67C5"/>
    <w:rsid w:val="00EF10AA"/>
    <w:rsid w:val="00EF18B0"/>
    <w:rsid w:val="00EF18EF"/>
    <w:rsid w:val="00EF3DD1"/>
    <w:rsid w:val="00EF3E32"/>
    <w:rsid w:val="00EF4031"/>
    <w:rsid w:val="00EF45CE"/>
    <w:rsid w:val="00EF4C71"/>
    <w:rsid w:val="00EF59B6"/>
    <w:rsid w:val="00EF5C5E"/>
    <w:rsid w:val="00EF5E90"/>
    <w:rsid w:val="00EF695C"/>
    <w:rsid w:val="00EF743A"/>
    <w:rsid w:val="00EF774D"/>
    <w:rsid w:val="00F00984"/>
    <w:rsid w:val="00F01FF7"/>
    <w:rsid w:val="00F047C7"/>
    <w:rsid w:val="00F05012"/>
    <w:rsid w:val="00F053DE"/>
    <w:rsid w:val="00F05908"/>
    <w:rsid w:val="00F059F0"/>
    <w:rsid w:val="00F06C4E"/>
    <w:rsid w:val="00F07A01"/>
    <w:rsid w:val="00F10305"/>
    <w:rsid w:val="00F1076B"/>
    <w:rsid w:val="00F10D71"/>
    <w:rsid w:val="00F10F88"/>
    <w:rsid w:val="00F11B9B"/>
    <w:rsid w:val="00F11D20"/>
    <w:rsid w:val="00F120D0"/>
    <w:rsid w:val="00F13016"/>
    <w:rsid w:val="00F1363A"/>
    <w:rsid w:val="00F13E0D"/>
    <w:rsid w:val="00F1472B"/>
    <w:rsid w:val="00F15DFF"/>
    <w:rsid w:val="00F175CA"/>
    <w:rsid w:val="00F20B6E"/>
    <w:rsid w:val="00F20FF5"/>
    <w:rsid w:val="00F248EC"/>
    <w:rsid w:val="00F24BCF"/>
    <w:rsid w:val="00F24C64"/>
    <w:rsid w:val="00F25792"/>
    <w:rsid w:val="00F2639B"/>
    <w:rsid w:val="00F26CA5"/>
    <w:rsid w:val="00F271F4"/>
    <w:rsid w:val="00F276EE"/>
    <w:rsid w:val="00F312B4"/>
    <w:rsid w:val="00F31E81"/>
    <w:rsid w:val="00F3255F"/>
    <w:rsid w:val="00F32849"/>
    <w:rsid w:val="00F33271"/>
    <w:rsid w:val="00F33BFE"/>
    <w:rsid w:val="00F33D22"/>
    <w:rsid w:val="00F346CA"/>
    <w:rsid w:val="00F3510E"/>
    <w:rsid w:val="00F35B8D"/>
    <w:rsid w:val="00F35EC9"/>
    <w:rsid w:val="00F373DC"/>
    <w:rsid w:val="00F37813"/>
    <w:rsid w:val="00F37EF3"/>
    <w:rsid w:val="00F403D6"/>
    <w:rsid w:val="00F40782"/>
    <w:rsid w:val="00F40A46"/>
    <w:rsid w:val="00F422EF"/>
    <w:rsid w:val="00F42894"/>
    <w:rsid w:val="00F43E26"/>
    <w:rsid w:val="00F445EC"/>
    <w:rsid w:val="00F4532B"/>
    <w:rsid w:val="00F45CF2"/>
    <w:rsid w:val="00F4632C"/>
    <w:rsid w:val="00F46A69"/>
    <w:rsid w:val="00F470EA"/>
    <w:rsid w:val="00F478DC"/>
    <w:rsid w:val="00F47B25"/>
    <w:rsid w:val="00F47C29"/>
    <w:rsid w:val="00F5038E"/>
    <w:rsid w:val="00F506AE"/>
    <w:rsid w:val="00F51346"/>
    <w:rsid w:val="00F5235B"/>
    <w:rsid w:val="00F54027"/>
    <w:rsid w:val="00F54947"/>
    <w:rsid w:val="00F54F7B"/>
    <w:rsid w:val="00F55863"/>
    <w:rsid w:val="00F55CD7"/>
    <w:rsid w:val="00F560DC"/>
    <w:rsid w:val="00F56916"/>
    <w:rsid w:val="00F56AD0"/>
    <w:rsid w:val="00F56CB1"/>
    <w:rsid w:val="00F61956"/>
    <w:rsid w:val="00F61B48"/>
    <w:rsid w:val="00F626C2"/>
    <w:rsid w:val="00F630EF"/>
    <w:rsid w:val="00F631F4"/>
    <w:rsid w:val="00F63F85"/>
    <w:rsid w:val="00F6405C"/>
    <w:rsid w:val="00F65819"/>
    <w:rsid w:val="00F66865"/>
    <w:rsid w:val="00F67166"/>
    <w:rsid w:val="00F67A6B"/>
    <w:rsid w:val="00F70B5B"/>
    <w:rsid w:val="00F71634"/>
    <w:rsid w:val="00F71EF1"/>
    <w:rsid w:val="00F7244F"/>
    <w:rsid w:val="00F72962"/>
    <w:rsid w:val="00F72D23"/>
    <w:rsid w:val="00F7434B"/>
    <w:rsid w:val="00F743D8"/>
    <w:rsid w:val="00F748B1"/>
    <w:rsid w:val="00F74CB0"/>
    <w:rsid w:val="00F75495"/>
    <w:rsid w:val="00F7639C"/>
    <w:rsid w:val="00F765EB"/>
    <w:rsid w:val="00F76FE4"/>
    <w:rsid w:val="00F773A0"/>
    <w:rsid w:val="00F777EE"/>
    <w:rsid w:val="00F77A62"/>
    <w:rsid w:val="00F810B7"/>
    <w:rsid w:val="00F8141A"/>
    <w:rsid w:val="00F81CE4"/>
    <w:rsid w:val="00F821E7"/>
    <w:rsid w:val="00F822BA"/>
    <w:rsid w:val="00F836EA"/>
    <w:rsid w:val="00F83BFE"/>
    <w:rsid w:val="00F8673B"/>
    <w:rsid w:val="00F87522"/>
    <w:rsid w:val="00F87F2B"/>
    <w:rsid w:val="00F908F8"/>
    <w:rsid w:val="00F909F5"/>
    <w:rsid w:val="00F92260"/>
    <w:rsid w:val="00F92442"/>
    <w:rsid w:val="00F926C8"/>
    <w:rsid w:val="00F934D4"/>
    <w:rsid w:val="00F939DB"/>
    <w:rsid w:val="00F93B93"/>
    <w:rsid w:val="00F94E8C"/>
    <w:rsid w:val="00F95957"/>
    <w:rsid w:val="00F96452"/>
    <w:rsid w:val="00F964B0"/>
    <w:rsid w:val="00F973F0"/>
    <w:rsid w:val="00F978A6"/>
    <w:rsid w:val="00F97B52"/>
    <w:rsid w:val="00F97D2D"/>
    <w:rsid w:val="00FA05A4"/>
    <w:rsid w:val="00FA2F87"/>
    <w:rsid w:val="00FA30C2"/>
    <w:rsid w:val="00FA31D8"/>
    <w:rsid w:val="00FA63B6"/>
    <w:rsid w:val="00FA6958"/>
    <w:rsid w:val="00FA7135"/>
    <w:rsid w:val="00FA784C"/>
    <w:rsid w:val="00FB06E1"/>
    <w:rsid w:val="00FB0CA2"/>
    <w:rsid w:val="00FB1A25"/>
    <w:rsid w:val="00FB3D0D"/>
    <w:rsid w:val="00FB4A9E"/>
    <w:rsid w:val="00FB59C7"/>
    <w:rsid w:val="00FB66AB"/>
    <w:rsid w:val="00FB6912"/>
    <w:rsid w:val="00FC00DD"/>
    <w:rsid w:val="00FC0A72"/>
    <w:rsid w:val="00FC1247"/>
    <w:rsid w:val="00FC13E2"/>
    <w:rsid w:val="00FC14D9"/>
    <w:rsid w:val="00FC17E6"/>
    <w:rsid w:val="00FC1C66"/>
    <w:rsid w:val="00FC1DFE"/>
    <w:rsid w:val="00FC27D4"/>
    <w:rsid w:val="00FC35F5"/>
    <w:rsid w:val="00FC3CD4"/>
    <w:rsid w:val="00FC48E3"/>
    <w:rsid w:val="00FC4E2A"/>
    <w:rsid w:val="00FC619D"/>
    <w:rsid w:val="00FC6CF3"/>
    <w:rsid w:val="00FC6D32"/>
    <w:rsid w:val="00FC6F4F"/>
    <w:rsid w:val="00FD12C6"/>
    <w:rsid w:val="00FD1601"/>
    <w:rsid w:val="00FD1B30"/>
    <w:rsid w:val="00FD3D3E"/>
    <w:rsid w:val="00FD4688"/>
    <w:rsid w:val="00FD4975"/>
    <w:rsid w:val="00FD5051"/>
    <w:rsid w:val="00FD522D"/>
    <w:rsid w:val="00FD5958"/>
    <w:rsid w:val="00FD5A0F"/>
    <w:rsid w:val="00FD5E72"/>
    <w:rsid w:val="00FD6CAB"/>
    <w:rsid w:val="00FD756D"/>
    <w:rsid w:val="00FD7972"/>
    <w:rsid w:val="00FD79EA"/>
    <w:rsid w:val="00FD7DE9"/>
    <w:rsid w:val="00FE059A"/>
    <w:rsid w:val="00FE0767"/>
    <w:rsid w:val="00FE0781"/>
    <w:rsid w:val="00FE0841"/>
    <w:rsid w:val="00FE1091"/>
    <w:rsid w:val="00FE2022"/>
    <w:rsid w:val="00FE29AF"/>
    <w:rsid w:val="00FE395C"/>
    <w:rsid w:val="00FE3AD0"/>
    <w:rsid w:val="00FE3DE9"/>
    <w:rsid w:val="00FE54AE"/>
    <w:rsid w:val="00FE5CBF"/>
    <w:rsid w:val="00FE6176"/>
    <w:rsid w:val="00FF1997"/>
    <w:rsid w:val="00FF1E56"/>
    <w:rsid w:val="00FF2122"/>
    <w:rsid w:val="00FF2339"/>
    <w:rsid w:val="00FF2430"/>
    <w:rsid w:val="00FF26B9"/>
    <w:rsid w:val="00FF29E9"/>
    <w:rsid w:val="00FF33AA"/>
    <w:rsid w:val="00FF3613"/>
    <w:rsid w:val="00FF371D"/>
    <w:rsid w:val="00FF4B33"/>
    <w:rsid w:val="00FF53F1"/>
    <w:rsid w:val="00FF581C"/>
    <w:rsid w:val="00FF5F6F"/>
    <w:rsid w:val="00FF637D"/>
    <w:rsid w:val="00FF64CF"/>
    <w:rsid w:val="00FF6812"/>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160"/>
    <w:pPr>
      <w:spacing w:after="240" w:line="260" w:lineRule="exact"/>
      <w:jc w:val="both"/>
    </w:pPr>
    <w:rPr>
      <w:rFonts w:ascii="Book Antiqua" w:hAnsi="Book Antiqua"/>
    </w:rPr>
  </w:style>
  <w:style w:type="paragraph" w:styleId="Heading1">
    <w:name w:val="heading 1"/>
    <w:basedOn w:val="HeadingBase"/>
    <w:next w:val="Normal"/>
    <w:qFormat/>
    <w:rsid w:val="006928E4"/>
    <w:pPr>
      <w:spacing w:after="240"/>
      <w:jc w:val="center"/>
      <w:outlineLvl w:val="0"/>
    </w:pPr>
    <w:rPr>
      <w:rFonts w:ascii="Arial Bold" w:hAnsi="Arial Bold"/>
      <w:b/>
      <w:kern w:val="34"/>
      <w:sz w:val="36"/>
    </w:rPr>
  </w:style>
  <w:style w:type="paragraph" w:styleId="Heading2">
    <w:name w:val="heading 2"/>
    <w:basedOn w:val="HeadingBase"/>
    <w:next w:val="Normal"/>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81037F"/>
    <w:pPr>
      <w:tabs>
        <w:tab w:val="left" w:pos="709"/>
      </w:tabs>
      <w:spacing w:before="120" w:after="120"/>
      <w:outlineLvl w:val="2"/>
    </w:pPr>
    <w:rPr>
      <w:rFonts w:ascii="Arial Bold" w:hAnsi="Arial Bold"/>
      <w:b/>
      <w:sz w:val="22"/>
    </w:rPr>
  </w:style>
  <w:style w:type="paragraph" w:styleId="Heading4">
    <w:name w:val="heading 4"/>
    <w:basedOn w:val="HeadingBase"/>
    <w:next w:val="Normal"/>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qFormat/>
    <w:rsid w:val="005328A9"/>
    <w:pPr>
      <w:spacing w:after="120"/>
      <w:outlineLvl w:val="4"/>
    </w:pPr>
    <w:rPr>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6"/>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4"/>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jc w:val="left"/>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uiPriority w:val="99"/>
    <w:rsid w:val="000C4F54"/>
    <w:pPr>
      <w:tabs>
        <w:tab w:val="center" w:pos="4153"/>
        <w:tab w:val="right" w:pos="8306"/>
      </w:tabs>
      <w:spacing w:after="0" w:line="240" w:lineRule="auto"/>
      <w:jc w:val="left"/>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5"/>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NAST Quote,List Paragraph11,Bullet point,L,bullet point list,1 heading,Bulleted Para,Bullet points,Content descriptions,Bullet Point,FooterText,numbered,Paragraphe de liste1,列出段落,列出段落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5"/>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6"/>
      </w:numPr>
    </w:pPr>
    <w:rPr>
      <w:color w:val="000000"/>
    </w:rPr>
  </w:style>
  <w:style w:type="paragraph" w:customStyle="1" w:styleId="BoxDoubleDot">
    <w:name w:val="Box Double Dot"/>
    <w:basedOn w:val="BoxTextBase"/>
    <w:rsid w:val="00EC5F86"/>
    <w:pPr>
      <w:numPr>
        <w:ilvl w:val="2"/>
        <w:numId w:val="6"/>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81037F"/>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8"/>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table" w:customStyle="1" w:styleId="TableGrid1">
    <w:name w:val="Table Grid1"/>
    <w:basedOn w:val="TableNormal"/>
    <w:next w:val="TableGrid"/>
    <w:uiPriority w:val="59"/>
    <w:rsid w:val="004559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6B38"/>
    <w:pPr>
      <w:spacing w:before="100" w:beforeAutospacing="1" w:after="100" w:afterAutospacing="1" w:line="240" w:lineRule="auto"/>
      <w:jc w:val="left"/>
    </w:pPr>
    <w:rPr>
      <w:rFonts w:ascii="Times New Roman" w:hAnsi="Times New Roman"/>
      <w:sz w:val="24"/>
      <w:szCs w:val="24"/>
    </w:rPr>
  </w:style>
  <w:style w:type="character" w:customStyle="1" w:styleId="ListParagraphChar">
    <w:name w:val="List Paragraph Char"/>
    <w:aliases w:val="NFP GP Bulleted List Char,List Paragraph1 Char,Recommendation Char,NAST Quote Char,List Paragraph11 Char,Bullet point Char,L Char,bullet point list Char,1 heading Char,Bulleted Para Char,Bullet points Char,Content descriptions Char"/>
    <w:link w:val="ListParagraph"/>
    <w:locked/>
    <w:rsid w:val="00194FD7"/>
    <w:rPr>
      <w:rFonts w:ascii="Calibri" w:eastAsia="Calibri" w:hAnsi="Calibri"/>
      <w:sz w:val="22"/>
      <w:szCs w:val="22"/>
      <w:lang w:val="en-US" w:eastAsia="en-US"/>
    </w:rPr>
  </w:style>
  <w:style w:type="character" w:customStyle="1" w:styleId="normaltextrun">
    <w:name w:val="normaltextrun"/>
    <w:basedOn w:val="DefaultParagraphFont"/>
    <w:rsid w:val="007C31A6"/>
  </w:style>
  <w:style w:type="character" w:customStyle="1" w:styleId="spellingerror">
    <w:name w:val="spellingerror"/>
    <w:basedOn w:val="DefaultParagraphFont"/>
    <w:rsid w:val="007C31A6"/>
  </w:style>
  <w:style w:type="character" w:customStyle="1" w:styleId="eop">
    <w:name w:val="eop"/>
    <w:basedOn w:val="DefaultParagraphFont"/>
    <w:rsid w:val="007C31A6"/>
  </w:style>
  <w:style w:type="character" w:customStyle="1" w:styleId="CommentSubjectChar">
    <w:name w:val="Comment Subject Char"/>
    <w:basedOn w:val="CommentTextChar"/>
    <w:link w:val="CommentSubject"/>
    <w:semiHidden/>
    <w:rsid w:val="00B47A45"/>
    <w:rPr>
      <w:rFonts w:ascii="Book Antiqua" w:hAnsi="Book Antiqua"/>
      <w:b/>
      <w:bCs/>
      <w:lang w:val="x-none" w:eastAsia="x-none"/>
    </w:rPr>
  </w:style>
  <w:style w:type="paragraph" w:customStyle="1" w:styleId="TableParagraph">
    <w:name w:val="Table Paragraph"/>
    <w:basedOn w:val="Normal"/>
    <w:uiPriority w:val="1"/>
    <w:qFormat/>
    <w:rsid w:val="005D36C8"/>
    <w:pPr>
      <w:widowControl w:val="0"/>
      <w:autoSpaceDE w:val="0"/>
      <w:autoSpaceDN w:val="0"/>
      <w:spacing w:after="0" w:line="240" w:lineRule="auto"/>
      <w:jc w:val="left"/>
    </w:pPr>
    <w:rPr>
      <w:rFonts w:ascii="Arial" w:eastAsia="Arial" w:hAnsi="Arial" w:cs="Arial"/>
      <w:sz w:val="22"/>
      <w:szCs w:val="22"/>
      <w:lang w:eastAsia="en-US"/>
    </w:rPr>
  </w:style>
  <w:style w:type="paragraph" w:customStyle="1" w:styleId="Heading1-NoTOC">
    <w:name w:val="Heading 1 - No TOC"/>
    <w:basedOn w:val="Heading1"/>
    <w:rsid w:val="00771EDB"/>
    <w:pPr>
      <w:spacing w:after="360"/>
      <w:outlineLvl w:val="9"/>
    </w:pPr>
    <w:rPr>
      <w:rFonts w:ascii="Arial" w:hAnsi="Arial"/>
      <w:smallCaps/>
      <w:kern w:val="28"/>
      <w:sz w:val="34"/>
      <w:lang w:val="x-none"/>
    </w:rPr>
  </w:style>
  <w:style w:type="character" w:customStyle="1" w:styleId="FootnoteTextChar">
    <w:name w:val="Footnote Text Char"/>
    <w:basedOn w:val="DefaultParagraphFont"/>
    <w:link w:val="FootnoteText"/>
    <w:rsid w:val="00D8337D"/>
    <w:rPr>
      <w:rFonts w:ascii="Book Antiqua" w:hAnsi="Book Antiqu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5094506">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60797022">
      <w:bodyDiv w:val="1"/>
      <w:marLeft w:val="0"/>
      <w:marRight w:val="0"/>
      <w:marTop w:val="0"/>
      <w:marBottom w:val="0"/>
      <w:divBdr>
        <w:top w:val="none" w:sz="0" w:space="0" w:color="auto"/>
        <w:left w:val="none" w:sz="0" w:space="0" w:color="auto"/>
        <w:bottom w:val="none" w:sz="0" w:space="0" w:color="auto"/>
        <w:right w:val="none" w:sz="0" w:space="0" w:color="auto"/>
      </w:divBdr>
    </w:div>
    <w:div w:id="271128313">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12221991">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1312220">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72659226">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05564209">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0066223">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7393830">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image" Target="media/image4.e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image" Target="media/image12.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image" Target="media/image3.emf"/><Relationship Id="rId33" Type="http://schemas.openxmlformats.org/officeDocument/2006/relationships/image" Target="media/image11.emf"/><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transparency.gov.au/annual-reports/australian-electoral-commission/reporting-year/2020-21-27" TargetMode="Externa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32" Type="http://schemas.openxmlformats.org/officeDocument/2006/relationships/image" Target="media/image10.emf"/><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image" Target="media/image6.emf"/><Relationship Id="rId36"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hyperlink" Target="https://www.transparency.gov.au/sites/default/files/reports/2021-22_corporate_plan_australian_electoral_commission.pdf" TargetMode="External"/><Relationship Id="rId31"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image" Target="media/image5.emf"/><Relationship Id="rId30" Type="http://schemas.openxmlformats.org/officeDocument/2006/relationships/image" Target="media/image8.emf"/><Relationship Id="rId35"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5fb5116-7131-45fb-9d92-926478776364" ContentTypeId="0x010100B321FEA60C5BA343A52BC94EC00ABC9E07"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3.xml><?xml version="1.0" encoding="utf-8"?>
<ds:datastoreItem xmlns:ds="http://schemas.openxmlformats.org/officeDocument/2006/customXml" ds:itemID="{26CEAD22-808A-4C85-A925-26BD5C865F70}">
  <ds:schemaRefs>
    <ds:schemaRef ds:uri="http://purl.org/dc/terms/"/>
    <ds:schemaRef ds:uri="http://schemas.microsoft.com/office/infopath/2007/PartnerControls"/>
    <ds:schemaRef ds:uri="http://purl.org/dc/dcmitype/"/>
    <ds:schemaRef ds:uri="7f038680-7400-4805-8f95-861f74a21749"/>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82ff9d9b-d3fc-4aad-bc42-9949ee83b815"/>
    <ds:schemaRef ds:uri="http://www.w3.org/XML/1998/namespace"/>
  </ds:schemaRefs>
</ds:datastoreItem>
</file>

<file path=customXml/itemProps4.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5.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6.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7.xml><?xml version="1.0" encoding="utf-8"?>
<ds:datastoreItem xmlns:ds="http://schemas.openxmlformats.org/officeDocument/2006/customXml" ds:itemID="{1ED88FA6-44A3-40F0-B1A5-B37E8423C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2288</Words>
  <Characters>17117</Characters>
  <Application>Microsoft Office Word</Application>
  <DocSecurity>0</DocSecurity>
  <Lines>142</Lines>
  <Paragraphs>38</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19367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Budget</dc:subject>
  <dc:creator/>
  <cp:keywords/>
  <cp:lastModifiedBy/>
  <cp:revision>1</cp:revision>
  <dcterms:created xsi:type="dcterms:W3CDTF">2022-03-26T07:31:00Z</dcterms:created>
  <dcterms:modified xsi:type="dcterms:W3CDTF">2022-03-28T00:01:00Z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