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77F7E" w14:textId="77777777" w:rsidR="00BD1638" w:rsidRDefault="00382FEB" w:rsidP="00382FEB">
      <w:pPr>
        <w:jc w:val="center"/>
      </w:pPr>
      <w:r>
        <w:rPr>
          <w:noProof/>
          <w:lang w:eastAsia="en-AU"/>
        </w:rPr>
        <w:drawing>
          <wp:inline distT="0" distB="0" distL="0" distR="0" wp14:anchorId="74227132" wp14:editId="685D8A8A">
            <wp:extent cx="1080000" cy="914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0000" cy="914400"/>
                    </a:xfrm>
                    <a:prstGeom prst="rect">
                      <a:avLst/>
                    </a:prstGeom>
                    <a:noFill/>
                  </pic:spPr>
                </pic:pic>
              </a:graphicData>
            </a:graphic>
          </wp:inline>
        </w:drawing>
      </w:r>
    </w:p>
    <w:p w14:paraId="5802C85C" w14:textId="77777777" w:rsidR="00382FEB" w:rsidRDefault="00382FEB" w:rsidP="00382FEB">
      <w:pPr>
        <w:jc w:val="center"/>
        <w:rPr>
          <w:rFonts w:ascii="Times New Roman" w:hAnsi="Times New Roman" w:cs="Times New Roman"/>
          <w:sz w:val="32"/>
          <w:szCs w:val="32"/>
        </w:rPr>
      </w:pPr>
      <w:r w:rsidRPr="00382FEB">
        <w:rPr>
          <w:rFonts w:ascii="Times New Roman" w:hAnsi="Times New Roman" w:cs="Times New Roman"/>
          <w:b/>
          <w:sz w:val="32"/>
          <w:szCs w:val="32"/>
        </w:rPr>
        <w:t>Australian Government</w:t>
      </w:r>
    </w:p>
    <w:p w14:paraId="7DCD451D" w14:textId="77777777" w:rsidR="00382FEB" w:rsidRDefault="00382FEB" w:rsidP="00382FEB">
      <w:pPr>
        <w:jc w:val="center"/>
        <w:rPr>
          <w:rFonts w:ascii="Times New Roman" w:hAnsi="Times New Roman" w:cs="Times New Roman"/>
          <w:sz w:val="28"/>
          <w:szCs w:val="28"/>
        </w:rPr>
      </w:pPr>
      <w:bookmarkStart w:id="0" w:name="_GoBack"/>
      <w:r>
        <w:rPr>
          <w:rFonts w:ascii="Times New Roman" w:hAnsi="Times New Roman" w:cs="Times New Roman"/>
          <w:sz w:val="28"/>
          <w:szCs w:val="28"/>
        </w:rPr>
        <w:t xml:space="preserve">Australian Government response to the </w:t>
      </w:r>
    </w:p>
    <w:p w14:paraId="46E1659E" w14:textId="77777777" w:rsidR="00382FEB" w:rsidRDefault="00FC6F9C" w:rsidP="00382FEB">
      <w:pPr>
        <w:jc w:val="center"/>
        <w:rPr>
          <w:rFonts w:ascii="Times New Roman" w:hAnsi="Times New Roman" w:cs="Times New Roman"/>
          <w:sz w:val="28"/>
          <w:szCs w:val="28"/>
        </w:rPr>
      </w:pPr>
      <w:r>
        <w:rPr>
          <w:rFonts w:ascii="Times New Roman" w:hAnsi="Times New Roman" w:cs="Times New Roman"/>
          <w:sz w:val="28"/>
          <w:szCs w:val="28"/>
        </w:rPr>
        <w:t>Joint Committee of Public Accounts and Audit</w:t>
      </w:r>
      <w:r w:rsidR="00382FEB">
        <w:rPr>
          <w:rFonts w:ascii="Times New Roman" w:hAnsi="Times New Roman" w:cs="Times New Roman"/>
          <w:sz w:val="28"/>
          <w:szCs w:val="28"/>
        </w:rPr>
        <w:t xml:space="preserve"> </w:t>
      </w:r>
    </w:p>
    <w:p w14:paraId="50043072" w14:textId="77777777" w:rsidR="00085CE8" w:rsidRDefault="00FC6F9C" w:rsidP="00382FEB">
      <w:pPr>
        <w:jc w:val="center"/>
        <w:rPr>
          <w:rFonts w:ascii="Times New Roman" w:hAnsi="Times New Roman" w:cs="Times New Roman"/>
          <w:sz w:val="28"/>
          <w:szCs w:val="28"/>
        </w:rPr>
      </w:pPr>
      <w:r>
        <w:rPr>
          <w:rFonts w:ascii="Times New Roman" w:hAnsi="Times New Roman" w:cs="Times New Roman"/>
          <w:sz w:val="28"/>
          <w:szCs w:val="28"/>
        </w:rPr>
        <w:t>R</w:t>
      </w:r>
      <w:r w:rsidR="00382FEB">
        <w:rPr>
          <w:rFonts w:ascii="Times New Roman" w:hAnsi="Times New Roman" w:cs="Times New Roman"/>
          <w:sz w:val="28"/>
          <w:szCs w:val="28"/>
        </w:rPr>
        <w:t>eport</w:t>
      </w:r>
      <w:r>
        <w:rPr>
          <w:rFonts w:ascii="Times New Roman" w:hAnsi="Times New Roman" w:cs="Times New Roman"/>
          <w:sz w:val="28"/>
          <w:szCs w:val="28"/>
        </w:rPr>
        <w:t xml:space="preserve"> 484</w:t>
      </w:r>
      <w:bookmarkEnd w:id="0"/>
      <w:r w:rsidR="00382FEB">
        <w:rPr>
          <w:rFonts w:ascii="Times New Roman" w:hAnsi="Times New Roman" w:cs="Times New Roman"/>
          <w:sz w:val="28"/>
          <w:szCs w:val="28"/>
        </w:rPr>
        <w:t xml:space="preserve">: </w:t>
      </w:r>
    </w:p>
    <w:p w14:paraId="4BC35B48" w14:textId="77777777" w:rsidR="00382FEB" w:rsidRPr="00FC6F9C" w:rsidRDefault="00FC6F9C" w:rsidP="00382FEB">
      <w:pPr>
        <w:jc w:val="center"/>
        <w:rPr>
          <w:rFonts w:ascii="Times New Roman" w:hAnsi="Times New Roman" w:cs="Times New Roman"/>
          <w:i/>
          <w:sz w:val="32"/>
          <w:szCs w:val="32"/>
        </w:rPr>
      </w:pPr>
      <w:r w:rsidRPr="00FC6F9C">
        <w:rPr>
          <w:rFonts w:ascii="Times New Roman" w:hAnsi="Times New Roman" w:cs="Times New Roman"/>
          <w:i/>
          <w:sz w:val="28"/>
          <w:szCs w:val="28"/>
        </w:rPr>
        <w:t>The Administration of Government Grants: Inquiry into Auditor-General’s Reports 5, 12 and 23 (2019-20)</w:t>
      </w:r>
      <w:r w:rsidR="00382FEB" w:rsidRPr="00FC6F9C">
        <w:rPr>
          <w:rFonts w:ascii="Times New Roman" w:hAnsi="Times New Roman" w:cs="Times New Roman"/>
          <w:i/>
          <w:sz w:val="32"/>
          <w:szCs w:val="32"/>
        </w:rPr>
        <w:t xml:space="preserve"> </w:t>
      </w:r>
    </w:p>
    <w:p w14:paraId="2091B924" w14:textId="77777777" w:rsidR="00085CE8" w:rsidRDefault="00085CE8" w:rsidP="00382FEB">
      <w:pPr>
        <w:jc w:val="center"/>
        <w:rPr>
          <w:rFonts w:ascii="Times New Roman" w:hAnsi="Times New Roman" w:cs="Times New Roman"/>
          <w:sz w:val="32"/>
          <w:szCs w:val="32"/>
        </w:rPr>
      </w:pPr>
    </w:p>
    <w:p w14:paraId="117867B5" w14:textId="77777777" w:rsidR="00085CE8" w:rsidRDefault="00085CE8" w:rsidP="00382FEB">
      <w:pPr>
        <w:jc w:val="center"/>
        <w:rPr>
          <w:rFonts w:ascii="Times New Roman" w:hAnsi="Times New Roman" w:cs="Times New Roman"/>
          <w:sz w:val="32"/>
          <w:szCs w:val="32"/>
        </w:rPr>
      </w:pPr>
    </w:p>
    <w:p w14:paraId="532F451F" w14:textId="77777777" w:rsidR="00085CE8" w:rsidRDefault="00085CE8" w:rsidP="00382FEB">
      <w:pPr>
        <w:jc w:val="center"/>
        <w:rPr>
          <w:rFonts w:ascii="Times New Roman" w:hAnsi="Times New Roman" w:cs="Times New Roman"/>
          <w:sz w:val="32"/>
          <w:szCs w:val="32"/>
        </w:rPr>
      </w:pPr>
    </w:p>
    <w:p w14:paraId="577BA335" w14:textId="77777777" w:rsidR="00085CE8" w:rsidRDefault="00085CE8" w:rsidP="00382FEB">
      <w:pPr>
        <w:jc w:val="center"/>
        <w:rPr>
          <w:rFonts w:ascii="Times New Roman" w:hAnsi="Times New Roman" w:cs="Times New Roman"/>
          <w:sz w:val="32"/>
          <w:szCs w:val="32"/>
        </w:rPr>
      </w:pPr>
    </w:p>
    <w:p w14:paraId="3D310624" w14:textId="77777777" w:rsidR="00085CE8" w:rsidRDefault="00085CE8" w:rsidP="00382FEB">
      <w:pPr>
        <w:jc w:val="center"/>
        <w:rPr>
          <w:rFonts w:ascii="Times New Roman" w:hAnsi="Times New Roman" w:cs="Times New Roman"/>
          <w:sz w:val="32"/>
          <w:szCs w:val="32"/>
        </w:rPr>
      </w:pPr>
    </w:p>
    <w:p w14:paraId="1CC55D69" w14:textId="77777777" w:rsidR="00085CE8" w:rsidRDefault="00085CE8" w:rsidP="00382FEB">
      <w:pPr>
        <w:jc w:val="center"/>
        <w:rPr>
          <w:rFonts w:ascii="Times New Roman" w:hAnsi="Times New Roman" w:cs="Times New Roman"/>
          <w:sz w:val="32"/>
          <w:szCs w:val="32"/>
        </w:rPr>
      </w:pPr>
    </w:p>
    <w:p w14:paraId="5A9D3FD0" w14:textId="77777777" w:rsidR="00085CE8" w:rsidRDefault="00085CE8" w:rsidP="00382FEB">
      <w:pPr>
        <w:jc w:val="center"/>
        <w:rPr>
          <w:rFonts w:ascii="Times New Roman" w:hAnsi="Times New Roman" w:cs="Times New Roman"/>
          <w:sz w:val="32"/>
          <w:szCs w:val="32"/>
        </w:rPr>
      </w:pPr>
    </w:p>
    <w:p w14:paraId="5DA5F104" w14:textId="77777777" w:rsidR="00085CE8" w:rsidRDefault="00085CE8" w:rsidP="00382FEB">
      <w:pPr>
        <w:jc w:val="center"/>
        <w:rPr>
          <w:rFonts w:ascii="Times New Roman" w:hAnsi="Times New Roman" w:cs="Times New Roman"/>
          <w:sz w:val="32"/>
          <w:szCs w:val="32"/>
        </w:rPr>
      </w:pPr>
    </w:p>
    <w:p w14:paraId="421C1A38" w14:textId="77777777" w:rsidR="00085CE8" w:rsidRDefault="00085CE8" w:rsidP="00382FEB">
      <w:pPr>
        <w:jc w:val="center"/>
        <w:rPr>
          <w:rFonts w:ascii="Times New Roman" w:hAnsi="Times New Roman" w:cs="Times New Roman"/>
          <w:sz w:val="32"/>
          <w:szCs w:val="32"/>
        </w:rPr>
      </w:pPr>
    </w:p>
    <w:p w14:paraId="4B26A22C" w14:textId="77777777" w:rsidR="00085CE8" w:rsidRDefault="00085CE8" w:rsidP="00382FEB">
      <w:pPr>
        <w:jc w:val="center"/>
        <w:rPr>
          <w:rFonts w:ascii="Times New Roman" w:hAnsi="Times New Roman" w:cs="Times New Roman"/>
          <w:sz w:val="32"/>
          <w:szCs w:val="32"/>
        </w:rPr>
      </w:pPr>
    </w:p>
    <w:p w14:paraId="242844EF" w14:textId="77777777" w:rsidR="00085CE8" w:rsidRDefault="00085CE8" w:rsidP="00382FEB">
      <w:pPr>
        <w:jc w:val="center"/>
        <w:rPr>
          <w:rFonts w:ascii="Times New Roman" w:hAnsi="Times New Roman" w:cs="Times New Roman"/>
          <w:sz w:val="32"/>
          <w:szCs w:val="32"/>
        </w:rPr>
      </w:pPr>
    </w:p>
    <w:p w14:paraId="37E93B39" w14:textId="77777777" w:rsidR="00085CE8" w:rsidRDefault="00085CE8" w:rsidP="00382FEB">
      <w:pPr>
        <w:jc w:val="center"/>
        <w:rPr>
          <w:rFonts w:ascii="Times New Roman" w:hAnsi="Times New Roman" w:cs="Times New Roman"/>
          <w:sz w:val="32"/>
          <w:szCs w:val="32"/>
        </w:rPr>
      </w:pPr>
    </w:p>
    <w:p w14:paraId="0991CE9B" w14:textId="77777777" w:rsidR="00085CE8" w:rsidRDefault="00085CE8" w:rsidP="00382FEB">
      <w:pPr>
        <w:jc w:val="center"/>
        <w:rPr>
          <w:rFonts w:ascii="Times New Roman" w:hAnsi="Times New Roman" w:cs="Times New Roman"/>
          <w:sz w:val="32"/>
          <w:szCs w:val="32"/>
        </w:rPr>
      </w:pPr>
    </w:p>
    <w:p w14:paraId="39AFBC11" w14:textId="77777777" w:rsidR="00085CE8" w:rsidRDefault="00085CE8" w:rsidP="00382FEB">
      <w:pPr>
        <w:jc w:val="center"/>
        <w:rPr>
          <w:rFonts w:ascii="Times New Roman" w:hAnsi="Times New Roman" w:cs="Times New Roman"/>
          <w:sz w:val="32"/>
          <w:szCs w:val="32"/>
        </w:rPr>
      </w:pPr>
    </w:p>
    <w:p w14:paraId="25CEB504" w14:textId="77777777" w:rsidR="00085CE8" w:rsidRDefault="00085CE8" w:rsidP="00382FEB">
      <w:pPr>
        <w:jc w:val="center"/>
        <w:rPr>
          <w:rFonts w:ascii="Times New Roman" w:hAnsi="Times New Roman" w:cs="Times New Roman"/>
          <w:sz w:val="32"/>
          <w:szCs w:val="32"/>
        </w:rPr>
      </w:pPr>
    </w:p>
    <w:p w14:paraId="06030FF5" w14:textId="77777777" w:rsidR="00085CE8" w:rsidRDefault="00085CE8" w:rsidP="00382FEB">
      <w:pPr>
        <w:jc w:val="center"/>
        <w:rPr>
          <w:rFonts w:ascii="Times New Roman" w:hAnsi="Times New Roman" w:cs="Times New Roman"/>
          <w:sz w:val="32"/>
          <w:szCs w:val="32"/>
        </w:rPr>
      </w:pPr>
    </w:p>
    <w:p w14:paraId="3E87D1A4" w14:textId="77777777" w:rsidR="00085CE8" w:rsidRDefault="00D75040" w:rsidP="00085CE8">
      <w:pPr>
        <w:jc w:val="right"/>
        <w:rPr>
          <w:rFonts w:ascii="Times New Roman" w:hAnsi="Times New Roman" w:cs="Times New Roman"/>
          <w:sz w:val="32"/>
          <w:szCs w:val="32"/>
        </w:rPr>
      </w:pPr>
      <w:r>
        <w:rPr>
          <w:rFonts w:ascii="Times New Roman" w:hAnsi="Times New Roman" w:cs="Times New Roman"/>
          <w:sz w:val="32"/>
          <w:szCs w:val="32"/>
        </w:rPr>
        <w:t>January 2021</w:t>
      </w:r>
    </w:p>
    <w:p w14:paraId="7B825DC9" w14:textId="77777777" w:rsidR="007E61CE" w:rsidRDefault="007E61CE" w:rsidP="007E61CE">
      <w:pPr>
        <w:rPr>
          <w:rFonts w:ascii="Times New Roman" w:hAnsi="Times New Roman" w:cs="Times New Roman"/>
          <w:b/>
          <w:sz w:val="32"/>
          <w:szCs w:val="32"/>
        </w:rPr>
      </w:pPr>
      <w:r w:rsidRPr="007E61CE">
        <w:rPr>
          <w:rFonts w:ascii="Times New Roman" w:hAnsi="Times New Roman" w:cs="Times New Roman"/>
          <w:b/>
          <w:sz w:val="32"/>
          <w:szCs w:val="32"/>
        </w:rPr>
        <w:lastRenderedPageBreak/>
        <w:t>Response to the Committee’s Recommendation</w:t>
      </w:r>
      <w:r w:rsidR="002A178F">
        <w:rPr>
          <w:rFonts w:ascii="Times New Roman" w:hAnsi="Times New Roman" w:cs="Times New Roman"/>
          <w:b/>
          <w:sz w:val="32"/>
          <w:szCs w:val="32"/>
        </w:rPr>
        <w:t>s</w:t>
      </w:r>
    </w:p>
    <w:p w14:paraId="5354E6B9" w14:textId="77777777" w:rsidR="004D3C2A" w:rsidRDefault="004D3C2A" w:rsidP="004C1E26">
      <w:pPr>
        <w:pBdr>
          <w:top w:val="single" w:sz="4" w:space="1" w:color="auto"/>
          <w:left w:val="single" w:sz="4" w:space="4" w:color="auto"/>
          <w:bottom w:val="single" w:sz="4" w:space="6" w:color="auto"/>
          <w:right w:val="single" w:sz="4" w:space="4" w:color="auto"/>
        </w:pBdr>
        <w:rPr>
          <w:rFonts w:ascii="Times New Roman" w:hAnsi="Times New Roman" w:cs="Times New Roman"/>
          <w:b/>
          <w:sz w:val="24"/>
          <w:szCs w:val="24"/>
        </w:rPr>
      </w:pPr>
      <w:r w:rsidRPr="004D3C2A">
        <w:rPr>
          <w:rFonts w:ascii="Times New Roman" w:hAnsi="Times New Roman" w:cs="Times New Roman"/>
          <w:b/>
          <w:sz w:val="24"/>
          <w:szCs w:val="24"/>
        </w:rPr>
        <w:t xml:space="preserve">Recommendation 1 </w:t>
      </w:r>
    </w:p>
    <w:p w14:paraId="34FA90B0" w14:textId="47459BE3" w:rsidR="00FC6F9C" w:rsidRPr="004C1E26" w:rsidRDefault="00FC6F9C" w:rsidP="004C1E26">
      <w:pPr>
        <w:pBdr>
          <w:top w:val="single" w:sz="4" w:space="1" w:color="auto"/>
          <w:left w:val="single" w:sz="4" w:space="4" w:color="auto"/>
          <w:bottom w:val="single" w:sz="4" w:space="6" w:color="auto"/>
          <w:right w:val="single" w:sz="4" w:space="4" w:color="auto"/>
        </w:pBdr>
        <w:ind w:left="720" w:hanging="720"/>
        <w:rPr>
          <w:rFonts w:ascii="Times New Roman" w:hAnsi="Times New Roman" w:cs="Times New Roman"/>
          <w:sz w:val="24"/>
          <w:szCs w:val="24"/>
        </w:rPr>
      </w:pPr>
      <w:proofErr w:type="gramStart"/>
      <w:r w:rsidRPr="00FC6F9C">
        <w:rPr>
          <w:rFonts w:ascii="Times New Roman" w:hAnsi="Times New Roman" w:cs="Times New Roman"/>
          <w:sz w:val="24"/>
          <w:szCs w:val="24"/>
        </w:rPr>
        <w:t>2.67</w:t>
      </w:r>
      <w:r w:rsidRPr="00FC6F9C">
        <w:rPr>
          <w:rFonts w:ascii="Times New Roman" w:hAnsi="Times New Roman" w:cs="Times New Roman"/>
          <w:sz w:val="24"/>
          <w:szCs w:val="24"/>
        </w:rPr>
        <w:tab/>
        <w:t xml:space="preserve">The Committee notes the recent regulatory changes to require that all grant programs run by corporate and non-corporate Commonwealth entities be administered in accordance with the </w:t>
      </w:r>
      <w:r w:rsidRPr="00881270">
        <w:rPr>
          <w:rFonts w:ascii="Times New Roman" w:hAnsi="Times New Roman" w:cs="Times New Roman"/>
          <w:sz w:val="24"/>
          <w:szCs w:val="24"/>
        </w:rPr>
        <w:t>Commonwealth Grants Rules and Guidelines 2017,</w:t>
      </w:r>
      <w:r w:rsidRPr="00FC6F9C">
        <w:rPr>
          <w:rFonts w:ascii="Times New Roman" w:hAnsi="Times New Roman" w:cs="Times New Roman"/>
          <w:sz w:val="24"/>
          <w:szCs w:val="24"/>
        </w:rPr>
        <w:t xml:space="preserve"> and recommends that the Department of Finance review the operation of the guidelines and associated regulations two years after the tabling of this report to ensure they remain efficient and effective.</w:t>
      </w:r>
      <w:proofErr w:type="gramEnd"/>
    </w:p>
    <w:p w14:paraId="0B8D72B4" w14:textId="77777777" w:rsidR="00420820" w:rsidRPr="007D31C5" w:rsidRDefault="007D31C5">
      <w:pPr>
        <w:rPr>
          <w:rFonts w:ascii="Times New Roman" w:hAnsi="Times New Roman" w:cs="Times New Roman"/>
          <w:b/>
          <w:sz w:val="24"/>
          <w:szCs w:val="24"/>
        </w:rPr>
      </w:pPr>
      <w:r w:rsidRPr="007D31C5">
        <w:rPr>
          <w:rFonts w:ascii="Times New Roman" w:hAnsi="Times New Roman" w:cs="Times New Roman"/>
          <w:b/>
          <w:sz w:val="24"/>
          <w:szCs w:val="24"/>
        </w:rPr>
        <w:t>Agree</w:t>
      </w:r>
      <w:r w:rsidR="00704BAF">
        <w:rPr>
          <w:rFonts w:ascii="Times New Roman" w:hAnsi="Times New Roman" w:cs="Times New Roman"/>
          <w:b/>
          <w:sz w:val="24"/>
          <w:szCs w:val="24"/>
        </w:rPr>
        <w:t>d</w:t>
      </w:r>
      <w:r w:rsidR="00B204D8" w:rsidRPr="007D31C5">
        <w:rPr>
          <w:rFonts w:ascii="Times New Roman" w:hAnsi="Times New Roman" w:cs="Times New Roman"/>
          <w:b/>
          <w:sz w:val="24"/>
          <w:szCs w:val="24"/>
        </w:rPr>
        <w:t xml:space="preserve">. </w:t>
      </w:r>
    </w:p>
    <w:p w14:paraId="4C2DBD83" w14:textId="58C76EA6" w:rsidR="00FC6F9C" w:rsidRDefault="00737EB8">
      <w:pPr>
        <w:rPr>
          <w:rFonts w:ascii="Times New Roman" w:hAnsi="Times New Roman" w:cs="Times New Roman"/>
          <w:sz w:val="24"/>
          <w:szCs w:val="24"/>
        </w:rPr>
      </w:pPr>
      <w:r w:rsidRPr="00737EB8">
        <w:rPr>
          <w:rFonts w:ascii="Times New Roman" w:hAnsi="Times New Roman" w:cs="Times New Roman"/>
          <w:sz w:val="24"/>
          <w:szCs w:val="24"/>
        </w:rPr>
        <w:t>The Government supports the Department of Finance undertaking a review of the operation of the</w:t>
      </w:r>
      <w:r>
        <w:t xml:space="preserve"> </w:t>
      </w:r>
      <w:r w:rsidRPr="00737EB8">
        <w:rPr>
          <w:rFonts w:ascii="Times New Roman" w:hAnsi="Times New Roman" w:cs="Times New Roman"/>
          <w:sz w:val="24"/>
          <w:szCs w:val="24"/>
        </w:rPr>
        <w:t>Commonwealth Grants Rules and Guidelines 2017 and the recently commenced Division 6A of the Public Governance, Performance and Accountability Rule 2014 after two year</w:t>
      </w:r>
      <w:r>
        <w:rPr>
          <w:rFonts w:ascii="Times New Roman" w:hAnsi="Times New Roman" w:cs="Times New Roman"/>
          <w:sz w:val="24"/>
          <w:szCs w:val="24"/>
        </w:rPr>
        <w:t>s.</w:t>
      </w:r>
    </w:p>
    <w:p w14:paraId="75ECCE30" w14:textId="77777777" w:rsidR="00737EB8" w:rsidRDefault="00737EB8">
      <w:pPr>
        <w:rPr>
          <w:rFonts w:ascii="Times New Roman" w:hAnsi="Times New Roman" w:cs="Times New Roman"/>
          <w:sz w:val="24"/>
          <w:szCs w:val="24"/>
        </w:rPr>
      </w:pPr>
    </w:p>
    <w:p w14:paraId="11CC270E" w14:textId="77777777" w:rsidR="00FC6F9C" w:rsidRDefault="00FC6F9C" w:rsidP="004C1E26">
      <w:pPr>
        <w:pBdr>
          <w:top w:val="single" w:sz="4" w:space="1" w:color="auto"/>
          <w:left w:val="single" w:sz="4" w:space="4" w:color="auto"/>
          <w:bottom w:val="single" w:sz="4" w:space="6" w:color="auto"/>
          <w:right w:val="single" w:sz="4" w:space="4" w:color="auto"/>
        </w:pBdr>
        <w:rPr>
          <w:rFonts w:ascii="Times New Roman" w:hAnsi="Times New Roman" w:cs="Times New Roman"/>
          <w:b/>
          <w:sz w:val="24"/>
          <w:szCs w:val="24"/>
        </w:rPr>
      </w:pPr>
      <w:r w:rsidRPr="004D3C2A">
        <w:rPr>
          <w:rFonts w:ascii="Times New Roman" w:hAnsi="Times New Roman" w:cs="Times New Roman"/>
          <w:b/>
          <w:sz w:val="24"/>
          <w:szCs w:val="24"/>
        </w:rPr>
        <w:t>Recommend</w:t>
      </w:r>
      <w:r>
        <w:rPr>
          <w:rFonts w:ascii="Times New Roman" w:hAnsi="Times New Roman" w:cs="Times New Roman"/>
          <w:b/>
          <w:sz w:val="24"/>
          <w:szCs w:val="24"/>
        </w:rPr>
        <w:t>ation 2</w:t>
      </w:r>
    </w:p>
    <w:p w14:paraId="6002FD1B" w14:textId="77777777" w:rsidR="000D5163" w:rsidRDefault="00FC6F9C" w:rsidP="004C1E26">
      <w:pPr>
        <w:pBdr>
          <w:top w:val="single" w:sz="4" w:space="1" w:color="auto"/>
          <w:left w:val="single" w:sz="4" w:space="4" w:color="auto"/>
          <w:bottom w:val="single" w:sz="4" w:space="6" w:color="auto"/>
          <w:right w:val="single" w:sz="4" w:space="4" w:color="auto"/>
        </w:pBdr>
        <w:tabs>
          <w:tab w:val="left" w:pos="1134"/>
        </w:tabs>
        <w:ind w:left="709" w:hanging="709"/>
        <w:rPr>
          <w:rFonts w:ascii="Times New Roman" w:hAnsi="Times New Roman" w:cs="Times New Roman"/>
          <w:sz w:val="24"/>
          <w:szCs w:val="24"/>
        </w:rPr>
      </w:pPr>
      <w:r w:rsidRPr="00FC6F9C">
        <w:rPr>
          <w:rFonts w:ascii="Times New Roman" w:hAnsi="Times New Roman" w:cs="Times New Roman"/>
          <w:sz w:val="24"/>
          <w:szCs w:val="24"/>
        </w:rPr>
        <w:t xml:space="preserve"> 2.68</w:t>
      </w:r>
      <w:r w:rsidRPr="00FC6F9C">
        <w:rPr>
          <w:rFonts w:ascii="Times New Roman" w:hAnsi="Times New Roman" w:cs="Times New Roman"/>
          <w:sz w:val="24"/>
          <w:szCs w:val="24"/>
        </w:rPr>
        <w:tab/>
        <w:t xml:space="preserve">The Committee recommends that the Department of Finance, in consultation with the Australian National Audit Office, revise its Resource Management Guides </w:t>
      </w:r>
      <w:proofErr w:type="gramStart"/>
      <w:r w:rsidRPr="00FC6F9C">
        <w:rPr>
          <w:rFonts w:ascii="Times New Roman" w:hAnsi="Times New Roman" w:cs="Times New Roman"/>
          <w:sz w:val="24"/>
          <w:szCs w:val="24"/>
        </w:rPr>
        <w:t>to</w:t>
      </w:r>
      <w:proofErr w:type="gramEnd"/>
      <w:r w:rsidRPr="00FC6F9C">
        <w:rPr>
          <w:rFonts w:ascii="Times New Roman" w:hAnsi="Times New Roman" w:cs="Times New Roman"/>
          <w:sz w:val="24"/>
          <w:szCs w:val="24"/>
        </w:rPr>
        <w:t>:</w:t>
      </w:r>
    </w:p>
    <w:p w14:paraId="6DB4D769" w14:textId="77777777" w:rsidR="000D5163" w:rsidRDefault="000D5163" w:rsidP="004C1E26">
      <w:pPr>
        <w:pBdr>
          <w:top w:val="single" w:sz="4" w:space="1" w:color="auto"/>
          <w:left w:val="single" w:sz="4" w:space="4" w:color="auto"/>
          <w:bottom w:val="single" w:sz="4" w:space="6" w:color="auto"/>
          <w:right w:val="single" w:sz="4" w:space="4" w:color="auto"/>
        </w:pBdr>
        <w:tabs>
          <w:tab w:val="left" w:pos="709"/>
          <w:tab w:val="left" w:pos="1134"/>
        </w:tabs>
        <w:ind w:left="1134" w:hanging="1134"/>
        <w:rPr>
          <w:rFonts w:ascii="Times New Roman" w:hAnsi="Times New Roman" w:cs="Times New Roman"/>
          <w:sz w:val="24"/>
          <w:szCs w:val="24"/>
        </w:rPr>
      </w:pPr>
      <w:r>
        <w:rPr>
          <w:rFonts w:ascii="Times New Roman" w:hAnsi="Times New Roman" w:cs="Times New Roman"/>
          <w:sz w:val="24"/>
          <w:szCs w:val="24"/>
        </w:rPr>
        <w:tab/>
      </w:r>
      <w:r w:rsidR="00FC6F9C">
        <w:rPr>
          <w:rFonts w:ascii="Times New Roman" w:hAnsi="Times New Roman" w:cs="Times New Roman"/>
          <w:sz w:val="24"/>
          <w:szCs w:val="24"/>
        </w:rPr>
        <w:t>*</w:t>
      </w:r>
      <w:r>
        <w:rPr>
          <w:rFonts w:ascii="Times New Roman" w:hAnsi="Times New Roman" w:cs="Times New Roman"/>
          <w:sz w:val="24"/>
          <w:szCs w:val="24"/>
        </w:rPr>
        <w:tab/>
      </w:r>
      <w:r w:rsidR="00FC6F9C" w:rsidRPr="00FC6F9C">
        <w:rPr>
          <w:rFonts w:ascii="Times New Roman" w:hAnsi="Times New Roman" w:cs="Times New Roman"/>
          <w:sz w:val="24"/>
          <w:szCs w:val="24"/>
        </w:rPr>
        <w:t>Provide a single consolidated authoritative guide to grants administration in the Australian Government for all corporate and non-corporate Commonwealth entities, including a focus on best practice models and principles</w:t>
      </w:r>
      <w:proofErr w:type="gramStart"/>
      <w:r w:rsidR="00FC6F9C" w:rsidRPr="00FC6F9C">
        <w:rPr>
          <w:rFonts w:ascii="Times New Roman" w:hAnsi="Times New Roman" w:cs="Times New Roman"/>
          <w:sz w:val="24"/>
          <w:szCs w:val="24"/>
        </w:rPr>
        <w:t>;</w:t>
      </w:r>
      <w:proofErr w:type="gramEnd"/>
    </w:p>
    <w:p w14:paraId="4DB8D8D8" w14:textId="77777777" w:rsidR="000D5163" w:rsidRDefault="000D5163" w:rsidP="004C1E26">
      <w:pPr>
        <w:pBdr>
          <w:top w:val="single" w:sz="4" w:space="1" w:color="auto"/>
          <w:left w:val="single" w:sz="4" w:space="4" w:color="auto"/>
          <w:bottom w:val="single" w:sz="4" w:space="6" w:color="auto"/>
          <w:right w:val="single" w:sz="4" w:space="4" w:color="auto"/>
        </w:pBdr>
        <w:tabs>
          <w:tab w:val="left" w:pos="709"/>
          <w:tab w:val="left" w:pos="1134"/>
        </w:tabs>
        <w:ind w:left="1134" w:hanging="1134"/>
        <w:rPr>
          <w:rFonts w:ascii="Times New Roman" w:hAnsi="Times New Roman" w:cs="Times New Roman"/>
          <w:sz w:val="24"/>
          <w:szCs w:val="24"/>
        </w:rPr>
      </w:pPr>
      <w:r>
        <w:rPr>
          <w:rFonts w:ascii="Times New Roman" w:hAnsi="Times New Roman" w:cs="Times New Roman"/>
          <w:sz w:val="24"/>
          <w:szCs w:val="24"/>
        </w:rPr>
        <w:tab/>
      </w:r>
      <w:r w:rsidR="00FC6F9C">
        <w:rPr>
          <w:rFonts w:ascii="Times New Roman" w:hAnsi="Times New Roman" w:cs="Times New Roman"/>
          <w:sz w:val="24"/>
          <w:szCs w:val="24"/>
        </w:rPr>
        <w:t>*</w:t>
      </w:r>
      <w:r w:rsidR="00FC6F9C">
        <w:rPr>
          <w:rFonts w:ascii="Times New Roman" w:hAnsi="Times New Roman" w:cs="Times New Roman"/>
          <w:sz w:val="24"/>
          <w:szCs w:val="24"/>
        </w:rPr>
        <w:tab/>
      </w:r>
      <w:r w:rsidR="00FC6F9C" w:rsidRPr="00FC6F9C">
        <w:rPr>
          <w:rFonts w:ascii="Times New Roman" w:hAnsi="Times New Roman" w:cs="Times New Roman"/>
          <w:sz w:val="24"/>
          <w:szCs w:val="24"/>
        </w:rPr>
        <w:t>Provide detailed information in relation to legislative requirements of administering officials, practical advice and b</w:t>
      </w:r>
      <w:r>
        <w:rPr>
          <w:rFonts w:ascii="Times New Roman" w:hAnsi="Times New Roman" w:cs="Times New Roman"/>
          <w:sz w:val="24"/>
          <w:szCs w:val="24"/>
        </w:rPr>
        <w:t>est practice examples; and</w:t>
      </w:r>
    </w:p>
    <w:p w14:paraId="58DC7C6F" w14:textId="39FCF1D3" w:rsidR="00FC6F9C" w:rsidRPr="004C1E26" w:rsidRDefault="000D5163" w:rsidP="004C1E26">
      <w:pPr>
        <w:pBdr>
          <w:top w:val="single" w:sz="4" w:space="1" w:color="auto"/>
          <w:left w:val="single" w:sz="4" w:space="4" w:color="auto"/>
          <w:bottom w:val="single" w:sz="4" w:space="6" w:color="auto"/>
          <w:right w:val="single" w:sz="4" w:space="4" w:color="auto"/>
        </w:pBdr>
        <w:tabs>
          <w:tab w:val="left" w:pos="709"/>
          <w:tab w:val="left" w:pos="1134"/>
        </w:tabs>
        <w:ind w:left="1134" w:hanging="1134"/>
        <w:rPr>
          <w:rFonts w:ascii="Times New Roman" w:hAnsi="Times New Roman" w:cs="Times New Roman"/>
          <w:sz w:val="24"/>
          <w:szCs w:val="24"/>
        </w:rPr>
      </w:pPr>
      <w:r>
        <w:rPr>
          <w:rFonts w:ascii="Times New Roman" w:hAnsi="Times New Roman" w:cs="Times New Roman"/>
          <w:sz w:val="24"/>
          <w:szCs w:val="24"/>
        </w:rPr>
        <w:tab/>
      </w:r>
      <w:r w:rsidR="00FC6F9C">
        <w:rPr>
          <w:rFonts w:ascii="Times New Roman" w:hAnsi="Times New Roman" w:cs="Times New Roman"/>
          <w:sz w:val="24"/>
          <w:szCs w:val="24"/>
        </w:rPr>
        <w:t>*</w:t>
      </w:r>
      <w:r w:rsidR="00FC6F9C">
        <w:rPr>
          <w:rFonts w:ascii="Times New Roman" w:hAnsi="Times New Roman" w:cs="Times New Roman"/>
          <w:sz w:val="24"/>
          <w:szCs w:val="24"/>
        </w:rPr>
        <w:tab/>
      </w:r>
      <w:r w:rsidR="00FC6F9C" w:rsidRPr="00FC6F9C">
        <w:rPr>
          <w:rFonts w:ascii="Times New Roman" w:hAnsi="Times New Roman" w:cs="Times New Roman"/>
          <w:sz w:val="24"/>
          <w:szCs w:val="24"/>
        </w:rPr>
        <w:t>Provide clear guidance where advice is either mandatory or optional in administering grants programs.</w:t>
      </w:r>
    </w:p>
    <w:p w14:paraId="1D9EA649" w14:textId="77777777" w:rsidR="00704BAF" w:rsidRPr="007D31C5" w:rsidRDefault="00704BAF" w:rsidP="00704BAF">
      <w:pPr>
        <w:rPr>
          <w:rFonts w:ascii="Times New Roman" w:hAnsi="Times New Roman" w:cs="Times New Roman"/>
          <w:b/>
          <w:sz w:val="24"/>
          <w:szCs w:val="24"/>
        </w:rPr>
      </w:pPr>
      <w:r w:rsidRPr="007D31C5">
        <w:rPr>
          <w:rFonts w:ascii="Times New Roman" w:hAnsi="Times New Roman" w:cs="Times New Roman"/>
          <w:b/>
          <w:sz w:val="24"/>
          <w:szCs w:val="24"/>
        </w:rPr>
        <w:t>Agree</w:t>
      </w:r>
      <w:r>
        <w:rPr>
          <w:rFonts w:ascii="Times New Roman" w:hAnsi="Times New Roman" w:cs="Times New Roman"/>
          <w:b/>
          <w:sz w:val="24"/>
          <w:szCs w:val="24"/>
        </w:rPr>
        <w:t>d</w:t>
      </w:r>
      <w:r w:rsidRPr="007D31C5">
        <w:rPr>
          <w:rFonts w:ascii="Times New Roman" w:hAnsi="Times New Roman" w:cs="Times New Roman"/>
          <w:b/>
          <w:sz w:val="24"/>
          <w:szCs w:val="24"/>
        </w:rPr>
        <w:t xml:space="preserve">. </w:t>
      </w:r>
    </w:p>
    <w:p w14:paraId="1A0F3760" w14:textId="761873D0" w:rsidR="007A225B" w:rsidRDefault="00737EB8">
      <w:pPr>
        <w:rPr>
          <w:rFonts w:ascii="Times New Roman" w:hAnsi="Times New Roman" w:cs="Times New Roman"/>
          <w:sz w:val="24"/>
          <w:szCs w:val="24"/>
        </w:rPr>
      </w:pPr>
      <w:r w:rsidRPr="00737EB8">
        <w:rPr>
          <w:rFonts w:ascii="Times New Roman" w:hAnsi="Times New Roman" w:cs="Times New Roman"/>
          <w:sz w:val="24"/>
          <w:szCs w:val="24"/>
        </w:rPr>
        <w:t>The Government supports the Department of Finance consolidating guidance and, where appropriate, revising guidance material on grants policy and administration, in consultation with the Australian National Audit Office. The work will be based on ensuring that the guidance material is clear on requirements (include mandatory and optional advice) and provides best practice models and examples.</w:t>
      </w:r>
    </w:p>
    <w:p w14:paraId="175C5F5F" w14:textId="20A1EC6C" w:rsidR="007A225B" w:rsidRDefault="007A225B">
      <w:pPr>
        <w:rPr>
          <w:rFonts w:ascii="Times New Roman" w:hAnsi="Times New Roman" w:cs="Times New Roman"/>
          <w:sz w:val="24"/>
          <w:szCs w:val="24"/>
        </w:rPr>
      </w:pPr>
    </w:p>
    <w:p w14:paraId="7EF7A6A6" w14:textId="7DC13014" w:rsidR="007A225B" w:rsidRDefault="007A225B">
      <w:pPr>
        <w:rPr>
          <w:rFonts w:ascii="Times New Roman" w:hAnsi="Times New Roman" w:cs="Times New Roman"/>
          <w:sz w:val="24"/>
          <w:szCs w:val="24"/>
        </w:rPr>
      </w:pPr>
    </w:p>
    <w:p w14:paraId="775E602E" w14:textId="7A9CBAB8" w:rsidR="007A225B" w:rsidRDefault="007A225B">
      <w:pPr>
        <w:rPr>
          <w:rFonts w:ascii="Times New Roman" w:hAnsi="Times New Roman" w:cs="Times New Roman"/>
          <w:sz w:val="24"/>
          <w:szCs w:val="24"/>
        </w:rPr>
      </w:pPr>
    </w:p>
    <w:p w14:paraId="69B42857" w14:textId="77777777" w:rsidR="007A225B" w:rsidRDefault="007A225B">
      <w:pPr>
        <w:rPr>
          <w:rFonts w:ascii="Times New Roman" w:hAnsi="Times New Roman" w:cs="Times New Roman"/>
          <w:sz w:val="24"/>
          <w:szCs w:val="24"/>
        </w:rPr>
      </w:pPr>
    </w:p>
    <w:p w14:paraId="4213A4D9" w14:textId="77777777" w:rsidR="007A225B" w:rsidRDefault="007A225B">
      <w:pPr>
        <w:rPr>
          <w:rFonts w:ascii="Times New Roman" w:hAnsi="Times New Roman" w:cs="Times New Roman"/>
          <w:sz w:val="24"/>
          <w:szCs w:val="24"/>
        </w:rPr>
      </w:pPr>
    </w:p>
    <w:p w14:paraId="0A5C9154" w14:textId="77777777" w:rsidR="00FC6F9C" w:rsidRDefault="00FC6F9C" w:rsidP="004C1E26">
      <w:pPr>
        <w:pBdr>
          <w:top w:val="single" w:sz="4" w:space="1" w:color="auto"/>
          <w:left w:val="single" w:sz="4" w:space="4" w:color="auto"/>
          <w:bottom w:val="single" w:sz="4" w:space="6" w:color="auto"/>
          <w:right w:val="single" w:sz="4" w:space="4" w:color="auto"/>
        </w:pBdr>
        <w:rPr>
          <w:rFonts w:ascii="Times New Roman" w:hAnsi="Times New Roman" w:cs="Times New Roman"/>
          <w:b/>
          <w:sz w:val="24"/>
          <w:szCs w:val="24"/>
        </w:rPr>
      </w:pPr>
      <w:r w:rsidRPr="004D3C2A">
        <w:rPr>
          <w:rFonts w:ascii="Times New Roman" w:hAnsi="Times New Roman" w:cs="Times New Roman"/>
          <w:b/>
          <w:sz w:val="24"/>
          <w:szCs w:val="24"/>
        </w:rPr>
        <w:t xml:space="preserve">Recommendation </w:t>
      </w:r>
      <w:r>
        <w:rPr>
          <w:rFonts w:ascii="Times New Roman" w:hAnsi="Times New Roman" w:cs="Times New Roman"/>
          <w:b/>
          <w:sz w:val="24"/>
          <w:szCs w:val="24"/>
        </w:rPr>
        <w:t>3</w:t>
      </w:r>
    </w:p>
    <w:p w14:paraId="5B583270" w14:textId="49F115EE" w:rsidR="00FC6F9C" w:rsidRPr="004C1E26" w:rsidRDefault="00FC6F9C" w:rsidP="004C1E26">
      <w:pPr>
        <w:pBdr>
          <w:top w:val="single" w:sz="4" w:space="1" w:color="auto"/>
          <w:left w:val="single" w:sz="4" w:space="4" w:color="auto"/>
          <w:bottom w:val="single" w:sz="4" w:space="6" w:color="auto"/>
          <w:right w:val="single" w:sz="4" w:space="4" w:color="auto"/>
        </w:pBdr>
        <w:ind w:left="720" w:hanging="720"/>
        <w:rPr>
          <w:rFonts w:ascii="Times New Roman" w:hAnsi="Times New Roman" w:cs="Times New Roman"/>
          <w:sz w:val="24"/>
          <w:szCs w:val="24"/>
        </w:rPr>
      </w:pPr>
      <w:r w:rsidRPr="00FC6F9C">
        <w:rPr>
          <w:rFonts w:ascii="Times New Roman" w:hAnsi="Times New Roman" w:cs="Times New Roman"/>
          <w:sz w:val="24"/>
          <w:szCs w:val="24"/>
        </w:rPr>
        <w:t>2.69</w:t>
      </w:r>
      <w:r w:rsidRPr="00FC6F9C">
        <w:rPr>
          <w:rFonts w:ascii="Times New Roman" w:hAnsi="Times New Roman" w:cs="Times New Roman"/>
          <w:sz w:val="24"/>
          <w:szCs w:val="24"/>
        </w:rPr>
        <w:tab/>
        <w:t>The Committee recommends that the Department of Finance review the established reporting and compliance system and approach to improve assurance that Commonwealth grant program guidelines are adhered to at all points of grant administration for all applicable entities and decision makers. The Department of Finance should report to the Committee on the outcome of this review within six months of the tabling of this report.</w:t>
      </w:r>
    </w:p>
    <w:p w14:paraId="6193D9F0" w14:textId="77777777" w:rsidR="00704BAF" w:rsidRPr="007D31C5" w:rsidRDefault="00704BAF" w:rsidP="00704BAF">
      <w:pPr>
        <w:rPr>
          <w:rFonts w:ascii="Times New Roman" w:hAnsi="Times New Roman" w:cs="Times New Roman"/>
          <w:b/>
          <w:sz w:val="24"/>
          <w:szCs w:val="24"/>
        </w:rPr>
      </w:pPr>
      <w:r w:rsidRPr="007D31C5">
        <w:rPr>
          <w:rFonts w:ascii="Times New Roman" w:hAnsi="Times New Roman" w:cs="Times New Roman"/>
          <w:b/>
          <w:sz w:val="24"/>
          <w:szCs w:val="24"/>
        </w:rPr>
        <w:t>Agree</w:t>
      </w:r>
      <w:r>
        <w:rPr>
          <w:rFonts w:ascii="Times New Roman" w:hAnsi="Times New Roman" w:cs="Times New Roman"/>
          <w:b/>
          <w:sz w:val="24"/>
          <w:szCs w:val="24"/>
        </w:rPr>
        <w:t>d</w:t>
      </w:r>
      <w:r w:rsidRPr="007D31C5">
        <w:rPr>
          <w:rFonts w:ascii="Times New Roman" w:hAnsi="Times New Roman" w:cs="Times New Roman"/>
          <w:b/>
          <w:sz w:val="24"/>
          <w:szCs w:val="24"/>
        </w:rPr>
        <w:t xml:space="preserve">. </w:t>
      </w:r>
    </w:p>
    <w:p w14:paraId="67D4D84C" w14:textId="1F964437" w:rsidR="00FC6F9C" w:rsidRDefault="007A225B">
      <w:pPr>
        <w:rPr>
          <w:rFonts w:ascii="Times New Roman" w:hAnsi="Times New Roman" w:cs="Times New Roman"/>
          <w:sz w:val="24"/>
          <w:szCs w:val="24"/>
        </w:rPr>
      </w:pPr>
      <w:r w:rsidRPr="007A225B">
        <w:rPr>
          <w:rFonts w:ascii="Times New Roman" w:hAnsi="Times New Roman" w:cs="Times New Roman"/>
          <w:sz w:val="24"/>
          <w:szCs w:val="24"/>
        </w:rPr>
        <w:t xml:space="preserve">The Government supports the Department of Finance undertaking a review of the reporting and compliance system relating to grant opportunity guidelines, and </w:t>
      </w:r>
      <w:proofErr w:type="gramStart"/>
      <w:r w:rsidRPr="007A225B">
        <w:rPr>
          <w:rFonts w:ascii="Times New Roman" w:hAnsi="Times New Roman" w:cs="Times New Roman"/>
          <w:sz w:val="24"/>
          <w:szCs w:val="24"/>
        </w:rPr>
        <w:t>reporting back</w:t>
      </w:r>
      <w:proofErr w:type="gramEnd"/>
      <w:r w:rsidRPr="007A225B">
        <w:rPr>
          <w:rFonts w:ascii="Times New Roman" w:hAnsi="Times New Roman" w:cs="Times New Roman"/>
          <w:sz w:val="24"/>
          <w:szCs w:val="24"/>
        </w:rPr>
        <w:t xml:space="preserve"> to the Committee once this work is completed. This review will take into account the devolved and principles-based public resource management framework. Under this framework, accountable authorities, officials and ministers are responsible for understanding and complying with finance law requirements. Finance law includes the </w:t>
      </w:r>
      <w:r w:rsidRPr="00384077">
        <w:rPr>
          <w:rFonts w:ascii="Times New Roman" w:hAnsi="Times New Roman" w:cs="Times New Roman"/>
          <w:i/>
          <w:sz w:val="24"/>
          <w:szCs w:val="24"/>
        </w:rPr>
        <w:t>Public Governance, Performance and Accountability Act 2013</w:t>
      </w:r>
      <w:r w:rsidRPr="007A225B">
        <w:rPr>
          <w:rFonts w:ascii="Times New Roman" w:hAnsi="Times New Roman" w:cs="Times New Roman"/>
          <w:sz w:val="24"/>
          <w:szCs w:val="24"/>
        </w:rPr>
        <w:t xml:space="preserve">, the </w:t>
      </w:r>
      <w:r w:rsidRPr="00384077">
        <w:rPr>
          <w:rFonts w:ascii="Times New Roman" w:hAnsi="Times New Roman" w:cs="Times New Roman"/>
          <w:i/>
          <w:sz w:val="24"/>
          <w:szCs w:val="24"/>
        </w:rPr>
        <w:t>Public Governance, Performance and Accountability Rule 2014</w:t>
      </w:r>
      <w:r w:rsidRPr="007A225B">
        <w:rPr>
          <w:rFonts w:ascii="Times New Roman" w:hAnsi="Times New Roman" w:cs="Times New Roman"/>
          <w:sz w:val="24"/>
          <w:szCs w:val="24"/>
        </w:rPr>
        <w:t xml:space="preserve"> and the </w:t>
      </w:r>
      <w:r w:rsidRPr="00384077">
        <w:rPr>
          <w:rFonts w:ascii="Times New Roman" w:hAnsi="Times New Roman" w:cs="Times New Roman"/>
          <w:i/>
          <w:sz w:val="24"/>
          <w:szCs w:val="24"/>
        </w:rPr>
        <w:t>Commonwealth Grants Rules and Guidelines 2017</w:t>
      </w:r>
      <w:r w:rsidRPr="007A225B">
        <w:rPr>
          <w:rFonts w:ascii="Times New Roman" w:hAnsi="Times New Roman" w:cs="Times New Roman"/>
          <w:sz w:val="24"/>
          <w:szCs w:val="24"/>
        </w:rPr>
        <w:t>.</w:t>
      </w:r>
    </w:p>
    <w:p w14:paraId="62C3A3A8" w14:textId="77777777" w:rsidR="007A225B" w:rsidRDefault="007A225B">
      <w:pPr>
        <w:rPr>
          <w:rFonts w:ascii="Times New Roman" w:hAnsi="Times New Roman" w:cs="Times New Roman"/>
          <w:sz w:val="24"/>
          <w:szCs w:val="24"/>
        </w:rPr>
      </w:pPr>
    </w:p>
    <w:p w14:paraId="6B7AC688" w14:textId="77777777" w:rsidR="00FC6F9C" w:rsidRDefault="00FC6F9C" w:rsidP="004C1E26">
      <w:pPr>
        <w:pBdr>
          <w:top w:val="single" w:sz="4" w:space="1" w:color="auto"/>
          <w:left w:val="single" w:sz="4" w:space="4" w:color="auto"/>
          <w:bottom w:val="single" w:sz="4" w:space="6" w:color="auto"/>
          <w:right w:val="single" w:sz="4" w:space="4" w:color="auto"/>
        </w:pBdr>
        <w:rPr>
          <w:rFonts w:ascii="Times New Roman" w:hAnsi="Times New Roman" w:cs="Times New Roman"/>
          <w:b/>
          <w:sz w:val="24"/>
          <w:szCs w:val="24"/>
        </w:rPr>
      </w:pPr>
      <w:r w:rsidRPr="004D3C2A">
        <w:rPr>
          <w:rFonts w:ascii="Times New Roman" w:hAnsi="Times New Roman" w:cs="Times New Roman"/>
          <w:b/>
          <w:sz w:val="24"/>
          <w:szCs w:val="24"/>
        </w:rPr>
        <w:t xml:space="preserve">Recommendation </w:t>
      </w:r>
      <w:r>
        <w:rPr>
          <w:rFonts w:ascii="Times New Roman" w:hAnsi="Times New Roman" w:cs="Times New Roman"/>
          <w:b/>
          <w:sz w:val="24"/>
          <w:szCs w:val="24"/>
        </w:rPr>
        <w:t>4</w:t>
      </w:r>
    </w:p>
    <w:p w14:paraId="29CE218F" w14:textId="31140606" w:rsidR="00FC6F9C" w:rsidRPr="004C1E26" w:rsidRDefault="00FC6F9C" w:rsidP="004C1E26">
      <w:pPr>
        <w:pBdr>
          <w:top w:val="single" w:sz="4" w:space="1" w:color="auto"/>
          <w:left w:val="single" w:sz="4" w:space="4" w:color="auto"/>
          <w:bottom w:val="single" w:sz="4" w:space="6" w:color="auto"/>
          <w:right w:val="single" w:sz="4" w:space="4" w:color="auto"/>
        </w:pBdr>
        <w:ind w:left="720" w:hanging="720"/>
        <w:rPr>
          <w:rFonts w:ascii="Times New Roman" w:hAnsi="Times New Roman" w:cs="Times New Roman"/>
          <w:sz w:val="24"/>
          <w:szCs w:val="24"/>
        </w:rPr>
      </w:pPr>
      <w:r w:rsidRPr="00FC6F9C">
        <w:rPr>
          <w:rFonts w:ascii="Times New Roman" w:hAnsi="Times New Roman" w:cs="Times New Roman"/>
          <w:sz w:val="24"/>
          <w:szCs w:val="24"/>
        </w:rPr>
        <w:t>2.70</w:t>
      </w:r>
      <w:r w:rsidRPr="00FC6F9C">
        <w:rPr>
          <w:rFonts w:ascii="Times New Roman" w:hAnsi="Times New Roman" w:cs="Times New Roman"/>
          <w:sz w:val="24"/>
          <w:szCs w:val="24"/>
        </w:rPr>
        <w:tab/>
        <w:t xml:space="preserve">The Committee recommends that the Department of Finance review the official record-keeping requirements of the Commonwealth Grants Rules and Guidelines 2017 with a view to addressing probity issues, including a requirement for all parties involved in grant administration to disclose and record any conflicts of interest. Further, changes </w:t>
      </w:r>
      <w:proofErr w:type="gramStart"/>
      <w:r w:rsidRPr="00FC6F9C">
        <w:rPr>
          <w:rFonts w:ascii="Times New Roman" w:hAnsi="Times New Roman" w:cs="Times New Roman"/>
          <w:sz w:val="24"/>
          <w:szCs w:val="24"/>
        </w:rPr>
        <w:t>should be made</w:t>
      </w:r>
      <w:proofErr w:type="gramEnd"/>
      <w:r w:rsidRPr="00FC6F9C">
        <w:rPr>
          <w:rFonts w:ascii="Times New Roman" w:hAnsi="Times New Roman" w:cs="Times New Roman"/>
          <w:sz w:val="24"/>
          <w:szCs w:val="24"/>
        </w:rPr>
        <w:t xml:space="preserve"> to ensure records are kept of the reasoning for decisions of a relevant Minister(s) to approve or reject grant applications and recommendations, including ministerial panels. This is particularly important where a Minister approves a grant that a relevant official/entity has recommended be rejected or assessed as ineligible.</w:t>
      </w:r>
    </w:p>
    <w:p w14:paraId="63EA37D3" w14:textId="77777777" w:rsidR="00704BAF" w:rsidRPr="007D31C5" w:rsidRDefault="00704BAF" w:rsidP="00704BAF">
      <w:pPr>
        <w:rPr>
          <w:rFonts w:ascii="Times New Roman" w:hAnsi="Times New Roman" w:cs="Times New Roman"/>
          <w:b/>
          <w:sz w:val="24"/>
          <w:szCs w:val="24"/>
        </w:rPr>
      </w:pPr>
      <w:r w:rsidRPr="007D31C5">
        <w:rPr>
          <w:rFonts w:ascii="Times New Roman" w:hAnsi="Times New Roman" w:cs="Times New Roman"/>
          <w:b/>
          <w:sz w:val="24"/>
          <w:szCs w:val="24"/>
        </w:rPr>
        <w:t>Agree</w:t>
      </w:r>
      <w:r>
        <w:rPr>
          <w:rFonts w:ascii="Times New Roman" w:hAnsi="Times New Roman" w:cs="Times New Roman"/>
          <w:b/>
          <w:sz w:val="24"/>
          <w:szCs w:val="24"/>
        </w:rPr>
        <w:t>d</w:t>
      </w:r>
      <w:r w:rsidRPr="007D31C5">
        <w:rPr>
          <w:rFonts w:ascii="Times New Roman" w:hAnsi="Times New Roman" w:cs="Times New Roman"/>
          <w:b/>
          <w:sz w:val="24"/>
          <w:szCs w:val="24"/>
        </w:rPr>
        <w:t xml:space="preserve">. </w:t>
      </w:r>
    </w:p>
    <w:p w14:paraId="6A47FAC0" w14:textId="7B636A09" w:rsidR="007A225B" w:rsidRPr="007A225B" w:rsidRDefault="007A225B" w:rsidP="007A225B">
      <w:pPr>
        <w:pStyle w:val="Default"/>
        <w:rPr>
          <w:color w:val="auto"/>
        </w:rPr>
      </w:pPr>
      <w:r w:rsidRPr="007A225B">
        <w:rPr>
          <w:color w:val="auto"/>
        </w:rPr>
        <w:t xml:space="preserve">The Government supports the Department of Finance reviewing the record-keeping requirements of the </w:t>
      </w:r>
      <w:r w:rsidRPr="00384077">
        <w:rPr>
          <w:i/>
          <w:color w:val="auto"/>
        </w:rPr>
        <w:t>Commonwealth Grants Rules and Guidelines 2017</w:t>
      </w:r>
      <w:r w:rsidRPr="007A225B">
        <w:rPr>
          <w:color w:val="auto"/>
        </w:rPr>
        <w:t xml:space="preserve">. This review will consider broader record-keeping requirements for ministers and officials under other legislative frameworks, such as the </w:t>
      </w:r>
      <w:r w:rsidRPr="00384077">
        <w:rPr>
          <w:i/>
          <w:color w:val="auto"/>
        </w:rPr>
        <w:t>Archives Act 1983</w:t>
      </w:r>
      <w:r w:rsidRPr="007A225B">
        <w:rPr>
          <w:color w:val="auto"/>
        </w:rPr>
        <w:t xml:space="preserve">, as well as existing record-keeping requirements in the </w:t>
      </w:r>
      <w:r w:rsidRPr="00384077">
        <w:rPr>
          <w:i/>
          <w:color w:val="auto"/>
        </w:rPr>
        <w:t>Public Governance, Performance and Accountability Act 2013 and the Public Governance, Performance and Accountability Rule 2014</w:t>
      </w:r>
      <w:r w:rsidRPr="007A225B">
        <w:rPr>
          <w:color w:val="auto"/>
        </w:rPr>
        <w:t xml:space="preserve">. </w:t>
      </w:r>
    </w:p>
    <w:p w14:paraId="2FE7D5EE" w14:textId="77777777" w:rsidR="007A225B" w:rsidRPr="007A225B" w:rsidRDefault="007A225B" w:rsidP="007A225B">
      <w:pPr>
        <w:pStyle w:val="Default"/>
        <w:rPr>
          <w:color w:val="auto"/>
        </w:rPr>
      </w:pPr>
    </w:p>
    <w:p w14:paraId="3F6A3078" w14:textId="2DD95BC4" w:rsidR="00FC6F9C" w:rsidRDefault="007A225B" w:rsidP="007A225B">
      <w:pPr>
        <w:rPr>
          <w:rFonts w:ascii="Times New Roman" w:hAnsi="Times New Roman" w:cs="Times New Roman"/>
          <w:sz w:val="24"/>
          <w:szCs w:val="24"/>
        </w:rPr>
      </w:pPr>
      <w:r w:rsidRPr="007A225B">
        <w:rPr>
          <w:rFonts w:ascii="Times New Roman" w:hAnsi="Times New Roman" w:cs="Times New Roman"/>
          <w:sz w:val="24"/>
          <w:szCs w:val="24"/>
        </w:rPr>
        <w:t xml:space="preserve">The Government notes the </w:t>
      </w:r>
      <w:r w:rsidRPr="00384077">
        <w:rPr>
          <w:rFonts w:ascii="Times New Roman" w:hAnsi="Times New Roman" w:cs="Times New Roman"/>
          <w:i/>
          <w:sz w:val="24"/>
          <w:szCs w:val="24"/>
        </w:rPr>
        <w:t>Commonwealth Grants Rules and Guidelines 2017</w:t>
      </w:r>
      <w:r w:rsidRPr="007A225B">
        <w:rPr>
          <w:rFonts w:ascii="Times New Roman" w:hAnsi="Times New Roman" w:cs="Times New Roman"/>
          <w:sz w:val="24"/>
          <w:szCs w:val="24"/>
        </w:rPr>
        <w:t xml:space="preserve"> already includes mandatory requirements for ministers and officials to record, in writing, the basis for approving a grant. The Government also notes section 71 of the </w:t>
      </w:r>
      <w:r w:rsidRPr="00384077">
        <w:rPr>
          <w:rFonts w:ascii="Times New Roman" w:hAnsi="Times New Roman" w:cs="Times New Roman"/>
          <w:i/>
          <w:sz w:val="24"/>
          <w:szCs w:val="24"/>
        </w:rPr>
        <w:t>Public Governance, Performance and Accountability Act 2013</w:t>
      </w:r>
      <w:r w:rsidRPr="007A225B">
        <w:rPr>
          <w:rFonts w:ascii="Times New Roman" w:hAnsi="Times New Roman" w:cs="Times New Roman"/>
          <w:sz w:val="24"/>
          <w:szCs w:val="24"/>
        </w:rPr>
        <w:t xml:space="preserve"> requires ministers to record the terms of their approval of proposed expenditure in writing. The review will consider appropriate requirements for recording reasons to reject grant applications.</w:t>
      </w:r>
    </w:p>
    <w:p w14:paraId="06A22FB2" w14:textId="3F7C896B" w:rsidR="007A225B" w:rsidRDefault="007A225B" w:rsidP="007A225B">
      <w:pPr>
        <w:rPr>
          <w:rFonts w:ascii="Times New Roman" w:hAnsi="Times New Roman" w:cs="Times New Roman"/>
          <w:sz w:val="24"/>
          <w:szCs w:val="24"/>
        </w:rPr>
      </w:pPr>
      <w:r w:rsidRPr="007A225B">
        <w:rPr>
          <w:rFonts w:ascii="Times New Roman" w:hAnsi="Times New Roman" w:cs="Times New Roman"/>
          <w:sz w:val="24"/>
          <w:szCs w:val="24"/>
        </w:rPr>
        <w:t xml:space="preserve">The Government further notes the </w:t>
      </w:r>
      <w:r w:rsidRPr="00384077">
        <w:rPr>
          <w:rFonts w:ascii="Times New Roman" w:hAnsi="Times New Roman" w:cs="Times New Roman"/>
          <w:i/>
          <w:sz w:val="24"/>
          <w:szCs w:val="24"/>
        </w:rPr>
        <w:t>Commonwealth Grants Rules and Guidelines 2017</w:t>
      </w:r>
      <w:r w:rsidRPr="007A225B">
        <w:rPr>
          <w:rFonts w:ascii="Times New Roman" w:hAnsi="Times New Roman" w:cs="Times New Roman"/>
          <w:sz w:val="24"/>
          <w:szCs w:val="24"/>
        </w:rPr>
        <w:t xml:space="preserve"> already includes better practice guidance on the principles of ‘Governance and Accountability’ and ‘Probity and Transparency’, which provide additional guidance for officials on appropriate record-keeping and managing probity issues, including conflict of interest. The Government will mandate appropriate requirements to disclose and record any conflicts of interest.</w:t>
      </w:r>
    </w:p>
    <w:p w14:paraId="27B0925B" w14:textId="77777777" w:rsidR="007A225B" w:rsidRDefault="007A225B" w:rsidP="007A225B">
      <w:pPr>
        <w:rPr>
          <w:rFonts w:ascii="Times New Roman" w:hAnsi="Times New Roman" w:cs="Times New Roman"/>
          <w:sz w:val="24"/>
          <w:szCs w:val="24"/>
        </w:rPr>
      </w:pPr>
    </w:p>
    <w:p w14:paraId="67D232D9" w14:textId="77777777" w:rsidR="00FC6F9C" w:rsidRDefault="00FC6F9C" w:rsidP="004C1E26">
      <w:pPr>
        <w:pBdr>
          <w:top w:val="single" w:sz="4" w:space="1" w:color="auto"/>
          <w:left w:val="single" w:sz="4" w:space="4" w:color="auto"/>
          <w:bottom w:val="single" w:sz="4" w:space="6" w:color="auto"/>
          <w:right w:val="single" w:sz="4" w:space="4" w:color="auto"/>
        </w:pBdr>
        <w:rPr>
          <w:rFonts w:ascii="Times New Roman" w:hAnsi="Times New Roman" w:cs="Times New Roman"/>
          <w:b/>
          <w:sz w:val="24"/>
          <w:szCs w:val="24"/>
        </w:rPr>
      </w:pPr>
      <w:r w:rsidRPr="004D3C2A">
        <w:rPr>
          <w:rFonts w:ascii="Times New Roman" w:hAnsi="Times New Roman" w:cs="Times New Roman"/>
          <w:b/>
          <w:sz w:val="24"/>
          <w:szCs w:val="24"/>
        </w:rPr>
        <w:t>Recommend</w:t>
      </w:r>
      <w:r>
        <w:rPr>
          <w:rFonts w:ascii="Times New Roman" w:hAnsi="Times New Roman" w:cs="Times New Roman"/>
          <w:b/>
          <w:sz w:val="24"/>
          <w:szCs w:val="24"/>
        </w:rPr>
        <w:t>ation 5</w:t>
      </w:r>
    </w:p>
    <w:p w14:paraId="05F5A513" w14:textId="77777777" w:rsidR="000D5163" w:rsidRDefault="00FC6F9C" w:rsidP="004C1E26">
      <w:pPr>
        <w:pBdr>
          <w:top w:val="single" w:sz="4" w:space="1" w:color="auto"/>
          <w:left w:val="single" w:sz="4" w:space="4" w:color="auto"/>
          <w:bottom w:val="single" w:sz="4" w:space="6" w:color="auto"/>
          <w:right w:val="single" w:sz="4" w:space="4" w:color="auto"/>
        </w:pBdr>
        <w:tabs>
          <w:tab w:val="left" w:pos="1134"/>
        </w:tabs>
        <w:ind w:left="720" w:hanging="720"/>
        <w:rPr>
          <w:rFonts w:ascii="Times New Roman" w:hAnsi="Times New Roman" w:cs="Times New Roman"/>
          <w:sz w:val="24"/>
          <w:szCs w:val="24"/>
        </w:rPr>
      </w:pPr>
      <w:r w:rsidRPr="00FC6F9C">
        <w:rPr>
          <w:rFonts w:ascii="Times New Roman" w:hAnsi="Times New Roman" w:cs="Times New Roman"/>
          <w:sz w:val="24"/>
          <w:szCs w:val="24"/>
        </w:rPr>
        <w:t>2.71</w:t>
      </w:r>
      <w:r w:rsidRPr="00FC6F9C">
        <w:rPr>
          <w:rFonts w:ascii="Times New Roman" w:hAnsi="Times New Roman" w:cs="Times New Roman"/>
          <w:sz w:val="24"/>
          <w:szCs w:val="24"/>
        </w:rPr>
        <w:tab/>
        <w:t xml:space="preserve">The Committee recommends that the Commonwealth Grants Rules and Guidelines 2017 </w:t>
      </w:r>
      <w:proofErr w:type="gramStart"/>
      <w:r w:rsidRPr="00FC6F9C">
        <w:rPr>
          <w:rFonts w:ascii="Times New Roman" w:hAnsi="Times New Roman" w:cs="Times New Roman"/>
          <w:sz w:val="24"/>
          <w:szCs w:val="24"/>
        </w:rPr>
        <w:t>be amended</w:t>
      </w:r>
      <w:proofErr w:type="gramEnd"/>
      <w:r w:rsidRPr="00FC6F9C">
        <w:rPr>
          <w:rFonts w:ascii="Times New Roman" w:hAnsi="Times New Roman" w:cs="Times New Roman"/>
          <w:sz w:val="24"/>
          <w:szCs w:val="24"/>
        </w:rPr>
        <w:t xml:space="preserve"> to:</w:t>
      </w:r>
    </w:p>
    <w:p w14:paraId="3BCA6F24" w14:textId="77777777" w:rsidR="000D5163" w:rsidRDefault="000D5163" w:rsidP="004C1E26">
      <w:pPr>
        <w:pBdr>
          <w:top w:val="single" w:sz="4" w:space="1" w:color="auto"/>
          <w:left w:val="single" w:sz="4" w:space="4" w:color="auto"/>
          <w:bottom w:val="single" w:sz="4" w:space="6" w:color="auto"/>
          <w:right w:val="single" w:sz="4" w:space="4" w:color="auto"/>
        </w:pBdr>
        <w:tabs>
          <w:tab w:val="left" w:pos="709"/>
          <w:tab w:val="left" w:pos="1134"/>
        </w:tabs>
        <w:ind w:left="1134" w:hanging="1134"/>
        <w:rPr>
          <w:rFonts w:ascii="Times New Roman" w:hAnsi="Times New Roman" w:cs="Times New Roman"/>
          <w:sz w:val="24"/>
          <w:szCs w:val="24"/>
        </w:rPr>
      </w:pPr>
      <w:r>
        <w:rPr>
          <w:rFonts w:ascii="Times New Roman" w:hAnsi="Times New Roman" w:cs="Times New Roman"/>
          <w:sz w:val="24"/>
          <w:szCs w:val="24"/>
        </w:rPr>
        <w:tab/>
      </w:r>
      <w:r w:rsidR="00FC6F9C">
        <w:rPr>
          <w:rFonts w:ascii="Times New Roman" w:hAnsi="Times New Roman" w:cs="Times New Roman"/>
          <w:sz w:val="24"/>
          <w:szCs w:val="24"/>
        </w:rPr>
        <w:t>*</w:t>
      </w:r>
      <w:r w:rsidR="00FC6F9C">
        <w:rPr>
          <w:rFonts w:ascii="Times New Roman" w:hAnsi="Times New Roman" w:cs="Times New Roman"/>
          <w:sz w:val="24"/>
          <w:szCs w:val="24"/>
        </w:rPr>
        <w:tab/>
      </w:r>
      <w:r w:rsidR="00FC6F9C" w:rsidRPr="00FC6F9C">
        <w:rPr>
          <w:rFonts w:ascii="Times New Roman" w:hAnsi="Times New Roman" w:cs="Times New Roman"/>
          <w:sz w:val="24"/>
          <w:szCs w:val="24"/>
        </w:rPr>
        <w:t>emphasise the importance of ensuring that all relevant entities involved in grants administration receive and complete sufficient training, with documented processes to ensure the ongoing quality assurance of assessments;</w:t>
      </w:r>
    </w:p>
    <w:p w14:paraId="60169C7B" w14:textId="77777777" w:rsidR="000D5163" w:rsidRDefault="000D5163" w:rsidP="004C1E26">
      <w:pPr>
        <w:pBdr>
          <w:top w:val="single" w:sz="4" w:space="1" w:color="auto"/>
          <w:left w:val="single" w:sz="4" w:space="4" w:color="auto"/>
          <w:bottom w:val="single" w:sz="4" w:space="6" w:color="auto"/>
          <w:right w:val="single" w:sz="4" w:space="4" w:color="auto"/>
        </w:pBdr>
        <w:tabs>
          <w:tab w:val="left" w:pos="709"/>
          <w:tab w:val="left" w:pos="1134"/>
        </w:tabs>
        <w:ind w:left="1134" w:hanging="1134"/>
        <w:rPr>
          <w:rFonts w:ascii="Times New Roman" w:hAnsi="Times New Roman" w:cs="Times New Roman"/>
          <w:sz w:val="24"/>
          <w:szCs w:val="24"/>
        </w:rPr>
      </w:pPr>
      <w:r>
        <w:rPr>
          <w:rFonts w:ascii="Times New Roman" w:hAnsi="Times New Roman" w:cs="Times New Roman"/>
          <w:sz w:val="24"/>
          <w:szCs w:val="24"/>
        </w:rPr>
        <w:tab/>
      </w:r>
      <w:r w:rsidR="00FC6F9C">
        <w:rPr>
          <w:rFonts w:ascii="Times New Roman" w:hAnsi="Times New Roman" w:cs="Times New Roman"/>
          <w:sz w:val="24"/>
          <w:szCs w:val="24"/>
        </w:rPr>
        <w:t>*</w:t>
      </w:r>
      <w:r w:rsidR="00FC6F9C">
        <w:rPr>
          <w:rFonts w:ascii="Times New Roman" w:hAnsi="Times New Roman" w:cs="Times New Roman"/>
          <w:sz w:val="24"/>
          <w:szCs w:val="24"/>
        </w:rPr>
        <w:tab/>
      </w:r>
      <w:r w:rsidR="00FC6F9C" w:rsidRPr="00FC6F9C">
        <w:rPr>
          <w:rFonts w:ascii="Times New Roman" w:hAnsi="Times New Roman" w:cs="Times New Roman"/>
          <w:sz w:val="24"/>
          <w:szCs w:val="24"/>
        </w:rPr>
        <w:t>ensure the timely announcement and communication to stakeholders of grant opportunities and outcomes of grant programs. This should provide for greater consistency in the timing of announcements and notifications, and the provision of appropriate feedback to applicants</w:t>
      </w:r>
      <w:proofErr w:type="gramStart"/>
      <w:r w:rsidR="00FC6F9C" w:rsidRPr="00FC6F9C">
        <w:rPr>
          <w:rFonts w:ascii="Times New Roman" w:hAnsi="Times New Roman" w:cs="Times New Roman"/>
          <w:sz w:val="24"/>
          <w:szCs w:val="24"/>
        </w:rPr>
        <w:t>;</w:t>
      </w:r>
      <w:proofErr w:type="gramEnd"/>
    </w:p>
    <w:p w14:paraId="2364EFF9" w14:textId="2C646FED" w:rsidR="00FC6F9C" w:rsidRPr="004C1E26" w:rsidRDefault="000D5163" w:rsidP="004C1E26">
      <w:pPr>
        <w:pBdr>
          <w:top w:val="single" w:sz="4" w:space="1" w:color="auto"/>
          <w:left w:val="single" w:sz="4" w:space="4" w:color="auto"/>
          <w:bottom w:val="single" w:sz="4" w:space="6" w:color="auto"/>
          <w:right w:val="single" w:sz="4" w:space="4" w:color="auto"/>
        </w:pBdr>
        <w:tabs>
          <w:tab w:val="left" w:pos="709"/>
          <w:tab w:val="left" w:pos="1134"/>
        </w:tabs>
        <w:ind w:left="1134" w:hanging="1134"/>
        <w:rPr>
          <w:rFonts w:ascii="Times New Roman" w:hAnsi="Times New Roman" w:cs="Times New Roman"/>
          <w:sz w:val="24"/>
          <w:szCs w:val="24"/>
        </w:rPr>
      </w:pPr>
      <w:r>
        <w:rPr>
          <w:rFonts w:ascii="Times New Roman" w:hAnsi="Times New Roman" w:cs="Times New Roman"/>
          <w:sz w:val="24"/>
          <w:szCs w:val="24"/>
        </w:rPr>
        <w:tab/>
      </w:r>
      <w:r w:rsidR="00FC6F9C">
        <w:rPr>
          <w:rFonts w:ascii="Times New Roman" w:hAnsi="Times New Roman" w:cs="Times New Roman"/>
          <w:sz w:val="24"/>
          <w:szCs w:val="24"/>
        </w:rPr>
        <w:t>*</w:t>
      </w:r>
      <w:r w:rsidR="00FC6F9C">
        <w:rPr>
          <w:rFonts w:ascii="Times New Roman" w:hAnsi="Times New Roman" w:cs="Times New Roman"/>
          <w:sz w:val="24"/>
          <w:szCs w:val="24"/>
        </w:rPr>
        <w:tab/>
      </w:r>
      <w:r w:rsidR="00FC6F9C" w:rsidRPr="00FC6F9C">
        <w:rPr>
          <w:rFonts w:ascii="Times New Roman" w:hAnsi="Times New Roman" w:cs="Times New Roman"/>
          <w:sz w:val="24"/>
          <w:szCs w:val="24"/>
        </w:rPr>
        <w:t xml:space="preserve">include an eighth key principle for grants administration of “Adherence to published guidelines”. This would uphold the expectations of the Parliament and other stakeholders and provide transparency to applicants when published criteria </w:t>
      </w:r>
      <w:proofErr w:type="gramStart"/>
      <w:r w:rsidR="00FC6F9C" w:rsidRPr="00FC6F9C">
        <w:rPr>
          <w:rFonts w:ascii="Times New Roman" w:hAnsi="Times New Roman" w:cs="Times New Roman"/>
          <w:sz w:val="24"/>
          <w:szCs w:val="24"/>
        </w:rPr>
        <w:t>is amended</w:t>
      </w:r>
      <w:proofErr w:type="gramEnd"/>
      <w:r w:rsidR="00FC6F9C" w:rsidRPr="00FC6F9C">
        <w:rPr>
          <w:rFonts w:ascii="Times New Roman" w:hAnsi="Times New Roman" w:cs="Times New Roman"/>
          <w:sz w:val="24"/>
          <w:szCs w:val="24"/>
        </w:rPr>
        <w:t>.</w:t>
      </w:r>
    </w:p>
    <w:p w14:paraId="7256D9C7" w14:textId="77777777" w:rsidR="00704BAF" w:rsidRPr="007D31C5" w:rsidRDefault="00704BAF" w:rsidP="00704BAF">
      <w:pPr>
        <w:rPr>
          <w:rFonts w:ascii="Times New Roman" w:hAnsi="Times New Roman" w:cs="Times New Roman"/>
          <w:b/>
          <w:sz w:val="24"/>
          <w:szCs w:val="24"/>
        </w:rPr>
      </w:pPr>
      <w:r w:rsidRPr="007D31C5">
        <w:rPr>
          <w:rFonts w:ascii="Times New Roman" w:hAnsi="Times New Roman" w:cs="Times New Roman"/>
          <w:b/>
          <w:sz w:val="24"/>
          <w:szCs w:val="24"/>
        </w:rPr>
        <w:t>Agree</w:t>
      </w:r>
      <w:r>
        <w:rPr>
          <w:rFonts w:ascii="Times New Roman" w:hAnsi="Times New Roman" w:cs="Times New Roman"/>
          <w:b/>
          <w:sz w:val="24"/>
          <w:szCs w:val="24"/>
        </w:rPr>
        <w:t>d</w:t>
      </w:r>
      <w:r w:rsidRPr="007D31C5">
        <w:rPr>
          <w:rFonts w:ascii="Times New Roman" w:hAnsi="Times New Roman" w:cs="Times New Roman"/>
          <w:b/>
          <w:sz w:val="24"/>
          <w:szCs w:val="24"/>
        </w:rPr>
        <w:t xml:space="preserve">. </w:t>
      </w:r>
    </w:p>
    <w:p w14:paraId="6B408F99" w14:textId="4CA3CE5F" w:rsidR="007A225B" w:rsidRPr="007A225B" w:rsidRDefault="007A225B" w:rsidP="007A225B">
      <w:pPr>
        <w:pStyle w:val="Default"/>
        <w:rPr>
          <w:color w:val="auto"/>
        </w:rPr>
      </w:pPr>
      <w:r w:rsidRPr="007A225B">
        <w:rPr>
          <w:color w:val="auto"/>
        </w:rPr>
        <w:t xml:space="preserve">The Government has asked the Department of Finance to consider options to strengthen the </w:t>
      </w:r>
      <w:r w:rsidRPr="00384077">
        <w:rPr>
          <w:i/>
          <w:color w:val="auto"/>
        </w:rPr>
        <w:t>Commonwealth Grants Rules and Guidelines 2017</w:t>
      </w:r>
      <w:r w:rsidRPr="007A225B">
        <w:rPr>
          <w:color w:val="auto"/>
        </w:rPr>
        <w:t xml:space="preserve"> to take account of the Committee’s recommendations. </w:t>
      </w:r>
    </w:p>
    <w:p w14:paraId="4330FE69" w14:textId="77777777" w:rsidR="007A225B" w:rsidRPr="007A225B" w:rsidRDefault="007A225B" w:rsidP="007A225B">
      <w:pPr>
        <w:pStyle w:val="Default"/>
        <w:rPr>
          <w:color w:val="auto"/>
        </w:rPr>
      </w:pPr>
    </w:p>
    <w:p w14:paraId="26D1D8D8" w14:textId="10083A1B" w:rsidR="007A225B" w:rsidRPr="007A225B" w:rsidRDefault="007A225B" w:rsidP="007A225B">
      <w:pPr>
        <w:pStyle w:val="Default"/>
        <w:rPr>
          <w:color w:val="auto"/>
        </w:rPr>
      </w:pPr>
      <w:r w:rsidRPr="007A225B">
        <w:rPr>
          <w:color w:val="auto"/>
        </w:rPr>
        <w:t xml:space="preserve">The Government notes the </w:t>
      </w:r>
      <w:r w:rsidRPr="00384077">
        <w:rPr>
          <w:i/>
          <w:color w:val="auto"/>
        </w:rPr>
        <w:t>Commonwealth Grants Rules and Guidelines 2017</w:t>
      </w:r>
      <w:r w:rsidRPr="007A225B">
        <w:rPr>
          <w:color w:val="auto"/>
        </w:rPr>
        <w:t xml:space="preserve"> already requires that officials involved in developing and managing grant opportunities and assessing grant applications should have appropriate skills and training. The Department of Finance will consider how officials should appropriately document training and other support provided to grants administration staff. </w:t>
      </w:r>
    </w:p>
    <w:p w14:paraId="26A9D8C7" w14:textId="77777777" w:rsidR="007A225B" w:rsidRPr="007A225B" w:rsidRDefault="007A225B" w:rsidP="007A225B">
      <w:pPr>
        <w:pStyle w:val="Default"/>
        <w:rPr>
          <w:color w:val="auto"/>
        </w:rPr>
      </w:pPr>
    </w:p>
    <w:p w14:paraId="5B789E79" w14:textId="5CEE2242" w:rsidR="007A225B" w:rsidRPr="007A225B" w:rsidRDefault="007A225B" w:rsidP="007A225B">
      <w:pPr>
        <w:pStyle w:val="Default"/>
        <w:rPr>
          <w:color w:val="auto"/>
        </w:rPr>
      </w:pPr>
      <w:r w:rsidRPr="007A225B">
        <w:rPr>
          <w:color w:val="auto"/>
        </w:rPr>
        <w:t xml:space="preserve">This will include considering how best to better </w:t>
      </w:r>
      <w:proofErr w:type="gramStart"/>
      <w:r w:rsidRPr="007A225B">
        <w:rPr>
          <w:color w:val="auto"/>
        </w:rPr>
        <w:t>support</w:t>
      </w:r>
      <w:proofErr w:type="gramEnd"/>
      <w:r w:rsidRPr="007A225B">
        <w:rPr>
          <w:color w:val="auto"/>
        </w:rPr>
        <w:t xml:space="preserve"> timely communications on new grant opportunities, decisions and feedback. </w:t>
      </w:r>
    </w:p>
    <w:p w14:paraId="36A52142" w14:textId="77777777" w:rsidR="007A225B" w:rsidRPr="007A225B" w:rsidRDefault="007A225B" w:rsidP="007A225B">
      <w:pPr>
        <w:pStyle w:val="Default"/>
        <w:rPr>
          <w:color w:val="auto"/>
        </w:rPr>
      </w:pPr>
    </w:p>
    <w:p w14:paraId="1E767960" w14:textId="0359D5C0" w:rsidR="000D5163" w:rsidRDefault="007A225B" w:rsidP="007A225B">
      <w:pPr>
        <w:rPr>
          <w:rFonts w:ascii="Times New Roman" w:hAnsi="Times New Roman" w:cs="Times New Roman"/>
          <w:sz w:val="24"/>
          <w:szCs w:val="24"/>
        </w:rPr>
      </w:pPr>
      <w:r w:rsidRPr="007A225B">
        <w:rPr>
          <w:rFonts w:ascii="Times New Roman" w:hAnsi="Times New Roman" w:cs="Times New Roman"/>
          <w:sz w:val="24"/>
          <w:szCs w:val="24"/>
        </w:rPr>
        <w:t xml:space="preserve">The Government will revise the </w:t>
      </w:r>
      <w:r w:rsidRPr="00384077">
        <w:rPr>
          <w:rFonts w:ascii="Times New Roman" w:hAnsi="Times New Roman" w:cs="Times New Roman"/>
          <w:i/>
          <w:sz w:val="24"/>
          <w:szCs w:val="24"/>
        </w:rPr>
        <w:t>Commonwealth Grants Rules and Guidelines 2017</w:t>
      </w:r>
      <w:r w:rsidRPr="007A225B">
        <w:rPr>
          <w:rFonts w:ascii="Times New Roman" w:hAnsi="Times New Roman" w:cs="Times New Roman"/>
          <w:sz w:val="24"/>
          <w:szCs w:val="24"/>
        </w:rPr>
        <w:t xml:space="preserve"> to reflect the importance of adherence by applying guidelines for individual grant programs and other applicable parts of the grants framework.</w:t>
      </w:r>
    </w:p>
    <w:p w14:paraId="2869CF10" w14:textId="1BB7B01F" w:rsidR="007A225B" w:rsidRDefault="007A225B" w:rsidP="007A225B">
      <w:pPr>
        <w:rPr>
          <w:rFonts w:ascii="Times New Roman" w:hAnsi="Times New Roman" w:cs="Times New Roman"/>
          <w:sz w:val="24"/>
          <w:szCs w:val="24"/>
        </w:rPr>
      </w:pPr>
    </w:p>
    <w:p w14:paraId="70EC6429" w14:textId="77777777" w:rsidR="007A225B" w:rsidRDefault="007A225B" w:rsidP="007A225B">
      <w:pPr>
        <w:rPr>
          <w:rFonts w:ascii="Times New Roman" w:hAnsi="Times New Roman" w:cs="Times New Roman"/>
          <w:sz w:val="24"/>
          <w:szCs w:val="24"/>
        </w:rPr>
      </w:pPr>
    </w:p>
    <w:p w14:paraId="7D6A0EDC" w14:textId="77777777" w:rsidR="007A225B" w:rsidRDefault="007A225B" w:rsidP="007A225B">
      <w:pPr>
        <w:rPr>
          <w:rFonts w:ascii="Times New Roman" w:hAnsi="Times New Roman" w:cs="Times New Roman"/>
          <w:sz w:val="24"/>
          <w:szCs w:val="24"/>
        </w:rPr>
      </w:pPr>
    </w:p>
    <w:p w14:paraId="421B0DF9" w14:textId="77777777" w:rsidR="000D5163" w:rsidRDefault="000D5163" w:rsidP="004C1E26">
      <w:pPr>
        <w:pBdr>
          <w:top w:val="single" w:sz="4" w:space="1" w:color="auto"/>
          <w:left w:val="single" w:sz="4" w:space="4" w:color="auto"/>
          <w:bottom w:val="single" w:sz="4" w:space="6" w:color="auto"/>
          <w:right w:val="single" w:sz="4" w:space="4" w:color="auto"/>
        </w:pBdr>
        <w:rPr>
          <w:rFonts w:ascii="Times New Roman" w:hAnsi="Times New Roman" w:cs="Times New Roman"/>
          <w:b/>
          <w:sz w:val="24"/>
          <w:szCs w:val="24"/>
        </w:rPr>
      </w:pPr>
      <w:r w:rsidRPr="004D3C2A">
        <w:rPr>
          <w:rFonts w:ascii="Times New Roman" w:hAnsi="Times New Roman" w:cs="Times New Roman"/>
          <w:b/>
          <w:sz w:val="24"/>
          <w:szCs w:val="24"/>
        </w:rPr>
        <w:t>Recommend</w:t>
      </w:r>
      <w:r>
        <w:rPr>
          <w:rFonts w:ascii="Times New Roman" w:hAnsi="Times New Roman" w:cs="Times New Roman"/>
          <w:b/>
          <w:sz w:val="24"/>
          <w:szCs w:val="24"/>
        </w:rPr>
        <w:t>ation 6</w:t>
      </w:r>
    </w:p>
    <w:p w14:paraId="22F3E8D8" w14:textId="77777777" w:rsidR="000D5163" w:rsidRDefault="000D5163" w:rsidP="004C1E26">
      <w:pPr>
        <w:pBdr>
          <w:top w:val="single" w:sz="4" w:space="1" w:color="auto"/>
          <w:left w:val="single" w:sz="4" w:space="4" w:color="auto"/>
          <w:bottom w:val="single" w:sz="4" w:space="6" w:color="auto"/>
          <w:right w:val="single" w:sz="4" w:space="4" w:color="auto"/>
        </w:pBdr>
        <w:tabs>
          <w:tab w:val="left" w:pos="1134"/>
        </w:tabs>
        <w:ind w:left="720" w:hanging="720"/>
        <w:rPr>
          <w:rFonts w:ascii="Times New Roman" w:hAnsi="Times New Roman" w:cs="Times New Roman"/>
          <w:sz w:val="24"/>
          <w:szCs w:val="24"/>
          <w:lang w:val="en"/>
        </w:rPr>
      </w:pPr>
      <w:r w:rsidRPr="000D5163">
        <w:rPr>
          <w:rFonts w:ascii="Times New Roman" w:hAnsi="Times New Roman" w:cs="Times New Roman"/>
          <w:sz w:val="24"/>
          <w:szCs w:val="24"/>
          <w:lang w:val="en"/>
        </w:rPr>
        <w:t>5.97</w:t>
      </w:r>
      <w:r w:rsidRPr="000D5163">
        <w:rPr>
          <w:rFonts w:ascii="Times New Roman" w:hAnsi="Times New Roman" w:cs="Times New Roman"/>
          <w:sz w:val="24"/>
          <w:szCs w:val="24"/>
          <w:lang w:val="en"/>
        </w:rPr>
        <w:tab/>
        <w:t>The Committee recommends that Sport Australia review its guidelines in relation to all current and future grants programs to clarify:</w:t>
      </w:r>
    </w:p>
    <w:p w14:paraId="023862B7" w14:textId="77777777" w:rsidR="000D5163" w:rsidRDefault="000D5163" w:rsidP="004C1E26">
      <w:pPr>
        <w:pBdr>
          <w:top w:val="single" w:sz="4" w:space="1" w:color="auto"/>
          <w:left w:val="single" w:sz="4" w:space="4" w:color="auto"/>
          <w:bottom w:val="single" w:sz="4" w:space="6" w:color="auto"/>
          <w:right w:val="single" w:sz="4" w:space="4" w:color="auto"/>
        </w:pBdr>
        <w:tabs>
          <w:tab w:val="left" w:pos="709"/>
          <w:tab w:val="left" w:pos="1134"/>
        </w:tabs>
        <w:ind w:left="720" w:hanging="720"/>
        <w:rPr>
          <w:rFonts w:ascii="Times New Roman" w:hAnsi="Times New Roman" w:cs="Times New Roman"/>
          <w:sz w:val="24"/>
          <w:szCs w:val="24"/>
          <w:lang w:val="en"/>
        </w:rPr>
      </w:pPr>
      <w:r>
        <w:rPr>
          <w:rFonts w:ascii="Times New Roman" w:hAnsi="Times New Roman" w:cs="Times New Roman"/>
          <w:sz w:val="24"/>
          <w:szCs w:val="24"/>
          <w:lang w:val="en"/>
        </w:rPr>
        <w:tab/>
        <w:t>*</w:t>
      </w:r>
      <w:r>
        <w:rPr>
          <w:rFonts w:ascii="Times New Roman" w:hAnsi="Times New Roman" w:cs="Times New Roman"/>
          <w:sz w:val="24"/>
          <w:szCs w:val="24"/>
          <w:lang w:val="en"/>
        </w:rPr>
        <w:tab/>
      </w:r>
      <w:r w:rsidRPr="000D5163">
        <w:rPr>
          <w:rFonts w:ascii="Times New Roman" w:hAnsi="Times New Roman" w:cs="Times New Roman"/>
          <w:sz w:val="24"/>
          <w:szCs w:val="24"/>
          <w:lang w:val="en"/>
        </w:rPr>
        <w:t>The authority, duty and role of the Minister for Sport; and</w:t>
      </w:r>
    </w:p>
    <w:p w14:paraId="6A373B17" w14:textId="40423C26" w:rsidR="000D5163" w:rsidRPr="004C1E26" w:rsidRDefault="000D5163" w:rsidP="004C1E26">
      <w:pPr>
        <w:pBdr>
          <w:top w:val="single" w:sz="4" w:space="1" w:color="auto"/>
          <w:left w:val="single" w:sz="4" w:space="4" w:color="auto"/>
          <w:bottom w:val="single" w:sz="4" w:space="6" w:color="auto"/>
          <w:right w:val="single" w:sz="4" w:space="4" w:color="auto"/>
        </w:pBdr>
        <w:tabs>
          <w:tab w:val="left" w:pos="709"/>
          <w:tab w:val="left" w:pos="1134"/>
        </w:tabs>
        <w:ind w:left="1134" w:hanging="1134"/>
        <w:rPr>
          <w:rFonts w:ascii="Times New Roman" w:hAnsi="Times New Roman" w:cs="Times New Roman"/>
          <w:sz w:val="24"/>
          <w:szCs w:val="24"/>
          <w:lang w:val="en"/>
        </w:rPr>
      </w:pPr>
      <w:r>
        <w:rPr>
          <w:rFonts w:ascii="Times New Roman" w:hAnsi="Times New Roman" w:cs="Times New Roman"/>
          <w:sz w:val="24"/>
          <w:szCs w:val="24"/>
          <w:lang w:val="en"/>
        </w:rPr>
        <w:tab/>
        <w:t>*</w:t>
      </w:r>
      <w:r>
        <w:rPr>
          <w:rFonts w:ascii="Times New Roman" w:hAnsi="Times New Roman" w:cs="Times New Roman"/>
          <w:sz w:val="24"/>
          <w:szCs w:val="24"/>
          <w:lang w:val="en"/>
        </w:rPr>
        <w:tab/>
      </w:r>
      <w:r w:rsidRPr="000D5163">
        <w:rPr>
          <w:rFonts w:ascii="Times New Roman" w:hAnsi="Times New Roman" w:cs="Times New Roman"/>
          <w:sz w:val="24"/>
          <w:szCs w:val="24"/>
          <w:lang w:val="en"/>
        </w:rPr>
        <w:t xml:space="preserve">The authority, duty and role of the Australian Sports Commission Board in relation to decision-making, and that Sport Australia </w:t>
      </w:r>
      <w:proofErr w:type="gramStart"/>
      <w:r w:rsidRPr="000D5163">
        <w:rPr>
          <w:rFonts w:ascii="Times New Roman" w:hAnsi="Times New Roman" w:cs="Times New Roman"/>
          <w:sz w:val="24"/>
          <w:szCs w:val="24"/>
          <w:lang w:val="en"/>
        </w:rPr>
        <w:t>report back</w:t>
      </w:r>
      <w:proofErr w:type="gramEnd"/>
      <w:r w:rsidRPr="000D5163">
        <w:rPr>
          <w:rFonts w:ascii="Times New Roman" w:hAnsi="Times New Roman" w:cs="Times New Roman"/>
          <w:sz w:val="24"/>
          <w:szCs w:val="24"/>
          <w:lang w:val="en"/>
        </w:rPr>
        <w:t xml:space="preserve"> to the Committee in six months.</w:t>
      </w:r>
    </w:p>
    <w:p w14:paraId="63E2CC0D" w14:textId="77777777" w:rsidR="00BC0A59" w:rsidRDefault="00704BAF" w:rsidP="00704BAF">
      <w:pPr>
        <w:rPr>
          <w:rFonts w:ascii="Times New Roman" w:hAnsi="Times New Roman" w:cs="Times New Roman"/>
          <w:b/>
          <w:sz w:val="24"/>
          <w:szCs w:val="24"/>
        </w:rPr>
      </w:pPr>
      <w:r w:rsidRPr="007D31C5">
        <w:rPr>
          <w:rFonts w:ascii="Times New Roman" w:hAnsi="Times New Roman" w:cs="Times New Roman"/>
          <w:b/>
          <w:sz w:val="24"/>
          <w:szCs w:val="24"/>
        </w:rPr>
        <w:t>Agree</w:t>
      </w:r>
      <w:r>
        <w:rPr>
          <w:rFonts w:ascii="Times New Roman" w:hAnsi="Times New Roman" w:cs="Times New Roman"/>
          <w:b/>
          <w:sz w:val="24"/>
          <w:szCs w:val="24"/>
        </w:rPr>
        <w:t>d</w:t>
      </w:r>
      <w:r w:rsidRPr="007D31C5">
        <w:rPr>
          <w:rFonts w:ascii="Times New Roman" w:hAnsi="Times New Roman" w:cs="Times New Roman"/>
          <w:b/>
          <w:sz w:val="24"/>
          <w:szCs w:val="24"/>
        </w:rPr>
        <w:t xml:space="preserve">. </w:t>
      </w:r>
    </w:p>
    <w:p w14:paraId="373E8288" w14:textId="1108D047" w:rsidR="00FC6F9C" w:rsidRPr="007A225B" w:rsidRDefault="007A225B">
      <w:pPr>
        <w:rPr>
          <w:rFonts w:ascii="Times New Roman" w:hAnsi="Times New Roman" w:cs="Times New Roman"/>
          <w:sz w:val="24"/>
          <w:szCs w:val="24"/>
          <w:lang w:val="en"/>
        </w:rPr>
      </w:pPr>
      <w:r w:rsidRPr="007A225B">
        <w:rPr>
          <w:rFonts w:ascii="Times New Roman" w:hAnsi="Times New Roman" w:cs="Times New Roman"/>
          <w:sz w:val="24"/>
          <w:szCs w:val="24"/>
          <w:lang w:val="en"/>
        </w:rPr>
        <w:t xml:space="preserve">The Government supports asking Sport Australia to undertake a review and, subject to completion of its current related legal proceedings, </w:t>
      </w:r>
      <w:proofErr w:type="gramStart"/>
      <w:r w:rsidRPr="007A225B">
        <w:rPr>
          <w:rFonts w:ascii="Times New Roman" w:hAnsi="Times New Roman" w:cs="Times New Roman"/>
          <w:sz w:val="24"/>
          <w:szCs w:val="24"/>
          <w:lang w:val="en"/>
        </w:rPr>
        <w:t>report back</w:t>
      </w:r>
      <w:proofErr w:type="gramEnd"/>
      <w:r w:rsidRPr="007A225B">
        <w:rPr>
          <w:rFonts w:ascii="Times New Roman" w:hAnsi="Times New Roman" w:cs="Times New Roman"/>
          <w:sz w:val="24"/>
          <w:szCs w:val="24"/>
          <w:lang w:val="en"/>
        </w:rPr>
        <w:t xml:space="preserve"> to the Committee as proposed.</w:t>
      </w:r>
    </w:p>
    <w:sectPr w:rsidR="00FC6F9C" w:rsidRPr="007A225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102EE" w14:textId="77777777" w:rsidR="008121CC" w:rsidRDefault="008121CC" w:rsidP="00FF371D">
      <w:pPr>
        <w:spacing w:after="0" w:line="240" w:lineRule="auto"/>
      </w:pPr>
      <w:r>
        <w:separator/>
      </w:r>
    </w:p>
  </w:endnote>
  <w:endnote w:type="continuationSeparator" w:id="0">
    <w:p w14:paraId="4E3E802A" w14:textId="77777777" w:rsidR="008121CC" w:rsidRDefault="008121CC" w:rsidP="00FF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DA2DF" w14:textId="77777777" w:rsidR="00FF371D" w:rsidRDefault="00FF3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AF813" w14:textId="77777777" w:rsidR="00FF371D" w:rsidRDefault="00FF3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ECA78" w14:textId="77777777" w:rsidR="00FF371D" w:rsidRDefault="00FF3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8C83E" w14:textId="77777777" w:rsidR="008121CC" w:rsidRDefault="008121CC" w:rsidP="00FF371D">
      <w:pPr>
        <w:spacing w:after="0" w:line="240" w:lineRule="auto"/>
      </w:pPr>
      <w:r>
        <w:separator/>
      </w:r>
    </w:p>
  </w:footnote>
  <w:footnote w:type="continuationSeparator" w:id="0">
    <w:p w14:paraId="1714F235" w14:textId="77777777" w:rsidR="008121CC" w:rsidRDefault="008121CC" w:rsidP="00FF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9AB40" w14:textId="77777777" w:rsidR="00FF371D" w:rsidRDefault="00FF3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8805E" w14:textId="5DC837FB" w:rsidR="00FF371D" w:rsidRDefault="00FF3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846D"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E635F"/>
    <w:multiLevelType w:val="hybridMultilevel"/>
    <w:tmpl w:val="019884DC"/>
    <w:lvl w:ilvl="0" w:tplc="6F826068">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EB"/>
    <w:rsid w:val="0000159A"/>
    <w:rsid w:val="000271C2"/>
    <w:rsid w:val="000360B7"/>
    <w:rsid w:val="00053BDF"/>
    <w:rsid w:val="00085CE8"/>
    <w:rsid w:val="000968B1"/>
    <w:rsid w:val="000C0C42"/>
    <w:rsid w:val="000D2BDF"/>
    <w:rsid w:val="000D5163"/>
    <w:rsid w:val="000D7E65"/>
    <w:rsid w:val="000E29C5"/>
    <w:rsid w:val="000F465E"/>
    <w:rsid w:val="00110E7E"/>
    <w:rsid w:val="001222F6"/>
    <w:rsid w:val="0012279F"/>
    <w:rsid w:val="00136D47"/>
    <w:rsid w:val="001374CA"/>
    <w:rsid w:val="001470ED"/>
    <w:rsid w:val="00166899"/>
    <w:rsid w:val="00171AD7"/>
    <w:rsid w:val="00176529"/>
    <w:rsid w:val="001C41C6"/>
    <w:rsid w:val="002144EA"/>
    <w:rsid w:val="00233CBD"/>
    <w:rsid w:val="0026640E"/>
    <w:rsid w:val="00272400"/>
    <w:rsid w:val="002A178F"/>
    <w:rsid w:val="002D61A9"/>
    <w:rsid w:val="002D7810"/>
    <w:rsid w:val="002E184D"/>
    <w:rsid w:val="00314732"/>
    <w:rsid w:val="00382FEB"/>
    <w:rsid w:val="00384077"/>
    <w:rsid w:val="003B7B67"/>
    <w:rsid w:val="003F55EF"/>
    <w:rsid w:val="0040333A"/>
    <w:rsid w:val="0042001B"/>
    <w:rsid w:val="00420820"/>
    <w:rsid w:val="00427446"/>
    <w:rsid w:val="00440553"/>
    <w:rsid w:val="004C1E26"/>
    <w:rsid w:val="004D3C2A"/>
    <w:rsid w:val="004E6AC3"/>
    <w:rsid w:val="0050107C"/>
    <w:rsid w:val="00522484"/>
    <w:rsid w:val="00531407"/>
    <w:rsid w:val="005469DD"/>
    <w:rsid w:val="005648E7"/>
    <w:rsid w:val="00593DD6"/>
    <w:rsid w:val="00595E91"/>
    <w:rsid w:val="00597FF5"/>
    <w:rsid w:val="005B30D3"/>
    <w:rsid w:val="005E0076"/>
    <w:rsid w:val="005F7476"/>
    <w:rsid w:val="00625F51"/>
    <w:rsid w:val="0063652B"/>
    <w:rsid w:val="00673C77"/>
    <w:rsid w:val="00674272"/>
    <w:rsid w:val="006978C6"/>
    <w:rsid w:val="006A03DD"/>
    <w:rsid w:val="006C0441"/>
    <w:rsid w:val="006E2847"/>
    <w:rsid w:val="006F6A02"/>
    <w:rsid w:val="00703372"/>
    <w:rsid w:val="00704BAF"/>
    <w:rsid w:val="00737EB8"/>
    <w:rsid w:val="0074087C"/>
    <w:rsid w:val="0074690A"/>
    <w:rsid w:val="00771BF1"/>
    <w:rsid w:val="0078354A"/>
    <w:rsid w:val="007A2151"/>
    <w:rsid w:val="007A225B"/>
    <w:rsid w:val="007A7709"/>
    <w:rsid w:val="007B0418"/>
    <w:rsid w:val="007B3062"/>
    <w:rsid w:val="007D31C5"/>
    <w:rsid w:val="007E61CE"/>
    <w:rsid w:val="007F076C"/>
    <w:rsid w:val="0080412A"/>
    <w:rsid w:val="008121CC"/>
    <w:rsid w:val="00814B8D"/>
    <w:rsid w:val="0082006F"/>
    <w:rsid w:val="00830603"/>
    <w:rsid w:val="00881270"/>
    <w:rsid w:val="008B0295"/>
    <w:rsid w:val="008B15C3"/>
    <w:rsid w:val="008F01C5"/>
    <w:rsid w:val="009211FD"/>
    <w:rsid w:val="00932273"/>
    <w:rsid w:val="009377E0"/>
    <w:rsid w:val="00962855"/>
    <w:rsid w:val="00980B52"/>
    <w:rsid w:val="009A0A5F"/>
    <w:rsid w:val="009B2010"/>
    <w:rsid w:val="009B4B7C"/>
    <w:rsid w:val="009C1EFC"/>
    <w:rsid w:val="009C272D"/>
    <w:rsid w:val="009E5034"/>
    <w:rsid w:val="009F2AAB"/>
    <w:rsid w:val="00A03746"/>
    <w:rsid w:val="00A109AB"/>
    <w:rsid w:val="00A13A9C"/>
    <w:rsid w:val="00A50B98"/>
    <w:rsid w:val="00A53B6B"/>
    <w:rsid w:val="00A73A47"/>
    <w:rsid w:val="00B204D8"/>
    <w:rsid w:val="00B42310"/>
    <w:rsid w:val="00B53361"/>
    <w:rsid w:val="00B65457"/>
    <w:rsid w:val="00B853CF"/>
    <w:rsid w:val="00BC0A59"/>
    <w:rsid w:val="00BD1638"/>
    <w:rsid w:val="00BF67CB"/>
    <w:rsid w:val="00C21654"/>
    <w:rsid w:val="00C506FE"/>
    <w:rsid w:val="00C87D64"/>
    <w:rsid w:val="00C958FE"/>
    <w:rsid w:val="00C96DF7"/>
    <w:rsid w:val="00CD207B"/>
    <w:rsid w:val="00CD57A1"/>
    <w:rsid w:val="00CF7C77"/>
    <w:rsid w:val="00D01599"/>
    <w:rsid w:val="00D100D4"/>
    <w:rsid w:val="00D75040"/>
    <w:rsid w:val="00D805C0"/>
    <w:rsid w:val="00DD39C9"/>
    <w:rsid w:val="00DE35EB"/>
    <w:rsid w:val="00E046BB"/>
    <w:rsid w:val="00E10D55"/>
    <w:rsid w:val="00E15CD1"/>
    <w:rsid w:val="00E256A2"/>
    <w:rsid w:val="00E322D3"/>
    <w:rsid w:val="00E77A38"/>
    <w:rsid w:val="00EB6EDA"/>
    <w:rsid w:val="00ED0F34"/>
    <w:rsid w:val="00EF6427"/>
    <w:rsid w:val="00F004C6"/>
    <w:rsid w:val="00F13DA6"/>
    <w:rsid w:val="00F502FD"/>
    <w:rsid w:val="00FC6F9C"/>
    <w:rsid w:val="00FD0A2A"/>
    <w:rsid w:val="00FF3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8B53C4"/>
  <w15:chartTrackingRefBased/>
  <w15:docId w15:val="{0F67C353-66DF-42F1-BA95-866561DC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71D"/>
  </w:style>
  <w:style w:type="paragraph" w:styleId="Footer">
    <w:name w:val="footer"/>
    <w:basedOn w:val="Normal"/>
    <w:link w:val="FooterChar"/>
    <w:uiPriority w:val="99"/>
    <w:unhideWhenUsed/>
    <w:rsid w:val="00FF3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71D"/>
  </w:style>
  <w:style w:type="character" w:styleId="CommentReference">
    <w:name w:val="annotation reference"/>
    <w:basedOn w:val="DefaultParagraphFont"/>
    <w:uiPriority w:val="99"/>
    <w:semiHidden/>
    <w:unhideWhenUsed/>
    <w:rsid w:val="007B0418"/>
    <w:rPr>
      <w:sz w:val="16"/>
      <w:szCs w:val="16"/>
    </w:rPr>
  </w:style>
  <w:style w:type="paragraph" w:styleId="CommentText">
    <w:name w:val="annotation text"/>
    <w:basedOn w:val="Normal"/>
    <w:link w:val="CommentTextChar"/>
    <w:uiPriority w:val="99"/>
    <w:semiHidden/>
    <w:unhideWhenUsed/>
    <w:rsid w:val="007B0418"/>
    <w:pPr>
      <w:spacing w:line="240" w:lineRule="auto"/>
    </w:pPr>
    <w:rPr>
      <w:sz w:val="20"/>
      <w:szCs w:val="20"/>
    </w:rPr>
  </w:style>
  <w:style w:type="character" w:customStyle="1" w:styleId="CommentTextChar">
    <w:name w:val="Comment Text Char"/>
    <w:basedOn w:val="DefaultParagraphFont"/>
    <w:link w:val="CommentText"/>
    <w:uiPriority w:val="99"/>
    <w:semiHidden/>
    <w:rsid w:val="007B0418"/>
    <w:rPr>
      <w:sz w:val="20"/>
      <w:szCs w:val="20"/>
    </w:rPr>
  </w:style>
  <w:style w:type="paragraph" w:styleId="CommentSubject">
    <w:name w:val="annotation subject"/>
    <w:basedOn w:val="CommentText"/>
    <w:next w:val="CommentText"/>
    <w:link w:val="CommentSubjectChar"/>
    <w:uiPriority w:val="99"/>
    <w:semiHidden/>
    <w:unhideWhenUsed/>
    <w:rsid w:val="007B0418"/>
    <w:rPr>
      <w:b/>
      <w:bCs/>
    </w:rPr>
  </w:style>
  <w:style w:type="character" w:customStyle="1" w:styleId="CommentSubjectChar">
    <w:name w:val="Comment Subject Char"/>
    <w:basedOn w:val="CommentTextChar"/>
    <w:link w:val="CommentSubject"/>
    <w:uiPriority w:val="99"/>
    <w:semiHidden/>
    <w:rsid w:val="007B0418"/>
    <w:rPr>
      <w:b/>
      <w:bCs/>
      <w:sz w:val="20"/>
      <w:szCs w:val="20"/>
    </w:rPr>
  </w:style>
  <w:style w:type="paragraph" w:styleId="BalloonText">
    <w:name w:val="Balloon Text"/>
    <w:basedOn w:val="Normal"/>
    <w:link w:val="BalloonTextChar"/>
    <w:uiPriority w:val="99"/>
    <w:semiHidden/>
    <w:unhideWhenUsed/>
    <w:rsid w:val="007B0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18"/>
    <w:rPr>
      <w:rFonts w:ascii="Segoe UI" w:hAnsi="Segoe UI" w:cs="Segoe UI"/>
      <w:sz w:val="18"/>
      <w:szCs w:val="18"/>
    </w:rPr>
  </w:style>
  <w:style w:type="paragraph" w:styleId="ListParagraph">
    <w:name w:val="List Paragraph"/>
    <w:basedOn w:val="Normal"/>
    <w:uiPriority w:val="34"/>
    <w:qFormat/>
    <w:rsid w:val="00FC6F9C"/>
    <w:pPr>
      <w:ind w:left="720"/>
      <w:contextualSpacing/>
    </w:pPr>
  </w:style>
  <w:style w:type="character" w:styleId="Hyperlink">
    <w:name w:val="Hyperlink"/>
    <w:basedOn w:val="DefaultParagraphFont"/>
    <w:uiPriority w:val="99"/>
    <w:unhideWhenUsed/>
    <w:rsid w:val="00932273"/>
    <w:rPr>
      <w:color w:val="0563C1" w:themeColor="hyperlink"/>
      <w:u w:val="single"/>
    </w:rPr>
  </w:style>
  <w:style w:type="paragraph" w:customStyle="1" w:styleId="Default">
    <w:name w:val="Default"/>
    <w:rsid w:val="007A22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17748">
      <w:bodyDiv w:val="1"/>
      <w:marLeft w:val="0"/>
      <w:marRight w:val="0"/>
      <w:marTop w:val="0"/>
      <w:marBottom w:val="0"/>
      <w:divBdr>
        <w:top w:val="none" w:sz="0" w:space="0" w:color="auto"/>
        <w:left w:val="none" w:sz="0" w:space="0" w:color="auto"/>
        <w:bottom w:val="none" w:sz="0" w:space="0" w:color="auto"/>
        <w:right w:val="none" w:sz="0" w:space="0" w:color="auto"/>
      </w:divBdr>
      <w:divsChild>
        <w:div w:id="1668247682">
          <w:marLeft w:val="0"/>
          <w:marRight w:val="0"/>
          <w:marTop w:val="0"/>
          <w:marBottom w:val="0"/>
          <w:divBdr>
            <w:top w:val="none" w:sz="0" w:space="0" w:color="auto"/>
            <w:left w:val="none" w:sz="0" w:space="0" w:color="auto"/>
            <w:bottom w:val="none" w:sz="0" w:space="0" w:color="auto"/>
            <w:right w:val="none" w:sz="0" w:space="0" w:color="auto"/>
          </w:divBdr>
          <w:divsChild>
            <w:div w:id="126513960">
              <w:marLeft w:val="0"/>
              <w:marRight w:val="0"/>
              <w:marTop w:val="0"/>
              <w:marBottom w:val="0"/>
              <w:divBdr>
                <w:top w:val="none" w:sz="0" w:space="0" w:color="auto"/>
                <w:left w:val="none" w:sz="0" w:space="0" w:color="auto"/>
                <w:bottom w:val="none" w:sz="0" w:space="0" w:color="auto"/>
                <w:right w:val="none" w:sz="0" w:space="0" w:color="auto"/>
              </w:divBdr>
              <w:divsChild>
                <w:div w:id="1481843381">
                  <w:marLeft w:val="0"/>
                  <w:marRight w:val="0"/>
                  <w:marTop w:val="0"/>
                  <w:marBottom w:val="0"/>
                  <w:divBdr>
                    <w:top w:val="none" w:sz="0" w:space="0" w:color="auto"/>
                    <w:left w:val="none" w:sz="0" w:space="0" w:color="auto"/>
                    <w:bottom w:val="none" w:sz="0" w:space="0" w:color="auto"/>
                    <w:right w:val="none" w:sz="0" w:space="0" w:color="auto"/>
                  </w:divBdr>
                  <w:divsChild>
                    <w:div w:id="198708464">
                      <w:marLeft w:val="0"/>
                      <w:marRight w:val="0"/>
                      <w:marTop w:val="0"/>
                      <w:marBottom w:val="0"/>
                      <w:divBdr>
                        <w:top w:val="none" w:sz="0" w:space="0" w:color="auto"/>
                        <w:left w:val="none" w:sz="0" w:space="0" w:color="auto"/>
                        <w:bottom w:val="none" w:sz="0" w:space="0" w:color="auto"/>
                        <w:right w:val="none" w:sz="0" w:space="0" w:color="auto"/>
                      </w:divBdr>
                      <w:divsChild>
                        <w:div w:id="851796999">
                          <w:marLeft w:val="0"/>
                          <w:marRight w:val="0"/>
                          <w:marTop w:val="0"/>
                          <w:marBottom w:val="0"/>
                          <w:divBdr>
                            <w:top w:val="none" w:sz="0" w:space="0" w:color="auto"/>
                            <w:left w:val="none" w:sz="0" w:space="0" w:color="auto"/>
                            <w:bottom w:val="none" w:sz="0" w:space="0" w:color="auto"/>
                            <w:right w:val="none" w:sz="0" w:space="0" w:color="auto"/>
                          </w:divBdr>
                          <w:divsChild>
                            <w:div w:id="506678746">
                              <w:marLeft w:val="0"/>
                              <w:marRight w:val="0"/>
                              <w:marTop w:val="0"/>
                              <w:marBottom w:val="0"/>
                              <w:divBdr>
                                <w:top w:val="none" w:sz="0" w:space="0" w:color="auto"/>
                                <w:left w:val="none" w:sz="0" w:space="0" w:color="auto"/>
                                <w:bottom w:val="none" w:sz="0" w:space="0" w:color="auto"/>
                                <w:right w:val="none" w:sz="0" w:space="0" w:color="auto"/>
                              </w:divBdr>
                              <w:divsChild>
                                <w:div w:id="1318025879">
                                  <w:marLeft w:val="0"/>
                                  <w:marRight w:val="0"/>
                                  <w:marTop w:val="0"/>
                                  <w:marBottom w:val="0"/>
                                  <w:divBdr>
                                    <w:top w:val="none" w:sz="0" w:space="0" w:color="auto"/>
                                    <w:left w:val="none" w:sz="0" w:space="0" w:color="auto"/>
                                    <w:bottom w:val="none" w:sz="0" w:space="0" w:color="auto"/>
                                    <w:right w:val="none" w:sz="0" w:space="0" w:color="auto"/>
                                  </w:divBdr>
                                  <w:divsChild>
                                    <w:div w:id="1180968608">
                                      <w:marLeft w:val="0"/>
                                      <w:marRight w:val="0"/>
                                      <w:marTop w:val="0"/>
                                      <w:marBottom w:val="0"/>
                                      <w:divBdr>
                                        <w:top w:val="none" w:sz="0" w:space="0" w:color="auto"/>
                                        <w:left w:val="none" w:sz="0" w:space="0" w:color="auto"/>
                                        <w:bottom w:val="none" w:sz="0" w:space="0" w:color="auto"/>
                                        <w:right w:val="none" w:sz="0" w:space="0" w:color="auto"/>
                                      </w:divBdr>
                                      <w:divsChild>
                                        <w:div w:id="1838767276">
                                          <w:marLeft w:val="0"/>
                                          <w:marRight w:val="0"/>
                                          <w:marTop w:val="0"/>
                                          <w:marBottom w:val="0"/>
                                          <w:divBdr>
                                            <w:top w:val="none" w:sz="0" w:space="0" w:color="auto"/>
                                            <w:left w:val="none" w:sz="0" w:space="0" w:color="auto"/>
                                            <w:bottom w:val="none" w:sz="0" w:space="0" w:color="auto"/>
                                            <w:right w:val="none" w:sz="0" w:space="0" w:color="auto"/>
                                          </w:divBdr>
                                          <w:divsChild>
                                            <w:div w:id="1768383951">
                                              <w:marLeft w:val="0"/>
                                              <w:marRight w:val="0"/>
                                              <w:marTop w:val="0"/>
                                              <w:marBottom w:val="0"/>
                                              <w:divBdr>
                                                <w:top w:val="none" w:sz="0" w:space="0" w:color="auto"/>
                                                <w:left w:val="none" w:sz="0" w:space="0" w:color="auto"/>
                                                <w:bottom w:val="none" w:sz="0" w:space="0" w:color="auto"/>
                                                <w:right w:val="none" w:sz="0" w:space="0" w:color="auto"/>
                                              </w:divBdr>
                                              <w:divsChild>
                                                <w:div w:id="215053053">
                                                  <w:marLeft w:val="0"/>
                                                  <w:marRight w:val="0"/>
                                                  <w:marTop w:val="0"/>
                                                  <w:marBottom w:val="0"/>
                                                  <w:divBdr>
                                                    <w:top w:val="none" w:sz="0" w:space="0" w:color="auto"/>
                                                    <w:left w:val="none" w:sz="0" w:space="0" w:color="auto"/>
                                                    <w:bottom w:val="none" w:sz="0" w:space="0" w:color="auto"/>
                                                    <w:right w:val="none" w:sz="0" w:space="0" w:color="auto"/>
                                                  </w:divBdr>
                                                </w:div>
                                                <w:div w:id="46416716">
                                                  <w:marLeft w:val="0"/>
                                                  <w:marRight w:val="0"/>
                                                  <w:marTop w:val="0"/>
                                                  <w:marBottom w:val="0"/>
                                                  <w:divBdr>
                                                    <w:top w:val="none" w:sz="0" w:space="0" w:color="auto"/>
                                                    <w:left w:val="none" w:sz="0" w:space="0" w:color="auto"/>
                                                    <w:bottom w:val="none" w:sz="0" w:space="0" w:color="auto"/>
                                                    <w:right w:val="none" w:sz="0" w:space="0" w:color="auto"/>
                                                  </w:divBdr>
                                                </w:div>
                                              </w:divsChild>
                                            </w:div>
                                            <w:div w:id="1616135345">
                                              <w:marLeft w:val="0"/>
                                              <w:marRight w:val="0"/>
                                              <w:marTop w:val="0"/>
                                              <w:marBottom w:val="0"/>
                                              <w:divBdr>
                                                <w:top w:val="none" w:sz="0" w:space="0" w:color="auto"/>
                                                <w:left w:val="none" w:sz="0" w:space="0" w:color="auto"/>
                                                <w:bottom w:val="none" w:sz="0" w:space="0" w:color="auto"/>
                                                <w:right w:val="none" w:sz="0" w:space="0" w:color="auto"/>
                                              </w:divBdr>
                                              <w:divsChild>
                                                <w:div w:id="1493520185">
                                                  <w:marLeft w:val="0"/>
                                                  <w:marRight w:val="0"/>
                                                  <w:marTop w:val="0"/>
                                                  <w:marBottom w:val="0"/>
                                                  <w:divBdr>
                                                    <w:top w:val="none" w:sz="0" w:space="0" w:color="auto"/>
                                                    <w:left w:val="none" w:sz="0" w:space="0" w:color="auto"/>
                                                    <w:bottom w:val="none" w:sz="0" w:space="0" w:color="auto"/>
                                                    <w:right w:val="none" w:sz="0" w:space="0" w:color="auto"/>
                                                  </w:divBdr>
                                                </w:div>
                                              </w:divsChild>
                                            </w:div>
                                            <w:div w:id="1360815291">
                                              <w:marLeft w:val="0"/>
                                              <w:marRight w:val="0"/>
                                              <w:marTop w:val="0"/>
                                              <w:marBottom w:val="0"/>
                                              <w:divBdr>
                                                <w:top w:val="none" w:sz="0" w:space="0" w:color="auto"/>
                                                <w:left w:val="none" w:sz="0" w:space="0" w:color="auto"/>
                                                <w:bottom w:val="none" w:sz="0" w:space="0" w:color="auto"/>
                                                <w:right w:val="none" w:sz="0" w:space="0" w:color="auto"/>
                                              </w:divBdr>
                                              <w:divsChild>
                                                <w:div w:id="14858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5</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Grants Policy and Simplification</TermName>
          <TermId xmlns="http://schemas.microsoft.com/office/infopath/2007/PartnerControls">70c845c2-de6d-438a-85d0-be462581f948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f18d192d-1c42-4203-ac77-b6f856688f3d">FIN33903-404733726-426</_dlc_DocId>
    <_dlc_DocIdUrl xmlns="f18d192d-1c42-4203-ac77-b6f856688f3d">
      <Url>https://f1.prdmgd.finance.gov.au/sites/50033903/_layouts/15/DocIdRedir.aspx?ID=FIN33903-404733726-426</Url>
      <Description>FIN33903-404733726-426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BB67A9CB8098A4A9198D9168DCA5E22" ma:contentTypeVersion="88" ma:contentTypeDescription="Create a new document." ma:contentTypeScope="" ma:versionID="eff439003a292c708340b84608e67c81">
  <xsd:schema xmlns:xsd="http://www.w3.org/2001/XMLSchema" xmlns:xs="http://www.w3.org/2001/XMLSchema" xmlns:p="http://schemas.microsoft.com/office/2006/metadata/properties" xmlns:ns1="http://schemas.microsoft.com/sharepoint/v3" xmlns:ns2="82ff9d9b-d3fc-4aad-bc42-9949ee83b815" xmlns:ns3="f18d192d-1c42-4203-ac77-b6f856688f3d" targetNamespace="http://schemas.microsoft.com/office/2006/metadata/properties" ma:root="true" ma:fieldsID="129044fa139517d2ac4f8b58746ae9e9" ns1:_="" ns2:_="" ns3:_="">
    <xsd:import namespace="http://schemas.microsoft.com/sharepoint/v3"/>
    <xsd:import namespace="82ff9d9b-d3fc-4aad-bc42-9949ee83b815"/>
    <xsd:import namespace="f18d192d-1c42-4203-ac77-b6f856688f3d"/>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f330aff4-f015-4b34-b66a-178148a68f78}" ma:internalName="TaxCatchAll" ma:showField="CatchAllData" ma:web="f18d192d-1c42-4203-ac77-b6f856688f3d">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f330aff4-f015-4b34-b66a-178148a68f78}" ma:internalName="TaxCatchAllLabel" ma:readOnly="true" ma:showField="CatchAllDataLabel" ma:web="f18d192d-1c42-4203-ac77-b6f856688f3d">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18d192d-1c42-4203-ac77-b6f856688f3d"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0A603-443B-4915-A989-1F39BD5DDC43}">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f18d192d-1c42-4203-ac77-b6f856688f3d"/>
    <ds:schemaRef ds:uri="82ff9d9b-d3fc-4aad-bc42-9949ee83b815"/>
    <ds:schemaRef ds:uri="http://www.w3.org/XML/1998/namespace"/>
    <ds:schemaRef ds:uri="http://purl.org/dc/terms/"/>
  </ds:schemaRefs>
</ds:datastoreItem>
</file>

<file path=customXml/itemProps2.xml><?xml version="1.0" encoding="utf-8"?>
<ds:datastoreItem xmlns:ds="http://schemas.openxmlformats.org/officeDocument/2006/customXml" ds:itemID="{28327657-4C7B-4157-9E7F-1C4BE54B267E}">
  <ds:schemaRefs>
    <ds:schemaRef ds:uri="http://schemas.microsoft.com/sharepoint/v3/contenttype/forms"/>
  </ds:schemaRefs>
</ds:datastoreItem>
</file>

<file path=customXml/itemProps3.xml><?xml version="1.0" encoding="utf-8"?>
<ds:datastoreItem xmlns:ds="http://schemas.openxmlformats.org/officeDocument/2006/customXml" ds:itemID="{C4A3CA6D-F56D-4AB7-A838-61FB1AF51A66}">
  <ds:schemaRefs>
    <ds:schemaRef ds:uri="http://schemas.microsoft.com/sharepoint/events"/>
  </ds:schemaRefs>
</ds:datastoreItem>
</file>

<file path=customXml/itemProps4.xml><?xml version="1.0" encoding="utf-8"?>
<ds:datastoreItem xmlns:ds="http://schemas.openxmlformats.org/officeDocument/2006/customXml" ds:itemID="{4BDCD407-F545-4C4A-9C7A-CE262153C50A}">
  <ds:schemaRefs>
    <ds:schemaRef ds:uri="Microsoft.SharePoint.Taxonomy.ContentTypeSync"/>
  </ds:schemaRefs>
</ds:datastoreItem>
</file>

<file path=customXml/itemProps5.xml><?xml version="1.0" encoding="utf-8"?>
<ds:datastoreItem xmlns:ds="http://schemas.openxmlformats.org/officeDocument/2006/customXml" ds:itemID="{8EAC3050-CD00-4E9C-865E-5D81C85EC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f18d192d-1c42-4203-ac77-b6f85668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8435E7-3CCC-43B0-9A6E-2FD90C5E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Committee of Public Accounts and Audit Report 484</dc:title>
  <dc:subject/>
  <dc:creator>Department of Finance</dc:creator>
  <cp:keywords/>
  <dc:description/>
  <cp:lastModifiedBy>Truong, Minh</cp:lastModifiedBy>
  <cp:revision>3</cp:revision>
  <dcterms:created xsi:type="dcterms:W3CDTF">2022-02-13T21:33:00Z</dcterms:created>
  <dcterms:modified xsi:type="dcterms:W3CDTF">2022-02-13T23:24:00Z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0x010100B321FEA60C5BA343A52BC94EC00ABC9E07002BB67A9CB8098A4A9198D9168DCA5E22</vt:lpwstr>
  </property>
  <property fmtid="{D5CDD505-2E9C-101B-9397-08002B2CF9AE}" pid="3" name="TaxKeyword">
    <vt:lpwstr/>
  </property>
  <property fmtid="{D5CDD505-2E9C-101B-9397-08002B2CF9AE}" pid="4" name="Function and Activity">
    <vt:lpwstr/>
  </property>
  <property fmtid="{D5CDD505-2E9C-101B-9397-08002B2CF9AE}" pid="5" name="AbtEntity">
    <vt:lpwstr>2;#Department of Finance|fd660e8f-8f31-49bd-92a3-d31d4da31afe</vt:lpwstr>
  </property>
  <property fmtid="{D5CDD505-2E9C-101B-9397-08002B2CF9AE}" pid="6" name="OrgUnit">
    <vt:lpwstr>5;#Grants Policy and Simplification|70c845c2-de6d-438a-85d0-be462581f948</vt:lpwstr>
  </property>
  <property fmtid="{D5CDD505-2E9C-101B-9397-08002B2CF9AE}" pid="7" name="InitiatingEntity">
    <vt:lpwstr>2;#Department of Finance|fd660e8f-8f31-49bd-92a3-d31d4da31afe</vt:lpwstr>
  </property>
  <property fmtid="{D5CDD505-2E9C-101B-9397-08002B2CF9AE}" pid="8" name="_dlc_DocIdItemGuid">
    <vt:lpwstr>923f7b2d-02e8-4357-b82c-f6fe5eeeb75d</vt:lpwstr>
  </property>
</Properties>
</file>