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C2A48" w:rsidRDefault="000C2A48" w:rsidP="000C2A48">
      <w:bookmarkStart w:id="0" w:name="_GoBack"/>
      <w:bookmarkEnd w:id="0"/>
    </w:p>
    <w:p w:rsidR="005D1924" w:rsidRPr="00F12F2E" w:rsidRDefault="005D1924" w:rsidP="00F12F2E">
      <w:pPr>
        <w:pStyle w:val="Title"/>
        <w:numPr>
          <w:ilvl w:val="0"/>
          <w:numId w:val="0"/>
        </w:numPr>
        <w:spacing w:before="9360"/>
        <w:ind w:left="4876"/>
        <w:jc w:val="left"/>
        <w:rPr>
          <w:rFonts w:cstheme="majorHAnsi"/>
          <w:szCs w:val="40"/>
        </w:rPr>
      </w:pPr>
      <w:r w:rsidRPr="00204ACA">
        <w:rPr>
          <w:szCs w:val="40"/>
        </w:rPr>
        <w:t>Department of</w:t>
      </w:r>
      <w:r w:rsidR="00204ACA">
        <w:rPr>
          <w:szCs w:val="40"/>
        </w:rPr>
        <w:t xml:space="preserve"> </w:t>
      </w:r>
      <w:r w:rsidRPr="00F12F2E">
        <w:rPr>
          <w:bCs w:val="0"/>
          <w:szCs w:val="40"/>
        </w:rPr>
        <w:t>Finance</w:t>
      </w:r>
      <w:r w:rsidR="00204ACA">
        <w:rPr>
          <w:szCs w:val="40"/>
        </w:rPr>
        <w:t xml:space="preserve"> </w:t>
      </w:r>
      <w:r w:rsidRPr="00F12F2E">
        <w:rPr>
          <w:rFonts w:cstheme="majorHAnsi"/>
          <w:b/>
          <w:szCs w:val="40"/>
        </w:rPr>
        <w:t>Heritage Strategy</w:t>
      </w:r>
      <w:r w:rsidRPr="00F12F2E">
        <w:rPr>
          <w:rFonts w:cstheme="majorHAnsi"/>
          <w:szCs w:val="40"/>
        </w:rPr>
        <w:t xml:space="preserve"> </w:t>
      </w:r>
      <w:r w:rsidR="00204ACA">
        <w:rPr>
          <w:rFonts w:cstheme="majorHAnsi"/>
          <w:szCs w:val="40"/>
        </w:rPr>
        <w:br/>
      </w:r>
      <w:r w:rsidRPr="00F12F2E">
        <w:rPr>
          <w:rFonts w:cstheme="majorHAnsi"/>
          <w:szCs w:val="40"/>
        </w:rPr>
        <w:t>2021–</w:t>
      </w:r>
      <w:r w:rsidR="00204ACA">
        <w:rPr>
          <w:rFonts w:cstheme="majorHAnsi"/>
          <w:szCs w:val="40"/>
        </w:rPr>
        <w:t>20</w:t>
      </w:r>
      <w:r w:rsidRPr="00F12F2E">
        <w:rPr>
          <w:rFonts w:cstheme="majorHAnsi"/>
          <w:szCs w:val="40"/>
        </w:rPr>
        <w:t>24</w:t>
      </w:r>
    </w:p>
    <w:p w:rsidR="005D1924" w:rsidRPr="00F12F2E" w:rsidRDefault="005D1924" w:rsidP="00F12F2E">
      <w:pPr>
        <w:ind w:left="4876"/>
        <w:rPr>
          <w:sz w:val="20"/>
          <w:szCs w:val="20"/>
        </w:rPr>
      </w:pPr>
      <w:r w:rsidRPr="00F12F2E">
        <w:rPr>
          <w:sz w:val="20"/>
          <w:szCs w:val="20"/>
        </w:rPr>
        <w:t>Delivering sustainable heritage outcomes for the Department of Finance’s Owned Estate</w:t>
      </w:r>
    </w:p>
    <w:p w:rsidR="005D1924" w:rsidRPr="00F12F2E" w:rsidRDefault="00B61388" w:rsidP="00F12F2E">
      <w:pPr>
        <w:ind w:left="4876"/>
        <w:rPr>
          <w:b/>
          <w:sz w:val="20"/>
          <w:szCs w:val="20"/>
        </w:rPr>
      </w:pPr>
      <w:r>
        <w:rPr>
          <w:b/>
          <w:sz w:val="20"/>
          <w:szCs w:val="20"/>
        </w:rPr>
        <w:t>15</w:t>
      </w:r>
      <w:r w:rsidR="007B1CF8" w:rsidRPr="00F12F2E">
        <w:rPr>
          <w:b/>
          <w:sz w:val="20"/>
          <w:szCs w:val="20"/>
        </w:rPr>
        <w:t xml:space="preserve"> </w:t>
      </w:r>
      <w:r>
        <w:rPr>
          <w:b/>
          <w:sz w:val="20"/>
          <w:szCs w:val="20"/>
        </w:rPr>
        <w:t>December</w:t>
      </w:r>
      <w:r w:rsidR="007B1CF8" w:rsidRPr="00F12F2E">
        <w:rPr>
          <w:b/>
          <w:sz w:val="20"/>
          <w:szCs w:val="20"/>
        </w:rPr>
        <w:t xml:space="preserve"> 2021</w:t>
      </w:r>
    </w:p>
    <w:p w:rsidR="005D1924" w:rsidRPr="005D1924" w:rsidRDefault="005D1924" w:rsidP="005D1924"/>
    <w:p w:rsidR="005D3E0C" w:rsidRDefault="005D3E0C" w:rsidP="006C4DD1">
      <w:pPr>
        <w:sectPr w:rsidR="005D3E0C" w:rsidSect="00432FAA">
          <w:headerReference w:type="default" r:id="rId8"/>
          <w:footerReference w:type="default" r:id="rId9"/>
          <w:headerReference w:type="first" r:id="rId10"/>
          <w:footerReference w:type="first" r:id="rId11"/>
          <w:type w:val="continuous"/>
          <w:pgSz w:w="11906" w:h="16838" w:code="9"/>
          <w:pgMar w:top="2268" w:right="1418" w:bottom="1418" w:left="1418" w:header="567" w:footer="624" w:gutter="0"/>
          <w:pgNumType w:fmt="lowerRoman" w:start="1"/>
          <w:cols w:space="708"/>
          <w:docGrid w:linePitch="360"/>
        </w:sectPr>
      </w:pPr>
    </w:p>
    <w:p w:rsidR="00595491" w:rsidRPr="00681FD8" w:rsidRDefault="00681FD8" w:rsidP="00037CB2">
      <w:pPr>
        <w:pStyle w:val="Heading1"/>
        <w:numPr>
          <w:ilvl w:val="0"/>
          <w:numId w:val="0"/>
        </w:numPr>
        <w:rPr>
          <w:noProof/>
        </w:rPr>
      </w:pPr>
      <w:r>
        <w:lastRenderedPageBreak/>
        <w:t>Contents</w:t>
      </w:r>
      <w:r w:rsidR="0082589D">
        <w:rPr>
          <w:sz w:val="23"/>
        </w:rPr>
        <w:fldChar w:fldCharType="begin"/>
      </w:r>
      <w:r w:rsidR="0082589D">
        <w:instrText xml:space="preserve"> TOC \o "2-2" \h \z \t "Heading 1,1,Heading 1 Numbered,1" </w:instrText>
      </w:r>
      <w:r w:rsidR="0082589D">
        <w:rPr>
          <w:sz w:val="23"/>
        </w:rPr>
        <w:fldChar w:fldCharType="separate"/>
      </w:r>
    </w:p>
    <w:p w:rsidR="00595491" w:rsidRDefault="00FA38E8">
      <w:pPr>
        <w:pStyle w:val="TOC1"/>
        <w:rPr>
          <w:rFonts w:eastAsiaTheme="minorEastAsia"/>
          <w:b w:val="0"/>
          <w:noProof/>
          <w:sz w:val="22"/>
          <w:lang w:eastAsia="en-AU"/>
        </w:rPr>
      </w:pPr>
      <w:hyperlink w:anchor="_Toc80111174" w:history="1">
        <w:r w:rsidR="00595491" w:rsidRPr="00FB1165">
          <w:rPr>
            <w:rStyle w:val="Hyperlink"/>
            <w:noProof/>
          </w:rPr>
          <w:t>Departmen</w:t>
        </w:r>
        <w:r w:rsidR="0027266A">
          <w:rPr>
            <w:rStyle w:val="Hyperlink"/>
            <w:noProof/>
          </w:rPr>
          <w:t xml:space="preserve">t of Finance Heritage Strategy </w:t>
        </w:r>
        <w:r w:rsidR="00595491" w:rsidRPr="00FB1165">
          <w:rPr>
            <w:rStyle w:val="Hyperlink"/>
            <w:noProof/>
          </w:rPr>
          <w:t>2021</w:t>
        </w:r>
        <w:r w:rsidR="00D9586F">
          <w:rPr>
            <w:rStyle w:val="Hyperlink"/>
            <w:rFonts w:cstheme="minorHAnsi"/>
            <w:noProof/>
          </w:rPr>
          <w:t>–</w:t>
        </w:r>
        <w:r w:rsidR="00595491" w:rsidRPr="00FB1165">
          <w:rPr>
            <w:rStyle w:val="Hyperlink"/>
            <w:noProof/>
          </w:rPr>
          <w:t>2024</w:t>
        </w:r>
        <w:r w:rsidR="00595491">
          <w:rPr>
            <w:noProof/>
            <w:webHidden/>
          </w:rPr>
          <w:tab/>
        </w:r>
        <w:r w:rsidR="00595491">
          <w:rPr>
            <w:noProof/>
            <w:webHidden/>
          </w:rPr>
          <w:fldChar w:fldCharType="begin"/>
        </w:r>
        <w:r w:rsidR="00595491">
          <w:rPr>
            <w:noProof/>
            <w:webHidden/>
          </w:rPr>
          <w:instrText xml:space="preserve"> PAGEREF _Toc80111174 \h </w:instrText>
        </w:r>
        <w:r w:rsidR="00595491">
          <w:rPr>
            <w:noProof/>
            <w:webHidden/>
          </w:rPr>
        </w:r>
        <w:r w:rsidR="00595491">
          <w:rPr>
            <w:noProof/>
            <w:webHidden/>
          </w:rPr>
          <w:fldChar w:fldCharType="separate"/>
        </w:r>
        <w:r w:rsidR="002A6FBF">
          <w:rPr>
            <w:noProof/>
            <w:webHidden/>
          </w:rPr>
          <w:t>3</w:t>
        </w:r>
        <w:r w:rsidR="00595491">
          <w:rPr>
            <w:noProof/>
            <w:webHidden/>
          </w:rPr>
          <w:fldChar w:fldCharType="end"/>
        </w:r>
      </w:hyperlink>
    </w:p>
    <w:p w:rsidR="00595491" w:rsidRDefault="00FA38E8">
      <w:pPr>
        <w:pStyle w:val="TOC1"/>
        <w:rPr>
          <w:rFonts w:eastAsiaTheme="minorEastAsia"/>
          <w:b w:val="0"/>
          <w:noProof/>
          <w:sz w:val="22"/>
          <w:lang w:eastAsia="en-AU"/>
        </w:rPr>
      </w:pPr>
      <w:hyperlink w:anchor="_Toc80111175" w:history="1">
        <w:r w:rsidR="00595491" w:rsidRPr="00FB1165">
          <w:rPr>
            <w:rStyle w:val="Hyperlink"/>
            <w:noProof/>
          </w:rPr>
          <w:t>Foreword</w:t>
        </w:r>
        <w:r w:rsidR="00595491">
          <w:rPr>
            <w:noProof/>
            <w:webHidden/>
          </w:rPr>
          <w:tab/>
        </w:r>
        <w:r w:rsidR="00595491">
          <w:rPr>
            <w:noProof/>
            <w:webHidden/>
          </w:rPr>
          <w:fldChar w:fldCharType="begin"/>
        </w:r>
        <w:r w:rsidR="00595491">
          <w:rPr>
            <w:noProof/>
            <w:webHidden/>
          </w:rPr>
          <w:instrText xml:space="preserve"> PAGEREF _Toc80111175 \h </w:instrText>
        </w:r>
        <w:r w:rsidR="00595491">
          <w:rPr>
            <w:noProof/>
            <w:webHidden/>
          </w:rPr>
        </w:r>
        <w:r w:rsidR="00595491">
          <w:rPr>
            <w:noProof/>
            <w:webHidden/>
          </w:rPr>
          <w:fldChar w:fldCharType="separate"/>
        </w:r>
        <w:r w:rsidR="002A6FBF">
          <w:rPr>
            <w:noProof/>
            <w:webHidden/>
          </w:rPr>
          <w:t>4</w:t>
        </w:r>
        <w:r w:rsidR="00595491">
          <w:rPr>
            <w:noProof/>
            <w:webHidden/>
          </w:rPr>
          <w:fldChar w:fldCharType="end"/>
        </w:r>
      </w:hyperlink>
    </w:p>
    <w:p w:rsidR="00595491" w:rsidRDefault="00FA38E8">
      <w:pPr>
        <w:pStyle w:val="TOC1"/>
        <w:rPr>
          <w:rFonts w:eastAsiaTheme="minorEastAsia"/>
          <w:b w:val="0"/>
          <w:noProof/>
          <w:sz w:val="22"/>
          <w:lang w:eastAsia="en-AU"/>
        </w:rPr>
      </w:pPr>
      <w:hyperlink w:anchor="_Toc80111176" w:history="1">
        <w:r w:rsidR="00595491" w:rsidRPr="00FB1165">
          <w:rPr>
            <w:rStyle w:val="Hyperlink"/>
            <w:noProof/>
          </w:rPr>
          <w:t>1.</w:t>
        </w:r>
        <w:r w:rsidR="00595491">
          <w:rPr>
            <w:rFonts w:eastAsiaTheme="minorEastAsia"/>
            <w:b w:val="0"/>
            <w:noProof/>
            <w:sz w:val="22"/>
            <w:lang w:eastAsia="en-AU"/>
          </w:rPr>
          <w:tab/>
        </w:r>
        <w:r w:rsidR="00595491" w:rsidRPr="00FB1165">
          <w:rPr>
            <w:rStyle w:val="Hyperlink"/>
            <w:noProof/>
          </w:rPr>
          <w:t>Heritage in the Finance Context</w:t>
        </w:r>
        <w:r w:rsidR="00595491">
          <w:rPr>
            <w:noProof/>
            <w:webHidden/>
          </w:rPr>
          <w:tab/>
        </w:r>
        <w:r w:rsidR="00595491">
          <w:rPr>
            <w:noProof/>
            <w:webHidden/>
          </w:rPr>
          <w:fldChar w:fldCharType="begin"/>
        </w:r>
        <w:r w:rsidR="00595491">
          <w:rPr>
            <w:noProof/>
            <w:webHidden/>
          </w:rPr>
          <w:instrText xml:space="preserve"> PAGEREF _Toc80111176 \h </w:instrText>
        </w:r>
        <w:r w:rsidR="00595491">
          <w:rPr>
            <w:noProof/>
            <w:webHidden/>
          </w:rPr>
        </w:r>
        <w:r w:rsidR="00595491">
          <w:rPr>
            <w:noProof/>
            <w:webHidden/>
          </w:rPr>
          <w:fldChar w:fldCharType="separate"/>
        </w:r>
        <w:r w:rsidR="002A6FBF">
          <w:rPr>
            <w:noProof/>
            <w:webHidden/>
          </w:rPr>
          <w:t>5</w:t>
        </w:r>
        <w:r w:rsidR="00595491">
          <w:rPr>
            <w:noProof/>
            <w:webHidden/>
          </w:rPr>
          <w:fldChar w:fldCharType="end"/>
        </w:r>
      </w:hyperlink>
    </w:p>
    <w:p w:rsidR="00595491" w:rsidRDefault="00FA38E8">
      <w:pPr>
        <w:pStyle w:val="TOC2"/>
        <w:tabs>
          <w:tab w:val="left" w:pos="1134"/>
        </w:tabs>
        <w:rPr>
          <w:rFonts w:eastAsiaTheme="minorEastAsia"/>
          <w:noProof/>
          <w:lang w:eastAsia="en-AU"/>
        </w:rPr>
      </w:pPr>
      <w:hyperlink w:anchor="_Toc80111177" w:history="1">
        <w:r w:rsidR="00595491" w:rsidRPr="00FB1165">
          <w:rPr>
            <w:rStyle w:val="Hyperlink"/>
            <w:noProof/>
          </w:rPr>
          <w:t>1.1</w:t>
        </w:r>
        <w:r w:rsidR="00595491">
          <w:rPr>
            <w:rFonts w:eastAsiaTheme="minorEastAsia"/>
            <w:noProof/>
            <w:lang w:eastAsia="en-AU"/>
          </w:rPr>
          <w:tab/>
        </w:r>
        <w:r w:rsidR="00595491" w:rsidRPr="00FB1165">
          <w:rPr>
            <w:rStyle w:val="Hyperlink"/>
            <w:noProof/>
          </w:rPr>
          <w:t>Legislative Context</w:t>
        </w:r>
        <w:r w:rsidR="00595491">
          <w:rPr>
            <w:noProof/>
            <w:webHidden/>
          </w:rPr>
          <w:tab/>
        </w:r>
        <w:r w:rsidR="00595491">
          <w:rPr>
            <w:noProof/>
            <w:webHidden/>
          </w:rPr>
          <w:fldChar w:fldCharType="begin"/>
        </w:r>
        <w:r w:rsidR="00595491">
          <w:rPr>
            <w:noProof/>
            <w:webHidden/>
          </w:rPr>
          <w:instrText xml:space="preserve"> PAGEREF _Toc80111177 \h </w:instrText>
        </w:r>
        <w:r w:rsidR="00595491">
          <w:rPr>
            <w:noProof/>
            <w:webHidden/>
          </w:rPr>
        </w:r>
        <w:r w:rsidR="00595491">
          <w:rPr>
            <w:noProof/>
            <w:webHidden/>
          </w:rPr>
          <w:fldChar w:fldCharType="separate"/>
        </w:r>
        <w:r w:rsidR="002A6FBF">
          <w:rPr>
            <w:noProof/>
            <w:webHidden/>
          </w:rPr>
          <w:t>5</w:t>
        </w:r>
        <w:r w:rsidR="00595491">
          <w:rPr>
            <w:noProof/>
            <w:webHidden/>
          </w:rPr>
          <w:fldChar w:fldCharType="end"/>
        </w:r>
      </w:hyperlink>
    </w:p>
    <w:p w:rsidR="00595491" w:rsidRDefault="00FA38E8">
      <w:pPr>
        <w:pStyle w:val="TOC2"/>
        <w:tabs>
          <w:tab w:val="left" w:pos="1134"/>
        </w:tabs>
        <w:rPr>
          <w:rFonts w:eastAsiaTheme="minorEastAsia"/>
          <w:noProof/>
          <w:lang w:eastAsia="en-AU"/>
        </w:rPr>
      </w:pPr>
      <w:hyperlink w:anchor="_Toc80111178" w:history="1">
        <w:r w:rsidR="00595491" w:rsidRPr="00FB1165">
          <w:rPr>
            <w:rStyle w:val="Hyperlink"/>
            <w:noProof/>
          </w:rPr>
          <w:t>1.2</w:t>
        </w:r>
        <w:r w:rsidR="00595491">
          <w:rPr>
            <w:rFonts w:eastAsiaTheme="minorEastAsia"/>
            <w:noProof/>
            <w:lang w:eastAsia="en-AU"/>
          </w:rPr>
          <w:tab/>
        </w:r>
        <w:r w:rsidR="00595491" w:rsidRPr="00FB1165">
          <w:rPr>
            <w:rStyle w:val="Hyperlink"/>
            <w:noProof/>
          </w:rPr>
          <w:t>Whole of Australian Government Role</w:t>
        </w:r>
        <w:r w:rsidR="00595491">
          <w:rPr>
            <w:noProof/>
            <w:webHidden/>
          </w:rPr>
          <w:tab/>
        </w:r>
        <w:r w:rsidR="00595491">
          <w:rPr>
            <w:noProof/>
            <w:webHidden/>
          </w:rPr>
          <w:fldChar w:fldCharType="begin"/>
        </w:r>
        <w:r w:rsidR="00595491">
          <w:rPr>
            <w:noProof/>
            <w:webHidden/>
          </w:rPr>
          <w:instrText xml:space="preserve"> PAGEREF _Toc80111178 \h </w:instrText>
        </w:r>
        <w:r w:rsidR="00595491">
          <w:rPr>
            <w:noProof/>
            <w:webHidden/>
          </w:rPr>
        </w:r>
        <w:r w:rsidR="00595491">
          <w:rPr>
            <w:noProof/>
            <w:webHidden/>
          </w:rPr>
          <w:fldChar w:fldCharType="separate"/>
        </w:r>
        <w:r w:rsidR="002A6FBF">
          <w:rPr>
            <w:noProof/>
            <w:webHidden/>
          </w:rPr>
          <w:t>5</w:t>
        </w:r>
        <w:r w:rsidR="00595491">
          <w:rPr>
            <w:noProof/>
            <w:webHidden/>
          </w:rPr>
          <w:fldChar w:fldCharType="end"/>
        </w:r>
      </w:hyperlink>
    </w:p>
    <w:p w:rsidR="00595491" w:rsidRDefault="00FA38E8">
      <w:pPr>
        <w:pStyle w:val="TOC2"/>
        <w:tabs>
          <w:tab w:val="left" w:pos="1134"/>
        </w:tabs>
        <w:rPr>
          <w:rFonts w:eastAsiaTheme="minorEastAsia"/>
          <w:noProof/>
          <w:lang w:eastAsia="en-AU"/>
        </w:rPr>
      </w:pPr>
      <w:hyperlink w:anchor="_Toc80111179" w:history="1">
        <w:r w:rsidR="00595491" w:rsidRPr="00FB1165">
          <w:rPr>
            <w:rStyle w:val="Hyperlink"/>
            <w:noProof/>
          </w:rPr>
          <w:t>1.3</w:t>
        </w:r>
        <w:r w:rsidR="00595491">
          <w:rPr>
            <w:rFonts w:eastAsiaTheme="minorEastAsia"/>
            <w:noProof/>
            <w:lang w:eastAsia="en-AU"/>
          </w:rPr>
          <w:tab/>
        </w:r>
        <w:r w:rsidR="00595491" w:rsidRPr="00FB1165">
          <w:rPr>
            <w:rStyle w:val="Hyperlink"/>
            <w:noProof/>
          </w:rPr>
          <w:t>The Finance Property Portfolio</w:t>
        </w:r>
        <w:r w:rsidR="00595491">
          <w:rPr>
            <w:noProof/>
            <w:webHidden/>
          </w:rPr>
          <w:tab/>
        </w:r>
        <w:r w:rsidR="00595491">
          <w:rPr>
            <w:noProof/>
            <w:webHidden/>
          </w:rPr>
          <w:fldChar w:fldCharType="begin"/>
        </w:r>
        <w:r w:rsidR="00595491">
          <w:rPr>
            <w:noProof/>
            <w:webHidden/>
          </w:rPr>
          <w:instrText xml:space="preserve"> PAGEREF _Toc80111179 \h </w:instrText>
        </w:r>
        <w:r w:rsidR="00595491">
          <w:rPr>
            <w:noProof/>
            <w:webHidden/>
          </w:rPr>
        </w:r>
        <w:r w:rsidR="00595491">
          <w:rPr>
            <w:noProof/>
            <w:webHidden/>
          </w:rPr>
          <w:fldChar w:fldCharType="separate"/>
        </w:r>
        <w:r w:rsidR="002A6FBF">
          <w:rPr>
            <w:noProof/>
            <w:webHidden/>
          </w:rPr>
          <w:t>6</w:t>
        </w:r>
        <w:r w:rsidR="00595491">
          <w:rPr>
            <w:noProof/>
            <w:webHidden/>
          </w:rPr>
          <w:fldChar w:fldCharType="end"/>
        </w:r>
      </w:hyperlink>
    </w:p>
    <w:p w:rsidR="00595491" w:rsidRDefault="00FA38E8">
      <w:pPr>
        <w:pStyle w:val="TOC2"/>
        <w:tabs>
          <w:tab w:val="left" w:pos="1134"/>
        </w:tabs>
        <w:rPr>
          <w:rFonts w:eastAsiaTheme="minorEastAsia"/>
          <w:noProof/>
          <w:lang w:eastAsia="en-AU"/>
        </w:rPr>
      </w:pPr>
      <w:hyperlink w:anchor="_Toc80111180" w:history="1">
        <w:r w:rsidR="00595491" w:rsidRPr="00FB1165">
          <w:rPr>
            <w:rStyle w:val="Hyperlink"/>
            <w:noProof/>
          </w:rPr>
          <w:t>1.4</w:t>
        </w:r>
        <w:r w:rsidR="00595491">
          <w:rPr>
            <w:rFonts w:eastAsiaTheme="minorEastAsia"/>
            <w:noProof/>
            <w:lang w:eastAsia="en-AU"/>
          </w:rPr>
          <w:tab/>
        </w:r>
        <w:r w:rsidR="00595491" w:rsidRPr="00FB1165">
          <w:rPr>
            <w:rStyle w:val="Hyperlink"/>
            <w:noProof/>
          </w:rPr>
          <w:t>How to use this Strategy</w:t>
        </w:r>
        <w:r w:rsidR="00595491">
          <w:rPr>
            <w:noProof/>
            <w:webHidden/>
          </w:rPr>
          <w:tab/>
        </w:r>
        <w:r w:rsidR="00595491">
          <w:rPr>
            <w:noProof/>
            <w:webHidden/>
          </w:rPr>
          <w:fldChar w:fldCharType="begin"/>
        </w:r>
        <w:r w:rsidR="00595491">
          <w:rPr>
            <w:noProof/>
            <w:webHidden/>
          </w:rPr>
          <w:instrText xml:space="preserve"> PAGEREF _Toc80111180 \h </w:instrText>
        </w:r>
        <w:r w:rsidR="00595491">
          <w:rPr>
            <w:noProof/>
            <w:webHidden/>
          </w:rPr>
        </w:r>
        <w:r w:rsidR="00595491">
          <w:rPr>
            <w:noProof/>
            <w:webHidden/>
          </w:rPr>
          <w:fldChar w:fldCharType="separate"/>
        </w:r>
        <w:r w:rsidR="002A6FBF">
          <w:rPr>
            <w:noProof/>
            <w:webHidden/>
          </w:rPr>
          <w:t>8</w:t>
        </w:r>
        <w:r w:rsidR="00595491">
          <w:rPr>
            <w:noProof/>
            <w:webHidden/>
          </w:rPr>
          <w:fldChar w:fldCharType="end"/>
        </w:r>
      </w:hyperlink>
    </w:p>
    <w:p w:rsidR="00595491" w:rsidRDefault="00FA38E8">
      <w:pPr>
        <w:pStyle w:val="TOC1"/>
        <w:rPr>
          <w:rFonts w:eastAsiaTheme="minorEastAsia"/>
          <w:b w:val="0"/>
          <w:noProof/>
          <w:sz w:val="22"/>
          <w:lang w:eastAsia="en-AU"/>
        </w:rPr>
      </w:pPr>
      <w:hyperlink w:anchor="_Toc80111181" w:history="1">
        <w:r w:rsidR="00595491" w:rsidRPr="00FB1165">
          <w:rPr>
            <w:rStyle w:val="Hyperlink"/>
            <w:noProof/>
          </w:rPr>
          <w:t>2.</w:t>
        </w:r>
        <w:r w:rsidR="00595491">
          <w:rPr>
            <w:rFonts w:eastAsiaTheme="minorEastAsia"/>
            <w:b w:val="0"/>
            <w:noProof/>
            <w:sz w:val="22"/>
            <w:lang w:eastAsia="en-AU"/>
          </w:rPr>
          <w:tab/>
        </w:r>
        <w:r w:rsidR="00595491" w:rsidRPr="00FB1165">
          <w:rPr>
            <w:rStyle w:val="Hyperlink"/>
            <w:noProof/>
          </w:rPr>
          <w:t>Roles, Responsibilities and Processes</w:t>
        </w:r>
        <w:r w:rsidR="00595491">
          <w:rPr>
            <w:noProof/>
            <w:webHidden/>
          </w:rPr>
          <w:tab/>
        </w:r>
        <w:r w:rsidR="00595491">
          <w:rPr>
            <w:noProof/>
            <w:webHidden/>
          </w:rPr>
          <w:fldChar w:fldCharType="begin"/>
        </w:r>
        <w:r w:rsidR="00595491">
          <w:rPr>
            <w:noProof/>
            <w:webHidden/>
          </w:rPr>
          <w:instrText xml:space="preserve"> PAGEREF _Toc80111181 \h </w:instrText>
        </w:r>
        <w:r w:rsidR="00595491">
          <w:rPr>
            <w:noProof/>
            <w:webHidden/>
          </w:rPr>
        </w:r>
        <w:r w:rsidR="00595491">
          <w:rPr>
            <w:noProof/>
            <w:webHidden/>
          </w:rPr>
          <w:fldChar w:fldCharType="separate"/>
        </w:r>
        <w:r w:rsidR="002A6FBF">
          <w:rPr>
            <w:noProof/>
            <w:webHidden/>
          </w:rPr>
          <w:t>9</w:t>
        </w:r>
        <w:r w:rsidR="00595491">
          <w:rPr>
            <w:noProof/>
            <w:webHidden/>
          </w:rPr>
          <w:fldChar w:fldCharType="end"/>
        </w:r>
      </w:hyperlink>
    </w:p>
    <w:p w:rsidR="00595491" w:rsidRDefault="00FA38E8">
      <w:pPr>
        <w:pStyle w:val="TOC2"/>
        <w:tabs>
          <w:tab w:val="left" w:pos="1134"/>
        </w:tabs>
        <w:rPr>
          <w:rFonts w:eastAsiaTheme="minorEastAsia"/>
          <w:noProof/>
          <w:lang w:eastAsia="en-AU"/>
        </w:rPr>
      </w:pPr>
      <w:hyperlink w:anchor="_Toc80111182" w:history="1">
        <w:r w:rsidR="00595491" w:rsidRPr="00FB1165">
          <w:rPr>
            <w:rStyle w:val="Hyperlink"/>
            <w:noProof/>
          </w:rPr>
          <w:t>2.1</w:t>
        </w:r>
        <w:r w:rsidR="00595491">
          <w:rPr>
            <w:rFonts w:eastAsiaTheme="minorEastAsia"/>
            <w:noProof/>
            <w:lang w:eastAsia="en-AU"/>
          </w:rPr>
          <w:tab/>
        </w:r>
        <w:r w:rsidR="00595491" w:rsidRPr="00FB1165">
          <w:rPr>
            <w:rStyle w:val="Hyperlink"/>
            <w:noProof/>
          </w:rPr>
          <w:t>Finance's objective fo</w:t>
        </w:r>
        <w:r w:rsidR="00B61388">
          <w:rPr>
            <w:rStyle w:val="Hyperlink"/>
            <w:noProof/>
          </w:rPr>
          <w:t xml:space="preserve">r managing its heritage places </w:t>
        </w:r>
        <w:r w:rsidR="00595491" w:rsidRPr="00FB1165">
          <w:rPr>
            <w:rStyle w:val="Hyperlink"/>
            <w:noProof/>
          </w:rPr>
          <w:t>(Schedule 7C Section 1(a))</w:t>
        </w:r>
        <w:r w:rsidR="00595491">
          <w:rPr>
            <w:noProof/>
            <w:webHidden/>
          </w:rPr>
          <w:tab/>
        </w:r>
        <w:r w:rsidR="00595491">
          <w:rPr>
            <w:noProof/>
            <w:webHidden/>
          </w:rPr>
          <w:fldChar w:fldCharType="begin"/>
        </w:r>
        <w:r w:rsidR="00595491">
          <w:rPr>
            <w:noProof/>
            <w:webHidden/>
          </w:rPr>
          <w:instrText xml:space="preserve"> PAGEREF _Toc80111182 \h </w:instrText>
        </w:r>
        <w:r w:rsidR="00595491">
          <w:rPr>
            <w:noProof/>
            <w:webHidden/>
          </w:rPr>
        </w:r>
        <w:r w:rsidR="00595491">
          <w:rPr>
            <w:noProof/>
            <w:webHidden/>
          </w:rPr>
          <w:fldChar w:fldCharType="separate"/>
        </w:r>
        <w:r w:rsidR="002A6FBF">
          <w:rPr>
            <w:noProof/>
            <w:webHidden/>
          </w:rPr>
          <w:t>9</w:t>
        </w:r>
        <w:r w:rsidR="00595491">
          <w:rPr>
            <w:noProof/>
            <w:webHidden/>
          </w:rPr>
          <w:fldChar w:fldCharType="end"/>
        </w:r>
      </w:hyperlink>
    </w:p>
    <w:p w:rsidR="00595491" w:rsidRDefault="00FA38E8">
      <w:pPr>
        <w:pStyle w:val="TOC2"/>
        <w:tabs>
          <w:tab w:val="left" w:pos="1134"/>
        </w:tabs>
        <w:rPr>
          <w:rFonts w:eastAsiaTheme="minorEastAsia"/>
          <w:noProof/>
          <w:lang w:eastAsia="en-AU"/>
        </w:rPr>
      </w:pPr>
      <w:hyperlink w:anchor="_Toc80111183" w:history="1">
        <w:r w:rsidR="00595491" w:rsidRPr="00FB1165">
          <w:rPr>
            <w:rStyle w:val="Hyperlink"/>
            <w:noProof/>
          </w:rPr>
          <w:t>2.2</w:t>
        </w:r>
        <w:r w:rsidR="00595491">
          <w:rPr>
            <w:rFonts w:eastAsiaTheme="minorEastAsia"/>
            <w:noProof/>
            <w:lang w:eastAsia="en-AU"/>
          </w:rPr>
          <w:tab/>
        </w:r>
        <w:r w:rsidR="00595491" w:rsidRPr="00FB1165">
          <w:rPr>
            <w:rStyle w:val="Hyperlink"/>
            <w:noProof/>
          </w:rPr>
          <w:t xml:space="preserve">How the heritage strategy operates within Finances corporate planning </w:t>
        </w:r>
        <w:r w:rsidR="00B61388">
          <w:rPr>
            <w:rStyle w:val="Hyperlink"/>
            <w:noProof/>
          </w:rPr>
          <w:br/>
        </w:r>
        <w:r w:rsidR="00595491" w:rsidRPr="00FB1165">
          <w:rPr>
            <w:rStyle w:val="Hyperlink"/>
            <w:noProof/>
          </w:rPr>
          <w:t>framework (Section 1(b))</w:t>
        </w:r>
        <w:r w:rsidR="00595491">
          <w:rPr>
            <w:noProof/>
            <w:webHidden/>
          </w:rPr>
          <w:tab/>
        </w:r>
        <w:r w:rsidR="00595491">
          <w:rPr>
            <w:noProof/>
            <w:webHidden/>
          </w:rPr>
          <w:fldChar w:fldCharType="begin"/>
        </w:r>
        <w:r w:rsidR="00595491">
          <w:rPr>
            <w:noProof/>
            <w:webHidden/>
          </w:rPr>
          <w:instrText xml:space="preserve"> PAGEREF _Toc80111183 \h </w:instrText>
        </w:r>
        <w:r w:rsidR="00595491">
          <w:rPr>
            <w:noProof/>
            <w:webHidden/>
          </w:rPr>
        </w:r>
        <w:r w:rsidR="00595491">
          <w:rPr>
            <w:noProof/>
            <w:webHidden/>
          </w:rPr>
          <w:fldChar w:fldCharType="separate"/>
        </w:r>
        <w:r w:rsidR="002A6FBF">
          <w:rPr>
            <w:noProof/>
            <w:webHidden/>
          </w:rPr>
          <w:t>9</w:t>
        </w:r>
        <w:r w:rsidR="00595491">
          <w:rPr>
            <w:noProof/>
            <w:webHidden/>
          </w:rPr>
          <w:fldChar w:fldCharType="end"/>
        </w:r>
      </w:hyperlink>
    </w:p>
    <w:p w:rsidR="00595491" w:rsidRDefault="00FA38E8">
      <w:pPr>
        <w:pStyle w:val="TOC2"/>
        <w:tabs>
          <w:tab w:val="left" w:pos="1134"/>
        </w:tabs>
        <w:rPr>
          <w:rFonts w:eastAsiaTheme="minorEastAsia"/>
          <w:noProof/>
          <w:lang w:eastAsia="en-AU"/>
        </w:rPr>
      </w:pPr>
      <w:hyperlink w:anchor="_Toc80111184" w:history="1">
        <w:r w:rsidR="00595491" w:rsidRPr="00FB1165">
          <w:rPr>
            <w:rStyle w:val="Hyperlink"/>
            <w:noProof/>
          </w:rPr>
          <w:t>2.3</w:t>
        </w:r>
        <w:r w:rsidR="00595491">
          <w:rPr>
            <w:rFonts w:eastAsiaTheme="minorEastAsia"/>
            <w:noProof/>
            <w:lang w:eastAsia="en-AU"/>
          </w:rPr>
          <w:tab/>
        </w:r>
        <w:r w:rsidR="00595491" w:rsidRPr="00FB1165">
          <w:rPr>
            <w:rStyle w:val="Hyperlink"/>
            <w:noProof/>
          </w:rPr>
          <w:t xml:space="preserve">Key positions within Finance which are responsible for heritage matters </w:t>
        </w:r>
        <w:r w:rsidR="00B61388">
          <w:rPr>
            <w:rStyle w:val="Hyperlink"/>
            <w:noProof/>
          </w:rPr>
          <w:br/>
        </w:r>
        <w:r w:rsidR="00595491" w:rsidRPr="00FB1165">
          <w:rPr>
            <w:rStyle w:val="Hyperlink"/>
            <w:noProof/>
          </w:rPr>
          <w:t>(Section 1(c))</w:t>
        </w:r>
        <w:r w:rsidR="00595491">
          <w:rPr>
            <w:noProof/>
            <w:webHidden/>
          </w:rPr>
          <w:tab/>
        </w:r>
        <w:r w:rsidR="00595491">
          <w:rPr>
            <w:noProof/>
            <w:webHidden/>
          </w:rPr>
          <w:fldChar w:fldCharType="begin"/>
        </w:r>
        <w:r w:rsidR="00595491">
          <w:rPr>
            <w:noProof/>
            <w:webHidden/>
          </w:rPr>
          <w:instrText xml:space="preserve"> PAGEREF _Toc80111184 \h </w:instrText>
        </w:r>
        <w:r w:rsidR="00595491">
          <w:rPr>
            <w:noProof/>
            <w:webHidden/>
          </w:rPr>
        </w:r>
        <w:r w:rsidR="00595491">
          <w:rPr>
            <w:noProof/>
            <w:webHidden/>
          </w:rPr>
          <w:fldChar w:fldCharType="separate"/>
        </w:r>
        <w:r w:rsidR="002A6FBF">
          <w:rPr>
            <w:noProof/>
            <w:webHidden/>
          </w:rPr>
          <w:t>10</w:t>
        </w:r>
        <w:r w:rsidR="00595491">
          <w:rPr>
            <w:noProof/>
            <w:webHidden/>
          </w:rPr>
          <w:fldChar w:fldCharType="end"/>
        </w:r>
      </w:hyperlink>
    </w:p>
    <w:p w:rsidR="00595491" w:rsidRDefault="00FA38E8">
      <w:pPr>
        <w:pStyle w:val="TOC2"/>
        <w:tabs>
          <w:tab w:val="left" w:pos="1134"/>
        </w:tabs>
        <w:rPr>
          <w:rFonts w:eastAsiaTheme="minorEastAsia"/>
          <w:noProof/>
          <w:lang w:eastAsia="en-AU"/>
        </w:rPr>
      </w:pPr>
      <w:hyperlink w:anchor="_Toc80111185" w:history="1">
        <w:r w:rsidR="00595491" w:rsidRPr="00FB1165">
          <w:rPr>
            <w:rStyle w:val="Hyperlink"/>
            <w:noProof/>
          </w:rPr>
          <w:t>2.4</w:t>
        </w:r>
        <w:r w:rsidR="00595491">
          <w:rPr>
            <w:rFonts w:eastAsiaTheme="minorEastAsia"/>
            <w:noProof/>
            <w:lang w:eastAsia="en-AU"/>
          </w:rPr>
          <w:tab/>
        </w:r>
        <w:r w:rsidR="00595491" w:rsidRPr="00FB1165">
          <w:rPr>
            <w:rStyle w:val="Hyperlink"/>
            <w:noProof/>
          </w:rPr>
          <w:t>Process for consultation and liaison with other government departments and agencies on heritage matters (Section 1(d))</w:t>
        </w:r>
        <w:r w:rsidR="00595491">
          <w:rPr>
            <w:noProof/>
            <w:webHidden/>
          </w:rPr>
          <w:tab/>
        </w:r>
        <w:r w:rsidR="00595491">
          <w:rPr>
            <w:noProof/>
            <w:webHidden/>
          </w:rPr>
          <w:fldChar w:fldCharType="begin"/>
        </w:r>
        <w:r w:rsidR="00595491">
          <w:rPr>
            <w:noProof/>
            <w:webHidden/>
          </w:rPr>
          <w:instrText xml:space="preserve"> PAGEREF _Toc80111185 \h </w:instrText>
        </w:r>
        <w:r w:rsidR="00595491">
          <w:rPr>
            <w:noProof/>
            <w:webHidden/>
          </w:rPr>
        </w:r>
        <w:r w:rsidR="00595491">
          <w:rPr>
            <w:noProof/>
            <w:webHidden/>
          </w:rPr>
          <w:fldChar w:fldCharType="separate"/>
        </w:r>
        <w:r w:rsidR="002A6FBF">
          <w:rPr>
            <w:noProof/>
            <w:webHidden/>
          </w:rPr>
          <w:t>10</w:t>
        </w:r>
        <w:r w:rsidR="00595491">
          <w:rPr>
            <w:noProof/>
            <w:webHidden/>
          </w:rPr>
          <w:fldChar w:fldCharType="end"/>
        </w:r>
      </w:hyperlink>
    </w:p>
    <w:p w:rsidR="00595491" w:rsidRDefault="00FA38E8">
      <w:pPr>
        <w:pStyle w:val="TOC2"/>
        <w:tabs>
          <w:tab w:val="left" w:pos="1134"/>
        </w:tabs>
        <w:rPr>
          <w:rFonts w:eastAsiaTheme="minorEastAsia"/>
          <w:noProof/>
          <w:lang w:eastAsia="en-AU"/>
        </w:rPr>
      </w:pPr>
      <w:hyperlink w:anchor="_Toc80111186" w:history="1">
        <w:r w:rsidR="00595491" w:rsidRPr="00FB1165">
          <w:rPr>
            <w:rStyle w:val="Hyperlink"/>
            <w:noProof/>
          </w:rPr>
          <w:t>2.5</w:t>
        </w:r>
        <w:r w:rsidR="00595491">
          <w:rPr>
            <w:rFonts w:eastAsiaTheme="minorEastAsia"/>
            <w:noProof/>
            <w:lang w:eastAsia="en-AU"/>
          </w:rPr>
          <w:tab/>
        </w:r>
        <w:r w:rsidR="00595491" w:rsidRPr="00FB1165">
          <w:rPr>
            <w:rStyle w:val="Hyperlink"/>
            <w:noProof/>
          </w:rPr>
          <w:t xml:space="preserve">Process for consultation and liaison with the community on heritage </w:t>
        </w:r>
        <w:r w:rsidR="00831BAF">
          <w:rPr>
            <w:rStyle w:val="Hyperlink"/>
            <w:noProof/>
          </w:rPr>
          <w:br/>
        </w:r>
        <w:r w:rsidR="00595491" w:rsidRPr="00FB1165">
          <w:rPr>
            <w:rStyle w:val="Hyperlink"/>
            <w:noProof/>
          </w:rPr>
          <w:t>matters, including, a process for consultation and liaison with Indigenous stakeholders on Indigenous heritage matters (Section 1(e))</w:t>
        </w:r>
        <w:r w:rsidR="00595491">
          <w:rPr>
            <w:noProof/>
            <w:webHidden/>
          </w:rPr>
          <w:tab/>
        </w:r>
        <w:r w:rsidR="00595491">
          <w:rPr>
            <w:noProof/>
            <w:webHidden/>
          </w:rPr>
          <w:fldChar w:fldCharType="begin"/>
        </w:r>
        <w:r w:rsidR="00595491">
          <w:rPr>
            <w:noProof/>
            <w:webHidden/>
          </w:rPr>
          <w:instrText xml:space="preserve"> PAGEREF _Toc80111186 \h </w:instrText>
        </w:r>
        <w:r w:rsidR="00595491">
          <w:rPr>
            <w:noProof/>
            <w:webHidden/>
          </w:rPr>
        </w:r>
        <w:r w:rsidR="00595491">
          <w:rPr>
            <w:noProof/>
            <w:webHidden/>
          </w:rPr>
          <w:fldChar w:fldCharType="separate"/>
        </w:r>
        <w:r w:rsidR="002A6FBF">
          <w:rPr>
            <w:noProof/>
            <w:webHidden/>
          </w:rPr>
          <w:t>10</w:t>
        </w:r>
        <w:r w:rsidR="00595491">
          <w:rPr>
            <w:noProof/>
            <w:webHidden/>
          </w:rPr>
          <w:fldChar w:fldCharType="end"/>
        </w:r>
      </w:hyperlink>
    </w:p>
    <w:p w:rsidR="00595491" w:rsidRDefault="00FA38E8">
      <w:pPr>
        <w:pStyle w:val="TOC2"/>
        <w:tabs>
          <w:tab w:val="left" w:pos="1134"/>
        </w:tabs>
        <w:rPr>
          <w:rFonts w:eastAsiaTheme="minorEastAsia"/>
          <w:noProof/>
          <w:lang w:eastAsia="en-AU"/>
        </w:rPr>
      </w:pPr>
      <w:hyperlink w:anchor="_Toc80111187" w:history="1">
        <w:r w:rsidR="00595491" w:rsidRPr="00FB1165">
          <w:rPr>
            <w:rStyle w:val="Hyperlink"/>
            <w:noProof/>
          </w:rPr>
          <w:t>2.6</w:t>
        </w:r>
        <w:r w:rsidR="00595491">
          <w:rPr>
            <w:rFonts w:eastAsiaTheme="minorEastAsia"/>
            <w:noProof/>
            <w:lang w:eastAsia="en-AU"/>
          </w:rPr>
          <w:tab/>
        </w:r>
        <w:r w:rsidR="00595491" w:rsidRPr="00FB1165">
          <w:rPr>
            <w:rStyle w:val="Hyperlink"/>
            <w:noProof/>
          </w:rPr>
          <w:t xml:space="preserve">Process for conflict resolution arising from the assessment and management </w:t>
        </w:r>
        <w:r w:rsidR="00831BAF">
          <w:rPr>
            <w:rStyle w:val="Hyperlink"/>
            <w:noProof/>
          </w:rPr>
          <w:br/>
        </w:r>
        <w:r w:rsidR="00595491" w:rsidRPr="00FB1165">
          <w:rPr>
            <w:rStyle w:val="Hyperlink"/>
            <w:noProof/>
          </w:rPr>
          <w:t>of Commonwealth Heritage values (Section 1(f))</w:t>
        </w:r>
        <w:r w:rsidR="00595491">
          <w:rPr>
            <w:noProof/>
            <w:webHidden/>
          </w:rPr>
          <w:tab/>
        </w:r>
        <w:r w:rsidR="00595491">
          <w:rPr>
            <w:noProof/>
            <w:webHidden/>
          </w:rPr>
          <w:fldChar w:fldCharType="begin"/>
        </w:r>
        <w:r w:rsidR="00595491">
          <w:rPr>
            <w:noProof/>
            <w:webHidden/>
          </w:rPr>
          <w:instrText xml:space="preserve"> PAGEREF _Toc80111187 \h </w:instrText>
        </w:r>
        <w:r w:rsidR="00595491">
          <w:rPr>
            <w:noProof/>
            <w:webHidden/>
          </w:rPr>
        </w:r>
        <w:r w:rsidR="00595491">
          <w:rPr>
            <w:noProof/>
            <w:webHidden/>
          </w:rPr>
          <w:fldChar w:fldCharType="separate"/>
        </w:r>
        <w:r w:rsidR="002A6FBF">
          <w:rPr>
            <w:noProof/>
            <w:webHidden/>
          </w:rPr>
          <w:t>11</w:t>
        </w:r>
        <w:r w:rsidR="00595491">
          <w:rPr>
            <w:noProof/>
            <w:webHidden/>
          </w:rPr>
          <w:fldChar w:fldCharType="end"/>
        </w:r>
      </w:hyperlink>
    </w:p>
    <w:p w:rsidR="00595491" w:rsidRDefault="00FA38E8">
      <w:pPr>
        <w:pStyle w:val="TOC2"/>
        <w:tabs>
          <w:tab w:val="left" w:pos="1134"/>
        </w:tabs>
        <w:rPr>
          <w:rFonts w:eastAsiaTheme="minorEastAsia"/>
          <w:noProof/>
          <w:lang w:eastAsia="en-AU"/>
        </w:rPr>
      </w:pPr>
      <w:hyperlink w:anchor="_Toc80111188" w:history="1">
        <w:r w:rsidR="00595491" w:rsidRPr="00FB1165">
          <w:rPr>
            <w:rStyle w:val="Hyperlink"/>
            <w:noProof/>
          </w:rPr>
          <w:t>2.7</w:t>
        </w:r>
        <w:r w:rsidR="00595491">
          <w:rPr>
            <w:rFonts w:eastAsiaTheme="minorEastAsia"/>
            <w:noProof/>
            <w:lang w:eastAsia="en-AU"/>
          </w:rPr>
          <w:tab/>
        </w:r>
        <w:r w:rsidR="00595491" w:rsidRPr="00FB1165">
          <w:rPr>
            <w:rStyle w:val="Hyperlink"/>
            <w:noProof/>
          </w:rPr>
          <w:t xml:space="preserve">Processes for monitoring, reviewing and reporting on the implementation </w:t>
        </w:r>
        <w:r w:rsidR="00831BAF">
          <w:rPr>
            <w:rStyle w:val="Hyperlink"/>
            <w:noProof/>
          </w:rPr>
          <w:br/>
        </w:r>
        <w:r w:rsidR="00595491" w:rsidRPr="00FB1165">
          <w:rPr>
            <w:rStyle w:val="Hyperlink"/>
            <w:noProof/>
          </w:rPr>
          <w:t>of the Strategy (Section 1(g))</w:t>
        </w:r>
        <w:r w:rsidR="00595491">
          <w:rPr>
            <w:noProof/>
            <w:webHidden/>
          </w:rPr>
          <w:tab/>
        </w:r>
        <w:r w:rsidR="00595491">
          <w:rPr>
            <w:noProof/>
            <w:webHidden/>
          </w:rPr>
          <w:fldChar w:fldCharType="begin"/>
        </w:r>
        <w:r w:rsidR="00595491">
          <w:rPr>
            <w:noProof/>
            <w:webHidden/>
          </w:rPr>
          <w:instrText xml:space="preserve"> PAGEREF _Toc80111188 \h </w:instrText>
        </w:r>
        <w:r w:rsidR="00595491">
          <w:rPr>
            <w:noProof/>
            <w:webHidden/>
          </w:rPr>
        </w:r>
        <w:r w:rsidR="00595491">
          <w:rPr>
            <w:noProof/>
            <w:webHidden/>
          </w:rPr>
          <w:fldChar w:fldCharType="separate"/>
        </w:r>
        <w:r w:rsidR="002A6FBF">
          <w:rPr>
            <w:noProof/>
            <w:webHidden/>
          </w:rPr>
          <w:t>11</w:t>
        </w:r>
        <w:r w:rsidR="00595491">
          <w:rPr>
            <w:noProof/>
            <w:webHidden/>
          </w:rPr>
          <w:fldChar w:fldCharType="end"/>
        </w:r>
      </w:hyperlink>
    </w:p>
    <w:p w:rsidR="00595491" w:rsidRDefault="00FA38E8">
      <w:pPr>
        <w:pStyle w:val="TOC1"/>
        <w:rPr>
          <w:rFonts w:eastAsiaTheme="minorEastAsia"/>
          <w:b w:val="0"/>
          <w:noProof/>
          <w:sz w:val="22"/>
          <w:lang w:eastAsia="en-AU"/>
        </w:rPr>
      </w:pPr>
      <w:hyperlink w:anchor="_Toc80111189" w:history="1">
        <w:r w:rsidR="00595491" w:rsidRPr="00FB1165">
          <w:rPr>
            <w:rStyle w:val="Hyperlink"/>
            <w:noProof/>
          </w:rPr>
          <w:t>3.</w:t>
        </w:r>
        <w:r w:rsidR="00595491">
          <w:rPr>
            <w:rFonts w:eastAsiaTheme="minorEastAsia"/>
            <w:b w:val="0"/>
            <w:noProof/>
            <w:sz w:val="22"/>
            <w:lang w:eastAsia="en-AU"/>
          </w:rPr>
          <w:tab/>
        </w:r>
        <w:r w:rsidR="00595491" w:rsidRPr="00FB1165">
          <w:rPr>
            <w:rStyle w:val="Hyperlink"/>
            <w:noProof/>
          </w:rPr>
          <w:t>Identifying and assessing Commonwealth Heritage Values in the Portfolio</w:t>
        </w:r>
        <w:r w:rsidR="00595491">
          <w:rPr>
            <w:noProof/>
            <w:webHidden/>
          </w:rPr>
          <w:tab/>
        </w:r>
        <w:r w:rsidR="00595491">
          <w:rPr>
            <w:noProof/>
            <w:webHidden/>
          </w:rPr>
          <w:fldChar w:fldCharType="begin"/>
        </w:r>
        <w:r w:rsidR="00595491">
          <w:rPr>
            <w:noProof/>
            <w:webHidden/>
          </w:rPr>
          <w:instrText xml:space="preserve"> PAGEREF _Toc80111189 \h </w:instrText>
        </w:r>
        <w:r w:rsidR="00595491">
          <w:rPr>
            <w:noProof/>
            <w:webHidden/>
          </w:rPr>
        </w:r>
        <w:r w:rsidR="00595491">
          <w:rPr>
            <w:noProof/>
            <w:webHidden/>
          </w:rPr>
          <w:fldChar w:fldCharType="separate"/>
        </w:r>
        <w:r w:rsidR="002A6FBF">
          <w:rPr>
            <w:noProof/>
            <w:webHidden/>
          </w:rPr>
          <w:t>12</w:t>
        </w:r>
        <w:r w:rsidR="00595491">
          <w:rPr>
            <w:noProof/>
            <w:webHidden/>
          </w:rPr>
          <w:fldChar w:fldCharType="end"/>
        </w:r>
      </w:hyperlink>
    </w:p>
    <w:p w:rsidR="00595491" w:rsidRDefault="00FA38E8">
      <w:pPr>
        <w:pStyle w:val="TOC2"/>
        <w:tabs>
          <w:tab w:val="left" w:pos="1134"/>
        </w:tabs>
        <w:rPr>
          <w:rFonts w:eastAsiaTheme="minorEastAsia"/>
          <w:noProof/>
          <w:lang w:eastAsia="en-AU"/>
        </w:rPr>
      </w:pPr>
      <w:hyperlink w:anchor="_Toc80111190" w:history="1">
        <w:r w:rsidR="00595491" w:rsidRPr="00FB1165">
          <w:rPr>
            <w:rStyle w:val="Hyperlink"/>
            <w:noProof/>
          </w:rPr>
          <w:t>3.1</w:t>
        </w:r>
        <w:r w:rsidR="00595491">
          <w:rPr>
            <w:rFonts w:eastAsiaTheme="minorEastAsia"/>
            <w:noProof/>
            <w:lang w:eastAsia="en-AU"/>
          </w:rPr>
          <w:tab/>
        </w:r>
        <w:r w:rsidR="00595491" w:rsidRPr="00FB1165">
          <w:rPr>
            <w:rStyle w:val="Hyperlink"/>
            <w:noProof/>
          </w:rPr>
          <w:t xml:space="preserve">The process for identifying and assessing the Commonwealth Heritage </w:t>
        </w:r>
        <w:r w:rsidR="00B61388">
          <w:rPr>
            <w:rStyle w:val="Hyperlink"/>
            <w:noProof/>
          </w:rPr>
          <w:br/>
        </w:r>
        <w:r w:rsidR="00595491" w:rsidRPr="00FB1165">
          <w:rPr>
            <w:rStyle w:val="Hyperlink"/>
            <w:noProof/>
          </w:rPr>
          <w:t>values of the Portfolio (Section 2(a))</w:t>
        </w:r>
        <w:r w:rsidR="00595491">
          <w:rPr>
            <w:noProof/>
            <w:webHidden/>
          </w:rPr>
          <w:tab/>
        </w:r>
        <w:r w:rsidR="00595491">
          <w:rPr>
            <w:noProof/>
            <w:webHidden/>
          </w:rPr>
          <w:fldChar w:fldCharType="begin"/>
        </w:r>
        <w:r w:rsidR="00595491">
          <w:rPr>
            <w:noProof/>
            <w:webHidden/>
          </w:rPr>
          <w:instrText xml:space="preserve"> PAGEREF _Toc80111190 \h </w:instrText>
        </w:r>
        <w:r w:rsidR="00595491">
          <w:rPr>
            <w:noProof/>
            <w:webHidden/>
          </w:rPr>
        </w:r>
        <w:r w:rsidR="00595491">
          <w:rPr>
            <w:noProof/>
            <w:webHidden/>
          </w:rPr>
          <w:fldChar w:fldCharType="separate"/>
        </w:r>
        <w:r w:rsidR="002A6FBF">
          <w:rPr>
            <w:noProof/>
            <w:webHidden/>
          </w:rPr>
          <w:t>12</w:t>
        </w:r>
        <w:r w:rsidR="00595491">
          <w:rPr>
            <w:noProof/>
            <w:webHidden/>
          </w:rPr>
          <w:fldChar w:fldCharType="end"/>
        </w:r>
      </w:hyperlink>
    </w:p>
    <w:p w:rsidR="00595491" w:rsidRDefault="00FA38E8">
      <w:pPr>
        <w:pStyle w:val="TOC2"/>
        <w:tabs>
          <w:tab w:val="left" w:pos="1134"/>
        </w:tabs>
        <w:rPr>
          <w:rFonts w:eastAsiaTheme="minorEastAsia"/>
          <w:noProof/>
          <w:lang w:eastAsia="en-AU"/>
        </w:rPr>
      </w:pPr>
      <w:hyperlink w:anchor="_Toc80111191" w:history="1">
        <w:r w:rsidR="00595491" w:rsidRPr="00FB1165">
          <w:rPr>
            <w:rStyle w:val="Hyperlink"/>
            <w:noProof/>
          </w:rPr>
          <w:t>3.2</w:t>
        </w:r>
        <w:r w:rsidR="00595491">
          <w:rPr>
            <w:rFonts w:eastAsiaTheme="minorEastAsia"/>
            <w:noProof/>
            <w:lang w:eastAsia="en-AU"/>
          </w:rPr>
          <w:tab/>
        </w:r>
        <w:r w:rsidR="00595491" w:rsidRPr="00FB1165">
          <w:rPr>
            <w:rStyle w:val="Hyperlink"/>
            <w:noProof/>
          </w:rPr>
          <w:t xml:space="preserve">Time-frames for completion of identification and assessments, the register </w:t>
        </w:r>
        <w:r w:rsidR="00B61388">
          <w:rPr>
            <w:rStyle w:val="Hyperlink"/>
            <w:noProof/>
          </w:rPr>
          <w:br/>
        </w:r>
        <w:r w:rsidR="00595491" w:rsidRPr="00FB1165">
          <w:rPr>
            <w:rStyle w:val="Hyperlink"/>
            <w:noProof/>
          </w:rPr>
          <w:t>and the report to the Minister (Section 2(b)(i)-(iii))</w:t>
        </w:r>
        <w:r w:rsidR="00595491">
          <w:rPr>
            <w:noProof/>
            <w:webHidden/>
          </w:rPr>
          <w:tab/>
        </w:r>
        <w:r w:rsidR="00595491">
          <w:rPr>
            <w:noProof/>
            <w:webHidden/>
          </w:rPr>
          <w:fldChar w:fldCharType="begin"/>
        </w:r>
        <w:r w:rsidR="00595491">
          <w:rPr>
            <w:noProof/>
            <w:webHidden/>
          </w:rPr>
          <w:instrText xml:space="preserve"> PAGEREF _Toc80111191 \h </w:instrText>
        </w:r>
        <w:r w:rsidR="00595491">
          <w:rPr>
            <w:noProof/>
            <w:webHidden/>
          </w:rPr>
        </w:r>
        <w:r w:rsidR="00595491">
          <w:rPr>
            <w:noProof/>
            <w:webHidden/>
          </w:rPr>
          <w:fldChar w:fldCharType="separate"/>
        </w:r>
        <w:r w:rsidR="002A6FBF">
          <w:rPr>
            <w:noProof/>
            <w:webHidden/>
          </w:rPr>
          <w:t>13</w:t>
        </w:r>
        <w:r w:rsidR="00595491">
          <w:rPr>
            <w:noProof/>
            <w:webHidden/>
          </w:rPr>
          <w:fldChar w:fldCharType="end"/>
        </w:r>
      </w:hyperlink>
    </w:p>
    <w:p w:rsidR="00595491" w:rsidRDefault="00FA38E8">
      <w:pPr>
        <w:pStyle w:val="TOC1"/>
        <w:rPr>
          <w:rFonts w:eastAsiaTheme="minorEastAsia"/>
          <w:b w:val="0"/>
          <w:noProof/>
          <w:sz w:val="22"/>
          <w:lang w:eastAsia="en-AU"/>
        </w:rPr>
      </w:pPr>
      <w:hyperlink w:anchor="_Toc80111192" w:history="1">
        <w:r w:rsidR="00595491" w:rsidRPr="00FB1165">
          <w:rPr>
            <w:rStyle w:val="Hyperlink"/>
            <w:noProof/>
          </w:rPr>
          <w:t>4.</w:t>
        </w:r>
        <w:r w:rsidR="00595491">
          <w:rPr>
            <w:rFonts w:eastAsiaTheme="minorEastAsia"/>
            <w:b w:val="0"/>
            <w:noProof/>
            <w:sz w:val="22"/>
            <w:lang w:eastAsia="en-AU"/>
          </w:rPr>
          <w:tab/>
        </w:r>
        <w:r w:rsidR="00595491" w:rsidRPr="00FB1165">
          <w:rPr>
            <w:rStyle w:val="Hyperlink"/>
            <w:noProof/>
          </w:rPr>
          <w:t>Finance Heritage Register and Heritage Management Program</w:t>
        </w:r>
        <w:r w:rsidR="00595491">
          <w:rPr>
            <w:noProof/>
            <w:webHidden/>
          </w:rPr>
          <w:tab/>
        </w:r>
        <w:r w:rsidR="00595491">
          <w:rPr>
            <w:noProof/>
            <w:webHidden/>
          </w:rPr>
          <w:fldChar w:fldCharType="begin"/>
        </w:r>
        <w:r w:rsidR="00595491">
          <w:rPr>
            <w:noProof/>
            <w:webHidden/>
          </w:rPr>
          <w:instrText xml:space="preserve"> PAGEREF _Toc80111192 \h </w:instrText>
        </w:r>
        <w:r w:rsidR="00595491">
          <w:rPr>
            <w:noProof/>
            <w:webHidden/>
          </w:rPr>
        </w:r>
        <w:r w:rsidR="00595491">
          <w:rPr>
            <w:noProof/>
            <w:webHidden/>
          </w:rPr>
          <w:fldChar w:fldCharType="separate"/>
        </w:r>
        <w:r w:rsidR="002A6FBF">
          <w:rPr>
            <w:noProof/>
            <w:webHidden/>
          </w:rPr>
          <w:t>14</w:t>
        </w:r>
        <w:r w:rsidR="00595491">
          <w:rPr>
            <w:noProof/>
            <w:webHidden/>
          </w:rPr>
          <w:fldChar w:fldCharType="end"/>
        </w:r>
      </w:hyperlink>
    </w:p>
    <w:p w:rsidR="00595491" w:rsidRDefault="00FA38E8">
      <w:pPr>
        <w:pStyle w:val="TOC2"/>
        <w:tabs>
          <w:tab w:val="left" w:pos="1134"/>
        </w:tabs>
        <w:rPr>
          <w:rFonts w:eastAsiaTheme="minorEastAsia"/>
          <w:noProof/>
          <w:lang w:eastAsia="en-AU"/>
        </w:rPr>
      </w:pPr>
      <w:hyperlink w:anchor="_Toc80111193" w:history="1">
        <w:r w:rsidR="00595491" w:rsidRPr="00FB1165">
          <w:rPr>
            <w:rStyle w:val="Hyperlink"/>
            <w:noProof/>
          </w:rPr>
          <w:t>4.1</w:t>
        </w:r>
        <w:r w:rsidR="00595491">
          <w:rPr>
            <w:rFonts w:eastAsiaTheme="minorEastAsia"/>
            <w:noProof/>
            <w:lang w:eastAsia="en-AU"/>
          </w:rPr>
          <w:tab/>
        </w:r>
        <w:r w:rsidR="00595491" w:rsidRPr="00FB1165">
          <w:rPr>
            <w:rStyle w:val="Hyperlink"/>
            <w:noProof/>
          </w:rPr>
          <w:t xml:space="preserve">How Finance’s Heritage Register will be maintained, updated and </w:t>
        </w:r>
        <w:r w:rsidR="00B61388">
          <w:rPr>
            <w:rStyle w:val="Hyperlink"/>
            <w:noProof/>
          </w:rPr>
          <w:br/>
        </w:r>
        <w:r w:rsidR="00595491" w:rsidRPr="00FB1165">
          <w:rPr>
            <w:rStyle w:val="Hyperlink"/>
            <w:noProof/>
          </w:rPr>
          <w:t>made accessible for public view (Section 3(a))</w:t>
        </w:r>
        <w:r w:rsidR="00595491">
          <w:rPr>
            <w:noProof/>
            <w:webHidden/>
          </w:rPr>
          <w:tab/>
        </w:r>
        <w:r w:rsidR="00595491">
          <w:rPr>
            <w:noProof/>
            <w:webHidden/>
          </w:rPr>
          <w:fldChar w:fldCharType="begin"/>
        </w:r>
        <w:r w:rsidR="00595491">
          <w:rPr>
            <w:noProof/>
            <w:webHidden/>
          </w:rPr>
          <w:instrText xml:space="preserve"> PAGEREF _Toc80111193 \h </w:instrText>
        </w:r>
        <w:r w:rsidR="00595491">
          <w:rPr>
            <w:noProof/>
            <w:webHidden/>
          </w:rPr>
        </w:r>
        <w:r w:rsidR="00595491">
          <w:rPr>
            <w:noProof/>
            <w:webHidden/>
          </w:rPr>
          <w:fldChar w:fldCharType="separate"/>
        </w:r>
        <w:r w:rsidR="002A6FBF">
          <w:rPr>
            <w:noProof/>
            <w:webHidden/>
          </w:rPr>
          <w:t>14</w:t>
        </w:r>
        <w:r w:rsidR="00595491">
          <w:rPr>
            <w:noProof/>
            <w:webHidden/>
          </w:rPr>
          <w:fldChar w:fldCharType="end"/>
        </w:r>
      </w:hyperlink>
    </w:p>
    <w:p w:rsidR="00595491" w:rsidRDefault="00FA38E8">
      <w:pPr>
        <w:pStyle w:val="TOC2"/>
        <w:tabs>
          <w:tab w:val="left" w:pos="1134"/>
        </w:tabs>
        <w:rPr>
          <w:rFonts w:eastAsiaTheme="minorEastAsia"/>
          <w:noProof/>
          <w:lang w:eastAsia="en-AU"/>
        </w:rPr>
      </w:pPr>
      <w:hyperlink w:anchor="_Toc80111194" w:history="1">
        <w:r w:rsidR="00595491" w:rsidRPr="00FB1165">
          <w:rPr>
            <w:rStyle w:val="Hyperlink"/>
            <w:noProof/>
          </w:rPr>
          <w:t>4.2</w:t>
        </w:r>
        <w:r w:rsidR="00595491">
          <w:rPr>
            <w:rFonts w:eastAsiaTheme="minorEastAsia"/>
            <w:noProof/>
            <w:lang w:eastAsia="en-AU"/>
          </w:rPr>
          <w:tab/>
        </w:r>
        <w:r w:rsidR="00595491" w:rsidRPr="00FB1165">
          <w:rPr>
            <w:rStyle w:val="Hyperlink"/>
            <w:noProof/>
          </w:rPr>
          <w:t xml:space="preserve">Timeframe for the preparation of management plans for Commonwealth </w:t>
        </w:r>
        <w:r w:rsidR="00B61388">
          <w:rPr>
            <w:rStyle w:val="Hyperlink"/>
            <w:noProof/>
          </w:rPr>
          <w:br/>
        </w:r>
        <w:r w:rsidR="00595491" w:rsidRPr="00FB1165">
          <w:rPr>
            <w:rStyle w:val="Hyperlink"/>
            <w:noProof/>
          </w:rPr>
          <w:t>heritage places (Section 3(b))</w:t>
        </w:r>
        <w:r w:rsidR="00595491">
          <w:rPr>
            <w:noProof/>
            <w:webHidden/>
          </w:rPr>
          <w:tab/>
        </w:r>
        <w:r w:rsidR="00595491">
          <w:rPr>
            <w:noProof/>
            <w:webHidden/>
          </w:rPr>
          <w:fldChar w:fldCharType="begin"/>
        </w:r>
        <w:r w:rsidR="00595491">
          <w:rPr>
            <w:noProof/>
            <w:webHidden/>
          </w:rPr>
          <w:instrText xml:space="preserve"> PAGEREF _Toc80111194 \h </w:instrText>
        </w:r>
        <w:r w:rsidR="00595491">
          <w:rPr>
            <w:noProof/>
            <w:webHidden/>
          </w:rPr>
        </w:r>
        <w:r w:rsidR="00595491">
          <w:rPr>
            <w:noProof/>
            <w:webHidden/>
          </w:rPr>
          <w:fldChar w:fldCharType="separate"/>
        </w:r>
        <w:r w:rsidR="002A6FBF">
          <w:rPr>
            <w:noProof/>
            <w:webHidden/>
          </w:rPr>
          <w:t>14</w:t>
        </w:r>
        <w:r w:rsidR="00595491">
          <w:rPr>
            <w:noProof/>
            <w:webHidden/>
          </w:rPr>
          <w:fldChar w:fldCharType="end"/>
        </w:r>
      </w:hyperlink>
    </w:p>
    <w:p w:rsidR="00595491" w:rsidRDefault="00FA38E8">
      <w:pPr>
        <w:pStyle w:val="TOC2"/>
        <w:tabs>
          <w:tab w:val="left" w:pos="1134"/>
        </w:tabs>
        <w:rPr>
          <w:rFonts w:eastAsiaTheme="minorEastAsia"/>
          <w:noProof/>
          <w:lang w:eastAsia="en-AU"/>
        </w:rPr>
      </w:pPr>
      <w:hyperlink w:anchor="_Toc80111195" w:history="1">
        <w:r w:rsidR="00595491" w:rsidRPr="00FB1165">
          <w:rPr>
            <w:rStyle w:val="Hyperlink"/>
            <w:noProof/>
          </w:rPr>
          <w:t>4.3</w:t>
        </w:r>
        <w:r w:rsidR="00595491">
          <w:rPr>
            <w:rFonts w:eastAsiaTheme="minorEastAsia"/>
            <w:noProof/>
            <w:lang w:eastAsia="en-AU"/>
          </w:rPr>
          <w:tab/>
        </w:r>
        <w:r w:rsidR="00595491" w:rsidRPr="00FB1165">
          <w:rPr>
            <w:rStyle w:val="Hyperlink"/>
            <w:noProof/>
          </w:rPr>
          <w:t xml:space="preserve">Outline of the existing use of places with Commonwealth Heritage </w:t>
        </w:r>
        <w:r w:rsidR="00B61388">
          <w:rPr>
            <w:rStyle w:val="Hyperlink"/>
            <w:noProof/>
          </w:rPr>
          <w:br/>
        </w:r>
        <w:r w:rsidR="00595491" w:rsidRPr="00FB1165">
          <w:rPr>
            <w:rStyle w:val="Hyperlink"/>
            <w:noProof/>
          </w:rPr>
          <w:t>values (Section 3(c))</w:t>
        </w:r>
        <w:r w:rsidR="00595491">
          <w:rPr>
            <w:noProof/>
            <w:webHidden/>
          </w:rPr>
          <w:tab/>
        </w:r>
        <w:r w:rsidR="00595491">
          <w:rPr>
            <w:noProof/>
            <w:webHidden/>
          </w:rPr>
          <w:fldChar w:fldCharType="begin"/>
        </w:r>
        <w:r w:rsidR="00595491">
          <w:rPr>
            <w:noProof/>
            <w:webHidden/>
          </w:rPr>
          <w:instrText xml:space="preserve"> PAGEREF _Toc80111195 \h </w:instrText>
        </w:r>
        <w:r w:rsidR="00595491">
          <w:rPr>
            <w:noProof/>
            <w:webHidden/>
          </w:rPr>
        </w:r>
        <w:r w:rsidR="00595491">
          <w:rPr>
            <w:noProof/>
            <w:webHidden/>
          </w:rPr>
          <w:fldChar w:fldCharType="separate"/>
        </w:r>
        <w:r w:rsidR="002A6FBF">
          <w:rPr>
            <w:noProof/>
            <w:webHidden/>
          </w:rPr>
          <w:t>15</w:t>
        </w:r>
        <w:r w:rsidR="00595491">
          <w:rPr>
            <w:noProof/>
            <w:webHidden/>
          </w:rPr>
          <w:fldChar w:fldCharType="end"/>
        </w:r>
      </w:hyperlink>
    </w:p>
    <w:p w:rsidR="00595491" w:rsidRDefault="00FA38E8">
      <w:pPr>
        <w:pStyle w:val="TOC2"/>
        <w:tabs>
          <w:tab w:val="left" w:pos="1134"/>
        </w:tabs>
        <w:rPr>
          <w:rFonts w:eastAsiaTheme="minorEastAsia"/>
          <w:noProof/>
          <w:lang w:eastAsia="en-AU"/>
        </w:rPr>
      </w:pPr>
      <w:hyperlink w:anchor="_Toc80111196" w:history="1">
        <w:r w:rsidR="00595491" w:rsidRPr="00FB1165">
          <w:rPr>
            <w:rStyle w:val="Hyperlink"/>
            <w:noProof/>
          </w:rPr>
          <w:t>4.4</w:t>
        </w:r>
        <w:r w:rsidR="00595491">
          <w:rPr>
            <w:rFonts w:eastAsiaTheme="minorEastAsia"/>
            <w:noProof/>
            <w:lang w:eastAsia="en-AU"/>
          </w:rPr>
          <w:tab/>
        </w:r>
        <w:r w:rsidR="00595491" w:rsidRPr="00FB1165">
          <w:rPr>
            <w:rStyle w:val="Hyperlink"/>
            <w:noProof/>
          </w:rPr>
          <w:t xml:space="preserve">Outline of current or expected development, works, disposal or other </w:t>
        </w:r>
        <w:r w:rsidR="00B61388">
          <w:rPr>
            <w:rStyle w:val="Hyperlink"/>
            <w:noProof/>
          </w:rPr>
          <w:br/>
        </w:r>
        <w:r w:rsidR="00595491" w:rsidRPr="00FB1165">
          <w:rPr>
            <w:rStyle w:val="Hyperlink"/>
            <w:noProof/>
          </w:rPr>
          <w:t>proposals that may affect Commonwealth Heritage values (Section 3(d))</w:t>
        </w:r>
        <w:r w:rsidR="00595491">
          <w:rPr>
            <w:noProof/>
            <w:webHidden/>
          </w:rPr>
          <w:tab/>
        </w:r>
        <w:r w:rsidR="00595491">
          <w:rPr>
            <w:noProof/>
            <w:webHidden/>
          </w:rPr>
          <w:fldChar w:fldCharType="begin"/>
        </w:r>
        <w:r w:rsidR="00595491">
          <w:rPr>
            <w:noProof/>
            <w:webHidden/>
          </w:rPr>
          <w:instrText xml:space="preserve"> PAGEREF _Toc80111196 \h </w:instrText>
        </w:r>
        <w:r w:rsidR="00595491">
          <w:rPr>
            <w:noProof/>
            <w:webHidden/>
          </w:rPr>
        </w:r>
        <w:r w:rsidR="00595491">
          <w:rPr>
            <w:noProof/>
            <w:webHidden/>
          </w:rPr>
          <w:fldChar w:fldCharType="separate"/>
        </w:r>
        <w:r w:rsidR="002A6FBF">
          <w:rPr>
            <w:noProof/>
            <w:webHidden/>
          </w:rPr>
          <w:t>15</w:t>
        </w:r>
        <w:r w:rsidR="00595491">
          <w:rPr>
            <w:noProof/>
            <w:webHidden/>
          </w:rPr>
          <w:fldChar w:fldCharType="end"/>
        </w:r>
      </w:hyperlink>
    </w:p>
    <w:p w:rsidR="00595491" w:rsidRDefault="00FA38E8">
      <w:pPr>
        <w:pStyle w:val="TOC2"/>
        <w:tabs>
          <w:tab w:val="left" w:pos="1134"/>
        </w:tabs>
        <w:rPr>
          <w:rFonts w:eastAsiaTheme="minorEastAsia"/>
          <w:noProof/>
          <w:lang w:eastAsia="en-AU"/>
        </w:rPr>
      </w:pPr>
      <w:hyperlink w:anchor="_Toc80111197" w:history="1">
        <w:r w:rsidR="00595491" w:rsidRPr="00FB1165">
          <w:rPr>
            <w:rStyle w:val="Hyperlink"/>
            <w:noProof/>
          </w:rPr>
          <w:t>4.5</w:t>
        </w:r>
        <w:r w:rsidR="00595491">
          <w:rPr>
            <w:rFonts w:eastAsiaTheme="minorEastAsia"/>
            <w:noProof/>
            <w:lang w:eastAsia="en-AU"/>
          </w:rPr>
          <w:tab/>
        </w:r>
        <w:r w:rsidR="00595491" w:rsidRPr="00FB1165">
          <w:rPr>
            <w:rStyle w:val="Hyperlink"/>
            <w:noProof/>
          </w:rPr>
          <w:t xml:space="preserve">Outline of the process to ensure that Commonwealth Heritage values </w:t>
        </w:r>
        <w:r w:rsidR="00B61388">
          <w:rPr>
            <w:rStyle w:val="Hyperlink"/>
            <w:noProof/>
          </w:rPr>
          <w:br/>
        </w:r>
        <w:r w:rsidR="00595491" w:rsidRPr="00FB1165">
          <w:rPr>
            <w:rStyle w:val="Hyperlink"/>
            <w:noProof/>
          </w:rPr>
          <w:t xml:space="preserve">are considered in planning for future development, works, divestment </w:t>
        </w:r>
        <w:r w:rsidR="00B61388">
          <w:rPr>
            <w:rStyle w:val="Hyperlink"/>
            <w:noProof/>
          </w:rPr>
          <w:br/>
        </w:r>
        <w:r w:rsidR="00595491" w:rsidRPr="00FB1165">
          <w:rPr>
            <w:rStyle w:val="Hyperlink"/>
            <w:noProof/>
          </w:rPr>
          <w:t>or other proposals (Section 3(e))</w:t>
        </w:r>
        <w:r w:rsidR="00595491">
          <w:rPr>
            <w:noProof/>
            <w:webHidden/>
          </w:rPr>
          <w:tab/>
        </w:r>
        <w:r w:rsidR="00595491">
          <w:rPr>
            <w:noProof/>
            <w:webHidden/>
          </w:rPr>
          <w:fldChar w:fldCharType="begin"/>
        </w:r>
        <w:r w:rsidR="00595491">
          <w:rPr>
            <w:noProof/>
            <w:webHidden/>
          </w:rPr>
          <w:instrText xml:space="preserve"> PAGEREF _Toc80111197 \h </w:instrText>
        </w:r>
        <w:r w:rsidR="00595491">
          <w:rPr>
            <w:noProof/>
            <w:webHidden/>
          </w:rPr>
        </w:r>
        <w:r w:rsidR="00595491">
          <w:rPr>
            <w:noProof/>
            <w:webHidden/>
          </w:rPr>
          <w:fldChar w:fldCharType="separate"/>
        </w:r>
        <w:r w:rsidR="002A6FBF">
          <w:rPr>
            <w:noProof/>
            <w:webHidden/>
          </w:rPr>
          <w:t>16</w:t>
        </w:r>
        <w:r w:rsidR="00595491">
          <w:rPr>
            <w:noProof/>
            <w:webHidden/>
          </w:rPr>
          <w:fldChar w:fldCharType="end"/>
        </w:r>
      </w:hyperlink>
    </w:p>
    <w:p w:rsidR="00595491" w:rsidRDefault="00FA38E8">
      <w:pPr>
        <w:pStyle w:val="TOC2"/>
        <w:tabs>
          <w:tab w:val="left" w:pos="1134"/>
        </w:tabs>
        <w:rPr>
          <w:rFonts w:eastAsiaTheme="minorEastAsia"/>
          <w:noProof/>
          <w:lang w:eastAsia="en-AU"/>
        </w:rPr>
      </w:pPr>
      <w:hyperlink w:anchor="_Toc80111198" w:history="1">
        <w:r w:rsidR="00595491" w:rsidRPr="00FB1165">
          <w:rPr>
            <w:rStyle w:val="Hyperlink"/>
            <w:noProof/>
          </w:rPr>
          <w:t>4.6</w:t>
        </w:r>
        <w:r w:rsidR="00595491">
          <w:rPr>
            <w:rFonts w:eastAsiaTheme="minorEastAsia"/>
            <w:noProof/>
            <w:lang w:eastAsia="en-AU"/>
          </w:rPr>
          <w:tab/>
        </w:r>
        <w:r w:rsidR="00595491" w:rsidRPr="00FB1165">
          <w:rPr>
            <w:rStyle w:val="Hyperlink"/>
            <w:noProof/>
          </w:rPr>
          <w:t>A plan and budget for the maintenance and long-term conservation of Commonwealth Heritage values (Section 3(f))</w:t>
        </w:r>
        <w:r w:rsidR="00595491">
          <w:rPr>
            <w:noProof/>
            <w:webHidden/>
          </w:rPr>
          <w:tab/>
        </w:r>
        <w:r w:rsidR="00595491">
          <w:rPr>
            <w:noProof/>
            <w:webHidden/>
          </w:rPr>
          <w:fldChar w:fldCharType="begin"/>
        </w:r>
        <w:r w:rsidR="00595491">
          <w:rPr>
            <w:noProof/>
            <w:webHidden/>
          </w:rPr>
          <w:instrText xml:space="preserve"> PAGEREF _Toc80111198 \h </w:instrText>
        </w:r>
        <w:r w:rsidR="00595491">
          <w:rPr>
            <w:noProof/>
            <w:webHidden/>
          </w:rPr>
        </w:r>
        <w:r w:rsidR="00595491">
          <w:rPr>
            <w:noProof/>
            <w:webHidden/>
          </w:rPr>
          <w:fldChar w:fldCharType="separate"/>
        </w:r>
        <w:r w:rsidR="002A6FBF">
          <w:rPr>
            <w:noProof/>
            <w:webHidden/>
          </w:rPr>
          <w:t>17</w:t>
        </w:r>
        <w:r w:rsidR="00595491">
          <w:rPr>
            <w:noProof/>
            <w:webHidden/>
          </w:rPr>
          <w:fldChar w:fldCharType="end"/>
        </w:r>
      </w:hyperlink>
    </w:p>
    <w:p w:rsidR="00595491" w:rsidRDefault="00FA38E8">
      <w:pPr>
        <w:pStyle w:val="TOC2"/>
        <w:tabs>
          <w:tab w:val="left" w:pos="1134"/>
        </w:tabs>
        <w:rPr>
          <w:rFonts w:eastAsiaTheme="minorEastAsia"/>
          <w:noProof/>
          <w:lang w:eastAsia="en-AU"/>
        </w:rPr>
      </w:pPr>
      <w:hyperlink w:anchor="_Toc80111199" w:history="1">
        <w:r w:rsidR="00595491" w:rsidRPr="00FB1165">
          <w:rPr>
            <w:rStyle w:val="Hyperlink"/>
            <w:noProof/>
          </w:rPr>
          <w:t>4.7</w:t>
        </w:r>
        <w:r w:rsidR="00595491">
          <w:rPr>
            <w:rFonts w:eastAsiaTheme="minorEastAsia"/>
            <w:noProof/>
            <w:lang w:eastAsia="en-AU"/>
          </w:rPr>
          <w:tab/>
        </w:r>
        <w:r w:rsidR="00595491" w:rsidRPr="00FB1165">
          <w:rPr>
            <w:rStyle w:val="Hyperlink"/>
            <w:noProof/>
          </w:rPr>
          <w:t xml:space="preserve">Outline of the process by which the success in conserving </w:t>
        </w:r>
        <w:r w:rsidR="00B61388">
          <w:rPr>
            <w:rStyle w:val="Hyperlink"/>
            <w:noProof/>
          </w:rPr>
          <w:br/>
        </w:r>
        <w:r w:rsidR="00595491" w:rsidRPr="00FB1165">
          <w:rPr>
            <w:rStyle w:val="Hyperlink"/>
            <w:noProof/>
          </w:rPr>
          <w:t>Commonwealth Heritage values will be monitored and reviewed (Section 3(g))</w:t>
        </w:r>
        <w:r w:rsidR="00595491">
          <w:rPr>
            <w:noProof/>
            <w:webHidden/>
          </w:rPr>
          <w:tab/>
        </w:r>
        <w:r w:rsidR="00595491">
          <w:rPr>
            <w:noProof/>
            <w:webHidden/>
          </w:rPr>
          <w:fldChar w:fldCharType="begin"/>
        </w:r>
        <w:r w:rsidR="00595491">
          <w:rPr>
            <w:noProof/>
            <w:webHidden/>
          </w:rPr>
          <w:instrText xml:space="preserve"> PAGEREF _Toc80111199 \h </w:instrText>
        </w:r>
        <w:r w:rsidR="00595491">
          <w:rPr>
            <w:noProof/>
            <w:webHidden/>
          </w:rPr>
        </w:r>
        <w:r w:rsidR="00595491">
          <w:rPr>
            <w:noProof/>
            <w:webHidden/>
          </w:rPr>
          <w:fldChar w:fldCharType="separate"/>
        </w:r>
        <w:r w:rsidR="002A6FBF">
          <w:rPr>
            <w:noProof/>
            <w:webHidden/>
          </w:rPr>
          <w:t>17</w:t>
        </w:r>
        <w:r w:rsidR="00595491">
          <w:rPr>
            <w:noProof/>
            <w:webHidden/>
          </w:rPr>
          <w:fldChar w:fldCharType="end"/>
        </w:r>
      </w:hyperlink>
    </w:p>
    <w:p w:rsidR="00595491" w:rsidRDefault="00FA38E8">
      <w:pPr>
        <w:pStyle w:val="TOC1"/>
        <w:rPr>
          <w:rFonts w:eastAsiaTheme="minorEastAsia"/>
          <w:b w:val="0"/>
          <w:noProof/>
          <w:sz w:val="22"/>
          <w:lang w:eastAsia="en-AU"/>
        </w:rPr>
      </w:pPr>
      <w:hyperlink w:anchor="_Toc80111200" w:history="1">
        <w:r w:rsidR="00595491" w:rsidRPr="00FB1165">
          <w:rPr>
            <w:rStyle w:val="Hyperlink"/>
            <w:noProof/>
          </w:rPr>
          <w:t>5.</w:t>
        </w:r>
        <w:r w:rsidR="00595491">
          <w:rPr>
            <w:rFonts w:eastAsiaTheme="minorEastAsia"/>
            <w:b w:val="0"/>
            <w:noProof/>
            <w:sz w:val="22"/>
            <w:lang w:eastAsia="en-AU"/>
          </w:rPr>
          <w:tab/>
        </w:r>
        <w:r w:rsidR="00595491" w:rsidRPr="00FB1165">
          <w:rPr>
            <w:rStyle w:val="Hyperlink"/>
            <w:noProof/>
          </w:rPr>
          <w:t>Heritage Training and Promotion</w:t>
        </w:r>
        <w:r w:rsidR="00595491">
          <w:rPr>
            <w:noProof/>
            <w:webHidden/>
          </w:rPr>
          <w:tab/>
        </w:r>
        <w:r w:rsidR="00595491">
          <w:rPr>
            <w:noProof/>
            <w:webHidden/>
          </w:rPr>
          <w:fldChar w:fldCharType="begin"/>
        </w:r>
        <w:r w:rsidR="00595491">
          <w:rPr>
            <w:noProof/>
            <w:webHidden/>
          </w:rPr>
          <w:instrText xml:space="preserve"> PAGEREF _Toc80111200 \h </w:instrText>
        </w:r>
        <w:r w:rsidR="00595491">
          <w:rPr>
            <w:noProof/>
            <w:webHidden/>
          </w:rPr>
        </w:r>
        <w:r w:rsidR="00595491">
          <w:rPr>
            <w:noProof/>
            <w:webHidden/>
          </w:rPr>
          <w:fldChar w:fldCharType="separate"/>
        </w:r>
        <w:r w:rsidR="002A6FBF">
          <w:rPr>
            <w:noProof/>
            <w:webHidden/>
          </w:rPr>
          <w:t>18</w:t>
        </w:r>
        <w:r w:rsidR="00595491">
          <w:rPr>
            <w:noProof/>
            <w:webHidden/>
          </w:rPr>
          <w:fldChar w:fldCharType="end"/>
        </w:r>
      </w:hyperlink>
    </w:p>
    <w:p w:rsidR="00595491" w:rsidRDefault="00FA38E8">
      <w:pPr>
        <w:pStyle w:val="TOC2"/>
        <w:tabs>
          <w:tab w:val="left" w:pos="1134"/>
        </w:tabs>
        <w:rPr>
          <w:rFonts w:eastAsiaTheme="minorEastAsia"/>
          <w:noProof/>
          <w:lang w:eastAsia="en-AU"/>
        </w:rPr>
      </w:pPr>
      <w:hyperlink w:anchor="_Toc80111201" w:history="1">
        <w:r w:rsidR="00595491" w:rsidRPr="00FB1165">
          <w:rPr>
            <w:rStyle w:val="Hyperlink"/>
            <w:noProof/>
          </w:rPr>
          <w:t>5.1</w:t>
        </w:r>
        <w:r w:rsidR="00595491">
          <w:rPr>
            <w:rFonts w:eastAsiaTheme="minorEastAsia"/>
            <w:noProof/>
            <w:lang w:eastAsia="en-AU"/>
          </w:rPr>
          <w:tab/>
        </w:r>
        <w:r w:rsidR="00595491" w:rsidRPr="00FB1165">
          <w:rPr>
            <w:rStyle w:val="Hyperlink"/>
            <w:noProof/>
          </w:rPr>
          <w:t xml:space="preserve">A program for the training of Finance staff (and contractors) </w:t>
        </w:r>
        <w:r w:rsidR="00B61388">
          <w:rPr>
            <w:rStyle w:val="Hyperlink"/>
            <w:noProof/>
          </w:rPr>
          <w:br/>
        </w:r>
        <w:r w:rsidR="00595491" w:rsidRPr="00FB1165">
          <w:rPr>
            <w:rStyle w:val="Hyperlink"/>
            <w:noProof/>
          </w:rPr>
          <w:t xml:space="preserve">about Commonwealth Heritage obligations and best practice </w:t>
        </w:r>
        <w:r w:rsidR="00B61388">
          <w:rPr>
            <w:rStyle w:val="Hyperlink"/>
            <w:noProof/>
          </w:rPr>
          <w:br/>
        </w:r>
        <w:r w:rsidR="00595491" w:rsidRPr="00FB1165">
          <w:rPr>
            <w:rStyle w:val="Hyperlink"/>
            <w:noProof/>
          </w:rPr>
          <w:t>heritage management (Section 4(a))</w:t>
        </w:r>
        <w:r w:rsidR="00595491">
          <w:rPr>
            <w:noProof/>
            <w:webHidden/>
          </w:rPr>
          <w:tab/>
        </w:r>
        <w:r w:rsidR="00595491">
          <w:rPr>
            <w:noProof/>
            <w:webHidden/>
          </w:rPr>
          <w:fldChar w:fldCharType="begin"/>
        </w:r>
        <w:r w:rsidR="00595491">
          <w:rPr>
            <w:noProof/>
            <w:webHidden/>
          </w:rPr>
          <w:instrText xml:space="preserve"> PAGEREF _Toc80111201 \h </w:instrText>
        </w:r>
        <w:r w:rsidR="00595491">
          <w:rPr>
            <w:noProof/>
            <w:webHidden/>
          </w:rPr>
        </w:r>
        <w:r w:rsidR="00595491">
          <w:rPr>
            <w:noProof/>
            <w:webHidden/>
          </w:rPr>
          <w:fldChar w:fldCharType="separate"/>
        </w:r>
        <w:r w:rsidR="002A6FBF">
          <w:rPr>
            <w:noProof/>
            <w:webHidden/>
          </w:rPr>
          <w:t>18</w:t>
        </w:r>
        <w:r w:rsidR="00595491">
          <w:rPr>
            <w:noProof/>
            <w:webHidden/>
          </w:rPr>
          <w:fldChar w:fldCharType="end"/>
        </w:r>
      </w:hyperlink>
    </w:p>
    <w:p w:rsidR="00595491" w:rsidRDefault="00FA38E8">
      <w:pPr>
        <w:pStyle w:val="TOC2"/>
        <w:tabs>
          <w:tab w:val="left" w:pos="1134"/>
        </w:tabs>
        <w:rPr>
          <w:rFonts w:eastAsiaTheme="minorEastAsia"/>
          <w:noProof/>
          <w:lang w:eastAsia="en-AU"/>
        </w:rPr>
      </w:pPr>
      <w:hyperlink w:anchor="_Toc80111202" w:history="1">
        <w:r w:rsidR="00595491" w:rsidRPr="00FB1165">
          <w:rPr>
            <w:rStyle w:val="Hyperlink"/>
            <w:noProof/>
          </w:rPr>
          <w:t>5.2</w:t>
        </w:r>
        <w:r w:rsidR="00595491">
          <w:rPr>
            <w:rFonts w:eastAsiaTheme="minorEastAsia"/>
            <w:noProof/>
            <w:lang w:eastAsia="en-AU"/>
          </w:rPr>
          <w:tab/>
        </w:r>
        <w:r w:rsidR="00595491" w:rsidRPr="00FB1165">
          <w:rPr>
            <w:rStyle w:val="Hyperlink"/>
            <w:noProof/>
          </w:rPr>
          <w:t xml:space="preserve">A program for promoting community awareness of Commonwealth </w:t>
        </w:r>
        <w:r w:rsidR="00B61388">
          <w:rPr>
            <w:rStyle w:val="Hyperlink"/>
            <w:noProof/>
          </w:rPr>
          <w:br/>
        </w:r>
        <w:r w:rsidR="00595491" w:rsidRPr="00FB1165">
          <w:rPr>
            <w:rStyle w:val="Hyperlink"/>
            <w:noProof/>
          </w:rPr>
          <w:t>Heritage values, as appropriate (Section 4(b))</w:t>
        </w:r>
        <w:r w:rsidR="00595491">
          <w:rPr>
            <w:noProof/>
            <w:webHidden/>
          </w:rPr>
          <w:tab/>
        </w:r>
        <w:r w:rsidR="00595491">
          <w:rPr>
            <w:noProof/>
            <w:webHidden/>
          </w:rPr>
          <w:fldChar w:fldCharType="begin"/>
        </w:r>
        <w:r w:rsidR="00595491">
          <w:rPr>
            <w:noProof/>
            <w:webHidden/>
          </w:rPr>
          <w:instrText xml:space="preserve"> PAGEREF _Toc80111202 \h </w:instrText>
        </w:r>
        <w:r w:rsidR="00595491">
          <w:rPr>
            <w:noProof/>
            <w:webHidden/>
          </w:rPr>
        </w:r>
        <w:r w:rsidR="00595491">
          <w:rPr>
            <w:noProof/>
            <w:webHidden/>
          </w:rPr>
          <w:fldChar w:fldCharType="separate"/>
        </w:r>
        <w:r w:rsidR="002A6FBF">
          <w:rPr>
            <w:noProof/>
            <w:webHidden/>
          </w:rPr>
          <w:t>18</w:t>
        </w:r>
        <w:r w:rsidR="00595491">
          <w:rPr>
            <w:noProof/>
            <w:webHidden/>
          </w:rPr>
          <w:fldChar w:fldCharType="end"/>
        </w:r>
      </w:hyperlink>
    </w:p>
    <w:p w:rsidR="00595491" w:rsidRDefault="00FA38E8">
      <w:pPr>
        <w:pStyle w:val="TOC1"/>
        <w:rPr>
          <w:rFonts w:eastAsiaTheme="minorEastAsia"/>
          <w:b w:val="0"/>
          <w:noProof/>
          <w:sz w:val="22"/>
          <w:lang w:eastAsia="en-AU"/>
        </w:rPr>
      </w:pPr>
      <w:hyperlink w:anchor="_Toc80111203" w:history="1">
        <w:r w:rsidR="00595491" w:rsidRPr="00FB1165">
          <w:rPr>
            <w:rStyle w:val="Hyperlink"/>
            <w:noProof/>
          </w:rPr>
          <w:t>Appendix A: Commitments arising from strategy</w:t>
        </w:r>
        <w:r w:rsidR="00595491">
          <w:rPr>
            <w:noProof/>
            <w:webHidden/>
          </w:rPr>
          <w:tab/>
        </w:r>
        <w:r w:rsidR="00595491">
          <w:rPr>
            <w:noProof/>
            <w:webHidden/>
          </w:rPr>
          <w:fldChar w:fldCharType="begin"/>
        </w:r>
        <w:r w:rsidR="00595491">
          <w:rPr>
            <w:noProof/>
            <w:webHidden/>
          </w:rPr>
          <w:instrText xml:space="preserve"> PAGEREF _Toc80111203 \h </w:instrText>
        </w:r>
        <w:r w:rsidR="00595491">
          <w:rPr>
            <w:noProof/>
            <w:webHidden/>
          </w:rPr>
        </w:r>
        <w:r w:rsidR="00595491">
          <w:rPr>
            <w:noProof/>
            <w:webHidden/>
          </w:rPr>
          <w:fldChar w:fldCharType="separate"/>
        </w:r>
        <w:r w:rsidR="002A6FBF">
          <w:rPr>
            <w:noProof/>
            <w:webHidden/>
          </w:rPr>
          <w:t>19</w:t>
        </w:r>
        <w:r w:rsidR="00595491">
          <w:rPr>
            <w:noProof/>
            <w:webHidden/>
          </w:rPr>
          <w:fldChar w:fldCharType="end"/>
        </w:r>
      </w:hyperlink>
    </w:p>
    <w:p w:rsidR="00595491" w:rsidRDefault="00FA38E8">
      <w:pPr>
        <w:pStyle w:val="TOC1"/>
        <w:rPr>
          <w:rFonts w:eastAsiaTheme="minorEastAsia"/>
          <w:b w:val="0"/>
          <w:noProof/>
          <w:sz w:val="22"/>
          <w:lang w:eastAsia="en-AU"/>
        </w:rPr>
      </w:pPr>
      <w:hyperlink w:anchor="_Toc80111204" w:history="1">
        <w:r w:rsidR="00595491" w:rsidRPr="00FB1165">
          <w:rPr>
            <w:rStyle w:val="Hyperlink"/>
            <w:noProof/>
          </w:rPr>
          <w:t>Appendix B: EPBC ACT ‘Quick Guide’</w:t>
        </w:r>
        <w:r w:rsidR="00595491">
          <w:rPr>
            <w:noProof/>
            <w:webHidden/>
          </w:rPr>
          <w:tab/>
        </w:r>
        <w:r w:rsidR="00595491">
          <w:rPr>
            <w:noProof/>
            <w:webHidden/>
          </w:rPr>
          <w:fldChar w:fldCharType="begin"/>
        </w:r>
        <w:r w:rsidR="00595491">
          <w:rPr>
            <w:noProof/>
            <w:webHidden/>
          </w:rPr>
          <w:instrText xml:space="preserve"> PAGEREF _Toc80111204 \h </w:instrText>
        </w:r>
        <w:r w:rsidR="00595491">
          <w:rPr>
            <w:noProof/>
            <w:webHidden/>
          </w:rPr>
        </w:r>
        <w:r w:rsidR="00595491">
          <w:rPr>
            <w:noProof/>
            <w:webHidden/>
          </w:rPr>
          <w:fldChar w:fldCharType="separate"/>
        </w:r>
        <w:r w:rsidR="002A6FBF">
          <w:rPr>
            <w:noProof/>
            <w:webHidden/>
          </w:rPr>
          <w:t>23</w:t>
        </w:r>
        <w:r w:rsidR="00595491">
          <w:rPr>
            <w:noProof/>
            <w:webHidden/>
          </w:rPr>
          <w:fldChar w:fldCharType="end"/>
        </w:r>
      </w:hyperlink>
    </w:p>
    <w:p w:rsidR="00595491" w:rsidRDefault="00FA38E8">
      <w:pPr>
        <w:pStyle w:val="TOC1"/>
        <w:rPr>
          <w:rFonts w:eastAsiaTheme="minorEastAsia"/>
          <w:b w:val="0"/>
          <w:noProof/>
          <w:sz w:val="22"/>
          <w:lang w:eastAsia="en-AU"/>
        </w:rPr>
      </w:pPr>
      <w:hyperlink w:anchor="_Toc80111205" w:history="1">
        <w:r w:rsidR="00595491" w:rsidRPr="00FB1165">
          <w:rPr>
            <w:rStyle w:val="Hyperlink"/>
            <w:noProof/>
          </w:rPr>
          <w:t xml:space="preserve">Appendix C: List of Finance-managed properties with Commonwealth </w:t>
        </w:r>
        <w:r w:rsidR="00B61388">
          <w:rPr>
            <w:rStyle w:val="Hyperlink"/>
            <w:noProof/>
          </w:rPr>
          <w:br/>
        </w:r>
        <w:r w:rsidR="00595491" w:rsidRPr="00FB1165">
          <w:rPr>
            <w:rStyle w:val="Hyperlink"/>
            <w:noProof/>
          </w:rPr>
          <w:t>Heritage values</w:t>
        </w:r>
        <w:r w:rsidR="00595491">
          <w:rPr>
            <w:noProof/>
            <w:webHidden/>
          </w:rPr>
          <w:tab/>
        </w:r>
        <w:r w:rsidR="00595491">
          <w:rPr>
            <w:noProof/>
            <w:webHidden/>
          </w:rPr>
          <w:fldChar w:fldCharType="begin"/>
        </w:r>
        <w:r w:rsidR="00595491">
          <w:rPr>
            <w:noProof/>
            <w:webHidden/>
          </w:rPr>
          <w:instrText xml:space="preserve"> PAGEREF _Toc80111205 \h </w:instrText>
        </w:r>
        <w:r w:rsidR="00595491">
          <w:rPr>
            <w:noProof/>
            <w:webHidden/>
          </w:rPr>
        </w:r>
        <w:r w:rsidR="00595491">
          <w:rPr>
            <w:noProof/>
            <w:webHidden/>
          </w:rPr>
          <w:fldChar w:fldCharType="separate"/>
        </w:r>
        <w:r w:rsidR="002A6FBF">
          <w:rPr>
            <w:noProof/>
            <w:webHidden/>
          </w:rPr>
          <w:t>25</w:t>
        </w:r>
        <w:r w:rsidR="00595491">
          <w:rPr>
            <w:noProof/>
            <w:webHidden/>
          </w:rPr>
          <w:fldChar w:fldCharType="end"/>
        </w:r>
      </w:hyperlink>
    </w:p>
    <w:p w:rsidR="00E00E97" w:rsidRDefault="0082589D" w:rsidP="00E00E97">
      <w:pPr>
        <w:pStyle w:val="TOCListheadings"/>
      </w:pPr>
      <w:r>
        <w:rPr>
          <w:b w:val="0"/>
          <w:sz w:val="19"/>
        </w:rPr>
        <w:fldChar w:fldCharType="end"/>
      </w:r>
      <w:r w:rsidR="00E00E97" w:rsidRPr="00E00E97">
        <w:t xml:space="preserve"> </w:t>
      </w:r>
    </w:p>
    <w:p w:rsidR="00E00E97" w:rsidRPr="00681FD8" w:rsidRDefault="00E00E97" w:rsidP="00681FD8">
      <w:pPr>
        <w:pStyle w:val="BodyText"/>
        <w:rPr>
          <w:sz w:val="36"/>
          <w:szCs w:val="36"/>
        </w:rPr>
      </w:pPr>
      <w:bookmarkStart w:id="1" w:name="_Toc80111173"/>
      <w:r w:rsidRPr="00681FD8">
        <w:rPr>
          <w:sz w:val="36"/>
          <w:szCs w:val="36"/>
        </w:rPr>
        <w:t>Glossary</w:t>
      </w:r>
      <w:bookmarkEnd w:id="1"/>
    </w:p>
    <w:tbl>
      <w:tblPr>
        <w:tblStyle w:val="TableGrid"/>
        <w:tblW w:w="8772" w:type="dxa"/>
        <w:tblBorders>
          <w:top w:val="none" w:sz="0" w:space="0" w:color="auto"/>
          <w:left w:val="none" w:sz="0" w:space="0" w:color="auto"/>
          <w:bottom w:val="none" w:sz="0" w:space="0" w:color="auto"/>
          <w:right w:val="none" w:sz="0" w:space="0" w:color="auto"/>
          <w:insideH w:val="single" w:sz="4" w:space="0" w:color="1C1C1C" w:themeColor="text2"/>
          <w:insideV w:val="none" w:sz="0" w:space="0" w:color="auto"/>
        </w:tblBorders>
        <w:tblLayout w:type="fixed"/>
        <w:tblCellMar>
          <w:top w:w="57" w:type="dxa"/>
          <w:left w:w="57" w:type="dxa"/>
          <w:bottom w:w="57" w:type="dxa"/>
          <w:right w:w="57" w:type="dxa"/>
        </w:tblCellMar>
        <w:tblLook w:val="04A0" w:firstRow="1" w:lastRow="0" w:firstColumn="1" w:lastColumn="0" w:noHBand="0" w:noVBand="1"/>
        <w:tblCaption w:val="Glossary"/>
        <w:tblDescription w:val="Glossary"/>
      </w:tblPr>
      <w:tblGrid>
        <w:gridCol w:w="1648"/>
        <w:gridCol w:w="7124"/>
      </w:tblGrid>
      <w:tr w:rsidR="00E00E97" w:rsidRPr="005A7EBD" w:rsidTr="00F12F2E">
        <w:trPr>
          <w:trHeight w:val="20"/>
        </w:trPr>
        <w:tc>
          <w:tcPr>
            <w:tcW w:w="1648" w:type="dxa"/>
          </w:tcPr>
          <w:p w:rsidR="00E00E97" w:rsidRDefault="00E00E97" w:rsidP="00595491">
            <w:pPr>
              <w:pStyle w:val="Tabletextleft"/>
            </w:pPr>
            <w:r>
              <w:t>EPBC Act</w:t>
            </w:r>
          </w:p>
        </w:tc>
        <w:tc>
          <w:tcPr>
            <w:tcW w:w="7124" w:type="dxa"/>
          </w:tcPr>
          <w:p w:rsidR="00E00E97" w:rsidRDefault="00E00E97" w:rsidP="00595491">
            <w:pPr>
              <w:pStyle w:val="Tabletextleft"/>
            </w:pPr>
            <w:r w:rsidRPr="00DD7BC8">
              <w:rPr>
                <w:i/>
              </w:rPr>
              <w:t>Environment Protection and Biodiversity Conservation Act</w:t>
            </w:r>
            <w:r w:rsidRPr="00E4291B">
              <w:t xml:space="preserve"> 1999</w:t>
            </w:r>
          </w:p>
        </w:tc>
      </w:tr>
      <w:tr w:rsidR="00E00E97" w:rsidRPr="005A7EBD" w:rsidTr="00F12F2E">
        <w:trPr>
          <w:trHeight w:val="20"/>
        </w:trPr>
        <w:tc>
          <w:tcPr>
            <w:tcW w:w="1648" w:type="dxa"/>
          </w:tcPr>
          <w:p w:rsidR="00E00E97" w:rsidRDefault="00E00E97" w:rsidP="00595491">
            <w:pPr>
              <w:pStyle w:val="Tabletextleft"/>
            </w:pPr>
            <w:r>
              <w:t>Finance</w:t>
            </w:r>
          </w:p>
        </w:tc>
        <w:tc>
          <w:tcPr>
            <w:tcW w:w="7124" w:type="dxa"/>
          </w:tcPr>
          <w:p w:rsidR="00E00E97" w:rsidRPr="00E4291B" w:rsidRDefault="00E00E97" w:rsidP="00595491">
            <w:pPr>
              <w:pStyle w:val="Tabletextleft"/>
            </w:pPr>
            <w:r>
              <w:t>Department of Finance</w:t>
            </w:r>
          </w:p>
        </w:tc>
      </w:tr>
      <w:tr w:rsidR="00E00E97" w:rsidRPr="005A7EBD" w:rsidTr="00F12F2E">
        <w:trPr>
          <w:trHeight w:val="20"/>
        </w:trPr>
        <w:tc>
          <w:tcPr>
            <w:tcW w:w="1648" w:type="dxa"/>
          </w:tcPr>
          <w:p w:rsidR="00E00E97" w:rsidRDefault="00E00E97" w:rsidP="00595491">
            <w:pPr>
              <w:pStyle w:val="Tabletextleft"/>
            </w:pPr>
            <w:r>
              <w:t>HMP</w:t>
            </w:r>
          </w:p>
        </w:tc>
        <w:tc>
          <w:tcPr>
            <w:tcW w:w="7124" w:type="dxa"/>
          </w:tcPr>
          <w:p w:rsidR="00E00E97" w:rsidRDefault="00E00E97" w:rsidP="00595491">
            <w:pPr>
              <w:pStyle w:val="Tabletextleft"/>
            </w:pPr>
            <w:r>
              <w:t>Heritage Management Plan</w:t>
            </w:r>
          </w:p>
        </w:tc>
      </w:tr>
      <w:tr w:rsidR="00E00E97" w:rsidRPr="005A7EBD" w:rsidTr="00F12F2E">
        <w:trPr>
          <w:trHeight w:val="20"/>
        </w:trPr>
        <w:tc>
          <w:tcPr>
            <w:tcW w:w="1648" w:type="dxa"/>
          </w:tcPr>
          <w:p w:rsidR="00E00E97" w:rsidRDefault="00E00E97" w:rsidP="00595491">
            <w:pPr>
              <w:pStyle w:val="Tabletextleft"/>
            </w:pPr>
            <w:r>
              <w:t>ICRMF</w:t>
            </w:r>
          </w:p>
        </w:tc>
        <w:tc>
          <w:tcPr>
            <w:tcW w:w="7124" w:type="dxa"/>
          </w:tcPr>
          <w:p w:rsidR="00E00E97" w:rsidRDefault="00E00E97" w:rsidP="00595491">
            <w:pPr>
              <w:pStyle w:val="Tabletextleft"/>
            </w:pPr>
            <w:r>
              <w:rPr>
                <w:lang w:val="en-AU"/>
              </w:rPr>
              <w:t>Integrated Compliance and Risk Management Framework</w:t>
            </w:r>
          </w:p>
        </w:tc>
      </w:tr>
      <w:tr w:rsidR="00E00E97" w:rsidRPr="005A7EBD" w:rsidTr="00F12F2E">
        <w:trPr>
          <w:trHeight w:val="20"/>
        </w:trPr>
        <w:tc>
          <w:tcPr>
            <w:tcW w:w="1648" w:type="dxa"/>
          </w:tcPr>
          <w:p w:rsidR="00E00E97" w:rsidRDefault="00E00E97" w:rsidP="00595491">
            <w:pPr>
              <w:pStyle w:val="Tabletextleft"/>
            </w:pPr>
            <w:r>
              <w:t>PCD</w:t>
            </w:r>
          </w:p>
        </w:tc>
        <w:tc>
          <w:tcPr>
            <w:tcW w:w="7124" w:type="dxa"/>
          </w:tcPr>
          <w:p w:rsidR="00E00E97" w:rsidRPr="00D73F31" w:rsidRDefault="00E00E97" w:rsidP="00595491">
            <w:pPr>
              <w:pStyle w:val="Tabletextleft"/>
              <w:rPr>
                <w:lang w:val="en-AU"/>
              </w:rPr>
            </w:pPr>
            <w:r w:rsidRPr="00D73F31">
              <w:rPr>
                <w:lang w:val="en-AU"/>
              </w:rPr>
              <w:t>Property Construction Division</w:t>
            </w:r>
          </w:p>
        </w:tc>
      </w:tr>
      <w:tr w:rsidR="00E00E97" w:rsidRPr="005A7EBD" w:rsidTr="00F12F2E">
        <w:trPr>
          <w:trHeight w:val="20"/>
        </w:trPr>
        <w:tc>
          <w:tcPr>
            <w:tcW w:w="1648" w:type="dxa"/>
          </w:tcPr>
          <w:p w:rsidR="00E00E97" w:rsidRDefault="00E00E97" w:rsidP="00595491">
            <w:pPr>
              <w:pStyle w:val="Tabletextleft"/>
            </w:pPr>
            <w:r>
              <w:t>PSCP</w:t>
            </w:r>
          </w:p>
        </w:tc>
        <w:tc>
          <w:tcPr>
            <w:tcW w:w="7124" w:type="dxa"/>
          </w:tcPr>
          <w:p w:rsidR="00E00E97" w:rsidRDefault="00E00E97" w:rsidP="00595491">
            <w:pPr>
              <w:pStyle w:val="Tabletextleft"/>
            </w:pPr>
            <w:r w:rsidRPr="00D45AFC">
              <w:t>Property Services Coordinated Procurement</w:t>
            </w:r>
          </w:p>
        </w:tc>
      </w:tr>
      <w:tr w:rsidR="00E00E97" w:rsidRPr="005A7EBD" w:rsidTr="00F12F2E">
        <w:trPr>
          <w:trHeight w:val="20"/>
        </w:trPr>
        <w:tc>
          <w:tcPr>
            <w:tcW w:w="1648" w:type="dxa"/>
          </w:tcPr>
          <w:p w:rsidR="00E00E97" w:rsidRDefault="00E00E97" w:rsidP="00595491">
            <w:pPr>
              <w:pStyle w:val="Tabletextleft"/>
            </w:pPr>
            <w:r>
              <w:t>WoAG</w:t>
            </w:r>
          </w:p>
        </w:tc>
        <w:tc>
          <w:tcPr>
            <w:tcW w:w="7124" w:type="dxa"/>
          </w:tcPr>
          <w:p w:rsidR="00E00E97" w:rsidRDefault="00E00E97" w:rsidP="00595491">
            <w:pPr>
              <w:pStyle w:val="Tabletextleft"/>
            </w:pPr>
            <w:r>
              <w:t>Whole-of-Australian-Government</w:t>
            </w:r>
          </w:p>
        </w:tc>
      </w:tr>
    </w:tbl>
    <w:p w:rsidR="00C46FB0" w:rsidRDefault="00880B3F" w:rsidP="00681FD8">
      <w:r>
        <w:t xml:space="preserve"> </w:t>
      </w:r>
      <w:bookmarkStart w:id="2" w:name="_Toc80093251"/>
    </w:p>
    <w:p w:rsidR="00994D65" w:rsidRPr="00994D65" w:rsidRDefault="00994D65" w:rsidP="00681FD8">
      <w:pPr>
        <w:rPr>
          <w:sz w:val="20"/>
        </w:rPr>
      </w:pPr>
      <w:r w:rsidRPr="00994D65">
        <w:rPr>
          <w:b/>
          <w:sz w:val="20"/>
        </w:rPr>
        <w:t>Cover photo:</w:t>
      </w:r>
      <w:r w:rsidRPr="00994D65">
        <w:rPr>
          <w:sz w:val="20"/>
        </w:rPr>
        <w:t xml:space="preserve"> John Gorton Building located in Canberra. Photo by courtesy of the Department of Agriculture, Water and Environment.</w:t>
      </w:r>
    </w:p>
    <w:p w:rsidR="007B1CF8" w:rsidRDefault="007B1CF8" w:rsidP="007D34A4">
      <w:pPr>
        <w:pStyle w:val="Heading1"/>
        <w:numPr>
          <w:ilvl w:val="0"/>
          <w:numId w:val="0"/>
        </w:numPr>
      </w:pPr>
      <w:bookmarkStart w:id="3" w:name="_Toc80111174"/>
    </w:p>
    <w:p w:rsidR="007B1CF8" w:rsidRDefault="007B1CF8" w:rsidP="007D34A4">
      <w:pPr>
        <w:pStyle w:val="Heading1"/>
        <w:numPr>
          <w:ilvl w:val="0"/>
          <w:numId w:val="0"/>
        </w:numPr>
      </w:pPr>
    </w:p>
    <w:p w:rsidR="007B1CF8" w:rsidRDefault="007B1CF8" w:rsidP="007D34A4">
      <w:pPr>
        <w:pStyle w:val="Heading1"/>
        <w:numPr>
          <w:ilvl w:val="0"/>
          <w:numId w:val="0"/>
        </w:numPr>
      </w:pPr>
    </w:p>
    <w:p w:rsidR="007B1CF8" w:rsidRDefault="007B1CF8" w:rsidP="007D34A4">
      <w:pPr>
        <w:pStyle w:val="Heading1"/>
        <w:numPr>
          <w:ilvl w:val="0"/>
          <w:numId w:val="0"/>
        </w:numPr>
      </w:pPr>
    </w:p>
    <w:p w:rsidR="007B1CF8" w:rsidRDefault="007B1CF8" w:rsidP="007D34A4">
      <w:pPr>
        <w:pStyle w:val="Heading1"/>
        <w:numPr>
          <w:ilvl w:val="0"/>
          <w:numId w:val="0"/>
        </w:numPr>
      </w:pPr>
    </w:p>
    <w:p w:rsidR="007B1CF8" w:rsidRDefault="007B1CF8" w:rsidP="007D34A4">
      <w:pPr>
        <w:pStyle w:val="Heading1"/>
        <w:numPr>
          <w:ilvl w:val="0"/>
          <w:numId w:val="0"/>
        </w:numPr>
      </w:pPr>
    </w:p>
    <w:p w:rsidR="007B1CF8" w:rsidRDefault="007B1CF8" w:rsidP="007D34A4">
      <w:pPr>
        <w:pStyle w:val="Heading1"/>
        <w:numPr>
          <w:ilvl w:val="0"/>
          <w:numId w:val="0"/>
        </w:numPr>
      </w:pPr>
    </w:p>
    <w:p w:rsidR="007B1CF8" w:rsidRDefault="007B1CF8" w:rsidP="007D34A4">
      <w:pPr>
        <w:pStyle w:val="Heading1"/>
        <w:numPr>
          <w:ilvl w:val="0"/>
          <w:numId w:val="0"/>
        </w:numPr>
      </w:pPr>
    </w:p>
    <w:p w:rsidR="007B1CF8" w:rsidRDefault="007B1CF8" w:rsidP="007D34A4">
      <w:pPr>
        <w:pStyle w:val="Heading1"/>
        <w:numPr>
          <w:ilvl w:val="0"/>
          <w:numId w:val="0"/>
        </w:numPr>
      </w:pPr>
    </w:p>
    <w:p w:rsidR="007B1CF8" w:rsidRDefault="007B1CF8" w:rsidP="007D34A4">
      <w:pPr>
        <w:pStyle w:val="Heading1"/>
        <w:numPr>
          <w:ilvl w:val="0"/>
          <w:numId w:val="0"/>
        </w:numPr>
      </w:pPr>
    </w:p>
    <w:p w:rsidR="00737A13" w:rsidRDefault="00F62315" w:rsidP="007D34A4">
      <w:pPr>
        <w:pStyle w:val="Heading1"/>
        <w:numPr>
          <w:ilvl w:val="0"/>
          <w:numId w:val="0"/>
        </w:numPr>
      </w:pPr>
      <w:r>
        <w:t>Department of Finance Heritage Strategy</w:t>
      </w:r>
      <w:bookmarkEnd w:id="2"/>
      <w:r>
        <w:t xml:space="preserve"> </w:t>
      </w:r>
      <w:bookmarkStart w:id="4" w:name="_Toc80093252"/>
      <w:r w:rsidR="007D34A4">
        <w:br/>
      </w:r>
      <w:r>
        <w:t>2021</w:t>
      </w:r>
      <w:r w:rsidR="00D9586F">
        <w:rPr>
          <w:rFonts w:cstheme="majorHAnsi"/>
        </w:rPr>
        <w:t>–</w:t>
      </w:r>
      <w:r>
        <w:t>2024</w:t>
      </w:r>
      <w:bookmarkEnd w:id="4"/>
      <w:bookmarkEnd w:id="3"/>
    </w:p>
    <w:bookmarkStart w:id="5" w:name="_Toc53573191"/>
    <w:bookmarkStart w:id="6" w:name="_Toc53573619"/>
    <w:p w:rsidR="00F62315" w:rsidRPr="000E3DB0" w:rsidRDefault="000E3DB0">
      <w:pPr>
        <w:pStyle w:val="BodyText"/>
      </w:pPr>
      <w:r w:rsidRPr="005A7EBD">
        <w:rPr>
          <w:color w:val="2B579A"/>
          <w:sz w:val="28"/>
          <w:szCs w:val="28"/>
          <w:shd w:val="clear" w:color="auto" w:fill="E6E6E6"/>
        </w:rPr>
        <w:fldChar w:fldCharType="begin"/>
      </w:r>
      <w:r w:rsidRPr="005A7EBD">
        <w:rPr>
          <w:sz w:val="28"/>
          <w:szCs w:val="28"/>
        </w:rPr>
        <w:instrText xml:space="preserve"> STYLEREF  DocSubtitle  \* MERGEFORMAT </w:instrText>
      </w:r>
      <w:r w:rsidRPr="005A7EBD">
        <w:rPr>
          <w:color w:val="2B579A"/>
          <w:sz w:val="28"/>
          <w:szCs w:val="28"/>
          <w:shd w:val="clear" w:color="auto" w:fill="E6E6E6"/>
        </w:rPr>
        <w:fldChar w:fldCharType="separate"/>
      </w:r>
      <w:r>
        <w:rPr>
          <w:noProof/>
          <w:sz w:val="28"/>
          <w:szCs w:val="28"/>
        </w:rPr>
        <w:t>Delivering sustainable heritage outcomes for the Finance Portfolio</w:t>
      </w:r>
      <w:r w:rsidRPr="005A7EBD">
        <w:rPr>
          <w:color w:val="2B579A"/>
          <w:sz w:val="28"/>
          <w:szCs w:val="28"/>
          <w:shd w:val="clear" w:color="auto" w:fill="E6E6E6"/>
        </w:rPr>
        <w:fldChar w:fldCharType="end"/>
      </w:r>
    </w:p>
    <w:p w:rsidR="007B1CF8" w:rsidRDefault="007B1CF8">
      <w:pPr>
        <w:suppressAutoHyphens w:val="0"/>
        <w:spacing w:before="0" w:after="120" w:line="440" w:lineRule="atLeast"/>
        <w:rPr>
          <w:rFonts w:asciiTheme="majorHAnsi" w:eastAsiaTheme="majorEastAsia" w:hAnsiTheme="majorHAnsi" w:cstheme="majorBidi"/>
          <w:bCs/>
          <w:color w:val="1C1C1C" w:themeColor="text2"/>
          <w:sz w:val="40"/>
          <w:szCs w:val="28"/>
        </w:rPr>
      </w:pPr>
      <w:bookmarkStart w:id="7" w:name="_Toc78450041"/>
      <w:bookmarkStart w:id="8" w:name="_Toc80111175"/>
      <w:r>
        <w:br w:type="page"/>
      </w:r>
    </w:p>
    <w:p w:rsidR="007D34A4" w:rsidRDefault="007D34A4" w:rsidP="007B1CF8">
      <w:pPr>
        <w:pStyle w:val="Heading1"/>
        <w:numPr>
          <w:ilvl w:val="0"/>
          <w:numId w:val="0"/>
        </w:numPr>
      </w:pPr>
      <w:r>
        <w:lastRenderedPageBreak/>
        <w:t>Foreword</w:t>
      </w:r>
      <w:bookmarkEnd w:id="7"/>
      <w:bookmarkEnd w:id="8"/>
    </w:p>
    <w:p w:rsidR="007D34A4" w:rsidRPr="00B61388" w:rsidRDefault="007D34A4" w:rsidP="00B61388">
      <w:pPr>
        <w:spacing w:before="120"/>
        <w:rPr>
          <w:spacing w:val="-2"/>
        </w:rPr>
      </w:pPr>
      <w:r w:rsidRPr="00B61388">
        <w:rPr>
          <w:spacing w:val="-2"/>
        </w:rPr>
        <w:t xml:space="preserve">The Department of Finance (Finance) manages its property portfolio (the Portfolio) in accordance with the requirements </w:t>
      </w:r>
      <w:r w:rsidR="004F2450">
        <w:rPr>
          <w:spacing w:val="-2"/>
        </w:rPr>
        <w:t>of</w:t>
      </w:r>
      <w:r w:rsidRPr="00B61388">
        <w:rPr>
          <w:spacing w:val="-2"/>
        </w:rPr>
        <w:t xml:space="preserve"> the </w:t>
      </w:r>
      <w:r w:rsidRPr="00B61388">
        <w:rPr>
          <w:i/>
          <w:iCs/>
          <w:spacing w:val="-2"/>
        </w:rPr>
        <w:t>Environment Protection and Biodiversity Conservation Act 1999</w:t>
      </w:r>
      <w:r w:rsidRPr="00B61388">
        <w:rPr>
          <w:spacing w:val="-2"/>
        </w:rPr>
        <w:t xml:space="preserve"> (EPBC Act). The EPBC Act requires Australian Government agencies to prepare and implement a Heritage Strategy, </w:t>
      </w:r>
      <w:r w:rsidR="004F2450">
        <w:rPr>
          <w:spacing w:val="-2"/>
        </w:rPr>
        <w:t>and</w:t>
      </w:r>
      <w:r w:rsidRPr="00B61388">
        <w:rPr>
          <w:spacing w:val="-2"/>
        </w:rPr>
        <w:t xml:space="preserve"> review and reporting on progress.</w:t>
      </w:r>
    </w:p>
    <w:p w:rsidR="007D34A4" w:rsidRPr="00B61388" w:rsidRDefault="007D34A4" w:rsidP="00B61388">
      <w:pPr>
        <w:spacing w:before="120"/>
        <w:rPr>
          <w:spacing w:val="-4"/>
        </w:rPr>
      </w:pPr>
      <w:r w:rsidRPr="00B61388">
        <w:rPr>
          <w:spacing w:val="-4"/>
        </w:rPr>
        <w:t xml:space="preserve">Finance prepared and implemented its first heritage strategy in 2005. The diversity of heritage values and issues to be managed across the Portfolio present many opportunities and challenges. Finance </w:t>
      </w:r>
      <w:r w:rsidR="0036575E">
        <w:rPr>
          <w:spacing w:val="-4"/>
        </w:rPr>
        <w:t>adopts</w:t>
      </w:r>
      <w:r w:rsidRPr="00B61388">
        <w:rPr>
          <w:spacing w:val="-4"/>
        </w:rPr>
        <w:t xml:space="preserve"> a proactive approach</w:t>
      </w:r>
      <w:r w:rsidR="0036575E">
        <w:rPr>
          <w:spacing w:val="-4"/>
        </w:rPr>
        <w:t xml:space="preserve"> in managing the Portfolio and its EPBC Act obligations</w:t>
      </w:r>
      <w:r w:rsidRPr="00B61388">
        <w:rPr>
          <w:spacing w:val="-4"/>
        </w:rPr>
        <w:t>.</w:t>
      </w:r>
    </w:p>
    <w:p w:rsidR="00F84149" w:rsidRDefault="007D34A4" w:rsidP="00B61388">
      <w:pPr>
        <w:spacing w:before="120"/>
      </w:pPr>
      <w:r>
        <w:t>This revised 2021</w:t>
      </w:r>
      <w:r w:rsidR="00D9586F">
        <w:rPr>
          <w:rFonts w:cstheme="minorHAnsi"/>
        </w:rPr>
        <w:t>–</w:t>
      </w:r>
      <w:r>
        <w:t>2024 Heritage Strategy outlines the approach to further develop and enhance Finance’s reputation as a leading organisation for the management of Commonwealth Heritage values. Finance will build upon the practical measures and procedures already established, to manage heritage matters across the Portfolio to ensure compliance, consistency, and an integrated approach</w:t>
      </w:r>
      <w:r w:rsidR="0036575E">
        <w:t xml:space="preserve"> across our business</w:t>
      </w:r>
      <w:r>
        <w:t>.</w:t>
      </w:r>
    </w:p>
    <w:p w:rsidR="00D9586F" w:rsidRDefault="00E90DA0" w:rsidP="00F12F2E">
      <w:pPr>
        <w:spacing w:before="120"/>
      </w:pPr>
      <w:r w:rsidRPr="00F84149">
        <w:rPr>
          <w:b/>
        </w:rPr>
        <w:t>Rosemary Huxtable PSM</w:t>
      </w:r>
      <w:r w:rsidR="00D9586F">
        <w:br/>
      </w:r>
      <w:r w:rsidR="00F84149">
        <w:t xml:space="preserve">Secretary, </w:t>
      </w:r>
      <w:r w:rsidR="00D9586F">
        <w:t>Department of Finance</w:t>
      </w:r>
    </w:p>
    <w:p w:rsidR="00F62315" w:rsidRDefault="00F62315" w:rsidP="00F62315">
      <w:pPr>
        <w:pStyle w:val="BodyText"/>
      </w:pPr>
    </w:p>
    <w:p w:rsidR="00F84149" w:rsidRDefault="00F84149" w:rsidP="00F62315">
      <w:pPr>
        <w:pStyle w:val="BodyText"/>
      </w:pPr>
    </w:p>
    <w:p w:rsidR="00EF7823" w:rsidRDefault="007D34A4" w:rsidP="00EF7823">
      <w:pPr>
        <w:pStyle w:val="BodyText"/>
      </w:pPr>
      <w:r>
        <w:rPr>
          <w:noProof/>
          <w:lang w:val="en-AU" w:eastAsia="en-AU"/>
        </w:rPr>
        <w:drawing>
          <wp:inline distT="0" distB="0" distL="0" distR="0" wp14:anchorId="586B2803" wp14:editId="21EAD5E8">
            <wp:extent cx="5732145" cy="4299109"/>
            <wp:effectExtent l="0" t="0" r="1905" b="6350"/>
            <wp:docPr id="1" name="Picture 1" descr="Photo of Commonwealth Offices Building, 4 Treasury Place, East Melbourne exterior" title="Photo of Commonwealth Offices Building, 4 Treasury Place, East Melbourne ex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2" cstate="screen">
                      <a:extLst>
                        <a:ext uri="{BEBA8EAE-BF5A-486C-A8C5-ECC9F3942E4B}">
                          <a14:imgProps xmlns:a14="http://schemas.microsoft.com/office/drawing/2010/main">
                            <a14:imgLayer r:embed="rId13">
                              <a14:imgEffect>
                                <a14:saturation sat="141000"/>
                              </a14:imgEffect>
                            </a14:imgLayer>
                          </a14:imgProps>
                        </a:ext>
                        <a:ext uri="{28A0092B-C50C-407E-A947-70E740481C1C}">
                          <a14:useLocalDpi xmlns:a14="http://schemas.microsoft.com/office/drawing/2010/main" val="0"/>
                        </a:ext>
                      </a:extLst>
                    </a:blip>
                    <a:stretch>
                      <a:fillRect/>
                    </a:stretch>
                  </pic:blipFill>
                  <pic:spPr>
                    <a:xfrm>
                      <a:off x="0" y="0"/>
                      <a:ext cx="5732145" cy="4299109"/>
                    </a:xfrm>
                    <a:prstGeom prst="rect">
                      <a:avLst/>
                    </a:prstGeom>
                  </pic:spPr>
                </pic:pic>
              </a:graphicData>
            </a:graphic>
          </wp:inline>
        </w:drawing>
      </w:r>
    </w:p>
    <w:p w:rsidR="00595491" w:rsidRDefault="00803303" w:rsidP="00EF7823">
      <w:pPr>
        <w:pStyle w:val="BodyText"/>
        <w:rPr>
          <w:i/>
          <w:iCs/>
          <w:sz w:val="16"/>
          <w:szCs w:val="16"/>
        </w:rPr>
      </w:pPr>
      <w:r>
        <w:rPr>
          <w:i/>
          <w:iCs/>
          <w:sz w:val="16"/>
          <w:szCs w:val="16"/>
        </w:rPr>
        <w:t>Commonwe</w:t>
      </w:r>
      <w:r w:rsidR="007D34A4" w:rsidRPr="74EA9CD7">
        <w:rPr>
          <w:i/>
          <w:iCs/>
          <w:sz w:val="16"/>
          <w:szCs w:val="16"/>
        </w:rPr>
        <w:t>alth Offices Building, 4 Treasury Place, East Melbourne</w:t>
      </w:r>
    </w:p>
    <w:p w:rsidR="00595491" w:rsidRDefault="00595491" w:rsidP="00D129F0">
      <w:pPr>
        <w:pStyle w:val="BodyText"/>
      </w:pPr>
    </w:p>
    <w:p w:rsidR="007D34A4" w:rsidRPr="00D129F0" w:rsidRDefault="007D34A4" w:rsidP="00D129F0">
      <w:pPr>
        <w:pStyle w:val="BodyText"/>
        <w:rPr>
          <w:sz w:val="16"/>
          <w:szCs w:val="16"/>
        </w:rPr>
      </w:pPr>
    </w:p>
    <w:p w:rsidR="007D34A4" w:rsidRDefault="007D34A4" w:rsidP="007D34A4">
      <w:pPr>
        <w:pStyle w:val="Heading1"/>
        <w:keepLines w:val="0"/>
        <w:numPr>
          <w:ilvl w:val="0"/>
          <w:numId w:val="29"/>
        </w:numPr>
        <w:suppressAutoHyphens w:val="0"/>
        <w:spacing w:before="0" w:after="240" w:line="260" w:lineRule="atLeast"/>
        <w:ind w:left="851" w:hanging="851"/>
        <w:contextualSpacing w:val="0"/>
      </w:pPr>
      <w:bookmarkStart w:id="9" w:name="_Toc78450042"/>
      <w:bookmarkStart w:id="10" w:name="_Toc80111176"/>
      <w:r>
        <w:lastRenderedPageBreak/>
        <w:t>Heritage in the Finance Context</w:t>
      </w:r>
      <w:bookmarkEnd w:id="9"/>
      <w:bookmarkEnd w:id="10"/>
      <w:r>
        <w:t xml:space="preserve"> </w:t>
      </w:r>
    </w:p>
    <w:p w:rsidR="007D34A4" w:rsidRPr="002E385D" w:rsidRDefault="007D34A4" w:rsidP="00B61388">
      <w:pPr>
        <w:pStyle w:val="BodyText"/>
        <w:rPr>
          <w:lang w:val="en-AU"/>
        </w:rPr>
      </w:pPr>
      <w:r w:rsidRPr="002E385D">
        <w:rPr>
          <w:rFonts w:ascii="Arial" w:hAnsi="Arial" w:cs="Arial"/>
          <w:shd w:val="clear" w:color="auto" w:fill="FFFFFF"/>
        </w:rPr>
        <w:t>A </w:t>
      </w:r>
      <w:r w:rsidRPr="002E385D">
        <w:rPr>
          <w:rFonts w:ascii="Arial" w:hAnsi="Arial" w:cs="Arial"/>
          <w:bCs/>
          <w:shd w:val="clear" w:color="auto" w:fill="FFFFFF"/>
        </w:rPr>
        <w:t>heritage strategy</w:t>
      </w:r>
      <w:r w:rsidR="00C46FB0" w:rsidRPr="002E385D">
        <w:rPr>
          <w:rFonts w:ascii="Arial" w:hAnsi="Arial" w:cs="Arial"/>
          <w:shd w:val="clear" w:color="auto" w:fill="FFFFFF"/>
        </w:rPr>
        <w:t xml:space="preserve"> is </w:t>
      </w:r>
      <w:r w:rsidRPr="002E385D">
        <w:rPr>
          <w:rFonts w:ascii="Arial" w:hAnsi="Arial" w:cs="Arial"/>
          <w:shd w:val="clear" w:color="auto" w:fill="FFFFFF"/>
        </w:rPr>
        <w:t>a document that provides for the integration of </w:t>
      </w:r>
      <w:r w:rsidRPr="002E385D">
        <w:rPr>
          <w:rFonts w:ascii="Arial" w:hAnsi="Arial" w:cs="Arial"/>
          <w:bCs/>
          <w:shd w:val="clear" w:color="auto" w:fill="FFFFFF"/>
        </w:rPr>
        <w:t>heritage</w:t>
      </w:r>
      <w:r w:rsidRPr="002E385D">
        <w:rPr>
          <w:rFonts w:ascii="Arial" w:hAnsi="Arial" w:cs="Arial"/>
          <w:shd w:val="clear" w:color="auto" w:fill="FFFFFF"/>
        </w:rPr>
        <w:t xml:space="preserve"> conservation and management within an agency's overall property planning and management framework. </w:t>
      </w:r>
      <w:r w:rsidRPr="002E385D">
        <w:t xml:space="preserve">Its purpose is to assist an agency to manage and report on the steps it has taken to protect and conserve the </w:t>
      </w:r>
      <w:r w:rsidR="00606B0F">
        <w:t>Commonwealth Heritage</w:t>
      </w:r>
      <w:r w:rsidRPr="002E385D">
        <w:t xml:space="preserve"> values of properties under its ownership or control.</w:t>
      </w:r>
    </w:p>
    <w:p w:rsidR="007D34A4" w:rsidRPr="00D9689F" w:rsidRDefault="007D34A4" w:rsidP="00B61388">
      <w:pPr>
        <w:pStyle w:val="BodyText"/>
        <w:rPr>
          <w:lang w:val="en-AU"/>
        </w:rPr>
      </w:pPr>
      <w:r w:rsidRPr="00D9689F">
        <w:rPr>
          <w:lang w:val="en-AU"/>
        </w:rPr>
        <w:t xml:space="preserve">This revised </w:t>
      </w:r>
      <w:r>
        <w:rPr>
          <w:lang w:val="en-AU"/>
        </w:rPr>
        <w:t xml:space="preserve">Finance </w:t>
      </w:r>
      <w:r w:rsidRPr="00D9689F">
        <w:rPr>
          <w:lang w:val="en-AU"/>
        </w:rPr>
        <w:t>Heritage Strategy outlines the approach to</w:t>
      </w:r>
      <w:r>
        <w:t xml:space="preserve"> management of heritage values across </w:t>
      </w:r>
      <w:r w:rsidR="00DB14FD">
        <w:t>the Finance</w:t>
      </w:r>
      <w:r>
        <w:t xml:space="preserve"> Property Portfolio and</w:t>
      </w:r>
      <w:r w:rsidRPr="00D9689F">
        <w:rPr>
          <w:lang w:val="en-AU"/>
        </w:rPr>
        <w:t xml:space="preserve"> seeks to achieve a sustainable and integrated approach to heritage management</w:t>
      </w:r>
      <w:r>
        <w:t xml:space="preserve"> and</w:t>
      </w:r>
      <w:r w:rsidRPr="00D9689F">
        <w:rPr>
          <w:lang w:val="en-AU"/>
        </w:rPr>
        <w:t xml:space="preserve"> compliance</w:t>
      </w:r>
      <w:r>
        <w:rPr>
          <w:lang w:val="en-AU"/>
        </w:rPr>
        <w:t>.</w:t>
      </w:r>
    </w:p>
    <w:p w:rsidR="007D34A4" w:rsidRPr="003D1CE2" w:rsidRDefault="007D34A4" w:rsidP="007D34A4">
      <w:pPr>
        <w:pStyle w:val="Heading2"/>
        <w:keepLines w:val="0"/>
        <w:numPr>
          <w:ilvl w:val="1"/>
          <w:numId w:val="29"/>
        </w:numPr>
        <w:suppressAutoHyphens w:val="0"/>
        <w:spacing w:before="240" w:after="180" w:line="260" w:lineRule="atLeast"/>
        <w:contextualSpacing w:val="0"/>
      </w:pPr>
      <w:bookmarkStart w:id="11" w:name="_Toc78450043"/>
      <w:bookmarkStart w:id="12" w:name="_Toc80111177"/>
      <w:r w:rsidRPr="003D1CE2">
        <w:t>Legislative Context</w:t>
      </w:r>
      <w:bookmarkEnd w:id="11"/>
      <w:bookmarkEnd w:id="12"/>
    </w:p>
    <w:p w:rsidR="007D34A4" w:rsidRDefault="007D34A4" w:rsidP="00B61388">
      <w:pPr>
        <w:pStyle w:val="BodyText"/>
      </w:pPr>
      <w:r>
        <w:t>The</w:t>
      </w:r>
      <w:r w:rsidRPr="3353FA76">
        <w:rPr>
          <w:i/>
          <w:iCs/>
        </w:rPr>
        <w:t xml:space="preserve"> </w:t>
      </w:r>
      <w:r>
        <w:t xml:space="preserve">EPBC Act requires each Australian Government department and agency that owns or manages any property, to prepare and implement a heritage strategy, and to review and regularly report on its progress to the Minister for the Environment. </w:t>
      </w:r>
    </w:p>
    <w:p w:rsidR="007D34A4" w:rsidRDefault="007D34A4" w:rsidP="007D34A4">
      <w:pPr>
        <w:pStyle w:val="Heading2"/>
        <w:keepLines w:val="0"/>
        <w:numPr>
          <w:ilvl w:val="1"/>
          <w:numId w:val="29"/>
        </w:numPr>
        <w:suppressAutoHyphens w:val="0"/>
        <w:spacing w:before="240" w:after="180" w:line="260" w:lineRule="atLeast"/>
        <w:ind w:left="850" w:hanging="850"/>
        <w:contextualSpacing w:val="0"/>
      </w:pPr>
      <w:bookmarkStart w:id="13" w:name="_Toc78450044"/>
      <w:bookmarkStart w:id="14" w:name="_Toc80111178"/>
      <w:r>
        <w:t xml:space="preserve">Whole of </w:t>
      </w:r>
      <w:r w:rsidRPr="003D1CE2">
        <w:t>Australian</w:t>
      </w:r>
      <w:r>
        <w:t xml:space="preserve"> Government Role</w:t>
      </w:r>
      <w:bookmarkEnd w:id="13"/>
      <w:bookmarkEnd w:id="14"/>
      <w:r>
        <w:t xml:space="preserve"> </w:t>
      </w:r>
    </w:p>
    <w:p w:rsidR="007D34A4" w:rsidRPr="00BF5C4A" w:rsidRDefault="007D34A4" w:rsidP="00B61388">
      <w:pPr>
        <w:pStyle w:val="BodyText"/>
        <w:rPr>
          <w:lang w:val="en"/>
        </w:rPr>
      </w:pPr>
      <w:r>
        <w:t xml:space="preserve">As a central agency of the Australian Government, Finance has an influential role with responsibilities that span across government, particularly with regard to expenditure, financial management, and operations. </w:t>
      </w:r>
      <w:r w:rsidRPr="51BC41ED">
        <w:rPr>
          <w:lang w:val="en"/>
        </w:rPr>
        <w:t>Finance is responsible for the financial framework for all Australian Government agencies</w:t>
      </w:r>
      <w:r w:rsidRPr="000E2A25">
        <w:t xml:space="preserve"> </w:t>
      </w:r>
      <w:r>
        <w:t>and a range of Commonwealth policy management and oversight obligations</w:t>
      </w:r>
      <w:r w:rsidRPr="51BC41ED">
        <w:rPr>
          <w:lang w:val="en"/>
        </w:rPr>
        <w:t xml:space="preserve">. </w:t>
      </w:r>
      <w:r w:rsidRPr="51BC41ED">
        <w:rPr>
          <w:lang w:val="en-AU"/>
        </w:rPr>
        <w:t>Finance's delivery is achieved by working in partnership with colleagues across the Commonwealth</w:t>
      </w:r>
      <w:r>
        <w:rPr>
          <w:lang w:val="en-AU"/>
        </w:rPr>
        <w:t>,</w:t>
      </w:r>
      <w:r w:rsidRPr="51BC41ED">
        <w:rPr>
          <w:lang w:val="en-AU"/>
        </w:rPr>
        <w:t xml:space="preserve"> supporting them to deliver on their objectives for the Australian Government.</w:t>
      </w:r>
    </w:p>
    <w:p w:rsidR="007D34A4" w:rsidRDefault="007D34A4" w:rsidP="00B61388">
      <w:pPr>
        <w:pStyle w:val="BodyText"/>
      </w:pPr>
      <w:r>
        <w:t>Finance is responsible for many aspects of Australian Government property. At a Whole of Australian Government (WoAG) level, Finance provides advice on property policy and administers several key pieces of legislation. As well as managing its own Portfolio, Finance has, at times, managed major capital works projects on behalf of other Australian Government departments and agencies. These activities are managed in accordance with the EPBC Act.</w:t>
      </w:r>
    </w:p>
    <w:p w:rsidR="007D34A4" w:rsidRPr="003E4292" w:rsidRDefault="007D34A4" w:rsidP="007D34A4">
      <w:pPr>
        <w:pStyle w:val="Heading3"/>
        <w:keepLines w:val="0"/>
        <w:numPr>
          <w:ilvl w:val="2"/>
          <w:numId w:val="29"/>
        </w:numPr>
        <w:suppressAutoHyphens w:val="0"/>
        <w:spacing w:before="240" w:after="60" w:line="260" w:lineRule="atLeast"/>
        <w:contextualSpacing w:val="0"/>
        <w:rPr>
          <w:szCs w:val="24"/>
        </w:rPr>
      </w:pPr>
      <w:bookmarkStart w:id="15" w:name="_Toc78450045"/>
      <w:r w:rsidRPr="003E4292">
        <w:rPr>
          <w:szCs w:val="24"/>
        </w:rPr>
        <w:t>Divestment, Acquisitions and Leasing</w:t>
      </w:r>
      <w:bookmarkEnd w:id="15"/>
    </w:p>
    <w:p w:rsidR="007D34A4" w:rsidRPr="00D129F0" w:rsidRDefault="007D34A4" w:rsidP="00D129F0">
      <w:pPr>
        <w:pStyle w:val="BodyText"/>
      </w:pPr>
      <w:r w:rsidRPr="00D129F0">
        <w:t xml:space="preserve">Finance implements government policy to sell, transfer or divest surplus properties where there are no alternative efficient Government uses for their retention. The Minister for Finance is responsible for approving property disposals in line with the Commonwealth Property Disposal Policy. In preparing properties for divestment, Finance undertakes due diligence activities to identify and address any heritage or environmental values to ensure that the divestment complies with the requirements of the EPBC Act. </w:t>
      </w:r>
    </w:p>
    <w:p w:rsidR="007D34A4" w:rsidRPr="00D129F0" w:rsidRDefault="007D34A4" w:rsidP="00D129F0">
      <w:pPr>
        <w:pStyle w:val="BodyText"/>
      </w:pPr>
      <w:r w:rsidRPr="00D129F0">
        <w:t xml:space="preserve">Finance provides leasing and property related advice to Australian Government departments and agencies undertaking leasing negotiations and market testing, ensuring the Commonwealth’s leased estate is managed in the most efficient manner. Finance has responsibility for the management and implementation of </w:t>
      </w:r>
      <w:r w:rsidRPr="00D129F0">
        <w:rPr>
          <w:i/>
        </w:rPr>
        <w:t>the Lands Acquisition Act 1989</w:t>
      </w:r>
      <w:r w:rsidRPr="00D129F0">
        <w:t>, which provides for the acquisition and divestment of properties across Government. Where property acquisitions are undertaken by Finance on behalf of the Government, Finance takes oversight of the due diligence process for identifying key issues and constraints, which include heritage matters, and ensuring compliance.</w:t>
      </w:r>
    </w:p>
    <w:p w:rsidR="00D129F0" w:rsidRDefault="00D129F0">
      <w:pPr>
        <w:suppressAutoHyphens w:val="0"/>
        <w:spacing w:before="0" w:after="120" w:line="440" w:lineRule="atLeast"/>
        <w:rPr>
          <w:rFonts w:asciiTheme="majorHAnsi" w:eastAsiaTheme="majorEastAsia" w:hAnsiTheme="majorHAnsi" w:cstheme="majorBidi"/>
          <w:bCs/>
          <w:color w:val="1C1C1C" w:themeColor="text2"/>
          <w:sz w:val="24"/>
          <w:szCs w:val="26"/>
        </w:rPr>
      </w:pPr>
      <w:bookmarkStart w:id="16" w:name="_Toc78450046"/>
      <w:r>
        <w:br w:type="page"/>
      </w:r>
    </w:p>
    <w:p w:rsidR="007D34A4" w:rsidRDefault="007D34A4" w:rsidP="007D34A4">
      <w:pPr>
        <w:pStyle w:val="Heading3"/>
        <w:keepLines w:val="0"/>
        <w:numPr>
          <w:ilvl w:val="2"/>
          <w:numId w:val="29"/>
        </w:numPr>
        <w:suppressAutoHyphens w:val="0"/>
        <w:spacing w:before="240" w:after="60" w:line="260" w:lineRule="atLeast"/>
        <w:contextualSpacing w:val="0"/>
      </w:pPr>
      <w:r>
        <w:lastRenderedPageBreak/>
        <w:t>Property Management</w:t>
      </w:r>
      <w:bookmarkEnd w:id="16"/>
    </w:p>
    <w:p w:rsidR="007D34A4" w:rsidRDefault="007D34A4" w:rsidP="00D129F0">
      <w:pPr>
        <w:pStyle w:val="BodyText"/>
      </w:pPr>
      <w:r>
        <w:t xml:space="preserve">Finance oversees a variety of property management services to the Australian Government. </w:t>
      </w:r>
      <w:r w:rsidR="00150E76">
        <w:br/>
      </w:r>
      <w:r>
        <w:t xml:space="preserve">These range from developing and implementing WoAG policies and frameworks to assisting other department and agencies with their asset and property management requirements. Finance’s responsibilities include: </w:t>
      </w:r>
    </w:p>
    <w:p w:rsidR="007D34A4" w:rsidRDefault="007D34A4" w:rsidP="00150E76">
      <w:pPr>
        <w:pStyle w:val="ListBullet"/>
        <w:numPr>
          <w:ilvl w:val="0"/>
          <w:numId w:val="30"/>
        </w:numPr>
      </w:pPr>
      <w:r>
        <w:t>managing the Portfolio, including acquisition, ownership and disposal of real property</w:t>
      </w:r>
      <w:r w:rsidR="00150E76">
        <w:t xml:space="preserve"> </w:t>
      </w:r>
      <w:r w:rsidR="00150E76">
        <w:br/>
        <w:t>(land and buildings)</w:t>
      </w:r>
      <w:r>
        <w:t xml:space="preserve">; </w:t>
      </w:r>
    </w:p>
    <w:p w:rsidR="007D34A4" w:rsidRDefault="007D34A4" w:rsidP="00150E76">
      <w:pPr>
        <w:pStyle w:val="ListBullet"/>
        <w:numPr>
          <w:ilvl w:val="0"/>
          <w:numId w:val="30"/>
        </w:numPr>
      </w:pPr>
      <w:r>
        <w:t xml:space="preserve">administering the Commonwealth Property Management Framework (the Framework); </w:t>
      </w:r>
    </w:p>
    <w:p w:rsidR="007D34A4" w:rsidRDefault="007D34A4" w:rsidP="00150E76">
      <w:pPr>
        <w:pStyle w:val="ListBullet"/>
        <w:numPr>
          <w:ilvl w:val="0"/>
          <w:numId w:val="30"/>
        </w:numPr>
      </w:pPr>
      <w:r>
        <w:t>providing advice and assistance to relevant departments and agencies, including whole-of-life cost-benefit analysis under the</w:t>
      </w:r>
      <w:r w:rsidRPr="00EF71A7">
        <w:rPr>
          <w:i/>
        </w:rPr>
        <w:t xml:space="preserve"> </w:t>
      </w:r>
      <w:r>
        <w:t>Framework; and</w:t>
      </w:r>
    </w:p>
    <w:p w:rsidR="007D34A4" w:rsidRDefault="007D34A4" w:rsidP="00150E76">
      <w:pPr>
        <w:pStyle w:val="ListBullet"/>
        <w:numPr>
          <w:ilvl w:val="0"/>
          <w:numId w:val="30"/>
        </w:numPr>
      </w:pPr>
      <w:r>
        <w:t xml:space="preserve">managing legislative compliance, contractual, financial, security, social, heritage, environmental and post-divestment liability risks in accordance with the Framework. </w:t>
      </w:r>
    </w:p>
    <w:p w:rsidR="007D34A4" w:rsidRPr="00AA5DBF" w:rsidRDefault="007D34A4" w:rsidP="007D34A4">
      <w:pPr>
        <w:pStyle w:val="Heading5"/>
        <w:keepLines w:val="0"/>
        <w:numPr>
          <w:ilvl w:val="4"/>
          <w:numId w:val="29"/>
        </w:numPr>
        <w:suppressAutoHyphens w:val="0"/>
        <w:spacing w:after="60" w:line="260" w:lineRule="atLeast"/>
        <w:contextualSpacing w:val="0"/>
        <w:rPr>
          <w:szCs w:val="22"/>
        </w:rPr>
      </w:pPr>
      <w:r w:rsidRPr="00AA5DBF">
        <w:rPr>
          <w:szCs w:val="22"/>
        </w:rPr>
        <w:t>Crown Leases</w:t>
      </w:r>
    </w:p>
    <w:p w:rsidR="007D34A4" w:rsidRDefault="00E828FF" w:rsidP="00D129F0">
      <w:pPr>
        <w:pStyle w:val="BodyText"/>
      </w:pPr>
      <w:r>
        <w:t xml:space="preserve">Finance has identified that its obligations to properties holding </w:t>
      </w:r>
      <w:r w:rsidR="00606B0F">
        <w:t>Commonwealth Heritage</w:t>
      </w:r>
      <w:r>
        <w:t xml:space="preserve"> values extend to post-div</w:t>
      </w:r>
      <w:r w:rsidR="004B6CAA">
        <w:t>estment arrangements in the ACT</w:t>
      </w:r>
      <w:r>
        <w:t xml:space="preserve"> where the land remains subject to a Crown Lease. As the land is still considered as National Land</w:t>
      </w:r>
      <w:r w:rsidR="00DB14FD">
        <w:t>,</w:t>
      </w:r>
      <w:r>
        <w:t xml:space="preserve"> Finance recogni</w:t>
      </w:r>
      <w:r w:rsidR="00DB14FD">
        <w:t>s</w:t>
      </w:r>
      <w:r>
        <w:t xml:space="preserve">es its responsibilities in monitoring that the heritage requirements are being satisfied </w:t>
      </w:r>
      <w:r w:rsidR="00C76F4A">
        <w:t xml:space="preserve">(unless National Land status has been revoked) </w:t>
      </w:r>
      <w:r>
        <w:t xml:space="preserve">and is responsible for making the </w:t>
      </w:r>
      <w:r w:rsidR="00150E76">
        <w:t>Heritage Management Plan (</w:t>
      </w:r>
      <w:r>
        <w:t>HMP</w:t>
      </w:r>
      <w:r w:rsidR="00150E76">
        <w:t>)</w:t>
      </w:r>
      <w:r>
        <w:t xml:space="preserve"> a Legislative Instrument under section 341S of the EPBC Act. </w:t>
      </w:r>
      <w:r w:rsidR="007D34A4">
        <w:t xml:space="preserve">  </w:t>
      </w:r>
    </w:p>
    <w:p w:rsidR="007D34A4" w:rsidRDefault="007D34A4" w:rsidP="007D34A4">
      <w:pPr>
        <w:pStyle w:val="Heading2"/>
        <w:keepLines w:val="0"/>
        <w:numPr>
          <w:ilvl w:val="1"/>
          <w:numId w:val="29"/>
        </w:numPr>
        <w:suppressAutoHyphens w:val="0"/>
        <w:spacing w:before="240" w:after="180" w:line="260" w:lineRule="atLeast"/>
        <w:ind w:left="850" w:hanging="850"/>
        <w:contextualSpacing w:val="0"/>
      </w:pPr>
      <w:bookmarkStart w:id="17" w:name="_Toc78450047"/>
      <w:bookmarkStart w:id="18" w:name="_Toc80111179"/>
      <w:r>
        <w:t xml:space="preserve">The Finance </w:t>
      </w:r>
      <w:r w:rsidR="00C85BEA">
        <w:t>Property</w:t>
      </w:r>
      <w:r>
        <w:t xml:space="preserve"> Portfolio</w:t>
      </w:r>
      <w:bookmarkEnd w:id="17"/>
      <w:bookmarkEnd w:id="18"/>
    </w:p>
    <w:p w:rsidR="007D34A4" w:rsidRDefault="007D34A4" w:rsidP="00B61388">
      <w:pPr>
        <w:pStyle w:val="BodyText"/>
      </w:pPr>
      <w:r>
        <w:t xml:space="preserve">The </w:t>
      </w:r>
      <w:r w:rsidR="00C76F4A">
        <w:t xml:space="preserve">Finance Property </w:t>
      </w:r>
      <w:r>
        <w:t>Portfolio comprises 5</w:t>
      </w:r>
      <w:r w:rsidR="00E828FF">
        <w:t>7</w:t>
      </w:r>
      <w:r>
        <w:t xml:space="preserve"> sites across Australia</w:t>
      </w:r>
      <w:r w:rsidR="00E828FF">
        <w:t xml:space="preserve"> as at 1 October 2021</w:t>
      </w:r>
      <w:r>
        <w:t>. The size of the Portfolio changes each year, mainly through divestment and on rare occasions, acquisition activities. The Portfolio comprises a diverse range of properties including office buildings, special purpose facilitie</w:t>
      </w:r>
      <w:r w:rsidR="00C76F4A">
        <w:t>s, heritage assets, vacant land</w:t>
      </w:r>
      <w:r>
        <w:t xml:space="preserve"> and contaminated sites. The heritage values currently identified across the Portfolio are diverse and include natural heritage areas, Indigenous heritage sites and artefacts, historic buildings and landscapes. Finance manages these sites th</w:t>
      </w:r>
      <w:r w:rsidR="006279A0">
        <w:t>r</w:t>
      </w:r>
      <w:r>
        <w:t>ough Preventative Mainten</w:t>
      </w:r>
      <w:r w:rsidR="000047DE">
        <w:t>ance and Asset Management Plans</w:t>
      </w:r>
      <w:r>
        <w:t xml:space="preserve"> and </w:t>
      </w:r>
      <w:r w:rsidR="00CE0C4A">
        <w:t>HMPs</w:t>
      </w:r>
      <w:r>
        <w:t>.</w:t>
      </w:r>
    </w:p>
    <w:p w:rsidR="007D34A4" w:rsidRDefault="007D34A4" w:rsidP="007D34A4">
      <w:pPr>
        <w:pStyle w:val="Heading3"/>
        <w:keepLines w:val="0"/>
        <w:numPr>
          <w:ilvl w:val="2"/>
          <w:numId w:val="29"/>
        </w:numPr>
        <w:suppressAutoHyphens w:val="0"/>
        <w:spacing w:before="240" w:after="60" w:line="260" w:lineRule="atLeast"/>
        <w:contextualSpacing w:val="0"/>
      </w:pPr>
      <w:bookmarkStart w:id="19" w:name="_Toc78450048"/>
      <w:r>
        <w:t>Natural Heritage</w:t>
      </w:r>
      <w:bookmarkEnd w:id="19"/>
    </w:p>
    <w:p w:rsidR="007D34A4" w:rsidRDefault="007D34A4" w:rsidP="00B61388">
      <w:pPr>
        <w:pStyle w:val="BodyText"/>
      </w:pPr>
      <w:r w:rsidRPr="005F3E96">
        <w:t>Natural heritage significance means ‘the importance of ecosystems, biodiversity and geodiversity for their existence value for present or future generations, in terms of their scientific, social, aesthetic and life-support value’ (Article 1.3</w:t>
      </w:r>
      <w:r>
        <w:t xml:space="preserve"> of the </w:t>
      </w:r>
      <w:r w:rsidRPr="005F3E96">
        <w:rPr>
          <w:lang w:val="en"/>
        </w:rPr>
        <w:t>Australian Natural Heritage Charter</w:t>
      </w:r>
      <w:r>
        <w:rPr>
          <w:rStyle w:val="FootnoteReference"/>
          <w:lang w:val="en"/>
        </w:rPr>
        <w:footnoteReference w:id="1"/>
      </w:r>
      <w:r w:rsidRPr="005F3E96">
        <w:t xml:space="preserve">). Assessing natural heritage significance is fundamental and necessary to the process of heritage conservation because it identifies the values that need to be recognised in conservation management and guides future management of the place. </w:t>
      </w:r>
    </w:p>
    <w:p w:rsidR="007D34A4" w:rsidRDefault="007D34A4" w:rsidP="007D34A4">
      <w:pPr>
        <w:pStyle w:val="Heading3"/>
        <w:keepLines w:val="0"/>
        <w:numPr>
          <w:ilvl w:val="2"/>
          <w:numId w:val="29"/>
        </w:numPr>
        <w:suppressAutoHyphens w:val="0"/>
        <w:spacing w:before="240" w:after="60" w:line="260" w:lineRule="atLeast"/>
        <w:contextualSpacing w:val="0"/>
      </w:pPr>
      <w:bookmarkStart w:id="20" w:name="_Toc78450049"/>
      <w:r>
        <w:t>Indigenous Cultural Heritage</w:t>
      </w:r>
      <w:bookmarkEnd w:id="20"/>
      <w:r>
        <w:t xml:space="preserve"> </w:t>
      </w:r>
    </w:p>
    <w:p w:rsidR="007D34A4" w:rsidRDefault="007D34A4" w:rsidP="00B61388">
      <w:pPr>
        <w:pStyle w:val="BodyText"/>
      </w:pPr>
      <w:r>
        <w:t xml:space="preserve">According to the Commonwealth’s </w:t>
      </w:r>
      <w:r w:rsidR="00E828FF">
        <w:rPr>
          <w:i/>
          <w:iCs/>
        </w:rPr>
        <w:t>Engage Early Guide</w:t>
      </w:r>
      <w:r>
        <w:t xml:space="preserve">, Indigenous (Aboriginal and Torres Strait Islander people) heritage is dynamic and includes tangible and intangible expressions of culture that link generations of people over time. Indigenous people express their cultural heritage and their relationships with country, people, beliefs, knowledge, traditional law, language, symbols and ways of living in the landscapes, waters, and objects - all of which arise from Indigenous spirituality. </w:t>
      </w:r>
    </w:p>
    <w:p w:rsidR="007D34A4" w:rsidRDefault="007D34A4" w:rsidP="00B61388">
      <w:pPr>
        <w:pStyle w:val="BodyText"/>
      </w:pPr>
      <w:r w:rsidRPr="00D707F2">
        <w:t>The respect and understanding for Aboriginal and Torres Strait Islander people, histories</w:t>
      </w:r>
      <w:r>
        <w:t>,</w:t>
      </w:r>
      <w:r w:rsidRPr="00D707F2">
        <w:t xml:space="preserve"> and cultures are </w:t>
      </w:r>
      <w:r>
        <w:t xml:space="preserve">key to </w:t>
      </w:r>
      <w:r w:rsidRPr="00D707F2">
        <w:t>Finance’s core values</w:t>
      </w:r>
      <w:r>
        <w:t xml:space="preserve">. Finance continues to meet its Indigenous heritage </w:t>
      </w:r>
      <w:r>
        <w:lastRenderedPageBreak/>
        <w:t xml:space="preserve">protection obligations through individual site HMPs, application of the </w:t>
      </w:r>
      <w:r w:rsidR="00E828FF">
        <w:rPr>
          <w:i/>
          <w:iCs/>
        </w:rPr>
        <w:t>Engage Early</w:t>
      </w:r>
      <w:r w:rsidRPr="3353FA76">
        <w:rPr>
          <w:rStyle w:val="FootnoteReference"/>
          <w:i/>
          <w:iCs/>
        </w:rPr>
        <w:footnoteReference w:id="2"/>
      </w:r>
      <w:r>
        <w:t xml:space="preserve"> </w:t>
      </w:r>
      <w:r w:rsidR="008610BC">
        <w:t>Guide</w:t>
      </w:r>
      <w:r w:rsidR="00C76F4A">
        <w:t xml:space="preserve"> and</w:t>
      </w:r>
      <w:r>
        <w:t xml:space="preserve"> the Commonwealth Heritage Management Principles (the Principles), which states: </w:t>
      </w:r>
    </w:p>
    <w:p w:rsidR="007D34A4" w:rsidRDefault="007D34A4" w:rsidP="00B61388">
      <w:pPr>
        <w:pStyle w:val="BodyText"/>
        <w:ind w:left="720"/>
      </w:pPr>
      <w:r w:rsidRPr="51BC41ED">
        <w:rPr>
          <w:i/>
          <w:iCs/>
        </w:rPr>
        <w:t>Indigenous people are the primary source of information on the value of their heritage and that the active participation of indigenous people in identification, assessment and management is integral to the effective protection of indigenous heritage values</w:t>
      </w:r>
      <w:r>
        <w:t>.</w:t>
      </w:r>
    </w:p>
    <w:p w:rsidR="007D34A4" w:rsidRDefault="007D34A4" w:rsidP="007D34A4">
      <w:pPr>
        <w:pStyle w:val="BodyText"/>
        <w:ind w:left="720"/>
        <w:jc w:val="both"/>
      </w:pPr>
    </w:p>
    <w:tbl>
      <w:tblPr>
        <w:tblStyle w:val="ERMTablestyle"/>
        <w:tblW w:w="9072" w:type="dxa"/>
        <w:tblBorders>
          <w:top w:val="single" w:sz="2" w:space="0" w:color="D9D9D9"/>
          <w:bottom w:val="single" w:sz="2" w:space="0" w:color="D9D9D9"/>
          <w:insideH w:val="single" w:sz="2" w:space="0" w:color="D9D9D9"/>
          <w:insideV w:val="single" w:sz="2" w:space="0" w:color="666F74"/>
        </w:tblBorders>
        <w:tblLayout w:type="fixed"/>
        <w:tblLook w:val="04A0" w:firstRow="1" w:lastRow="0" w:firstColumn="1" w:lastColumn="0" w:noHBand="0" w:noVBand="1"/>
        <w:tblCaption w:val="Property Highlight: Portion 838 (Jim Jim) and Portion 895 (Cooinda Road)"/>
        <w:tblDescription w:val="Property Highlight: Portion 838 (Jim Jim) and Portion 895 (Cooinda Road)"/>
      </w:tblPr>
      <w:tblGrid>
        <w:gridCol w:w="9072"/>
      </w:tblGrid>
      <w:tr w:rsidR="007D34A4" w:rsidRPr="00092215" w:rsidTr="007D34A4">
        <w:trPr>
          <w:cnfStyle w:val="100000000000" w:firstRow="1" w:lastRow="0" w:firstColumn="0" w:lastColumn="0" w:oddVBand="0" w:evenVBand="0" w:oddHBand="0" w:evenHBand="0" w:firstRowFirstColumn="0" w:firstRowLastColumn="0" w:lastRowFirstColumn="0" w:lastRowLastColumn="0"/>
          <w:tblHeader/>
        </w:trPr>
        <w:tc>
          <w:tcPr>
            <w:tcW w:w="9072" w:type="dxa"/>
            <w:tcBorders>
              <w:top w:val="none" w:sz="0" w:space="0" w:color="auto"/>
              <w:bottom w:val="none" w:sz="0" w:space="0" w:color="auto"/>
            </w:tcBorders>
            <w:shd w:val="clear" w:color="auto" w:fill="1C1C1C" w:themeFill="text2"/>
          </w:tcPr>
          <w:p w:rsidR="007D34A4" w:rsidRPr="00092215" w:rsidRDefault="007D34A4" w:rsidP="007D34A4">
            <w:pPr>
              <w:spacing w:before="60"/>
              <w:jc w:val="both"/>
              <w:rPr>
                <w:rFonts w:ascii="Arial" w:eastAsia="Times New Roman" w:hAnsi="Arial" w:cs="Arial"/>
                <w:b/>
                <w:bCs/>
                <w:color w:val="FFFFFF"/>
                <w:sz w:val="20"/>
                <w:szCs w:val="20"/>
                <w:lang w:val="en-AU"/>
              </w:rPr>
            </w:pPr>
            <w:r w:rsidRPr="51BC41ED">
              <w:rPr>
                <w:rFonts w:ascii="Arial" w:eastAsia="Times New Roman" w:hAnsi="Arial" w:cs="Arial"/>
                <w:b/>
                <w:bCs/>
                <w:color w:val="FFFFFF" w:themeColor="background1"/>
                <w:sz w:val="20"/>
                <w:szCs w:val="20"/>
                <w:lang w:val="en-AU"/>
              </w:rPr>
              <w:t xml:space="preserve">  Property Highlight: </w:t>
            </w:r>
            <w:r w:rsidRPr="51BC41ED">
              <w:rPr>
                <w:rFonts w:ascii="Arial" w:eastAsia="Times New Roman" w:hAnsi="Arial" w:cs="Arial"/>
                <w:b/>
                <w:bCs/>
                <w:color w:val="FFFFFF" w:themeColor="background1"/>
                <w:sz w:val="20"/>
                <w:szCs w:val="20"/>
              </w:rPr>
              <w:t>Portion 838 (Jim Jim) and Portion 895 (Cooinda Road)</w:t>
            </w:r>
          </w:p>
        </w:tc>
      </w:tr>
      <w:tr w:rsidR="007D34A4" w:rsidRPr="00092215" w:rsidTr="007D34A4">
        <w:trPr>
          <w:trHeight w:val="1320"/>
        </w:trPr>
        <w:tc>
          <w:tcPr>
            <w:tcW w:w="9072" w:type="dxa"/>
            <w:shd w:val="clear" w:color="auto" w:fill="F2F2F2" w:themeFill="background1" w:themeFillShade="F2"/>
          </w:tcPr>
          <w:p w:rsidR="007D34A4" w:rsidRPr="00B61388" w:rsidRDefault="007D34A4" w:rsidP="00D129F0">
            <w:pPr>
              <w:pStyle w:val="BodyText"/>
              <w:rPr>
                <w:spacing w:val="-2"/>
                <w:lang w:eastAsia="en-AU"/>
              </w:rPr>
            </w:pPr>
            <w:r w:rsidRPr="00B61388">
              <w:rPr>
                <w:spacing w:val="-2"/>
                <w:lang w:eastAsia="en-AU"/>
              </w:rPr>
              <w:t xml:space="preserve">Cooinda and Jim Jim are two contiguous properties surrounded, but excised from, the UNESCO World Heritage listed Kakadu National Park, Northern Territory. An Aboriginal sacred site has been documented by the Northern Territory Aboriginal Areas Protection Authority and entered into the NT Register of Sacred Sites in accordance with the </w:t>
            </w:r>
            <w:r w:rsidRPr="00B61388">
              <w:rPr>
                <w:i/>
                <w:iCs/>
                <w:spacing w:val="-2"/>
                <w:lang w:eastAsia="en-AU"/>
              </w:rPr>
              <w:t>Northern Territory Aboriginal Sacred Sites Act 1989</w:t>
            </w:r>
            <w:r w:rsidRPr="00B61388">
              <w:rPr>
                <w:spacing w:val="-2"/>
                <w:lang w:eastAsia="en-AU"/>
              </w:rPr>
              <w:t xml:space="preserve">. </w:t>
            </w:r>
          </w:p>
          <w:p w:rsidR="007D34A4" w:rsidRDefault="007D34A4" w:rsidP="00D129F0">
            <w:pPr>
              <w:pStyle w:val="BodyText"/>
              <w:rPr>
                <w:lang w:eastAsia="en-AU"/>
              </w:rPr>
            </w:pPr>
            <w:r w:rsidRPr="51BC41ED">
              <w:rPr>
                <w:lang w:eastAsia="en-AU"/>
              </w:rPr>
              <w:t xml:space="preserve">A Heritage Assessment, prepared in 2015, assessed the natural </w:t>
            </w:r>
            <w:r>
              <w:rPr>
                <w:lang w:eastAsia="en-AU"/>
              </w:rPr>
              <w:t xml:space="preserve">and Indigenous </w:t>
            </w:r>
            <w:r w:rsidRPr="51BC41ED">
              <w:rPr>
                <w:lang w:eastAsia="en-AU"/>
              </w:rPr>
              <w:t>heritage values of the place as meeting the threshold for inclusion on the Commonw</w:t>
            </w:r>
            <w:r w:rsidR="00305FC4">
              <w:rPr>
                <w:lang w:eastAsia="en-AU"/>
              </w:rPr>
              <w:t>ealth Heritage List</w:t>
            </w:r>
            <w:r w:rsidRPr="51BC41ED">
              <w:rPr>
                <w:lang w:eastAsia="en-AU"/>
              </w:rPr>
              <w:t xml:space="preserve">, as the properties are component parts of the World Heritage Kakadu National Park.  </w:t>
            </w:r>
          </w:p>
          <w:p w:rsidR="007D34A4" w:rsidRDefault="007D34A4" w:rsidP="00D129F0">
            <w:pPr>
              <w:pStyle w:val="BodyText"/>
              <w:rPr>
                <w:lang w:eastAsia="en-AU"/>
              </w:rPr>
            </w:pPr>
            <w:r w:rsidRPr="51BC41ED">
              <w:rPr>
                <w:lang w:eastAsia="en-AU"/>
              </w:rPr>
              <w:t>The area’s cultural landscape and association with a Dreaming place demonstrates the long-term</w:t>
            </w:r>
            <w:r>
              <w:rPr>
                <w:lang w:eastAsia="en-AU"/>
              </w:rPr>
              <w:t xml:space="preserve"> physical presence of Indigenous</w:t>
            </w:r>
            <w:r w:rsidRPr="51BC41ED">
              <w:rPr>
                <w:lang w:eastAsia="en-AU"/>
              </w:rPr>
              <w:t xml:space="preserve"> people</w:t>
            </w:r>
            <w:r w:rsidR="0027266A">
              <w:rPr>
                <w:lang w:eastAsia="en-AU"/>
              </w:rPr>
              <w:t xml:space="preserve"> in this area. </w:t>
            </w:r>
            <w:r w:rsidRPr="51BC41ED">
              <w:rPr>
                <w:lang w:eastAsia="en-AU"/>
              </w:rPr>
              <w:t>This association provides a strong, spiritual and living connection between the Bininj</w:t>
            </w:r>
            <w:r>
              <w:rPr>
                <w:lang w:eastAsia="en-AU"/>
              </w:rPr>
              <w:t>/</w:t>
            </w:r>
            <w:r w:rsidRPr="001B4183">
              <w:rPr>
                <w:lang w:eastAsia="en-AU"/>
              </w:rPr>
              <w:t>Mungguy</w:t>
            </w:r>
            <w:r>
              <w:rPr>
                <w:lang w:eastAsia="en-AU"/>
              </w:rPr>
              <w:t xml:space="preserve"> </w:t>
            </w:r>
            <w:r w:rsidRPr="51BC41ED">
              <w:rPr>
                <w:lang w:eastAsia="en-AU"/>
              </w:rPr>
              <w:t xml:space="preserve">People and their traditional lands. </w:t>
            </w:r>
            <w:r>
              <w:rPr>
                <w:lang w:eastAsia="en-AU"/>
              </w:rPr>
              <w:t>The place</w:t>
            </w:r>
            <w:r w:rsidRPr="51BC41ED">
              <w:rPr>
                <w:lang w:eastAsia="en-AU"/>
              </w:rPr>
              <w:t xml:space="preserve"> meets the threshold for inclusion on the </w:t>
            </w:r>
            <w:r w:rsidR="00305FC4" w:rsidRPr="51BC41ED">
              <w:rPr>
                <w:lang w:eastAsia="en-AU"/>
              </w:rPr>
              <w:t>Commonwealth Heritage List</w:t>
            </w:r>
            <w:r w:rsidRPr="51BC41ED">
              <w:rPr>
                <w:lang w:eastAsia="en-AU"/>
              </w:rPr>
              <w:t xml:space="preserve"> and a HMP is currently in draft. The HMP will guide the management of Cooinda and Jim Jim, and ensure the ongoing protection of its significant natural and Indigenous heritage values.</w:t>
            </w:r>
          </w:p>
          <w:p w:rsidR="007D34A4" w:rsidRDefault="007D34A4" w:rsidP="007D34A4">
            <w:pPr>
              <w:spacing w:before="60"/>
              <w:jc w:val="both"/>
              <w:rPr>
                <w:rFonts w:ascii="Arial" w:hAnsi="Arial" w:cs="Arial"/>
                <w:sz w:val="20"/>
                <w:szCs w:val="20"/>
                <w:lang w:val="en-AU" w:eastAsia="en-AU"/>
              </w:rPr>
            </w:pPr>
          </w:p>
          <w:p w:rsidR="007D34A4" w:rsidRDefault="007D34A4" w:rsidP="007D34A4">
            <w:pPr>
              <w:spacing w:before="60"/>
              <w:rPr>
                <w:rFonts w:ascii="Arial" w:hAnsi="Arial" w:cs="Arial"/>
                <w:sz w:val="20"/>
                <w:szCs w:val="20"/>
                <w:lang w:val="en-AU" w:eastAsia="en-AU"/>
              </w:rPr>
            </w:pPr>
            <w:r>
              <w:rPr>
                <w:noProof/>
                <w:lang w:eastAsia="en-AU"/>
              </w:rPr>
              <w:drawing>
                <wp:inline distT="0" distB="0" distL="0" distR="0" wp14:anchorId="43D4C8B9" wp14:editId="552542D6">
                  <wp:extent cx="2762250" cy="2067784"/>
                  <wp:effectExtent l="0" t="0" r="0" b="8890"/>
                  <wp:docPr id="16" name="Picture 16" descr="Photo of landscape at Cooinda / Jim Jim " title="Photo of landscape at Cooinda / Jim Ji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14" cstate="screen">
                            <a:extLst>
                              <a:ext uri="{28A0092B-C50C-407E-A947-70E740481C1C}">
                                <a14:useLocalDpi xmlns:a14="http://schemas.microsoft.com/office/drawing/2010/main" val="0"/>
                              </a:ext>
                            </a:extLst>
                          </a:blip>
                          <a:stretch>
                            <a:fillRect/>
                          </a:stretch>
                        </pic:blipFill>
                        <pic:spPr>
                          <a:xfrm>
                            <a:off x="0" y="0"/>
                            <a:ext cx="2762250" cy="2067784"/>
                          </a:xfrm>
                          <a:prstGeom prst="rect">
                            <a:avLst/>
                          </a:prstGeom>
                        </pic:spPr>
                      </pic:pic>
                    </a:graphicData>
                  </a:graphic>
                </wp:inline>
              </w:drawing>
            </w:r>
            <w:r w:rsidRPr="74EA9CD7">
              <w:rPr>
                <w:rFonts w:ascii="Arial" w:hAnsi="Arial" w:cs="Arial"/>
                <w:sz w:val="20"/>
                <w:szCs w:val="20"/>
                <w:lang w:val="en-AU" w:eastAsia="en-AU"/>
              </w:rPr>
              <w:t xml:space="preserve"> </w:t>
            </w:r>
            <w:r w:rsidRPr="74EA9CD7">
              <w:rPr>
                <w:noProof/>
                <w:lang w:val="en-AU" w:eastAsia="en-AU"/>
              </w:rPr>
              <w:t xml:space="preserve"> </w:t>
            </w:r>
            <w:r>
              <w:rPr>
                <w:noProof/>
                <w:lang w:eastAsia="en-AU"/>
              </w:rPr>
              <w:drawing>
                <wp:inline distT="0" distB="0" distL="0" distR="0" wp14:anchorId="1181FF96" wp14:editId="4336C9ED">
                  <wp:extent cx="2743200" cy="2063137"/>
                  <wp:effectExtent l="0" t="0" r="0" b="0"/>
                  <wp:docPr id="17" name="Picture 17" descr="Photo of landscape at Cooinda / Jim Jim " title="Photo of landscape at Cooinda / Jim Ji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15" cstate="screen">
                            <a:extLst>
                              <a:ext uri="{28A0092B-C50C-407E-A947-70E740481C1C}">
                                <a14:useLocalDpi xmlns:a14="http://schemas.microsoft.com/office/drawing/2010/main" val="0"/>
                              </a:ext>
                            </a:extLst>
                          </a:blip>
                          <a:stretch>
                            <a:fillRect/>
                          </a:stretch>
                        </pic:blipFill>
                        <pic:spPr>
                          <a:xfrm>
                            <a:off x="0" y="0"/>
                            <a:ext cx="2743200" cy="2063137"/>
                          </a:xfrm>
                          <a:prstGeom prst="rect">
                            <a:avLst/>
                          </a:prstGeom>
                        </pic:spPr>
                      </pic:pic>
                    </a:graphicData>
                  </a:graphic>
                </wp:inline>
              </w:drawing>
            </w:r>
          </w:p>
          <w:p w:rsidR="007D34A4" w:rsidRPr="00270296" w:rsidRDefault="007D34A4" w:rsidP="007D34A4">
            <w:pPr>
              <w:spacing w:before="60"/>
              <w:rPr>
                <w:rFonts w:cstheme="minorHAnsi"/>
                <w:sz w:val="20"/>
                <w:szCs w:val="20"/>
                <w:lang w:val="en-AU" w:eastAsia="en-AU"/>
              </w:rPr>
            </w:pPr>
            <w:r w:rsidRPr="00270296">
              <w:rPr>
                <w:rFonts w:eastAsia="Calibri" w:cstheme="minorHAnsi"/>
                <w:i/>
                <w:lang w:val="en-AU" w:eastAsia="en-AU"/>
              </w:rPr>
              <w:t xml:space="preserve">Landscape at Cooinda </w:t>
            </w:r>
            <w:r>
              <w:rPr>
                <w:rFonts w:eastAsia="Calibri" w:cstheme="minorHAnsi"/>
                <w:i/>
                <w:lang w:val="en-AU" w:eastAsia="en-AU"/>
              </w:rPr>
              <w:t xml:space="preserve">/ Jim Jim </w:t>
            </w:r>
          </w:p>
        </w:tc>
      </w:tr>
    </w:tbl>
    <w:p w:rsidR="007D34A4" w:rsidRDefault="007D34A4" w:rsidP="007D34A4">
      <w:pPr>
        <w:pStyle w:val="Heading3"/>
        <w:keepLines w:val="0"/>
        <w:numPr>
          <w:ilvl w:val="2"/>
          <w:numId w:val="29"/>
        </w:numPr>
        <w:suppressAutoHyphens w:val="0"/>
        <w:spacing w:before="240" w:after="60" w:line="260" w:lineRule="atLeast"/>
        <w:ind w:left="851" w:hanging="851"/>
        <w:contextualSpacing w:val="0"/>
      </w:pPr>
      <w:bookmarkStart w:id="21" w:name="_Toc78450050"/>
      <w:r>
        <w:t>Historic Heritage</w:t>
      </w:r>
      <w:bookmarkEnd w:id="21"/>
    </w:p>
    <w:p w:rsidR="007D34A4" w:rsidRDefault="007D34A4" w:rsidP="00B61388">
      <w:pPr>
        <w:pStyle w:val="BodyText"/>
      </w:pPr>
      <w:r>
        <w:t xml:space="preserve">Finance continues to strategically manage its properties with historic heritage values, with a focus on maintenance and refurbishment works of its </w:t>
      </w:r>
      <w:r w:rsidR="00606B0F">
        <w:t>Commonwealth Heritage</w:t>
      </w:r>
      <w:r>
        <w:t xml:space="preserve"> listed buildings. Finance ensures heritage values are protected through divestment negotiations and has successfully mapped heritage controls into property transfers, for seamless statutory transfer from the </w:t>
      </w:r>
      <w:r w:rsidR="00305FC4" w:rsidRPr="51BC41ED">
        <w:rPr>
          <w:lang w:eastAsia="en-AU"/>
        </w:rPr>
        <w:t>Commonwealth Heritage List</w:t>
      </w:r>
      <w:r>
        <w:t xml:space="preserve"> to state or territory heritage registers. </w:t>
      </w:r>
    </w:p>
    <w:p w:rsidR="007D34A4" w:rsidRDefault="007D34A4" w:rsidP="007D34A4">
      <w:pPr>
        <w:pStyle w:val="BodyText"/>
        <w:jc w:val="both"/>
      </w:pPr>
    </w:p>
    <w:tbl>
      <w:tblPr>
        <w:tblStyle w:val="ERMTablestyle"/>
        <w:tblW w:w="9072" w:type="dxa"/>
        <w:tblBorders>
          <w:top w:val="single" w:sz="2" w:space="0" w:color="D9D9D9"/>
          <w:bottom w:val="single" w:sz="2" w:space="0" w:color="D9D9D9"/>
          <w:insideH w:val="single" w:sz="2" w:space="0" w:color="D9D9D9"/>
          <w:insideV w:val="single" w:sz="2" w:space="0" w:color="666F74"/>
        </w:tblBorders>
        <w:tblLayout w:type="fixed"/>
        <w:tblLook w:val="04A0" w:firstRow="1" w:lastRow="0" w:firstColumn="1" w:lastColumn="0" w:noHBand="0" w:noVBand="1"/>
        <w:tblCaption w:val="Property Highlight: John Gorton Building, ACT"/>
        <w:tblDescription w:val="Property Highlight: John Gorton Building, ACT"/>
      </w:tblPr>
      <w:tblGrid>
        <w:gridCol w:w="9072"/>
      </w:tblGrid>
      <w:tr w:rsidR="007D34A4" w:rsidRPr="00092215" w:rsidTr="007D34A4">
        <w:trPr>
          <w:cnfStyle w:val="100000000000" w:firstRow="1" w:lastRow="0" w:firstColumn="0" w:lastColumn="0" w:oddVBand="0" w:evenVBand="0" w:oddHBand="0" w:evenHBand="0" w:firstRowFirstColumn="0" w:firstRowLastColumn="0" w:lastRowFirstColumn="0" w:lastRowLastColumn="0"/>
          <w:tblHeader/>
        </w:trPr>
        <w:tc>
          <w:tcPr>
            <w:tcW w:w="9072" w:type="dxa"/>
            <w:tcBorders>
              <w:top w:val="none" w:sz="0" w:space="0" w:color="auto"/>
              <w:bottom w:val="none" w:sz="0" w:space="0" w:color="auto"/>
            </w:tcBorders>
            <w:shd w:val="clear" w:color="auto" w:fill="1C1C1C" w:themeFill="text2"/>
          </w:tcPr>
          <w:p w:rsidR="007D34A4" w:rsidRPr="00092215" w:rsidRDefault="007D34A4" w:rsidP="007D34A4">
            <w:pPr>
              <w:spacing w:before="60"/>
              <w:jc w:val="both"/>
              <w:rPr>
                <w:rFonts w:ascii="Arial" w:eastAsia="Times New Roman" w:hAnsi="Arial" w:cs="Arial"/>
                <w:b/>
                <w:bCs/>
                <w:color w:val="FFFFFF"/>
                <w:sz w:val="20"/>
                <w:szCs w:val="20"/>
                <w:lang w:val="en-AU"/>
              </w:rPr>
            </w:pPr>
            <w:r w:rsidRPr="51BC41ED">
              <w:rPr>
                <w:rFonts w:ascii="Arial" w:eastAsia="Times New Roman" w:hAnsi="Arial" w:cs="Arial"/>
                <w:b/>
                <w:bCs/>
                <w:color w:val="FFFFFF" w:themeColor="background1"/>
                <w:sz w:val="20"/>
                <w:szCs w:val="20"/>
                <w:lang w:val="en-AU"/>
              </w:rPr>
              <w:lastRenderedPageBreak/>
              <w:t xml:space="preserve"> Property Highlight: John Gorton Building, ACT</w:t>
            </w:r>
          </w:p>
        </w:tc>
      </w:tr>
      <w:tr w:rsidR="007D34A4" w:rsidRPr="00092215" w:rsidTr="007D34A4">
        <w:trPr>
          <w:trHeight w:val="1320"/>
        </w:trPr>
        <w:tc>
          <w:tcPr>
            <w:tcW w:w="9072" w:type="dxa"/>
            <w:shd w:val="clear" w:color="auto" w:fill="F2F2F2" w:themeFill="background1" w:themeFillShade="F2"/>
          </w:tcPr>
          <w:p w:rsidR="007D34A4" w:rsidRDefault="007D34A4" w:rsidP="00D129F0">
            <w:pPr>
              <w:pStyle w:val="BodyText"/>
              <w:rPr>
                <w:lang w:eastAsia="en-AU"/>
              </w:rPr>
            </w:pPr>
            <w:r w:rsidRPr="51BC41ED">
              <w:rPr>
                <w:lang w:eastAsia="en-AU"/>
              </w:rPr>
              <w:t>Finance oversaw the extensive restoration work of one of Canberra’s historic public service office buildings, the John Gorton Building (JGB) in the Parliamentary Triangle, ACT. An environmental report from 2013 highlighted risks from falling sandstone panels and lead capping described as ‘critical’, while further inspections found the stone work and lead had been showing signs of accelerated deterioration.</w:t>
            </w:r>
          </w:p>
          <w:p w:rsidR="007D34A4" w:rsidRPr="00245BA5" w:rsidRDefault="007D34A4" w:rsidP="00D129F0">
            <w:pPr>
              <w:pStyle w:val="BodyText"/>
              <w:rPr>
                <w:lang w:eastAsia="en-AU"/>
              </w:rPr>
            </w:pPr>
            <w:r w:rsidRPr="51BC41ED">
              <w:rPr>
                <w:lang w:eastAsia="en-AU"/>
              </w:rPr>
              <w:t xml:space="preserve">In order to maintain the performance of the building, Finance brought together a team of experts, including heritage architects and heritage stonemasons. The multi-million dollar capital works project was divided into seven stages due to the sheer size of the JGB, and comprised: </w:t>
            </w:r>
          </w:p>
          <w:p w:rsidR="007D34A4" w:rsidRPr="00245BA5" w:rsidRDefault="007D34A4" w:rsidP="00FA00A7">
            <w:pPr>
              <w:pStyle w:val="ListBullet"/>
              <w:numPr>
                <w:ilvl w:val="0"/>
                <w:numId w:val="30"/>
              </w:numPr>
              <w:rPr>
                <w:lang w:eastAsia="en-AU"/>
              </w:rPr>
            </w:pPr>
            <w:r w:rsidRPr="00245BA5">
              <w:rPr>
                <w:lang w:eastAsia="en-AU"/>
              </w:rPr>
              <w:t>removal of asbestos containing mortar, pointing, grouts and sealant to stone and granite elements;</w:t>
            </w:r>
          </w:p>
          <w:p w:rsidR="007D34A4" w:rsidRPr="00245BA5" w:rsidRDefault="007D34A4" w:rsidP="00FA00A7">
            <w:pPr>
              <w:pStyle w:val="ListBullet"/>
              <w:numPr>
                <w:ilvl w:val="0"/>
                <w:numId w:val="30"/>
              </w:numPr>
              <w:rPr>
                <w:lang w:eastAsia="en-AU"/>
              </w:rPr>
            </w:pPr>
            <w:r w:rsidRPr="3353FA76">
              <w:rPr>
                <w:lang w:eastAsia="en-AU"/>
              </w:rPr>
              <w:t>stone conservation works including: cleaning of the façades, full stone replacements, stone indents, redressing of stone, mortar repairs and re-pointing;</w:t>
            </w:r>
          </w:p>
          <w:p w:rsidR="007D34A4" w:rsidRDefault="007D34A4" w:rsidP="00FA00A7">
            <w:pPr>
              <w:pStyle w:val="ListBullet"/>
              <w:numPr>
                <w:ilvl w:val="0"/>
                <w:numId w:val="30"/>
              </w:numPr>
              <w:rPr>
                <w:lang w:eastAsia="en-AU"/>
              </w:rPr>
            </w:pPr>
            <w:r w:rsidRPr="00245BA5">
              <w:rPr>
                <w:lang w:eastAsia="en-AU"/>
              </w:rPr>
              <w:t xml:space="preserve">replacement of lead flashing and other elements; </w:t>
            </w:r>
            <w:r>
              <w:rPr>
                <w:lang w:eastAsia="en-AU"/>
              </w:rPr>
              <w:t>and</w:t>
            </w:r>
          </w:p>
          <w:p w:rsidR="007D34A4" w:rsidRPr="0055096C" w:rsidRDefault="007D34A4" w:rsidP="00FA00A7">
            <w:pPr>
              <w:pStyle w:val="ListBullet"/>
              <w:numPr>
                <w:ilvl w:val="0"/>
                <w:numId w:val="30"/>
              </w:numPr>
              <w:rPr>
                <w:lang w:eastAsia="en-AU"/>
              </w:rPr>
            </w:pPr>
            <w:r w:rsidRPr="3353FA76">
              <w:rPr>
                <w:lang w:eastAsia="en-AU"/>
              </w:rPr>
              <w:t xml:space="preserve">repairs and replacement of all roof sheeting, rainwater heads, downpipes and box gutters. </w:t>
            </w:r>
          </w:p>
          <w:p w:rsidR="007D34A4" w:rsidRPr="00245BA5" w:rsidRDefault="007D34A4" w:rsidP="00D129F0">
            <w:pPr>
              <w:pStyle w:val="BodyText"/>
              <w:rPr>
                <w:lang w:eastAsia="en-AU"/>
              </w:rPr>
            </w:pPr>
            <w:r>
              <w:rPr>
                <w:lang w:eastAsia="en-AU"/>
              </w:rPr>
              <w:br/>
            </w:r>
            <w:r w:rsidRPr="00245BA5">
              <w:rPr>
                <w:lang w:eastAsia="en-AU"/>
              </w:rPr>
              <w:t>The conservation works have preserved the characteristic and aesthetic heritage values of the building for wh</w:t>
            </w:r>
            <w:r>
              <w:rPr>
                <w:lang w:eastAsia="en-AU"/>
              </w:rPr>
              <w:t xml:space="preserve">ich it is Commonwealth </w:t>
            </w:r>
            <w:r w:rsidR="00994D65">
              <w:rPr>
                <w:lang w:eastAsia="en-AU"/>
              </w:rPr>
              <w:t>H</w:t>
            </w:r>
            <w:r>
              <w:rPr>
                <w:lang w:eastAsia="en-AU"/>
              </w:rPr>
              <w:t xml:space="preserve">eritage </w:t>
            </w:r>
            <w:r w:rsidRPr="00245BA5">
              <w:rPr>
                <w:lang w:eastAsia="en-AU"/>
              </w:rPr>
              <w:t xml:space="preserve">listed, for many years to come. </w:t>
            </w:r>
          </w:p>
          <w:p w:rsidR="007D34A4" w:rsidRDefault="007D34A4" w:rsidP="007D34A4">
            <w:pPr>
              <w:spacing w:before="60"/>
              <w:rPr>
                <w:rFonts w:ascii="Arial" w:hAnsi="Arial" w:cs="Arial"/>
                <w:sz w:val="20"/>
                <w:szCs w:val="20"/>
                <w:lang w:val="en-AU" w:eastAsia="en-AU"/>
              </w:rPr>
            </w:pPr>
            <w:r>
              <w:rPr>
                <w:rFonts w:ascii="Arial" w:hAnsi="Arial" w:cs="Arial"/>
                <w:noProof/>
                <w:color w:val="2B579A"/>
                <w:shd w:val="clear" w:color="auto" w:fill="E6E6E6"/>
                <w:lang w:eastAsia="en-AU"/>
              </w:rPr>
              <w:drawing>
                <wp:inline distT="0" distB="0" distL="0" distR="0" wp14:anchorId="27ED57ED" wp14:editId="5752D5DF">
                  <wp:extent cx="2056198" cy="1323340"/>
                  <wp:effectExtent l="0" t="0" r="1270" b="0"/>
                  <wp:docPr id="20" name="Picture 20" descr="Photo of John Gorton Building exterior" title="Photo of John Gorton Building ex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 cstate="screen">
                            <a:extLst>
                              <a:ext uri="{28A0092B-C50C-407E-A947-70E740481C1C}">
                                <a14:useLocalDpi xmlns:a14="http://schemas.microsoft.com/office/drawing/2010/main" val="0"/>
                              </a:ext>
                            </a:extLst>
                          </a:blip>
                          <a:srcRect/>
                          <a:stretch/>
                        </pic:blipFill>
                        <pic:spPr bwMode="auto">
                          <a:xfrm>
                            <a:off x="0" y="0"/>
                            <a:ext cx="2073777" cy="1334653"/>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noProof/>
                <w:sz w:val="20"/>
                <w:szCs w:val="20"/>
                <w:lang w:val="en-AU" w:eastAsia="en-AU"/>
              </w:rPr>
              <w:t xml:space="preserve"> </w:t>
            </w:r>
            <w:r w:rsidRPr="003F690B">
              <w:rPr>
                <w:rFonts w:ascii="Arial" w:hAnsi="Arial" w:cs="Arial"/>
                <w:noProof/>
                <w:color w:val="2B579A"/>
                <w:shd w:val="clear" w:color="auto" w:fill="E6E6E6"/>
                <w:lang w:eastAsia="en-AU"/>
              </w:rPr>
              <w:drawing>
                <wp:inline distT="0" distB="0" distL="0" distR="0" wp14:anchorId="1FE39D63" wp14:editId="7A199C7A">
                  <wp:extent cx="1752600" cy="1314449"/>
                  <wp:effectExtent l="0" t="0" r="0" b="635"/>
                  <wp:docPr id="1026" name="Picture 2" descr="Photo of sandstone sourced for façade works" title="Photo of sandstone sourced for façade wo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S:\Projects\0203961 - JGB Stone Conservation\0203961 - Stone Quality Control\IMG_2126.jpg"/>
                          <pic:cNvPicPr>
                            <a:picLocks noChangeAspect="1" noChangeArrowheads="1"/>
                          </pic:cNvPicPr>
                        </pic:nvPicPr>
                        <pic:blipFill>
                          <a:blip r:embed="rId17" cstate="screen">
                            <a:extLst>
                              <a:ext uri="{28A0092B-C50C-407E-A947-70E740481C1C}">
                                <a14:useLocalDpi xmlns:a14="http://schemas.microsoft.com/office/drawing/2010/main" val="0"/>
                              </a:ext>
                            </a:extLst>
                          </a:blip>
                          <a:srcRect/>
                          <a:stretch>
                            <a:fillRect/>
                          </a:stretch>
                        </pic:blipFill>
                        <pic:spPr bwMode="auto">
                          <a:xfrm>
                            <a:off x="0" y="0"/>
                            <a:ext cx="1766143" cy="1324606"/>
                          </a:xfrm>
                          <a:prstGeom prst="rect">
                            <a:avLst/>
                          </a:prstGeom>
                          <a:noFill/>
                          <a:extLst/>
                        </pic:spPr>
                      </pic:pic>
                    </a:graphicData>
                  </a:graphic>
                </wp:inline>
              </w:drawing>
            </w:r>
            <w:r>
              <w:rPr>
                <w:rFonts w:ascii="Arial" w:hAnsi="Arial" w:cs="Arial"/>
                <w:noProof/>
                <w:sz w:val="20"/>
                <w:szCs w:val="20"/>
                <w:lang w:val="en-AU" w:eastAsia="en-AU"/>
              </w:rPr>
              <w:t xml:space="preserve"> </w:t>
            </w:r>
            <w:r>
              <w:rPr>
                <w:rFonts w:ascii="Arial" w:hAnsi="Arial" w:cs="Arial"/>
                <w:noProof/>
                <w:color w:val="2B579A"/>
                <w:shd w:val="clear" w:color="auto" w:fill="E6E6E6"/>
                <w:lang w:eastAsia="en-AU"/>
              </w:rPr>
              <w:drawing>
                <wp:inline distT="0" distB="0" distL="0" distR="0" wp14:anchorId="4394F965" wp14:editId="453061F2">
                  <wp:extent cx="1692459" cy="1332099"/>
                  <wp:effectExtent l="0" t="0" r="3175" b="1905"/>
                  <wp:docPr id="21" name="Picture 21" descr="Photo of and façade conservation program in progress" title="Photo of and façade conservation program in prog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cstate="screen">
                            <a:extLst>
                              <a:ext uri="{28A0092B-C50C-407E-A947-70E740481C1C}">
                                <a14:useLocalDpi xmlns:a14="http://schemas.microsoft.com/office/drawing/2010/main" val="0"/>
                              </a:ext>
                            </a:extLst>
                          </a:blip>
                          <a:srcRect/>
                          <a:stretch/>
                        </pic:blipFill>
                        <pic:spPr bwMode="auto">
                          <a:xfrm>
                            <a:off x="0" y="0"/>
                            <a:ext cx="1729326" cy="1361116"/>
                          </a:xfrm>
                          <a:prstGeom prst="rect">
                            <a:avLst/>
                          </a:prstGeom>
                          <a:noFill/>
                          <a:ln>
                            <a:noFill/>
                          </a:ln>
                          <a:extLst>
                            <a:ext uri="{53640926-AAD7-44D8-BBD7-CCE9431645EC}">
                              <a14:shadowObscured xmlns:a14="http://schemas.microsoft.com/office/drawing/2010/main"/>
                            </a:ext>
                          </a:extLst>
                        </pic:spPr>
                      </pic:pic>
                    </a:graphicData>
                  </a:graphic>
                </wp:inline>
              </w:drawing>
            </w:r>
          </w:p>
          <w:p w:rsidR="007D34A4" w:rsidRPr="006D1DC1" w:rsidRDefault="007D34A4" w:rsidP="007D34A4">
            <w:pPr>
              <w:spacing w:before="60"/>
              <w:rPr>
                <w:rFonts w:ascii="Arial" w:hAnsi="Arial" w:cs="Arial"/>
                <w:sz w:val="20"/>
                <w:szCs w:val="20"/>
                <w:lang w:val="en-AU" w:eastAsia="en-AU"/>
              </w:rPr>
            </w:pPr>
            <w:r>
              <w:rPr>
                <w:rFonts w:eastAsia="Calibri" w:cstheme="minorHAnsi"/>
                <w:i/>
                <w:lang w:val="en-AU" w:eastAsia="en-AU"/>
              </w:rPr>
              <w:t xml:space="preserve">From left to right: </w:t>
            </w:r>
            <w:r w:rsidRPr="00531334">
              <w:rPr>
                <w:rFonts w:eastAsia="Calibri" w:cstheme="minorHAnsi"/>
                <w:i/>
                <w:lang w:val="en-AU" w:eastAsia="en-AU"/>
              </w:rPr>
              <w:t xml:space="preserve">JGB; </w:t>
            </w:r>
            <w:r>
              <w:rPr>
                <w:rFonts w:eastAsia="Calibri" w:cstheme="minorHAnsi"/>
                <w:i/>
                <w:lang w:val="en-AU" w:eastAsia="en-AU"/>
              </w:rPr>
              <w:t>sand</w:t>
            </w:r>
            <w:r w:rsidRPr="00531334">
              <w:rPr>
                <w:rFonts w:eastAsia="Calibri" w:cstheme="minorHAnsi"/>
                <w:i/>
                <w:lang w:val="en-AU" w:eastAsia="en-AU"/>
              </w:rPr>
              <w:t xml:space="preserve">stone sourced for façade </w:t>
            </w:r>
            <w:r>
              <w:rPr>
                <w:rFonts w:eastAsia="Calibri" w:cstheme="minorHAnsi"/>
                <w:i/>
                <w:lang w:val="en-AU" w:eastAsia="en-AU"/>
              </w:rPr>
              <w:t>works; and</w:t>
            </w:r>
            <w:r w:rsidRPr="00531334">
              <w:rPr>
                <w:rFonts w:eastAsia="Calibri" w:cstheme="minorHAnsi"/>
                <w:i/>
                <w:lang w:val="en-AU" w:eastAsia="en-AU"/>
              </w:rPr>
              <w:t xml:space="preserve"> façade conservation program in progress</w:t>
            </w:r>
            <w:r>
              <w:rPr>
                <w:rFonts w:eastAsia="Calibri" w:cstheme="minorHAnsi"/>
                <w:i/>
                <w:lang w:val="en-AU" w:eastAsia="en-AU"/>
              </w:rPr>
              <w:t>.</w:t>
            </w:r>
          </w:p>
        </w:tc>
      </w:tr>
    </w:tbl>
    <w:p w:rsidR="007D34A4" w:rsidRDefault="007D34A4" w:rsidP="007D34A4">
      <w:pPr>
        <w:pStyle w:val="Heading2"/>
        <w:keepLines w:val="0"/>
        <w:numPr>
          <w:ilvl w:val="1"/>
          <w:numId w:val="29"/>
        </w:numPr>
        <w:suppressAutoHyphens w:val="0"/>
        <w:spacing w:before="240" w:after="180" w:line="260" w:lineRule="atLeast"/>
        <w:ind w:left="850" w:hanging="850"/>
        <w:contextualSpacing w:val="0"/>
      </w:pPr>
      <w:bookmarkStart w:id="22" w:name="_Toc78450051"/>
      <w:bookmarkStart w:id="23" w:name="_Toc80111180"/>
      <w:r w:rsidRPr="006279A0">
        <w:t>How</w:t>
      </w:r>
      <w:r>
        <w:t xml:space="preserve"> to use this Strategy</w:t>
      </w:r>
      <w:bookmarkEnd w:id="22"/>
      <w:bookmarkEnd w:id="23"/>
      <w:r>
        <w:t xml:space="preserve"> </w:t>
      </w:r>
    </w:p>
    <w:p w:rsidR="007D34A4" w:rsidRDefault="007D34A4" w:rsidP="00B61388">
      <w:pPr>
        <w:pStyle w:val="BodyText"/>
      </w:pPr>
      <w:r>
        <w:t>The Strategy has been drafted to assist Finance plan, manage and report on its statutory heritage obligations in relation to its Portfolio. This Strategy is structured to directly follow EPBC Regulation 10.03E Schedule 7C, which sets out the matters to be included in a heritage strategy.</w:t>
      </w:r>
    </w:p>
    <w:p w:rsidR="007D34A4" w:rsidRPr="007627B8" w:rsidRDefault="007D34A4" w:rsidP="00B61388">
      <w:pPr>
        <w:pStyle w:val="BodyText"/>
      </w:pPr>
      <w:r w:rsidRPr="007627B8">
        <w:t xml:space="preserve">A </w:t>
      </w:r>
      <w:r>
        <w:t>h</w:t>
      </w:r>
      <w:r w:rsidRPr="007627B8">
        <w:t xml:space="preserve">eritage </w:t>
      </w:r>
      <w:r>
        <w:t>s</w:t>
      </w:r>
      <w:r w:rsidRPr="007627B8">
        <w:t xml:space="preserve">trategy is comprised of </w:t>
      </w:r>
      <w:r>
        <w:t>the following key</w:t>
      </w:r>
      <w:r w:rsidRPr="007627B8">
        <w:t xml:space="preserve"> components: </w:t>
      </w:r>
    </w:p>
    <w:p w:rsidR="007D34A4" w:rsidRPr="00D02496" w:rsidRDefault="007D34A4" w:rsidP="00B61388">
      <w:pPr>
        <w:pStyle w:val="ListBullet"/>
        <w:numPr>
          <w:ilvl w:val="0"/>
          <w:numId w:val="30"/>
        </w:numPr>
      </w:pPr>
      <w:r>
        <w:t xml:space="preserve">general matters, including organisational structure and corporate framework, processes for consultation and conflict resolution; and process for monitoring, reviewing and implementing a heritage strategy (Section 2.0); </w:t>
      </w:r>
    </w:p>
    <w:p w:rsidR="007D34A4" w:rsidRPr="00B61388" w:rsidRDefault="007D34A4" w:rsidP="00B61388">
      <w:pPr>
        <w:pStyle w:val="ListBullet"/>
        <w:numPr>
          <w:ilvl w:val="0"/>
          <w:numId w:val="30"/>
        </w:numPr>
        <w:rPr>
          <w:spacing w:val="-2"/>
        </w:rPr>
      </w:pPr>
      <w:r w:rsidRPr="00B61388">
        <w:rPr>
          <w:spacing w:val="-2"/>
        </w:rPr>
        <w:t xml:space="preserve">identification and assessment of </w:t>
      </w:r>
      <w:r w:rsidR="00606B0F">
        <w:t>Commonwealth Heritage</w:t>
      </w:r>
      <w:r w:rsidRPr="00B61388">
        <w:rPr>
          <w:spacing w:val="-2"/>
        </w:rPr>
        <w:t xml:space="preserve"> values and development of a Heritage Register (Section 3.0); </w:t>
      </w:r>
    </w:p>
    <w:p w:rsidR="007D34A4" w:rsidRPr="00D02496" w:rsidRDefault="007D34A4" w:rsidP="00B61388">
      <w:pPr>
        <w:pStyle w:val="ListBullet"/>
        <w:numPr>
          <w:ilvl w:val="0"/>
          <w:numId w:val="30"/>
        </w:numPr>
      </w:pPr>
      <w:r>
        <w:t xml:space="preserve">management of identified </w:t>
      </w:r>
      <w:r w:rsidR="00606B0F">
        <w:t>Commonwealth Heritage</w:t>
      </w:r>
      <w:r>
        <w:t xml:space="preserve"> values (Section 4.0); and </w:t>
      </w:r>
    </w:p>
    <w:p w:rsidR="007D34A4" w:rsidRDefault="007D34A4" w:rsidP="00B61388">
      <w:pPr>
        <w:pStyle w:val="ListBullet"/>
        <w:numPr>
          <w:ilvl w:val="0"/>
          <w:numId w:val="30"/>
        </w:numPr>
      </w:pPr>
      <w:r>
        <w:t xml:space="preserve">training and promotion related to identified </w:t>
      </w:r>
      <w:r w:rsidR="00606B0F">
        <w:t>Commonwealth Heritage</w:t>
      </w:r>
      <w:r>
        <w:t xml:space="preserve"> values (Section 5.0).</w:t>
      </w:r>
    </w:p>
    <w:p w:rsidR="007D34A4" w:rsidRDefault="007D34A4" w:rsidP="007D34A4">
      <w:pPr>
        <w:pStyle w:val="BodyText"/>
      </w:pPr>
    </w:p>
    <w:p w:rsidR="007D34A4" w:rsidRDefault="007D34A4" w:rsidP="007D34A4">
      <w:pPr>
        <w:spacing w:line="240" w:lineRule="auto"/>
      </w:pPr>
      <w:r>
        <w:br w:type="page"/>
      </w:r>
    </w:p>
    <w:p w:rsidR="007D34A4" w:rsidRDefault="007D34A4" w:rsidP="007D34A4">
      <w:pPr>
        <w:pStyle w:val="Heading1"/>
        <w:keepLines w:val="0"/>
        <w:numPr>
          <w:ilvl w:val="0"/>
          <w:numId w:val="29"/>
        </w:numPr>
        <w:suppressAutoHyphens w:val="0"/>
        <w:spacing w:before="0" w:after="240" w:line="260" w:lineRule="atLeast"/>
        <w:ind w:left="851" w:hanging="851"/>
        <w:contextualSpacing w:val="0"/>
      </w:pPr>
      <w:bookmarkStart w:id="24" w:name="_Toc78450052"/>
      <w:bookmarkStart w:id="25" w:name="_Toc80111181"/>
      <w:r>
        <w:lastRenderedPageBreak/>
        <w:t>Roles, Responsibilities and Processes</w:t>
      </w:r>
      <w:bookmarkEnd w:id="24"/>
      <w:bookmarkEnd w:id="25"/>
    </w:p>
    <w:p w:rsidR="007D34A4" w:rsidRPr="000469C6" w:rsidRDefault="007D34A4" w:rsidP="00F12F2E">
      <w:pPr>
        <w:pStyle w:val="Heading2"/>
        <w:keepLines w:val="0"/>
        <w:numPr>
          <w:ilvl w:val="1"/>
          <w:numId w:val="29"/>
        </w:numPr>
        <w:suppressAutoHyphens w:val="0"/>
        <w:spacing w:before="240" w:after="240" w:line="260" w:lineRule="atLeast"/>
        <w:contextualSpacing w:val="0"/>
      </w:pPr>
      <w:bookmarkStart w:id="26" w:name="_Toc78450053"/>
      <w:bookmarkStart w:id="27" w:name="_Toc80111182"/>
      <w:r w:rsidRPr="006279A0">
        <w:t>Finance's objective for managing its heritage places</w:t>
      </w:r>
      <w:r w:rsidRPr="005A0FF3">
        <w:t xml:space="preserve"> </w:t>
      </w:r>
      <w:r w:rsidR="00FA00A7">
        <w:br/>
      </w:r>
      <w:r w:rsidRPr="005A0FF3">
        <w:t>(Schedule 7C Section 1(a))</w:t>
      </w:r>
      <w:bookmarkEnd w:id="26"/>
      <w:bookmarkEnd w:id="27"/>
    </w:p>
    <w:p w:rsidR="007D34A4" w:rsidRPr="00B87E35" w:rsidRDefault="009E307A" w:rsidP="00F12F2E">
      <w:pPr>
        <w:pStyle w:val="Boxed2Heading"/>
        <w:jc w:val="center"/>
      </w:pPr>
      <w:r w:rsidRPr="00F12F2E">
        <w:rPr>
          <w:sz w:val="22"/>
        </w:rPr>
        <w:t>Finance seeks to deliver sustainable heritage outcomes for Commonwealth property managed by Finance on behalf of current and future generations.</w:t>
      </w:r>
    </w:p>
    <w:p w:rsidR="007D34A4" w:rsidRDefault="007D34A4" w:rsidP="00F74D78">
      <w:pPr>
        <w:pStyle w:val="BodyText"/>
      </w:pPr>
      <w:r>
        <w:br/>
        <w:t xml:space="preserve">The objectives of the Strategy are to: </w:t>
      </w:r>
    </w:p>
    <w:p w:rsidR="007D34A4" w:rsidRDefault="007D34A4" w:rsidP="00F74D78">
      <w:pPr>
        <w:pStyle w:val="ListBullet"/>
        <w:numPr>
          <w:ilvl w:val="0"/>
          <w:numId w:val="30"/>
        </w:numPr>
      </w:pPr>
      <w:r>
        <w:t>ensure compliance with the heritage requirements of the EPBC Act;</w:t>
      </w:r>
    </w:p>
    <w:p w:rsidR="007D34A4" w:rsidRDefault="007D34A4" w:rsidP="00F74D78">
      <w:pPr>
        <w:pStyle w:val="ListBullet"/>
        <w:numPr>
          <w:ilvl w:val="0"/>
          <w:numId w:val="30"/>
        </w:numPr>
      </w:pPr>
      <w:r>
        <w:t>apply due diligence and effectively manage risk regarding heritage values of the Portfolio;</w:t>
      </w:r>
    </w:p>
    <w:p w:rsidR="007D34A4" w:rsidRDefault="007D34A4" w:rsidP="00F74D78">
      <w:pPr>
        <w:pStyle w:val="ListBullet"/>
        <w:numPr>
          <w:ilvl w:val="0"/>
          <w:numId w:val="30"/>
        </w:numPr>
      </w:pPr>
      <w:r>
        <w:t>fully integrate heritage considerations into Portfolio management;</w:t>
      </w:r>
    </w:p>
    <w:p w:rsidR="007D34A4" w:rsidRDefault="007D34A4" w:rsidP="00F74D78">
      <w:pPr>
        <w:pStyle w:val="ListBullet"/>
        <w:numPr>
          <w:ilvl w:val="0"/>
          <w:numId w:val="30"/>
        </w:numPr>
      </w:pPr>
      <w:r>
        <w:t xml:space="preserve">ensure sustainable heritage outcomes are aligned with the broader Framework and internal tools such as </w:t>
      </w:r>
      <w:r w:rsidR="000047DE">
        <w:t>Preventative Maintenance and Asset Management Plans</w:t>
      </w:r>
      <w:r>
        <w:t>; and</w:t>
      </w:r>
    </w:p>
    <w:p w:rsidR="007D34A4" w:rsidRDefault="007D34A4" w:rsidP="00F74D78">
      <w:pPr>
        <w:pStyle w:val="ListBullet"/>
        <w:numPr>
          <w:ilvl w:val="0"/>
          <w:numId w:val="30"/>
        </w:numPr>
      </w:pPr>
      <w:r>
        <w:t>build upon Finance's reputation as a leader in managing the heritage aspects of Commonwealth property.</w:t>
      </w:r>
    </w:p>
    <w:p w:rsidR="007D34A4" w:rsidRDefault="007D34A4" w:rsidP="007D34A4">
      <w:pPr>
        <w:pStyle w:val="Heading2"/>
        <w:keepLines w:val="0"/>
        <w:numPr>
          <w:ilvl w:val="1"/>
          <w:numId w:val="29"/>
        </w:numPr>
        <w:suppressAutoHyphens w:val="0"/>
        <w:spacing w:before="240" w:after="180" w:line="260" w:lineRule="atLeast"/>
        <w:contextualSpacing w:val="0"/>
      </w:pPr>
      <w:bookmarkStart w:id="28" w:name="_Toc78450054"/>
      <w:bookmarkStart w:id="29" w:name="_Toc80111183"/>
      <w:r w:rsidRPr="006279A0">
        <w:t>How the heritage strategy operates within Finance</w:t>
      </w:r>
      <w:r w:rsidR="00CE0C4A">
        <w:t>’</w:t>
      </w:r>
      <w:r w:rsidRPr="006279A0">
        <w:t>s corporate planning framework</w:t>
      </w:r>
      <w:r w:rsidRPr="005A0FF3">
        <w:t xml:space="preserve"> (Section</w:t>
      </w:r>
      <w:r>
        <w:t xml:space="preserve"> </w:t>
      </w:r>
      <w:r w:rsidRPr="005A0FF3">
        <w:t>1(b))</w:t>
      </w:r>
      <w:bookmarkEnd w:id="28"/>
      <w:bookmarkEnd w:id="29"/>
    </w:p>
    <w:p w:rsidR="007D34A4" w:rsidRDefault="007D34A4" w:rsidP="00F74D78">
      <w:pPr>
        <w:pStyle w:val="BodyText"/>
        <w:spacing w:line="276" w:lineRule="auto"/>
      </w:pPr>
      <w:r w:rsidRPr="0096216C">
        <w:t>Finance’s Corporate Plan 20</w:t>
      </w:r>
      <w:r w:rsidR="00C76F4A">
        <w:t>21</w:t>
      </w:r>
      <w:r w:rsidR="00C76F4A">
        <w:rPr>
          <w:rFonts w:cstheme="minorHAnsi"/>
        </w:rPr>
        <w:t>–</w:t>
      </w:r>
      <w:r w:rsidRPr="0096216C">
        <w:t>2</w:t>
      </w:r>
      <w:r w:rsidR="00C76F4A">
        <w:t>2</w:t>
      </w:r>
      <w:r w:rsidR="00CE0C4A">
        <w:t xml:space="preserve"> emphasises the ‘on</w:t>
      </w:r>
      <w:r w:rsidRPr="0096216C">
        <w:t>going pressure to balance short, medium and long-term fiscal and policy objectives’ and the ‘continued application of rigour and discipline to Finance’s fiscal and policy advice to the government noting the impact of the COVID-19 pandemic and the ongoing national bushfire recovery process’.</w:t>
      </w:r>
      <w:r w:rsidRPr="0096216C">
        <w:rPr>
          <w:vertAlign w:val="superscript"/>
        </w:rPr>
        <w:footnoteReference w:id="3"/>
      </w:r>
      <w:r w:rsidRPr="0096216C">
        <w:t xml:space="preserve"> </w:t>
      </w:r>
    </w:p>
    <w:p w:rsidR="002631F1" w:rsidRDefault="007D34A4" w:rsidP="00F74D78">
      <w:pPr>
        <w:pStyle w:val="BodyText"/>
        <w:spacing w:line="276" w:lineRule="auto"/>
      </w:pPr>
      <w:r w:rsidRPr="00782320">
        <w:t>The</w:t>
      </w:r>
      <w:r>
        <w:t xml:space="preserve"> Corporate Plan, the</w:t>
      </w:r>
      <w:r w:rsidRPr="004F39FB">
        <w:t xml:space="preserve"> </w:t>
      </w:r>
      <w:r w:rsidRPr="00972853">
        <w:t>Commonwealth Property Management Framework</w:t>
      </w:r>
      <w:r>
        <w:t xml:space="preserve"> (the </w:t>
      </w:r>
      <w:r w:rsidRPr="00782320">
        <w:t>Framework</w:t>
      </w:r>
      <w:r>
        <w:t>)</w:t>
      </w:r>
      <w:r w:rsidRPr="00782320">
        <w:rPr>
          <w:rFonts w:cs="Arial"/>
          <w:sz w:val="22"/>
          <w:szCs w:val="22"/>
          <w:vertAlign w:val="superscript"/>
          <w:lang w:eastAsia="en-AU"/>
        </w:rPr>
        <w:footnoteReference w:id="4"/>
      </w:r>
      <w:r>
        <w:t>, the</w:t>
      </w:r>
      <w:r w:rsidRPr="00782320">
        <w:t xml:space="preserve"> </w:t>
      </w:r>
      <w:r>
        <w:t>Property Services Coordinated Procurement arrangements (the Arrangements)</w:t>
      </w:r>
      <w:r w:rsidRPr="00B819BF">
        <w:rPr>
          <w:vertAlign w:val="superscript"/>
        </w:rPr>
        <w:footnoteReference w:id="5"/>
      </w:r>
      <w:r>
        <w:t xml:space="preserve"> and the Commonwealth Procurement Rules together</w:t>
      </w:r>
      <w:r w:rsidRPr="004F39FB">
        <w:rPr>
          <w:i/>
        </w:rPr>
        <w:t xml:space="preserve"> </w:t>
      </w:r>
      <w:r>
        <w:t>establish</w:t>
      </w:r>
      <w:r w:rsidRPr="00782320">
        <w:t xml:space="preserve"> a </w:t>
      </w:r>
      <w:r>
        <w:t>comprehensive framework</w:t>
      </w:r>
      <w:r w:rsidRPr="00782320">
        <w:t xml:space="preserve"> for achieving value for money and ensuring the best outcome for </w:t>
      </w:r>
      <w:r>
        <w:t xml:space="preserve">government </w:t>
      </w:r>
      <w:r w:rsidRPr="00782320">
        <w:t xml:space="preserve">property decisions. </w:t>
      </w:r>
      <w:r w:rsidRPr="12BA9C70">
        <w:t>This Strategy is aligned with the 202</w:t>
      </w:r>
      <w:r w:rsidR="00C76F4A">
        <w:t>1</w:t>
      </w:r>
      <w:r w:rsidR="00D9586F">
        <w:rPr>
          <w:rFonts w:cstheme="minorHAnsi"/>
        </w:rPr>
        <w:t>–</w:t>
      </w:r>
      <w:r w:rsidRPr="12BA9C70">
        <w:t>2</w:t>
      </w:r>
      <w:r w:rsidR="00C76F4A">
        <w:t xml:space="preserve">2 </w:t>
      </w:r>
      <w:r w:rsidRPr="12BA9C70">
        <w:t xml:space="preserve">Corporate Plan. Finance’s divestment approach is underpinned by the Framework. Surplus and redundant properties that do not demonstrably contribute to government service delivery outcomes, or have an alternative efficient government use, are identified and </w:t>
      </w:r>
      <w:r w:rsidR="00FA00A7">
        <w:t>divested</w:t>
      </w:r>
      <w:r w:rsidRPr="12BA9C70">
        <w:t xml:space="preserve">. Finance has undergone a period of focus on divestment which has resulted in a decrease in the size of the Portfolio by nearly half since 2014/15. Major acquisition of properties with potential </w:t>
      </w:r>
      <w:r w:rsidR="00606B0F">
        <w:t>Commonwealth Heritage</w:t>
      </w:r>
      <w:r w:rsidRPr="12BA9C70">
        <w:t xml:space="preserve"> values is unlikely to occur for the foreseeable future</w:t>
      </w:r>
      <w:r w:rsidR="00FA00A7">
        <w:t>.</w:t>
      </w:r>
    </w:p>
    <w:p w:rsidR="007D34A4" w:rsidRPr="00483234" w:rsidRDefault="002631F1" w:rsidP="00483234">
      <w:pPr>
        <w:suppressAutoHyphens w:val="0"/>
        <w:spacing w:before="0" w:after="120" w:line="440" w:lineRule="atLeast"/>
        <w:rPr>
          <w:rFonts w:eastAsiaTheme="minorEastAsia"/>
          <w:sz w:val="20"/>
          <w:szCs w:val="20"/>
          <w:lang w:val="en-GB"/>
        </w:rPr>
      </w:pPr>
      <w:r>
        <w:br w:type="page"/>
      </w:r>
    </w:p>
    <w:p w:rsidR="007D34A4" w:rsidRDefault="007D34A4" w:rsidP="007D34A4">
      <w:pPr>
        <w:pStyle w:val="Heading2"/>
        <w:keepLines w:val="0"/>
        <w:numPr>
          <w:ilvl w:val="1"/>
          <w:numId w:val="29"/>
        </w:numPr>
        <w:suppressAutoHyphens w:val="0"/>
        <w:spacing w:before="240" w:after="180" w:line="260" w:lineRule="atLeast"/>
        <w:contextualSpacing w:val="0"/>
      </w:pPr>
      <w:bookmarkStart w:id="30" w:name="_Toc78450055"/>
      <w:bookmarkStart w:id="31" w:name="_Toc80111184"/>
      <w:r w:rsidRPr="004D6B01">
        <w:lastRenderedPageBreak/>
        <w:t>Key positions within Finance which are responsible for heritage matters</w:t>
      </w:r>
      <w:r w:rsidRPr="005A0FF3">
        <w:t xml:space="preserve"> (Section 1(c))</w:t>
      </w:r>
      <w:bookmarkEnd w:id="30"/>
      <w:bookmarkEnd w:id="31"/>
    </w:p>
    <w:p w:rsidR="007D34A4" w:rsidRDefault="007D34A4" w:rsidP="00F74D78">
      <w:pPr>
        <w:pStyle w:val="BodyText"/>
      </w:pPr>
      <w:r>
        <w:t>Since 2016, Finance has contracted three</w:t>
      </w:r>
      <w:r w:rsidRPr="00B819BF">
        <w:t xml:space="preserve"> external Property Service Providers to deliver leasing services and facilities management </w:t>
      </w:r>
      <w:r>
        <w:t xml:space="preserve">(FM) </w:t>
      </w:r>
      <w:r w:rsidRPr="00B819BF">
        <w:t xml:space="preserve">services to </w:t>
      </w:r>
      <w:r w:rsidR="004D6B01">
        <w:t xml:space="preserve">non-corporate </w:t>
      </w:r>
      <w:r w:rsidRPr="00B819BF">
        <w:t>entities</w:t>
      </w:r>
      <w:r>
        <w:t xml:space="preserve"> under the Arrangements to improve the efficiency of property services across the Commonwealth</w:t>
      </w:r>
      <w:r w:rsidRPr="00B819BF">
        <w:t xml:space="preserve">. </w:t>
      </w:r>
    </w:p>
    <w:p w:rsidR="007D34A4" w:rsidRDefault="007D34A4" w:rsidP="00F74D78">
      <w:pPr>
        <w:pStyle w:val="BodyText"/>
      </w:pPr>
      <w:r>
        <w:t>The day-to-day management of</w:t>
      </w:r>
      <w:r w:rsidRPr="00E277C2">
        <w:rPr>
          <w:iCs/>
        </w:rPr>
        <w:t xml:space="preserve"> </w:t>
      </w:r>
      <w:r w:rsidRPr="756AA792">
        <w:t xml:space="preserve">the portfolio </w:t>
      </w:r>
      <w:r>
        <w:t>is the responsibility of the</w:t>
      </w:r>
      <w:r w:rsidRPr="756AA792">
        <w:t xml:space="preserve"> </w:t>
      </w:r>
      <w:r w:rsidR="008355DF" w:rsidRPr="00B819BF">
        <w:t>Property Service Providers</w:t>
      </w:r>
      <w:r>
        <w:t xml:space="preserve"> in line with the Arrangements. Responsibility for</w:t>
      </w:r>
      <w:r w:rsidRPr="00C22EC7">
        <w:t xml:space="preserve"> overall </w:t>
      </w:r>
      <w:r>
        <w:t>heritage compliance and tracking against Strategy</w:t>
      </w:r>
      <w:r w:rsidRPr="00C22EC7">
        <w:t xml:space="preserve"> commitments </w:t>
      </w:r>
      <w:r>
        <w:t>is with Finance’s Property and Construction Division (PCD)</w:t>
      </w:r>
      <w:r w:rsidRPr="00C22EC7">
        <w:t>.</w:t>
      </w:r>
      <w:r w:rsidR="0027266A">
        <w:t xml:space="preserve"> </w:t>
      </w:r>
    </w:p>
    <w:p w:rsidR="007D34A4" w:rsidRDefault="007D34A4" w:rsidP="00F74D78">
      <w:pPr>
        <w:pStyle w:val="BodyText"/>
      </w:pPr>
      <w:r>
        <w:t xml:space="preserve">Finance’s PCD, in conjunction with the external </w:t>
      </w:r>
      <w:r w:rsidR="008355DF" w:rsidRPr="00B819BF">
        <w:t>Property Service Providers</w:t>
      </w:r>
      <w:r>
        <w:t>, is implementing steps to proactively manage and track compliance across the Portfolio.</w:t>
      </w:r>
      <w:r w:rsidR="0027266A">
        <w:t xml:space="preserve"> </w:t>
      </w:r>
      <w:r>
        <w:t xml:space="preserve">This has included developing reporting tools to better support the </w:t>
      </w:r>
      <w:r w:rsidR="008355DF" w:rsidRPr="00B819BF">
        <w:t>Property Service Providers</w:t>
      </w:r>
      <w:r>
        <w:t xml:space="preserve"> with their defined heritage management tasks at the individual property level.</w:t>
      </w:r>
      <w:r w:rsidR="0027266A">
        <w:t xml:space="preserve"> </w:t>
      </w:r>
    </w:p>
    <w:p w:rsidR="007D34A4" w:rsidRDefault="007D34A4" w:rsidP="00F74D78">
      <w:pPr>
        <w:pStyle w:val="BodyText"/>
      </w:pPr>
      <w:r>
        <w:t>Where necessary, and in an effort to complement heritage advice, peer expert review or advice is sought from a range of independent sources, including contamination, hazardous materials, and safety experts.</w:t>
      </w:r>
      <w:r w:rsidR="0027266A">
        <w:t xml:space="preserve"> </w:t>
      </w:r>
      <w:r>
        <w:t xml:space="preserve">These </w:t>
      </w:r>
      <w:r w:rsidR="00606173">
        <w:t>s</w:t>
      </w:r>
      <w:r>
        <w:t xml:space="preserve">ubject </w:t>
      </w:r>
      <w:r w:rsidR="00606173">
        <w:t>m</w:t>
      </w:r>
      <w:r>
        <w:t xml:space="preserve">atter </w:t>
      </w:r>
      <w:r w:rsidR="00606173">
        <w:t>e</w:t>
      </w:r>
      <w:r>
        <w:t xml:space="preserve">xperts independently identify and assess heritage values on behalf of Finance and are guided by the key practice standards identified in this Strategy. Finance or their </w:t>
      </w:r>
      <w:r w:rsidR="008355DF" w:rsidRPr="00B819BF">
        <w:t>Property Service Providers</w:t>
      </w:r>
      <w:r>
        <w:t xml:space="preserve"> may seek to engage </w:t>
      </w:r>
      <w:r w:rsidR="00606173">
        <w:t>subject matter experts</w:t>
      </w:r>
      <w:r>
        <w:t xml:space="preserve"> for discrete heritage tasks to assist Finance and/or the </w:t>
      </w:r>
      <w:r w:rsidR="008355DF" w:rsidRPr="00B819BF">
        <w:t>Property Service Providers</w:t>
      </w:r>
      <w:r>
        <w:t xml:space="preserve"> directly, as required. </w:t>
      </w:r>
    </w:p>
    <w:p w:rsidR="007D34A4" w:rsidRPr="004D6B01" w:rsidRDefault="007D34A4" w:rsidP="007D34A4">
      <w:pPr>
        <w:pStyle w:val="Heading2"/>
        <w:keepLines w:val="0"/>
        <w:numPr>
          <w:ilvl w:val="1"/>
          <w:numId w:val="29"/>
        </w:numPr>
        <w:suppressAutoHyphens w:val="0"/>
        <w:spacing w:before="240" w:after="180" w:line="260" w:lineRule="atLeast"/>
        <w:contextualSpacing w:val="0"/>
      </w:pPr>
      <w:bookmarkStart w:id="32" w:name="_Toc78450056"/>
      <w:bookmarkStart w:id="33" w:name="_Toc80111185"/>
      <w:r w:rsidRPr="004D6B01">
        <w:t>Process for consultation and liaison with other government departments and agencies on heritage matters (Section 1(d))</w:t>
      </w:r>
      <w:bookmarkEnd w:id="32"/>
      <w:bookmarkEnd w:id="33"/>
    </w:p>
    <w:p w:rsidR="007D34A4" w:rsidRDefault="007D34A4" w:rsidP="00F74D78">
      <w:pPr>
        <w:pStyle w:val="BodyText"/>
      </w:pPr>
      <w:r>
        <w:t xml:space="preserve">Finance consults with the Department of Agriculture, Water and the Environment (DAWE) and other Australian Government departments and agencies to discuss and seek input and advice regarding management of heritage values within the Portfolio. This consultation and liaison is undertaken as required and focuses on compliance with the EPBC Act and Regulations. </w:t>
      </w:r>
    </w:p>
    <w:p w:rsidR="007D34A4" w:rsidRPr="00A5681A" w:rsidRDefault="007D34A4" w:rsidP="00F74D78">
      <w:pPr>
        <w:pStyle w:val="BodyText"/>
        <w:rPr>
          <w:highlight w:val="yellow"/>
        </w:rPr>
      </w:pPr>
      <w:r w:rsidRPr="00FF08F4">
        <w:t xml:space="preserve">Finance is not obliged to comply with state and territory heritage legislation or local government related instruments. </w:t>
      </w:r>
      <w:r w:rsidRPr="00A5681A">
        <w:t>However, where these do not conflict with Common</w:t>
      </w:r>
      <w:r w:rsidR="00C76F4A">
        <w:t xml:space="preserve">wealth legislation, Finance </w:t>
      </w:r>
      <w:r w:rsidRPr="00A5681A">
        <w:t>seek</w:t>
      </w:r>
      <w:r w:rsidR="00C76F4A">
        <w:t>s</w:t>
      </w:r>
      <w:r w:rsidRPr="00A5681A">
        <w:t xml:space="preserve"> to meet the intent of state, territory and local</w:t>
      </w:r>
      <w:r w:rsidR="00C76F4A">
        <w:t xml:space="preserve"> heritage policies, initiatives</w:t>
      </w:r>
      <w:r w:rsidRPr="00A5681A">
        <w:t xml:space="preserve"> and legislation. </w:t>
      </w:r>
    </w:p>
    <w:p w:rsidR="007D34A4" w:rsidRDefault="007D34A4" w:rsidP="007D34A4">
      <w:pPr>
        <w:pStyle w:val="Heading2"/>
        <w:keepLines w:val="0"/>
        <w:numPr>
          <w:ilvl w:val="1"/>
          <w:numId w:val="29"/>
        </w:numPr>
        <w:suppressAutoHyphens w:val="0"/>
        <w:spacing w:before="240" w:after="180" w:line="260" w:lineRule="atLeast"/>
        <w:contextualSpacing w:val="0"/>
      </w:pPr>
      <w:bookmarkStart w:id="34" w:name="_Toc78450057"/>
      <w:bookmarkStart w:id="35" w:name="_Toc80111186"/>
      <w:r>
        <w:t>Process for consultation and liaison with the community on heritage matters, including, a process for consultation and liaison with Indigenous stakeholders on Indigenous heritage matters (Section 1(e))</w:t>
      </w:r>
      <w:bookmarkEnd w:id="34"/>
      <w:bookmarkEnd w:id="35"/>
    </w:p>
    <w:p w:rsidR="007D34A4" w:rsidRPr="00F74D78" w:rsidRDefault="007D34A4" w:rsidP="00F74D78">
      <w:pPr>
        <w:pStyle w:val="BodyText"/>
        <w:rPr>
          <w:spacing w:val="-2"/>
        </w:rPr>
      </w:pPr>
      <w:r w:rsidRPr="00F74D78">
        <w:rPr>
          <w:spacing w:val="-2"/>
        </w:rPr>
        <w:t xml:space="preserve">Consultation with the community, including Indigenous stakeholders, is undertaken by Finance in relation to specific heritage matters at individual properties as required. Consultation is guided by </w:t>
      </w:r>
      <w:r w:rsidR="00483234">
        <w:rPr>
          <w:spacing w:val="-2"/>
        </w:rPr>
        <w:br/>
      </w:r>
      <w:r w:rsidRPr="00F74D78">
        <w:rPr>
          <w:spacing w:val="-2"/>
        </w:rPr>
        <w:t xml:space="preserve">current Commonwealth standards, namely the </w:t>
      </w:r>
      <w:r w:rsidR="00606B0F">
        <w:t>Commonwealth Heritage</w:t>
      </w:r>
      <w:r w:rsidRPr="00F74D78">
        <w:rPr>
          <w:spacing w:val="-2"/>
        </w:rPr>
        <w:t xml:space="preserve"> Management Principles </w:t>
      </w:r>
      <w:r w:rsidR="00483234">
        <w:rPr>
          <w:spacing w:val="-2"/>
        </w:rPr>
        <w:br/>
      </w:r>
      <w:r w:rsidRPr="00F74D78">
        <w:rPr>
          <w:spacing w:val="-2"/>
        </w:rPr>
        <w:t xml:space="preserve">(the Principles), the provisions of </w:t>
      </w:r>
      <w:r w:rsidRPr="00F74D78">
        <w:rPr>
          <w:i/>
          <w:iCs/>
          <w:spacing w:val="-2"/>
        </w:rPr>
        <w:t>Engage Early Guides</w:t>
      </w:r>
      <w:r w:rsidRPr="00F74D78">
        <w:rPr>
          <w:spacing w:val="-2"/>
        </w:rPr>
        <w:t xml:space="preserve">, and the non-statutory Australian ICOMOS </w:t>
      </w:r>
      <w:r w:rsidR="00483234">
        <w:rPr>
          <w:spacing w:val="-2"/>
        </w:rPr>
        <w:br/>
      </w:r>
      <w:r w:rsidRPr="00F74D78">
        <w:rPr>
          <w:spacing w:val="-2"/>
        </w:rPr>
        <w:t>Burra Charter</w:t>
      </w:r>
      <w:r w:rsidRPr="00F74D78">
        <w:rPr>
          <w:rStyle w:val="FootnoteReference"/>
          <w:spacing w:val="-2"/>
        </w:rPr>
        <w:footnoteReference w:id="6"/>
      </w:r>
      <w:r w:rsidRPr="00F74D78">
        <w:rPr>
          <w:spacing w:val="-2"/>
        </w:rPr>
        <w:t xml:space="preserve">. </w:t>
      </w:r>
    </w:p>
    <w:p w:rsidR="007D34A4" w:rsidRDefault="007D34A4" w:rsidP="00F74D78">
      <w:pPr>
        <w:pStyle w:val="BodyText"/>
      </w:pPr>
      <w:r>
        <w:t xml:space="preserve">Finance ensures best practice during the preparation of </w:t>
      </w:r>
      <w:r w:rsidR="00157012" w:rsidRPr="51BC41ED">
        <w:rPr>
          <w:lang w:eastAsia="en-AU"/>
        </w:rPr>
        <w:t>Heritage Assessment</w:t>
      </w:r>
      <w:r>
        <w:t>s and HMPs through consulting with Indigenous representatives and conducting on-site meetings. The process for developing HMPs involves engagement with affected communities consistent with sections 341S(3) and (6(b)) of the EPBC Act. HMPs also outline arrangements for on-going community engagement.</w:t>
      </w:r>
    </w:p>
    <w:p w:rsidR="007D34A4" w:rsidRDefault="007D34A4" w:rsidP="007D34A4">
      <w:pPr>
        <w:pStyle w:val="Heading2"/>
        <w:keepLines w:val="0"/>
        <w:numPr>
          <w:ilvl w:val="1"/>
          <w:numId w:val="29"/>
        </w:numPr>
        <w:suppressAutoHyphens w:val="0"/>
        <w:spacing w:before="240" w:after="180" w:line="260" w:lineRule="atLeast"/>
        <w:contextualSpacing w:val="0"/>
      </w:pPr>
      <w:bookmarkStart w:id="36" w:name="_Toc78450058"/>
      <w:bookmarkStart w:id="37" w:name="_Toc80111187"/>
      <w:r w:rsidRPr="0089423F">
        <w:lastRenderedPageBreak/>
        <w:t>Process for conflict resolution arising from the assessment and management of Commonwealth Heritage values (Section 1(f))</w:t>
      </w:r>
      <w:bookmarkEnd w:id="36"/>
      <w:bookmarkEnd w:id="37"/>
    </w:p>
    <w:p w:rsidR="007D34A4" w:rsidRDefault="007D34A4" w:rsidP="00F74D78">
      <w:pPr>
        <w:pStyle w:val="BodyText"/>
      </w:pPr>
      <w:r>
        <w:t xml:space="preserve">Heritage values are not always readily understood or accepted. Matters that may require resolution include determining whether a heritage value exists, meets the threshold for the </w:t>
      </w:r>
      <w:r w:rsidR="00305FC4" w:rsidRPr="00305FC4">
        <w:t>Commonwealth Heritage List</w:t>
      </w:r>
      <w:r>
        <w:t>, conflict between heritage values</w:t>
      </w:r>
      <w:r w:rsidR="009C23F7">
        <w:t>,</w:t>
      </w:r>
      <w:r>
        <w:t xml:space="preserve"> contamination remediation requirements </w:t>
      </w:r>
      <w:r w:rsidR="009C23F7">
        <w:t>and/</w:t>
      </w:r>
      <w:r>
        <w:t xml:space="preserve">or safety issues, and managing heritage values in the context of conflicting use or activity. </w:t>
      </w:r>
    </w:p>
    <w:p w:rsidR="007D34A4" w:rsidRDefault="007D34A4" w:rsidP="00F74D78">
      <w:pPr>
        <w:pStyle w:val="BodyText"/>
      </w:pPr>
      <w:r>
        <w:t xml:space="preserve">The identification and assessment of heritage values is independently undertaken on behalf of Finance by </w:t>
      </w:r>
      <w:r w:rsidR="00606173">
        <w:t>subject matter experts</w:t>
      </w:r>
      <w:r>
        <w:t>, guided by:</w:t>
      </w:r>
    </w:p>
    <w:p w:rsidR="007D34A4" w:rsidRDefault="007D34A4" w:rsidP="00F74D78">
      <w:pPr>
        <w:pStyle w:val="ListBullet"/>
        <w:numPr>
          <w:ilvl w:val="0"/>
          <w:numId w:val="30"/>
        </w:numPr>
      </w:pPr>
      <w:r>
        <w:t>the EPBC Act and Regulations; and</w:t>
      </w:r>
    </w:p>
    <w:p w:rsidR="007D34A4" w:rsidRDefault="007D34A4" w:rsidP="00F74D78">
      <w:pPr>
        <w:pStyle w:val="ListBullet"/>
        <w:numPr>
          <w:ilvl w:val="0"/>
          <w:numId w:val="30"/>
        </w:numPr>
      </w:pPr>
      <w:r>
        <w:t xml:space="preserve">industry best practice standards such as the Burra Charter, </w:t>
      </w:r>
      <w:r w:rsidR="008610BC">
        <w:t>Engage Early</w:t>
      </w:r>
      <w:r>
        <w:t xml:space="preserve"> and the Natural Heritage Charter (refer to Section 3.1 for further details on practice standards).</w:t>
      </w:r>
    </w:p>
    <w:p w:rsidR="007D34A4" w:rsidRDefault="007D34A4" w:rsidP="00F74D78">
      <w:pPr>
        <w:pStyle w:val="BodyText"/>
      </w:pPr>
      <w:r>
        <w:t xml:space="preserve">If a conflict arises between managing </w:t>
      </w:r>
      <w:r w:rsidR="00606B0F">
        <w:t>Commonwealth Heritage</w:t>
      </w:r>
      <w:r>
        <w:t xml:space="preserve"> values and Finance WoAG obligations, the process for resolution will take into account Government key priorities, obligations under the EPBC Act and any management plans such as HMPs or environmental management plans. </w:t>
      </w:r>
    </w:p>
    <w:p w:rsidR="007D34A4" w:rsidRPr="0089423F" w:rsidRDefault="007D34A4" w:rsidP="00F74D78">
      <w:pPr>
        <w:pStyle w:val="BodyText"/>
      </w:pPr>
      <w:r>
        <w:t xml:space="preserve">Expert advice from external </w:t>
      </w:r>
      <w:r w:rsidR="00606173">
        <w:t>subject matter experts</w:t>
      </w:r>
      <w:r>
        <w:t xml:space="preserve"> may also be sought in a conflict resolution process, and/or may take the form of a multi-disciplinary team with contamination, hazardous materials and safety experts to complement the heritage advice as required. Advice may also be sought from DAWE. </w:t>
      </w:r>
    </w:p>
    <w:p w:rsidR="007D34A4" w:rsidRDefault="007D34A4" w:rsidP="007D34A4">
      <w:pPr>
        <w:pStyle w:val="Heading2"/>
        <w:keepLines w:val="0"/>
        <w:numPr>
          <w:ilvl w:val="1"/>
          <w:numId w:val="29"/>
        </w:numPr>
        <w:suppressAutoHyphens w:val="0"/>
        <w:spacing w:before="240" w:after="180" w:line="260" w:lineRule="atLeast"/>
        <w:contextualSpacing w:val="0"/>
      </w:pPr>
      <w:bookmarkStart w:id="38" w:name="_Toc78450059"/>
      <w:bookmarkStart w:id="39" w:name="_Toc80111188"/>
      <w:r>
        <w:t>Processes for monitoring, reviewing and reporting on the implementation of the Strategy (Section 1(g))</w:t>
      </w:r>
      <w:bookmarkEnd w:id="38"/>
      <w:bookmarkEnd w:id="39"/>
    </w:p>
    <w:p w:rsidR="002631F1" w:rsidRDefault="007D34A4" w:rsidP="00F74D78">
      <w:pPr>
        <w:pStyle w:val="BodyText"/>
      </w:pPr>
      <w:r>
        <w:t xml:space="preserve">Implementation of the Strategy is monitored at a property level by the </w:t>
      </w:r>
      <w:r w:rsidR="008355DF" w:rsidRPr="00B819BF">
        <w:t>Property Service Providers</w:t>
      </w:r>
      <w:r w:rsidR="00466211">
        <w:t xml:space="preserve"> and reviewed annually. </w:t>
      </w:r>
      <w:r>
        <w:t xml:space="preserve">The </w:t>
      </w:r>
      <w:r w:rsidR="008355DF" w:rsidRPr="00B819BF">
        <w:t>Property Service Providers</w:t>
      </w:r>
      <w:r>
        <w:t xml:space="preserve"> manages property-specific heritage matters and commissions any required heritage management deliverables, such as </w:t>
      </w:r>
      <w:r w:rsidR="00157012" w:rsidRPr="51BC41ED">
        <w:rPr>
          <w:lang w:eastAsia="en-AU"/>
        </w:rPr>
        <w:t>Heritage Assessment</w:t>
      </w:r>
      <w:r>
        <w:t xml:space="preserve">s, Heritage Impact Assessments or the revision of HMPs. The </w:t>
      </w:r>
      <w:r w:rsidR="008355DF" w:rsidRPr="00B819BF">
        <w:t>Property Service Providers</w:t>
      </w:r>
      <w:r>
        <w:t xml:space="preserve"> also tracks</w:t>
      </w:r>
      <w:r w:rsidR="00466211">
        <w:t xml:space="preserve"> progress of each deliverable. </w:t>
      </w:r>
    </w:p>
    <w:p w:rsidR="007D34A4" w:rsidRPr="00483234" w:rsidRDefault="007D34A4" w:rsidP="00F74D78">
      <w:pPr>
        <w:pStyle w:val="BodyText"/>
        <w:rPr>
          <w:spacing w:val="-4"/>
        </w:rPr>
      </w:pPr>
      <w:r w:rsidRPr="00483234">
        <w:rPr>
          <w:spacing w:val="-4"/>
        </w:rPr>
        <w:t xml:space="preserve">The </w:t>
      </w:r>
      <w:r w:rsidR="00AA2F40" w:rsidRPr="00483234">
        <w:rPr>
          <w:spacing w:val="-4"/>
        </w:rPr>
        <w:t>Property Service Provider</w:t>
      </w:r>
      <w:r w:rsidRPr="00483234">
        <w:rPr>
          <w:spacing w:val="-4"/>
        </w:rPr>
        <w:t xml:space="preserve">s use an integrated tool called </w:t>
      </w:r>
      <w:r w:rsidR="000047DE" w:rsidRPr="00483234">
        <w:rPr>
          <w:spacing w:val="-4"/>
        </w:rPr>
        <w:t>Preventative Maintenance and Asset Management Plans</w:t>
      </w:r>
      <w:r w:rsidR="006A7806" w:rsidRPr="00483234">
        <w:rPr>
          <w:spacing w:val="-4"/>
        </w:rPr>
        <w:t xml:space="preserve"> which</w:t>
      </w:r>
      <w:r w:rsidRPr="00483234">
        <w:rPr>
          <w:spacing w:val="-4"/>
        </w:rPr>
        <w:t xml:space="preserve"> establis</w:t>
      </w:r>
      <w:r w:rsidR="00D677B8">
        <w:rPr>
          <w:spacing w:val="-4"/>
        </w:rPr>
        <w:t>hes</w:t>
      </w:r>
      <w:r w:rsidRPr="00483234">
        <w:rPr>
          <w:spacing w:val="-4"/>
        </w:rPr>
        <w:t xml:space="preserve"> baseline information about the condition of those elements that represent heritage values, maintenance and all actions that could impact on the property. The </w:t>
      </w:r>
      <w:r w:rsidR="000047DE" w:rsidRPr="00483234">
        <w:rPr>
          <w:spacing w:val="-4"/>
        </w:rPr>
        <w:t>Preventative Maintenance and Asset Management Plan</w:t>
      </w:r>
      <w:r w:rsidRPr="00483234">
        <w:rPr>
          <w:spacing w:val="-4"/>
        </w:rPr>
        <w:t xml:space="preserve"> forms the basis of the annual review, which aims to: </w:t>
      </w:r>
    </w:p>
    <w:p w:rsidR="007D34A4" w:rsidRDefault="007D34A4" w:rsidP="00F74D78">
      <w:pPr>
        <w:pStyle w:val="ListBullet"/>
        <w:numPr>
          <w:ilvl w:val="0"/>
          <w:numId w:val="30"/>
        </w:numPr>
      </w:pPr>
      <w:r>
        <w:t xml:space="preserve">ensure all Portfolio management, divestment and major project monitoring and reporting tools include heritage management tracking capabilities; </w:t>
      </w:r>
    </w:p>
    <w:p w:rsidR="007D34A4" w:rsidRDefault="007D34A4" w:rsidP="00F74D78">
      <w:pPr>
        <w:pStyle w:val="ListBullet"/>
        <w:numPr>
          <w:ilvl w:val="0"/>
          <w:numId w:val="30"/>
        </w:numPr>
      </w:pPr>
      <w:r>
        <w:t>ensure that a system of regular review, reporting and accountability is in place through a regular revision of the management plan;</w:t>
      </w:r>
    </w:p>
    <w:p w:rsidR="007D34A4" w:rsidRDefault="006A7806" w:rsidP="00F74D78">
      <w:pPr>
        <w:pStyle w:val="ListBullet"/>
        <w:numPr>
          <w:ilvl w:val="0"/>
          <w:numId w:val="30"/>
        </w:numPr>
      </w:pPr>
      <w:r>
        <w:t>identify</w:t>
      </w:r>
      <w:r w:rsidR="007D34A4">
        <w:t xml:space="preserve"> heritage values and potential risks through </w:t>
      </w:r>
      <w:r w:rsidR="00157012" w:rsidRPr="51BC41ED">
        <w:rPr>
          <w:lang w:eastAsia="en-AU"/>
        </w:rPr>
        <w:t>Heritage Assessment</w:t>
      </w:r>
      <w:r w:rsidR="007D34A4">
        <w:t xml:space="preserve">s and </w:t>
      </w:r>
      <w:r w:rsidR="00D7660D">
        <w:t xml:space="preserve">Heritage </w:t>
      </w:r>
      <w:r w:rsidR="00D7660D">
        <w:br/>
        <w:t>Impact Assessment</w:t>
      </w:r>
      <w:r w:rsidR="007D34A4">
        <w:t xml:space="preserve">s; </w:t>
      </w:r>
    </w:p>
    <w:p w:rsidR="007D34A4" w:rsidRDefault="007D34A4" w:rsidP="00F74D78">
      <w:pPr>
        <w:pStyle w:val="ListBullet"/>
        <w:numPr>
          <w:ilvl w:val="0"/>
          <w:numId w:val="30"/>
        </w:numPr>
      </w:pPr>
      <w:r>
        <w:t xml:space="preserve">revise </w:t>
      </w:r>
      <w:r w:rsidR="006A7806">
        <w:t xml:space="preserve">the </w:t>
      </w:r>
      <w:r>
        <w:t xml:space="preserve">status of HMPs as required; </w:t>
      </w:r>
    </w:p>
    <w:p w:rsidR="007D34A4" w:rsidRDefault="007D34A4" w:rsidP="00F74D78">
      <w:pPr>
        <w:pStyle w:val="ListBullet"/>
        <w:numPr>
          <w:ilvl w:val="0"/>
          <w:numId w:val="30"/>
        </w:numPr>
      </w:pPr>
      <w:r>
        <w:t xml:space="preserve">update the Finance Heritage Register and </w:t>
      </w:r>
      <w:r w:rsidR="00305FC4" w:rsidRPr="51BC41ED">
        <w:rPr>
          <w:lang w:eastAsia="en-AU"/>
        </w:rPr>
        <w:t>Commonwealth Heritage List</w:t>
      </w:r>
      <w:r>
        <w:t xml:space="preserve"> as required; and </w:t>
      </w:r>
    </w:p>
    <w:p w:rsidR="007D34A4" w:rsidRDefault="007D34A4" w:rsidP="00F74D78">
      <w:pPr>
        <w:pStyle w:val="ListBullet"/>
        <w:numPr>
          <w:ilvl w:val="0"/>
          <w:numId w:val="30"/>
        </w:numPr>
      </w:pPr>
      <w:r>
        <w:t xml:space="preserve">track referrals under the EPBC Act. </w:t>
      </w:r>
    </w:p>
    <w:p w:rsidR="007D34A4" w:rsidRDefault="007D34A4" w:rsidP="00F74D78">
      <w:pPr>
        <w:pStyle w:val="BodyText"/>
      </w:pPr>
      <w:r>
        <w:t xml:space="preserve">Finance will ensure that all staff with property and construction responsibilities adopt the policies outlined in this Strategy and deliver on its commitments. Finance will also ensure that robust processes and systems are in place via the </w:t>
      </w:r>
      <w:r w:rsidR="00AA2F40" w:rsidRPr="00B819BF">
        <w:t>Property Service Providers</w:t>
      </w:r>
      <w:r>
        <w:t xml:space="preserve"> for relevant property and construction contractors and that they too are accountable for contributing to the successful delivery of the Strategy.</w:t>
      </w:r>
      <w:r w:rsidR="0027266A">
        <w:t xml:space="preserve"> </w:t>
      </w:r>
    </w:p>
    <w:p w:rsidR="007D34A4" w:rsidRDefault="007D34A4" w:rsidP="00F74D78">
      <w:pPr>
        <w:pStyle w:val="BodyText"/>
      </w:pPr>
      <w:r>
        <w:lastRenderedPageBreak/>
        <w:t xml:space="preserve">To ensure progress against this Strategy is on track, Appendix A provides a summary list of commitments to be used to guide, prioritise and monitor implementation. </w:t>
      </w:r>
    </w:p>
    <w:p w:rsidR="00483234" w:rsidRDefault="00483234" w:rsidP="00F74D78">
      <w:pPr>
        <w:pStyle w:val="BodyText"/>
      </w:pPr>
    </w:p>
    <w:p w:rsidR="007D34A4" w:rsidRDefault="002E385D" w:rsidP="007D34A4">
      <w:pPr>
        <w:pStyle w:val="Heading1"/>
        <w:keepLines w:val="0"/>
        <w:numPr>
          <w:ilvl w:val="0"/>
          <w:numId w:val="29"/>
        </w:numPr>
        <w:suppressAutoHyphens w:val="0"/>
        <w:spacing w:before="0" w:after="240" w:line="260" w:lineRule="atLeast"/>
        <w:ind w:left="851" w:hanging="851"/>
        <w:contextualSpacing w:val="0"/>
        <w:rPr>
          <w:rFonts w:cstheme="minorBidi"/>
          <w:szCs w:val="24"/>
        </w:rPr>
      </w:pPr>
      <w:bookmarkStart w:id="40" w:name="_Toc78450060"/>
      <w:bookmarkStart w:id="41" w:name="_Toc80111189"/>
      <w:r>
        <w:t>I</w:t>
      </w:r>
      <w:r w:rsidR="007D34A4">
        <w:t>dentifying and assessing Commonwealth Heritage Values in the P</w:t>
      </w:r>
      <w:bookmarkEnd w:id="40"/>
      <w:r>
        <w:t>ortfolio</w:t>
      </w:r>
      <w:bookmarkEnd w:id="41"/>
      <w:r w:rsidR="007D34A4">
        <w:t xml:space="preserve"> </w:t>
      </w:r>
    </w:p>
    <w:p w:rsidR="007D34A4" w:rsidRDefault="007D34A4" w:rsidP="007D34A4">
      <w:pPr>
        <w:pStyle w:val="Heading2"/>
        <w:keepLines w:val="0"/>
        <w:numPr>
          <w:ilvl w:val="1"/>
          <w:numId w:val="29"/>
        </w:numPr>
        <w:suppressAutoHyphens w:val="0"/>
        <w:spacing w:before="240" w:after="180" w:line="260" w:lineRule="atLeast"/>
        <w:contextualSpacing w:val="0"/>
      </w:pPr>
      <w:bookmarkStart w:id="42" w:name="_Toc78450061"/>
      <w:bookmarkStart w:id="43" w:name="_Toc80111190"/>
      <w:r>
        <w:t>The process for identifying and assessing the Commonwealth Heritage values of the Portfolio (Section 2(a))</w:t>
      </w:r>
      <w:bookmarkEnd w:id="42"/>
      <w:bookmarkEnd w:id="43"/>
    </w:p>
    <w:p w:rsidR="007D34A4" w:rsidRDefault="007D34A4" w:rsidP="00F74D78">
      <w:pPr>
        <w:pStyle w:val="BodyText"/>
      </w:pPr>
      <w:r>
        <w:t xml:space="preserve">Finance has made progress with identification and assessment of </w:t>
      </w:r>
      <w:r w:rsidR="00606B0F">
        <w:t>Commonwealth Heritage</w:t>
      </w:r>
      <w:r>
        <w:t xml:space="preserve"> values within its Portfolio. The </w:t>
      </w:r>
      <w:r w:rsidR="00606B0F">
        <w:t>Commonwealth Heritage</w:t>
      </w:r>
      <w:r>
        <w:t xml:space="preserve"> values identification and assessment process for the Portfolio includes the following steps to be consistent with EPBC Act, Section 341ZB and Regulation 10.03G:</w:t>
      </w:r>
    </w:p>
    <w:p w:rsidR="007D34A4" w:rsidRDefault="007D34A4" w:rsidP="00F74D78">
      <w:pPr>
        <w:pStyle w:val="ListBullet"/>
        <w:numPr>
          <w:ilvl w:val="0"/>
          <w:numId w:val="30"/>
        </w:numPr>
      </w:pPr>
      <w:r>
        <w:t>consider natural and cultural heritage values;</w:t>
      </w:r>
    </w:p>
    <w:p w:rsidR="007D34A4" w:rsidRDefault="007D34A4" w:rsidP="00F74D78">
      <w:pPr>
        <w:pStyle w:val="ListBullet"/>
        <w:numPr>
          <w:ilvl w:val="0"/>
          <w:numId w:val="30"/>
        </w:numPr>
      </w:pPr>
      <w:r>
        <w:t xml:space="preserve">recognise Indigenous people as the primary source of information on the significance of their heritage and their participation as necessary to identify and assess Indigenous heritage values; </w:t>
      </w:r>
    </w:p>
    <w:p w:rsidR="007D34A4" w:rsidRDefault="007D34A4" w:rsidP="00F74D78">
      <w:pPr>
        <w:pStyle w:val="ListBullet"/>
        <w:numPr>
          <w:ilvl w:val="0"/>
          <w:numId w:val="30"/>
        </w:numPr>
      </w:pPr>
      <w:r>
        <w:t xml:space="preserve">identify values against the </w:t>
      </w:r>
      <w:r w:rsidR="00606B0F">
        <w:t>Commonwealth Heritage</w:t>
      </w:r>
      <w:r>
        <w:t xml:space="preserve"> criteria; </w:t>
      </w:r>
    </w:p>
    <w:p w:rsidR="007D34A4" w:rsidRDefault="007D34A4" w:rsidP="00F74D78">
      <w:pPr>
        <w:pStyle w:val="ListBullet"/>
        <w:numPr>
          <w:ilvl w:val="0"/>
          <w:numId w:val="30"/>
        </w:numPr>
      </w:pPr>
      <w:r>
        <w:t xml:space="preserve">use expert heritage advice to ensure that levels of documentary and field research are appropriate to best practice assessment and management of heritage values; </w:t>
      </w:r>
    </w:p>
    <w:p w:rsidR="007D34A4" w:rsidRDefault="007D34A4" w:rsidP="00F74D78">
      <w:pPr>
        <w:pStyle w:val="ListBullet"/>
        <w:numPr>
          <w:ilvl w:val="0"/>
          <w:numId w:val="30"/>
        </w:numPr>
      </w:pPr>
      <w:r>
        <w:t>use a comparative and thematic approach; and</w:t>
      </w:r>
    </w:p>
    <w:p w:rsidR="007D34A4" w:rsidRDefault="007D34A4" w:rsidP="00F74D78">
      <w:pPr>
        <w:pStyle w:val="ListBullet"/>
        <w:numPr>
          <w:ilvl w:val="0"/>
          <w:numId w:val="30"/>
        </w:numPr>
      </w:pPr>
      <w:r>
        <w:t>consult, as appropriate, with other government agencies, site stakeholders and the local community.</w:t>
      </w:r>
    </w:p>
    <w:p w:rsidR="007D34A4" w:rsidRDefault="007D34A4" w:rsidP="007D34A4">
      <w:pPr>
        <w:pStyle w:val="Heading5"/>
        <w:keepLines w:val="0"/>
        <w:numPr>
          <w:ilvl w:val="4"/>
          <w:numId w:val="29"/>
        </w:numPr>
        <w:suppressAutoHyphens w:val="0"/>
        <w:spacing w:after="60" w:line="260" w:lineRule="atLeast"/>
        <w:contextualSpacing w:val="0"/>
      </w:pPr>
      <w:r>
        <w:t>Commonwealth Heritage Management Principles</w:t>
      </w:r>
    </w:p>
    <w:p w:rsidR="007D34A4" w:rsidRDefault="007D34A4" w:rsidP="00F74D78">
      <w:pPr>
        <w:pStyle w:val="BodyText"/>
      </w:pPr>
      <w:r>
        <w:t xml:space="preserve">The Principles are set out in the EPBC Regulation 10.03D, Schedule 7B, and provide a guiding framework for excellence in managing </w:t>
      </w:r>
      <w:r w:rsidR="00606B0F">
        <w:t>Commonwealth Heritage</w:t>
      </w:r>
      <w:r>
        <w:t xml:space="preserve"> properties. While these principles are commonly referenced in the preparation and implementation of a HMP or program, they can also be drawn upon to test whether a potential action is in accordance with their fundamental tenets. Finance adheres to these Principles</w:t>
      </w:r>
      <w:r w:rsidR="002631F1">
        <w:t xml:space="preserve"> by</w:t>
      </w:r>
      <w:r>
        <w:t xml:space="preserve"> managing the Portfolio in line with the framework.</w:t>
      </w:r>
      <w:r w:rsidR="0027266A">
        <w:t xml:space="preserve"> </w:t>
      </w:r>
    </w:p>
    <w:p w:rsidR="007D34A4" w:rsidRDefault="007D34A4" w:rsidP="00F74D78">
      <w:pPr>
        <w:pStyle w:val="BodyText"/>
      </w:pPr>
      <w:r>
        <w:t>For further context the Principles are available online at:</w:t>
      </w:r>
    </w:p>
    <w:p w:rsidR="007D34A4" w:rsidRDefault="00FA38E8" w:rsidP="00F74D78">
      <w:pPr>
        <w:pStyle w:val="BodyText"/>
      </w:pPr>
      <w:hyperlink r:id="rId19" w:history="1">
        <w:r w:rsidR="007D34A4" w:rsidRPr="006D03A6">
          <w:rPr>
            <w:rStyle w:val="Hyperlink"/>
          </w:rPr>
          <w:t>https://www.environment.gov.au/heritage/management/commonwealth</w:t>
        </w:r>
      </w:hyperlink>
    </w:p>
    <w:p w:rsidR="007D34A4" w:rsidRDefault="007D34A4" w:rsidP="007D34A4">
      <w:pPr>
        <w:pStyle w:val="Heading5"/>
        <w:keepLines w:val="0"/>
        <w:numPr>
          <w:ilvl w:val="4"/>
          <w:numId w:val="29"/>
        </w:numPr>
        <w:suppressAutoHyphens w:val="0"/>
        <w:spacing w:after="60" w:line="260" w:lineRule="atLeast"/>
        <w:contextualSpacing w:val="0"/>
      </w:pPr>
      <w:r>
        <w:t>Guiding Industry Standards</w:t>
      </w:r>
    </w:p>
    <w:p w:rsidR="007D34A4" w:rsidRDefault="007D34A4" w:rsidP="00F74D78">
      <w:pPr>
        <w:pStyle w:val="BodyText"/>
      </w:pPr>
      <w:r>
        <w:t xml:space="preserve">The </w:t>
      </w:r>
      <w:r w:rsidR="00606B0F">
        <w:t>Commonwealth Heritage</w:t>
      </w:r>
      <w:r>
        <w:t xml:space="preserve"> values identification and assessment process is undertaken in accordance with EPBC Section 341ZB Regulation 10.03G, and is reflected in th</w:t>
      </w:r>
      <w:r w:rsidR="007B435D">
        <w:t xml:space="preserve">e Finance </w:t>
      </w:r>
      <w:r w:rsidR="00923CC6">
        <w:br/>
      </w:r>
      <w:r w:rsidR="007B435D">
        <w:t>significance criteria that</w:t>
      </w:r>
      <w:r>
        <w:t xml:space="preserve"> all </w:t>
      </w:r>
      <w:r w:rsidR="00157012" w:rsidRPr="51BC41ED">
        <w:rPr>
          <w:lang w:eastAsia="en-AU"/>
        </w:rPr>
        <w:t>Heritage Assessment</w:t>
      </w:r>
      <w:r>
        <w:t>s and HMPs prepared since 2015</w:t>
      </w:r>
      <w:r w:rsidR="002A6FBF">
        <w:t xml:space="preserve"> </w:t>
      </w:r>
      <w:r w:rsidR="00923CC6">
        <w:t>comply with</w:t>
      </w:r>
      <w:r>
        <w:t xml:space="preserve">. </w:t>
      </w:r>
      <w:r w:rsidR="00923CC6">
        <w:br/>
      </w:r>
      <w:r>
        <w:t xml:space="preserve">The </w:t>
      </w:r>
      <w:r w:rsidR="00606B0F">
        <w:t>Commonwealth Heritage</w:t>
      </w:r>
      <w:r>
        <w:t xml:space="preserve"> criteria set out in Regulation 10.03G is also aligned with industry expected best practice and standards, such as:</w:t>
      </w:r>
      <w:r w:rsidR="0027266A">
        <w:t xml:space="preserve"> </w:t>
      </w:r>
      <w:r>
        <w:t xml:space="preserve"> </w:t>
      </w:r>
    </w:p>
    <w:p w:rsidR="007D34A4" w:rsidRPr="001B1B46" w:rsidRDefault="007D34A4" w:rsidP="00F74D78">
      <w:pPr>
        <w:pStyle w:val="ListBullet"/>
        <w:numPr>
          <w:ilvl w:val="0"/>
          <w:numId w:val="30"/>
        </w:numPr>
        <w:rPr>
          <w:i/>
        </w:rPr>
      </w:pPr>
      <w:r w:rsidRPr="001B1B46">
        <w:rPr>
          <w:i/>
        </w:rPr>
        <w:t>The Burra Charter: The Australia ICOMOS Charter for Places of Cultural Significance. </w:t>
      </w:r>
      <w:r w:rsidR="00923CC6">
        <w:rPr>
          <w:i/>
        </w:rPr>
        <w:br/>
      </w:r>
      <w:r w:rsidRPr="001B1B46">
        <w:rPr>
          <w:i/>
        </w:rPr>
        <w:t>Australia ICOMOS, Australia</w:t>
      </w:r>
      <w:r w:rsidRPr="001B1B46" w:rsidDel="001B1B46">
        <w:rPr>
          <w:rFonts w:hint="eastAsia"/>
          <w:i/>
        </w:rPr>
        <w:t xml:space="preserve"> </w:t>
      </w:r>
      <w:r w:rsidRPr="001B1B46">
        <w:rPr>
          <w:i/>
        </w:rPr>
        <w:t xml:space="preserve">(2013); </w:t>
      </w:r>
    </w:p>
    <w:p w:rsidR="007D34A4" w:rsidRDefault="007D34A4" w:rsidP="00F74D78">
      <w:pPr>
        <w:pStyle w:val="ListBullet"/>
        <w:numPr>
          <w:ilvl w:val="0"/>
          <w:numId w:val="30"/>
        </w:numPr>
      </w:pPr>
      <w:r w:rsidRPr="0061138A">
        <w:rPr>
          <w:rFonts w:hint="eastAsia"/>
          <w:i/>
        </w:rPr>
        <w:t>Australian Natural Heritage Charter for the Conservation of Places of Natural Heritage Significance</w:t>
      </w:r>
      <w:r>
        <w:rPr>
          <w:rFonts w:hint="eastAsia"/>
        </w:rPr>
        <w:t>, Australian Heritage Commission 2002;</w:t>
      </w:r>
    </w:p>
    <w:p w:rsidR="007D34A4" w:rsidRDefault="007D34A4" w:rsidP="00F74D78">
      <w:pPr>
        <w:pStyle w:val="ListBullet"/>
        <w:numPr>
          <w:ilvl w:val="0"/>
          <w:numId w:val="30"/>
        </w:numPr>
      </w:pPr>
      <w:r>
        <w:rPr>
          <w:rFonts w:hint="eastAsia"/>
        </w:rPr>
        <w:t>Developing Management Plans (Department of the Environment, u.d);</w:t>
      </w:r>
    </w:p>
    <w:p w:rsidR="007D34A4" w:rsidRDefault="007D34A4" w:rsidP="00F74D78">
      <w:pPr>
        <w:pStyle w:val="ListBullet"/>
        <w:numPr>
          <w:ilvl w:val="0"/>
          <w:numId w:val="30"/>
        </w:numPr>
      </w:pPr>
      <w:r w:rsidRPr="51BC41ED">
        <w:rPr>
          <w:i/>
          <w:iCs/>
        </w:rPr>
        <w:t>Engage Early: Guidance for proponents on best practice Indigenous engagement for environmental assessments under the EPBC Act</w:t>
      </w:r>
      <w:r>
        <w:t xml:space="preserve"> (Department of Environment 2016);</w:t>
      </w:r>
    </w:p>
    <w:p w:rsidR="007D34A4" w:rsidRDefault="007D34A4" w:rsidP="00F74D78">
      <w:pPr>
        <w:pStyle w:val="ListBullet"/>
        <w:numPr>
          <w:ilvl w:val="0"/>
          <w:numId w:val="30"/>
        </w:numPr>
      </w:pPr>
      <w:r>
        <w:rPr>
          <w:rFonts w:hint="eastAsia"/>
        </w:rPr>
        <w:lastRenderedPageBreak/>
        <w:t xml:space="preserve">Heritage criteria and Commonwealth Heritage Management Principles; </w:t>
      </w:r>
    </w:p>
    <w:p w:rsidR="007D34A4" w:rsidRPr="007174B6" w:rsidRDefault="007D34A4" w:rsidP="00F74D78">
      <w:pPr>
        <w:pStyle w:val="ListBullet"/>
        <w:numPr>
          <w:ilvl w:val="0"/>
          <w:numId w:val="30"/>
        </w:numPr>
      </w:pPr>
      <w:r w:rsidRPr="0061138A">
        <w:rPr>
          <w:i/>
        </w:rPr>
        <w:t>Identifying Commonwealth Heritage Values and Establishing a Heritage Register: A Guide for Commonwealth Agencies</w:t>
      </w:r>
      <w:r w:rsidRPr="007174B6">
        <w:t xml:space="preserve"> (Australian Heritage Council, 2010);</w:t>
      </w:r>
      <w:r>
        <w:t xml:space="preserve"> and</w:t>
      </w:r>
    </w:p>
    <w:p w:rsidR="007D34A4" w:rsidRDefault="007D34A4" w:rsidP="00F74D78">
      <w:pPr>
        <w:pStyle w:val="ListBullet"/>
        <w:numPr>
          <w:ilvl w:val="0"/>
          <w:numId w:val="30"/>
        </w:numPr>
      </w:pPr>
      <w:r w:rsidRPr="0061138A">
        <w:rPr>
          <w:rFonts w:cs="Arial"/>
          <w:i/>
        </w:rPr>
        <w:t>Working Together Managing Commonwealth Heritage Places, A guide for Commonwealth Agencies</w:t>
      </w:r>
      <w:r>
        <w:rPr>
          <w:rFonts w:cs="Arial"/>
        </w:rPr>
        <w:t xml:space="preserve"> (Commonwealth of Australia 2019).</w:t>
      </w:r>
    </w:p>
    <w:p w:rsidR="007D34A4" w:rsidRDefault="007D34A4" w:rsidP="00F74D78">
      <w:pPr>
        <w:pStyle w:val="BodyText"/>
      </w:pPr>
      <w:r>
        <w:t xml:space="preserve">All </w:t>
      </w:r>
      <w:r w:rsidR="00157012" w:rsidRPr="51BC41ED">
        <w:rPr>
          <w:lang w:eastAsia="en-AU"/>
        </w:rPr>
        <w:t>Heritage Assessment</w:t>
      </w:r>
      <w:r>
        <w:t xml:space="preserve">s </w:t>
      </w:r>
      <w:r w:rsidRPr="00BA18D1">
        <w:t xml:space="preserve">prepared since 2015 have been undertaken by suitably qualified heritage specialists and in accordance with Finance’s </w:t>
      </w:r>
      <w:r w:rsidR="00157012" w:rsidRPr="51BC41ED">
        <w:rPr>
          <w:lang w:eastAsia="en-AU"/>
        </w:rPr>
        <w:t>Heritage Assessment</w:t>
      </w:r>
      <w:r w:rsidRPr="00BA18D1">
        <w:t xml:space="preserve"> format.</w:t>
      </w:r>
      <w:r>
        <w:t xml:space="preserve"> </w:t>
      </w:r>
    </w:p>
    <w:p w:rsidR="007D34A4" w:rsidRDefault="007D34A4" w:rsidP="00F74D78">
      <w:pPr>
        <w:pStyle w:val="BodyText"/>
      </w:pPr>
      <w:r>
        <w:t xml:space="preserve">Finance will continue to: </w:t>
      </w:r>
    </w:p>
    <w:p w:rsidR="007D34A4" w:rsidRPr="00051E42" w:rsidRDefault="007D34A4" w:rsidP="00F74D78">
      <w:pPr>
        <w:pStyle w:val="ListBullet"/>
        <w:numPr>
          <w:ilvl w:val="0"/>
          <w:numId w:val="30"/>
        </w:numPr>
      </w:pPr>
      <w:r>
        <w:t xml:space="preserve">ensure it seeks relevant expert advice from qualified and appropriate sources in the assessment of the full range of heritage values for the Portfolio; </w:t>
      </w:r>
    </w:p>
    <w:p w:rsidR="007D34A4" w:rsidRPr="00051E42" w:rsidRDefault="007D34A4" w:rsidP="00F74D78">
      <w:pPr>
        <w:pStyle w:val="ListBullet"/>
        <w:numPr>
          <w:ilvl w:val="0"/>
          <w:numId w:val="30"/>
        </w:numPr>
      </w:pPr>
      <w:r>
        <w:t xml:space="preserve">update the Finance Heritage Register where an assessment identifies Commonwealth or other heritage values; and </w:t>
      </w:r>
    </w:p>
    <w:p w:rsidR="007D34A4" w:rsidRPr="00051E42" w:rsidRDefault="007D34A4" w:rsidP="00F74D78">
      <w:pPr>
        <w:pStyle w:val="ListBullet"/>
        <w:numPr>
          <w:ilvl w:val="0"/>
          <w:numId w:val="30"/>
        </w:numPr>
      </w:pPr>
      <w:r>
        <w:t xml:space="preserve">utilise the information in HMPs to inform discussions around the management of existing </w:t>
      </w:r>
      <w:r w:rsidR="00606B0F">
        <w:t>Commonwealth Heritage</w:t>
      </w:r>
      <w:r>
        <w:t xml:space="preserve"> places. </w:t>
      </w:r>
    </w:p>
    <w:p w:rsidR="007D34A4" w:rsidRDefault="007D34A4" w:rsidP="007D34A4">
      <w:pPr>
        <w:pStyle w:val="Heading2"/>
        <w:keepLines w:val="0"/>
        <w:numPr>
          <w:ilvl w:val="1"/>
          <w:numId w:val="29"/>
        </w:numPr>
        <w:suppressAutoHyphens w:val="0"/>
        <w:spacing w:before="240" w:after="180" w:line="260" w:lineRule="atLeast"/>
        <w:contextualSpacing w:val="0"/>
      </w:pPr>
      <w:bookmarkStart w:id="44" w:name="_Toc78450062"/>
      <w:bookmarkStart w:id="45" w:name="_Toc80111191"/>
      <w:r>
        <w:t xml:space="preserve">Time-frames for completion of identification and assessments, </w:t>
      </w:r>
      <w:r w:rsidR="008610BC">
        <w:br/>
      </w:r>
      <w:r>
        <w:t>the register and the report to the Minister (Section 2(b)(i)-(iii))</w:t>
      </w:r>
      <w:bookmarkEnd w:id="44"/>
      <w:bookmarkEnd w:id="45"/>
    </w:p>
    <w:p w:rsidR="007D34A4" w:rsidRDefault="007D34A4" w:rsidP="007D34A4">
      <w:pPr>
        <w:pStyle w:val="Heading3"/>
        <w:keepLines w:val="0"/>
        <w:numPr>
          <w:ilvl w:val="2"/>
          <w:numId w:val="29"/>
        </w:numPr>
        <w:suppressAutoHyphens w:val="0"/>
        <w:spacing w:before="240" w:after="60" w:line="260" w:lineRule="atLeast"/>
        <w:contextualSpacing w:val="0"/>
      </w:pPr>
      <w:bookmarkStart w:id="46" w:name="_Toc78450063"/>
      <w:r w:rsidRPr="0089423F">
        <w:t xml:space="preserve">Time-frames for completion of </w:t>
      </w:r>
      <w:r>
        <w:t>heritage value identification and assessment program</w:t>
      </w:r>
      <w:bookmarkEnd w:id="46"/>
    </w:p>
    <w:p w:rsidR="007D34A4" w:rsidRDefault="008610BC" w:rsidP="00F74D78">
      <w:pPr>
        <w:pStyle w:val="BodyText"/>
      </w:pPr>
      <w:r>
        <w:t xml:space="preserve">Finance is progressively completing </w:t>
      </w:r>
      <w:r w:rsidR="00157012" w:rsidRPr="51BC41ED">
        <w:rPr>
          <w:lang w:eastAsia="en-AU"/>
        </w:rPr>
        <w:t>Heritage Assessment</w:t>
      </w:r>
      <w:r>
        <w:t xml:space="preserve">s for the Portfolio to identify and assess the presence of Commonwealth or other heritage values. Finance has reported to the Environment Minister, outlining the status of the Heritage Identification and Assessment, as part of the Heritage Strategy Review Report 2021. This is an ongoing program. </w:t>
      </w:r>
      <w:r w:rsidR="002A6FBF">
        <w:t>Heritage Assessments are required for two properties, which are anticipated to be completed by mid to late 2022 due to challenges in accessing these properties.</w:t>
      </w:r>
      <w:r>
        <w:t xml:space="preserve"> Any acquired properties will be assessed within 12 months of entering the Portfolio</w:t>
      </w:r>
      <w:r w:rsidR="007D34A4">
        <w:t>.</w:t>
      </w:r>
    </w:p>
    <w:p w:rsidR="008610BC" w:rsidRDefault="008610BC" w:rsidP="00F74D78">
      <w:pPr>
        <w:pStyle w:val="BodyText"/>
      </w:pPr>
      <w:r>
        <w:t xml:space="preserve">Currently information on the properties listed under the </w:t>
      </w:r>
      <w:r w:rsidR="00305FC4" w:rsidRPr="51BC41ED">
        <w:rPr>
          <w:lang w:eastAsia="en-AU"/>
        </w:rPr>
        <w:t>Commonwealth Heritage List</w:t>
      </w:r>
      <w:r>
        <w:t xml:space="preserve"> are publicly available through the Australian Heritage Database. </w:t>
      </w:r>
      <w:r w:rsidR="00606173">
        <w:t>An</w:t>
      </w:r>
      <w:r>
        <w:t xml:space="preserve"> updated Heritage Register will be provided to the Minister for the Environment and published on Finance's website in December 2021.</w:t>
      </w:r>
    </w:p>
    <w:p w:rsidR="007D34A4" w:rsidRDefault="007D34A4" w:rsidP="00483234">
      <w:pPr>
        <w:spacing w:line="240" w:lineRule="auto"/>
      </w:pPr>
      <w:r>
        <w:br w:type="page"/>
      </w:r>
    </w:p>
    <w:p w:rsidR="007D34A4" w:rsidRDefault="007D34A4" w:rsidP="007D34A4">
      <w:pPr>
        <w:pStyle w:val="Heading1"/>
        <w:keepLines w:val="0"/>
        <w:numPr>
          <w:ilvl w:val="0"/>
          <w:numId w:val="29"/>
        </w:numPr>
        <w:suppressAutoHyphens w:val="0"/>
        <w:spacing w:before="0" w:after="240" w:line="260" w:lineRule="atLeast"/>
        <w:ind w:left="851" w:hanging="851"/>
        <w:contextualSpacing w:val="0"/>
      </w:pPr>
      <w:bookmarkStart w:id="47" w:name="_Toc78450064"/>
      <w:bookmarkStart w:id="48" w:name="_Toc80111192"/>
      <w:r>
        <w:lastRenderedPageBreak/>
        <w:t>Finance Heritage Register and Heritage Management Program</w:t>
      </w:r>
      <w:bookmarkEnd w:id="47"/>
      <w:bookmarkEnd w:id="48"/>
    </w:p>
    <w:p w:rsidR="007D34A4" w:rsidRDefault="007D34A4" w:rsidP="007D34A4">
      <w:pPr>
        <w:pStyle w:val="Heading2"/>
        <w:keepLines w:val="0"/>
        <w:numPr>
          <w:ilvl w:val="1"/>
          <w:numId w:val="29"/>
        </w:numPr>
        <w:suppressAutoHyphens w:val="0"/>
        <w:spacing w:before="240" w:after="180" w:line="260" w:lineRule="atLeast"/>
        <w:contextualSpacing w:val="0"/>
      </w:pPr>
      <w:bookmarkStart w:id="49" w:name="_Toc78450065"/>
      <w:bookmarkStart w:id="50" w:name="_Toc80111193"/>
      <w:r>
        <w:t>How Finance’s Heritage Register will be maintained, updated and made accessible for public view (Section 3(a))</w:t>
      </w:r>
      <w:bookmarkEnd w:id="49"/>
      <w:bookmarkEnd w:id="50"/>
    </w:p>
    <w:p w:rsidR="007D34A4" w:rsidRDefault="007D34A4" w:rsidP="00F74D78">
      <w:pPr>
        <w:pStyle w:val="BodyText"/>
      </w:pPr>
      <w:r>
        <w:t xml:space="preserve">In accordance with the EPBC Act, the Heritage Register has been publicly available on Finance’s webpage since 2013. </w:t>
      </w:r>
      <w:r w:rsidR="00FD2C03">
        <w:t xml:space="preserve">The </w:t>
      </w:r>
      <w:r w:rsidR="00E83224">
        <w:t>R</w:t>
      </w:r>
      <w:r w:rsidR="00FD2C03">
        <w:t xml:space="preserve">egister is </w:t>
      </w:r>
      <w:r w:rsidR="00E83224">
        <w:t xml:space="preserve">currently </w:t>
      </w:r>
      <w:r w:rsidR="00FD2C03">
        <w:t xml:space="preserve">being reviewed and a new </w:t>
      </w:r>
      <w:r w:rsidR="00E83224">
        <w:t>R</w:t>
      </w:r>
      <w:r w:rsidR="00FD2C03">
        <w:t xml:space="preserve">egister will be uploaded </w:t>
      </w:r>
      <w:r w:rsidR="00E83224">
        <w:t>in December 2021</w:t>
      </w:r>
      <w:r w:rsidR="00FD2C03">
        <w:t>.</w:t>
      </w:r>
      <w:r>
        <w:t xml:space="preserve"> </w:t>
      </w:r>
    </w:p>
    <w:p w:rsidR="007D34A4" w:rsidRDefault="007D34A4" w:rsidP="00F74D78">
      <w:pPr>
        <w:pStyle w:val="BodyText"/>
      </w:pPr>
      <w:r>
        <w:t xml:space="preserve">The Heritage Register is maintained by </w:t>
      </w:r>
      <w:r w:rsidR="00E83224">
        <w:t>Finance and</w:t>
      </w:r>
      <w:r>
        <w:t xml:space="preserve"> updated on an annual basis.</w:t>
      </w:r>
    </w:p>
    <w:p w:rsidR="007D34A4" w:rsidRDefault="00485E60" w:rsidP="00F74D78">
      <w:pPr>
        <w:pStyle w:val="BodyText"/>
      </w:pPr>
      <w:r w:rsidRPr="00485E60">
        <w:t xml:space="preserve">Finance also relies on the Australian Heritage Database, maintained by DAWE, to provide public information about its </w:t>
      </w:r>
      <w:r w:rsidR="00606B0F">
        <w:t>Commonwealth Heritage</w:t>
      </w:r>
      <w:r w:rsidRPr="00485E60">
        <w:t xml:space="preserve"> places. </w:t>
      </w:r>
    </w:p>
    <w:p w:rsidR="007D34A4" w:rsidRDefault="007D34A4" w:rsidP="007D34A4">
      <w:pPr>
        <w:pStyle w:val="Heading2"/>
        <w:keepLines w:val="0"/>
        <w:numPr>
          <w:ilvl w:val="1"/>
          <w:numId w:val="29"/>
        </w:numPr>
        <w:suppressAutoHyphens w:val="0"/>
        <w:spacing w:before="240" w:after="180" w:line="260" w:lineRule="atLeast"/>
        <w:contextualSpacing w:val="0"/>
      </w:pPr>
      <w:bookmarkStart w:id="51" w:name="_Toc78450066"/>
      <w:bookmarkStart w:id="52" w:name="_Toc80111194"/>
      <w:r w:rsidRPr="0089423F">
        <w:t>Timeframe for the preparation of management plans for Co</w:t>
      </w:r>
      <w:r>
        <w:t xml:space="preserve">mmonwealth </w:t>
      </w:r>
      <w:r w:rsidR="00994D65">
        <w:t>H</w:t>
      </w:r>
      <w:r>
        <w:t>eritage places (S</w:t>
      </w:r>
      <w:r w:rsidRPr="0089423F">
        <w:t>ection 3(b))</w:t>
      </w:r>
      <w:bookmarkEnd w:id="51"/>
      <w:bookmarkEnd w:id="52"/>
    </w:p>
    <w:p w:rsidR="007D34A4" w:rsidRPr="00F74D78" w:rsidRDefault="007D34A4" w:rsidP="00F74D78">
      <w:pPr>
        <w:pStyle w:val="BodyText"/>
        <w:rPr>
          <w:spacing w:val="-2"/>
        </w:rPr>
      </w:pPr>
      <w:r w:rsidRPr="00F74D78">
        <w:rPr>
          <w:spacing w:val="-2"/>
        </w:rPr>
        <w:t xml:space="preserve">Finance has made steady progress with the preparation and updating of HMPs for properties with identified </w:t>
      </w:r>
      <w:r w:rsidR="00606B0F">
        <w:t>Commonwealth Heritage</w:t>
      </w:r>
      <w:r w:rsidRPr="00F74D78">
        <w:rPr>
          <w:spacing w:val="-2"/>
        </w:rPr>
        <w:t xml:space="preserve"> values within the Portfolio. </w:t>
      </w:r>
      <w:r w:rsidRPr="00F74D78">
        <w:rPr>
          <w:spacing w:val="-2"/>
          <w:lang w:val="en-AU"/>
        </w:rPr>
        <w:t xml:space="preserve">The program for updating or preparing HMPs </w:t>
      </w:r>
      <w:r w:rsidR="00C748BA">
        <w:rPr>
          <w:spacing w:val="-2"/>
          <w:lang w:val="en-AU"/>
        </w:rPr>
        <w:t>is</w:t>
      </w:r>
      <w:r w:rsidRPr="00F74D78">
        <w:rPr>
          <w:spacing w:val="-2"/>
          <w:lang w:val="en-AU"/>
        </w:rPr>
        <w:t xml:space="preserve"> subject to change as properties are divested or transferred to Finance.</w:t>
      </w:r>
      <w:r w:rsidR="0027266A">
        <w:rPr>
          <w:spacing w:val="-2"/>
          <w:lang w:val="en-AU"/>
        </w:rPr>
        <w:t xml:space="preserve"> </w:t>
      </w:r>
      <w:r w:rsidRPr="00F74D78">
        <w:rPr>
          <w:spacing w:val="-2"/>
          <w:lang w:val="en-AU"/>
        </w:rPr>
        <w:t xml:space="preserve">Review of properties is on a rolling schedule, based on when the HMP was initially endorsed. </w:t>
      </w:r>
      <w:r w:rsidRPr="00F74D78">
        <w:rPr>
          <w:spacing w:val="-2"/>
        </w:rPr>
        <w:t>HMPs are to be reviewed and updated at least once every five years from their commencement, in accordance with the EPBC Act.</w:t>
      </w:r>
    </w:p>
    <w:p w:rsidR="007D34A4" w:rsidRPr="00EC5058" w:rsidRDefault="007D34A4" w:rsidP="00F74D78">
      <w:pPr>
        <w:pStyle w:val="BodyText"/>
      </w:pPr>
      <w:r w:rsidRPr="74EA9CD7">
        <w:t xml:space="preserve">Finance has adopted a risk-based approach to prioritise the development of HMPs. The Portfolio’s heritage properties are identified as high risk where the site: </w:t>
      </w:r>
    </w:p>
    <w:p w:rsidR="007D34A4" w:rsidRPr="00466211" w:rsidRDefault="007D34A4" w:rsidP="00F74D78">
      <w:pPr>
        <w:numPr>
          <w:ilvl w:val="0"/>
          <w:numId w:val="30"/>
        </w:numPr>
        <w:suppressAutoHyphens w:val="0"/>
        <w:spacing w:before="120" w:line="260" w:lineRule="atLeast"/>
        <w:rPr>
          <w:sz w:val="20"/>
          <w:szCs w:val="20"/>
        </w:rPr>
      </w:pPr>
      <w:r w:rsidRPr="00466211">
        <w:rPr>
          <w:sz w:val="20"/>
          <w:szCs w:val="20"/>
        </w:rPr>
        <w:t xml:space="preserve">did not have an existing Conservation Management Plan or HMP; </w:t>
      </w:r>
    </w:p>
    <w:p w:rsidR="007D34A4" w:rsidRPr="00466211" w:rsidRDefault="007D34A4" w:rsidP="00F74D78">
      <w:pPr>
        <w:numPr>
          <w:ilvl w:val="0"/>
          <w:numId w:val="30"/>
        </w:numPr>
        <w:suppressAutoHyphens w:val="0"/>
        <w:spacing w:before="120" w:line="260" w:lineRule="atLeast"/>
        <w:rPr>
          <w:sz w:val="20"/>
          <w:szCs w:val="20"/>
        </w:rPr>
      </w:pPr>
      <w:r w:rsidRPr="00466211">
        <w:rPr>
          <w:sz w:val="20"/>
          <w:szCs w:val="20"/>
        </w:rPr>
        <w:t>is / was scheduled for divestment; and</w:t>
      </w:r>
    </w:p>
    <w:p w:rsidR="007D34A4" w:rsidRPr="00466211" w:rsidRDefault="007D34A4" w:rsidP="00F74D78">
      <w:pPr>
        <w:numPr>
          <w:ilvl w:val="0"/>
          <w:numId w:val="30"/>
        </w:numPr>
        <w:suppressAutoHyphens w:val="0"/>
        <w:spacing w:before="120" w:line="260" w:lineRule="atLeast"/>
        <w:rPr>
          <w:sz w:val="20"/>
          <w:szCs w:val="20"/>
        </w:rPr>
      </w:pPr>
      <w:r w:rsidRPr="00466211">
        <w:rPr>
          <w:sz w:val="20"/>
          <w:szCs w:val="20"/>
        </w:rPr>
        <w:t>is / was scheduled for refurbishment or major maintenance works.</w:t>
      </w:r>
      <w:r w:rsidR="0027266A">
        <w:rPr>
          <w:sz w:val="20"/>
          <w:szCs w:val="20"/>
        </w:rPr>
        <w:t xml:space="preserve"> </w:t>
      </w:r>
    </w:p>
    <w:p w:rsidR="007D34A4" w:rsidRDefault="007D34A4" w:rsidP="00F74D78">
      <w:pPr>
        <w:pStyle w:val="BodyText"/>
      </w:pPr>
      <w:r w:rsidRPr="51BC41ED">
        <w:t xml:space="preserve">The HMPs incorporate and reflect the </w:t>
      </w:r>
      <w:r w:rsidR="00606B0F">
        <w:t>Commonwealth Heritage</w:t>
      </w:r>
      <w:r w:rsidRPr="51BC41ED">
        <w:t xml:space="preserve"> criteria, and address the requirements for preparing management plans for properties with </w:t>
      </w:r>
      <w:r w:rsidR="00606B0F">
        <w:t>Commonwealth Heritage</w:t>
      </w:r>
      <w:r w:rsidRPr="51BC41ED">
        <w:t xml:space="preserve"> values, as guided by the Principles. In addition Finance has developed a format to ensure all HMPs are compliant, consistent and easy to use. </w:t>
      </w:r>
    </w:p>
    <w:p w:rsidR="007D34A4" w:rsidRPr="00EC5058" w:rsidRDefault="00606173" w:rsidP="00F74D78">
      <w:pPr>
        <w:pStyle w:val="BodyText"/>
      </w:pPr>
      <w:r>
        <w:t>Properties requiring preparation of a HMP, or where an update is scheduled, will be completed by mid-2022</w:t>
      </w:r>
      <w:r w:rsidR="007D34A4">
        <w:t>.</w:t>
      </w:r>
      <w:r w:rsidR="007D34A4" w:rsidRPr="51BC41ED">
        <w:t xml:space="preserve"> </w:t>
      </w:r>
    </w:p>
    <w:p w:rsidR="007D34A4" w:rsidRDefault="007D34A4" w:rsidP="00F74D78">
      <w:pPr>
        <w:pStyle w:val="BodyText"/>
      </w:pPr>
      <w:r>
        <w:t xml:space="preserve">There are a number of properties in the Portfolio that are not on the </w:t>
      </w:r>
      <w:r w:rsidR="00305FC4" w:rsidRPr="51BC41ED">
        <w:rPr>
          <w:lang w:eastAsia="en-AU"/>
        </w:rPr>
        <w:t>Commonwealth Heritage List</w:t>
      </w:r>
      <w:r>
        <w:t xml:space="preserve">. These places are being assessed against the </w:t>
      </w:r>
      <w:r w:rsidR="00606B0F">
        <w:t>Commonwealth Heritage</w:t>
      </w:r>
      <w:r>
        <w:t xml:space="preserve"> criteria as part of an ongoing risk-based process. All places which are assessed as having potential </w:t>
      </w:r>
      <w:r w:rsidR="00606B0F">
        <w:t>Commonwealth Heritage</w:t>
      </w:r>
      <w:r>
        <w:t xml:space="preserve"> values, but are not currently entered in the </w:t>
      </w:r>
      <w:r w:rsidR="00305FC4" w:rsidRPr="51BC41ED">
        <w:rPr>
          <w:lang w:eastAsia="en-AU"/>
        </w:rPr>
        <w:t>Commonwealth Heritage List</w:t>
      </w:r>
      <w:r>
        <w:t>, will be managed in accordance with the Principles.</w:t>
      </w:r>
    </w:p>
    <w:p w:rsidR="007D34A4" w:rsidRPr="001D301E" w:rsidRDefault="007D34A4" w:rsidP="007D34A4">
      <w:pPr>
        <w:pStyle w:val="Heading5"/>
        <w:keepLines w:val="0"/>
        <w:numPr>
          <w:ilvl w:val="4"/>
          <w:numId w:val="29"/>
        </w:numPr>
        <w:suppressAutoHyphens w:val="0"/>
        <w:spacing w:after="60" w:line="260" w:lineRule="atLeast"/>
        <w:contextualSpacing w:val="0"/>
      </w:pPr>
      <w:r>
        <w:t>Public Notification of HMPs</w:t>
      </w:r>
    </w:p>
    <w:p w:rsidR="007D34A4" w:rsidRDefault="007D34A4" w:rsidP="00F74D78">
      <w:pPr>
        <w:pStyle w:val="BodyText1"/>
        <w:rPr>
          <w:rFonts w:asciiTheme="minorHAnsi" w:eastAsiaTheme="minorEastAsia" w:hAnsiTheme="minorHAnsi" w:cstheme="minorBidi"/>
          <w:sz w:val="20"/>
          <w:szCs w:val="20"/>
          <w:lang w:val="en-GB"/>
        </w:rPr>
      </w:pPr>
      <w:r w:rsidRPr="003E4292">
        <w:rPr>
          <w:rFonts w:asciiTheme="minorHAnsi" w:eastAsiaTheme="minorEastAsia" w:hAnsiTheme="minorHAnsi" w:cstheme="minorBidi"/>
          <w:sz w:val="20"/>
          <w:szCs w:val="20"/>
          <w:lang w:val="en-GB"/>
        </w:rPr>
        <w:t xml:space="preserve">The EPBC Act requires public notification of draft HMPs for </w:t>
      </w:r>
      <w:r w:rsidR="00606B0F" w:rsidRPr="00606B0F">
        <w:rPr>
          <w:rFonts w:asciiTheme="minorHAnsi" w:eastAsiaTheme="minorEastAsia" w:hAnsiTheme="minorHAnsi" w:cstheme="minorBidi"/>
          <w:sz w:val="20"/>
          <w:szCs w:val="20"/>
          <w:lang w:val="en-GB"/>
        </w:rPr>
        <w:t>Commonwealth Heritage</w:t>
      </w:r>
      <w:r w:rsidRPr="003E4292">
        <w:rPr>
          <w:rFonts w:asciiTheme="minorHAnsi" w:eastAsiaTheme="minorEastAsia" w:hAnsiTheme="minorHAnsi" w:cstheme="minorBidi"/>
          <w:sz w:val="20"/>
          <w:szCs w:val="20"/>
          <w:lang w:val="en-GB"/>
        </w:rPr>
        <w:t xml:space="preserve"> places.</w:t>
      </w:r>
      <w:r w:rsidRPr="003E4292">
        <w:rPr>
          <w:rStyle w:val="FootnoteReference"/>
        </w:rPr>
        <w:footnoteReference w:id="7"/>
      </w:r>
      <w:r w:rsidRPr="003E4292">
        <w:t xml:space="preserve"> </w:t>
      </w:r>
      <w:r w:rsidRPr="003E4292">
        <w:rPr>
          <w:rFonts w:asciiTheme="minorHAnsi" w:eastAsiaTheme="minorEastAsia" w:hAnsiTheme="minorHAnsi" w:cstheme="minorBidi"/>
          <w:sz w:val="20"/>
          <w:szCs w:val="20"/>
          <w:lang w:val="en-GB"/>
        </w:rPr>
        <w:t>In order to address security requirements for certain Finance properties, Finance may prepare a ‘public version’ of the draft HMP to</w:t>
      </w:r>
      <w:r w:rsidRPr="12BA9C70">
        <w:rPr>
          <w:rFonts w:asciiTheme="minorHAnsi" w:eastAsiaTheme="minorEastAsia" w:hAnsiTheme="minorHAnsi" w:cstheme="minorBidi"/>
          <w:sz w:val="20"/>
          <w:szCs w:val="20"/>
          <w:lang w:val="en-GB"/>
        </w:rPr>
        <w:t xml:space="preserve"> appropriately manage classified and sensitive information</w:t>
      </w:r>
      <w:r>
        <w:rPr>
          <w:rFonts w:asciiTheme="minorHAnsi" w:eastAsiaTheme="minorEastAsia" w:hAnsiTheme="minorHAnsi" w:cstheme="minorBidi"/>
          <w:sz w:val="20"/>
          <w:szCs w:val="20"/>
          <w:lang w:val="en-GB"/>
        </w:rPr>
        <w:t>.</w:t>
      </w:r>
      <w:r w:rsidR="0027266A">
        <w:rPr>
          <w:rFonts w:asciiTheme="minorHAnsi" w:eastAsiaTheme="minorEastAsia" w:hAnsiTheme="minorHAnsi" w:cstheme="minorBidi"/>
          <w:sz w:val="20"/>
          <w:szCs w:val="20"/>
          <w:lang w:val="en-GB"/>
        </w:rPr>
        <w:t xml:space="preserve"> </w:t>
      </w:r>
      <w:r>
        <w:rPr>
          <w:rFonts w:asciiTheme="minorHAnsi" w:eastAsiaTheme="minorEastAsia" w:hAnsiTheme="minorHAnsi" w:cstheme="minorBidi"/>
          <w:sz w:val="20"/>
          <w:szCs w:val="20"/>
          <w:lang w:val="en-GB"/>
        </w:rPr>
        <w:t xml:space="preserve">Notices inviting comments from members of the public, Indigenous people with rights and interests in the place, other </w:t>
      </w:r>
      <w:r>
        <w:rPr>
          <w:rFonts w:asciiTheme="minorHAnsi" w:eastAsiaTheme="minorEastAsia" w:hAnsiTheme="minorHAnsi" w:cstheme="minorBidi"/>
          <w:sz w:val="20"/>
          <w:szCs w:val="20"/>
          <w:lang w:val="en-GB"/>
        </w:rPr>
        <w:lastRenderedPageBreak/>
        <w:t xml:space="preserve">ACT Government agencies with interest in the site (if any) and organisations or groups with interest in the property. </w:t>
      </w:r>
      <w:r w:rsidR="00485E60" w:rsidRPr="00485E60">
        <w:rPr>
          <w:rFonts w:asciiTheme="minorHAnsi" w:eastAsiaTheme="minorEastAsia" w:hAnsiTheme="minorHAnsi" w:cstheme="minorBidi"/>
          <w:sz w:val="20"/>
          <w:szCs w:val="20"/>
          <w:lang w:val="en-GB"/>
        </w:rPr>
        <w:t>Following public consultation, Finance will subm</w:t>
      </w:r>
      <w:r w:rsidR="00485E60">
        <w:rPr>
          <w:rFonts w:asciiTheme="minorHAnsi" w:eastAsiaTheme="minorEastAsia" w:hAnsiTheme="minorHAnsi" w:cstheme="minorBidi"/>
          <w:sz w:val="20"/>
          <w:szCs w:val="20"/>
          <w:lang w:val="en-GB"/>
        </w:rPr>
        <w:t>it the HMP to DAWE for approval</w:t>
      </w:r>
      <w:r w:rsidRPr="12BA9C70">
        <w:rPr>
          <w:rFonts w:asciiTheme="minorHAnsi" w:eastAsiaTheme="minorEastAsia" w:hAnsiTheme="minorHAnsi" w:cstheme="minorBidi"/>
          <w:sz w:val="20"/>
          <w:szCs w:val="20"/>
          <w:lang w:val="en-GB"/>
        </w:rPr>
        <w:t>.</w:t>
      </w:r>
    </w:p>
    <w:p w:rsidR="007D34A4" w:rsidRPr="00F74D78" w:rsidRDefault="007D34A4" w:rsidP="00F74D78">
      <w:pPr>
        <w:pStyle w:val="BodyText1"/>
        <w:rPr>
          <w:rFonts w:asciiTheme="minorHAnsi" w:eastAsiaTheme="minorEastAsia" w:hAnsiTheme="minorHAnsi" w:cstheme="minorBidi"/>
          <w:spacing w:val="-2"/>
          <w:sz w:val="20"/>
          <w:szCs w:val="20"/>
          <w:lang w:val="en-GB"/>
        </w:rPr>
      </w:pPr>
      <w:r w:rsidRPr="00F74D78">
        <w:rPr>
          <w:rFonts w:asciiTheme="minorHAnsi" w:eastAsiaTheme="minorEastAsia" w:hAnsiTheme="minorHAnsi" w:cstheme="minorBidi"/>
          <w:spacing w:val="-2"/>
          <w:sz w:val="20"/>
          <w:szCs w:val="20"/>
          <w:lang w:val="en-GB"/>
        </w:rPr>
        <w:t>The “public version” notification process has been followed recently for the Mint Administration Building (ACT)</w:t>
      </w:r>
      <w:r w:rsidR="004B6CAA" w:rsidRPr="004B6CAA">
        <w:rPr>
          <w:rFonts w:asciiTheme="minorHAnsi" w:eastAsiaTheme="minorEastAsia" w:hAnsiTheme="minorHAnsi" w:cstheme="minorBidi"/>
          <w:spacing w:val="-2"/>
          <w:sz w:val="20"/>
          <w:szCs w:val="20"/>
          <w:lang w:val="en-GB"/>
        </w:rPr>
        <w:t xml:space="preserve">, </w:t>
      </w:r>
      <w:r w:rsidR="00C748BA">
        <w:rPr>
          <w:rFonts w:asciiTheme="minorHAnsi" w:eastAsiaTheme="minorEastAsia" w:hAnsiTheme="minorHAnsi" w:cstheme="minorBidi"/>
          <w:spacing w:val="-2"/>
          <w:sz w:val="20"/>
          <w:szCs w:val="20"/>
          <w:lang w:val="en-GB"/>
        </w:rPr>
        <w:t>and</w:t>
      </w:r>
      <w:r w:rsidR="004B6CAA" w:rsidRPr="004B6CAA">
        <w:rPr>
          <w:rFonts w:asciiTheme="minorHAnsi" w:eastAsiaTheme="minorEastAsia" w:hAnsiTheme="minorHAnsi" w:cstheme="minorBidi"/>
          <w:spacing w:val="-2"/>
          <w:sz w:val="20"/>
          <w:szCs w:val="20"/>
          <w:lang w:val="en-GB"/>
        </w:rPr>
        <w:t xml:space="preserve"> was completed </w:t>
      </w:r>
      <w:r w:rsidR="004B6CAA">
        <w:rPr>
          <w:rFonts w:asciiTheme="minorHAnsi" w:eastAsiaTheme="minorEastAsia" w:hAnsiTheme="minorHAnsi" w:cstheme="minorBidi"/>
          <w:spacing w:val="-2"/>
          <w:sz w:val="20"/>
          <w:szCs w:val="20"/>
          <w:lang w:val="en-GB"/>
        </w:rPr>
        <w:t>prior to its divestment in 2021</w:t>
      </w:r>
      <w:r w:rsidRPr="00F74D78">
        <w:rPr>
          <w:rFonts w:asciiTheme="minorHAnsi" w:eastAsiaTheme="minorEastAsia" w:hAnsiTheme="minorHAnsi" w:cstheme="minorBidi"/>
          <w:spacing w:val="-2"/>
          <w:sz w:val="20"/>
          <w:szCs w:val="20"/>
          <w:lang w:val="en-GB"/>
        </w:rPr>
        <w:t>.</w:t>
      </w:r>
      <w:r w:rsidR="00FD2C03" w:rsidRPr="00F74D78">
        <w:rPr>
          <w:rFonts w:asciiTheme="minorHAnsi" w:eastAsiaTheme="minorEastAsia" w:hAnsiTheme="minorHAnsi" w:cstheme="minorBidi"/>
          <w:spacing w:val="-2"/>
          <w:sz w:val="20"/>
          <w:szCs w:val="20"/>
          <w:lang w:val="en-GB"/>
        </w:rPr>
        <w:t xml:space="preserve"> </w:t>
      </w:r>
      <w:r w:rsidRPr="00F74D78">
        <w:rPr>
          <w:rFonts w:asciiTheme="minorHAnsi" w:eastAsiaTheme="minorEastAsia" w:hAnsiTheme="minorHAnsi" w:cstheme="minorBidi"/>
          <w:spacing w:val="-2"/>
          <w:sz w:val="20"/>
          <w:szCs w:val="20"/>
          <w:lang w:val="en-GB"/>
        </w:rPr>
        <w:t xml:space="preserve">HMPs that have not been yet been through a public consultation process are referred to as ‘Operational HMPs’, which are used to guide day to day management and changes to the property. </w:t>
      </w:r>
    </w:p>
    <w:p w:rsidR="007D34A4" w:rsidRDefault="007D34A4" w:rsidP="007D34A4">
      <w:pPr>
        <w:pStyle w:val="Heading2"/>
        <w:keepLines w:val="0"/>
        <w:numPr>
          <w:ilvl w:val="1"/>
          <w:numId w:val="29"/>
        </w:numPr>
        <w:suppressAutoHyphens w:val="0"/>
        <w:spacing w:before="240" w:after="180" w:line="260" w:lineRule="atLeast"/>
        <w:contextualSpacing w:val="0"/>
      </w:pPr>
      <w:bookmarkStart w:id="53" w:name="_Toc78450067"/>
      <w:bookmarkStart w:id="54" w:name="_Toc80111195"/>
      <w:r>
        <w:t>Outline of the existing use of places with Commonwealth Heritage values (Section 3(c))</w:t>
      </w:r>
      <w:bookmarkEnd w:id="53"/>
      <w:bookmarkEnd w:id="54"/>
    </w:p>
    <w:p w:rsidR="007D34A4" w:rsidRDefault="007D34A4" w:rsidP="00F74D78">
      <w:pPr>
        <w:pStyle w:val="BodyText"/>
      </w:pPr>
      <w:r>
        <w:t>Finance’s heritage properties are dispersed across all states and territories</w:t>
      </w:r>
      <w:r w:rsidR="00A30033">
        <w:t xml:space="preserve">, </w:t>
      </w:r>
      <w:r w:rsidR="00C748BA">
        <w:t xml:space="preserve">and are </w:t>
      </w:r>
      <w:r w:rsidR="00A30033">
        <w:t>varied</w:t>
      </w:r>
      <w:r>
        <w:t xml:space="preserve"> and wide-ranging across diverse environments with natural, historic and Indigenous heritage values. </w:t>
      </w:r>
    </w:p>
    <w:p w:rsidR="007D34A4" w:rsidRDefault="007D34A4" w:rsidP="00F74D78">
      <w:pPr>
        <w:pStyle w:val="BodyText"/>
      </w:pPr>
      <w:r>
        <w:t>Properties are characterised as:</w:t>
      </w:r>
      <w:r w:rsidR="0027266A">
        <w:t xml:space="preserve"> </w:t>
      </w:r>
    </w:p>
    <w:p w:rsidR="007D34A4" w:rsidRDefault="007D34A4" w:rsidP="00F74D78">
      <w:pPr>
        <w:pStyle w:val="ListBullet"/>
        <w:numPr>
          <w:ilvl w:val="0"/>
          <w:numId w:val="30"/>
        </w:numPr>
        <w:spacing w:line="240" w:lineRule="auto"/>
      </w:pPr>
      <w:r>
        <w:t>office buildings (administration);</w:t>
      </w:r>
    </w:p>
    <w:p w:rsidR="007D34A4" w:rsidRDefault="007D34A4" w:rsidP="00F74D78">
      <w:pPr>
        <w:pStyle w:val="ListBullet"/>
        <w:numPr>
          <w:ilvl w:val="0"/>
          <w:numId w:val="30"/>
        </w:numPr>
        <w:spacing w:line="240" w:lineRule="auto"/>
      </w:pPr>
      <w:r>
        <w:t>law courts;</w:t>
      </w:r>
    </w:p>
    <w:p w:rsidR="007D34A4" w:rsidRDefault="007D34A4" w:rsidP="00F74D78">
      <w:pPr>
        <w:pStyle w:val="ListBullet"/>
        <w:numPr>
          <w:ilvl w:val="0"/>
          <w:numId w:val="30"/>
        </w:numPr>
        <w:spacing w:line="240" w:lineRule="auto"/>
      </w:pPr>
      <w:r>
        <w:t>special purpose facilities;</w:t>
      </w:r>
    </w:p>
    <w:p w:rsidR="007D34A4" w:rsidRDefault="007D34A4" w:rsidP="00F74D78">
      <w:pPr>
        <w:pStyle w:val="ListBullet"/>
        <w:numPr>
          <w:ilvl w:val="0"/>
          <w:numId w:val="30"/>
        </w:numPr>
        <w:spacing w:line="240" w:lineRule="auto"/>
      </w:pPr>
      <w:r>
        <w:t>private residential housing; and</w:t>
      </w:r>
    </w:p>
    <w:p w:rsidR="007D34A4" w:rsidRDefault="007D34A4" w:rsidP="00F74D78">
      <w:pPr>
        <w:pStyle w:val="ListBullet"/>
        <w:numPr>
          <w:ilvl w:val="0"/>
          <w:numId w:val="30"/>
        </w:numPr>
        <w:spacing w:line="240" w:lineRule="auto"/>
      </w:pPr>
      <w:r>
        <w:t>vacant land.</w:t>
      </w:r>
    </w:p>
    <w:p w:rsidR="007D34A4" w:rsidRPr="00CA6FC8" w:rsidRDefault="007D34A4" w:rsidP="007D34A4">
      <w:pPr>
        <w:pStyle w:val="Heading2"/>
        <w:keepLines w:val="0"/>
        <w:numPr>
          <w:ilvl w:val="1"/>
          <w:numId w:val="29"/>
        </w:numPr>
        <w:suppressAutoHyphens w:val="0"/>
        <w:spacing w:before="240" w:after="180" w:line="260" w:lineRule="atLeast"/>
        <w:contextualSpacing w:val="0"/>
      </w:pPr>
      <w:bookmarkStart w:id="55" w:name="_Toc78450068"/>
      <w:bookmarkStart w:id="56" w:name="_Toc80111196"/>
      <w:r>
        <w:t>Outline of current or expected development, works, disposal or other proposals that may affect Commonwealth Heritage values (Section 3(d))</w:t>
      </w:r>
      <w:bookmarkEnd w:id="55"/>
      <w:bookmarkEnd w:id="56"/>
    </w:p>
    <w:p w:rsidR="007D34A4" w:rsidRDefault="007D34A4" w:rsidP="007D34A4">
      <w:pPr>
        <w:pStyle w:val="Heading3"/>
        <w:keepLines w:val="0"/>
        <w:numPr>
          <w:ilvl w:val="2"/>
          <w:numId w:val="29"/>
        </w:numPr>
        <w:suppressAutoHyphens w:val="0"/>
        <w:spacing w:before="240" w:after="60" w:line="260" w:lineRule="atLeast"/>
        <w:contextualSpacing w:val="0"/>
      </w:pPr>
      <w:bookmarkStart w:id="57" w:name="_Toc78450069"/>
      <w:r>
        <w:t>Development and works</w:t>
      </w:r>
      <w:bookmarkEnd w:id="57"/>
      <w:r>
        <w:t xml:space="preserve"> </w:t>
      </w:r>
    </w:p>
    <w:p w:rsidR="007D34A4" w:rsidRDefault="007D34A4" w:rsidP="007D34A4">
      <w:pPr>
        <w:pStyle w:val="Heading5"/>
        <w:keepLines w:val="0"/>
        <w:numPr>
          <w:ilvl w:val="4"/>
          <w:numId w:val="29"/>
        </w:numPr>
        <w:suppressAutoHyphens w:val="0"/>
        <w:spacing w:after="60" w:line="260" w:lineRule="atLeast"/>
        <w:contextualSpacing w:val="0"/>
      </w:pPr>
      <w:r>
        <w:t>Major Capital Works</w:t>
      </w:r>
    </w:p>
    <w:p w:rsidR="007D34A4" w:rsidRDefault="00C748BA" w:rsidP="00F74D78">
      <w:pPr>
        <w:pStyle w:val="BodyText"/>
      </w:pPr>
      <w:r>
        <w:t>On occasion</w:t>
      </w:r>
      <w:r w:rsidR="007D34A4">
        <w:t xml:space="preserve">, Finance delivers major capital works projects on behalf of the Australian Government. </w:t>
      </w:r>
      <w:r w:rsidR="007D34A4" w:rsidRPr="00571838">
        <w:t>Finance oversees a two-stage capital works approval process where</w:t>
      </w:r>
      <w:r w:rsidR="007D34A4">
        <w:t xml:space="preserve"> the anticipated</w:t>
      </w:r>
      <w:r w:rsidR="007D34A4" w:rsidRPr="00571838">
        <w:t xml:space="preserve"> Whole-of-Life costs exceed $30 million. </w:t>
      </w:r>
      <w:r>
        <w:t>An</w:t>
      </w:r>
      <w:r w:rsidR="007D34A4" w:rsidRPr="00571838">
        <w:t xml:space="preserve"> Initial Business Case seeks the Government’s in principle agreement to proceed to a Detailed Business Case and delivery would follow completion of the Public Works Committee processes.</w:t>
      </w:r>
      <w:r w:rsidR="007D34A4">
        <w:t xml:space="preserve"> Heritage impacts are considered as part of the Initial Business Case and management/mitigation measures are captured in the Detailed Business Case, which enables the project approac</w:t>
      </w:r>
      <w:r w:rsidR="00241DED">
        <w:t>h to address heritage concerns.</w:t>
      </w:r>
    </w:p>
    <w:p w:rsidR="007D34A4" w:rsidRDefault="00485E60" w:rsidP="007D34A4">
      <w:pPr>
        <w:pStyle w:val="Heading5"/>
        <w:keepLines w:val="0"/>
        <w:numPr>
          <w:ilvl w:val="4"/>
          <w:numId w:val="29"/>
        </w:numPr>
        <w:suppressAutoHyphens w:val="0"/>
        <w:spacing w:after="60" w:line="260" w:lineRule="atLeast"/>
        <w:contextualSpacing w:val="0"/>
      </w:pPr>
      <w:r>
        <w:t>Asset Maintenance</w:t>
      </w:r>
      <w:r w:rsidR="007D34A4">
        <w:t xml:space="preserve"> </w:t>
      </w:r>
    </w:p>
    <w:p w:rsidR="007D34A4" w:rsidRPr="00606B0F" w:rsidRDefault="00485E60" w:rsidP="00F74D78">
      <w:pPr>
        <w:pStyle w:val="BodyText"/>
        <w:rPr>
          <w:spacing w:val="-2"/>
        </w:rPr>
      </w:pPr>
      <w:r w:rsidRPr="00606B0F">
        <w:rPr>
          <w:spacing w:val="-2"/>
        </w:rPr>
        <w:t xml:space="preserve">Asset maintenance works at </w:t>
      </w:r>
      <w:r w:rsidR="00606B0F" w:rsidRPr="00606B0F">
        <w:rPr>
          <w:spacing w:val="-2"/>
        </w:rPr>
        <w:t>Commonwealth Heritage</w:t>
      </w:r>
      <w:r w:rsidRPr="00606B0F">
        <w:rPr>
          <w:spacing w:val="-2"/>
        </w:rPr>
        <w:t xml:space="preserve"> properties are ongoing and include a variety of maintenance tasks (i.e., painting, carpet replacement, repair of gutters and downpipes, gardening) and urgent repairs (i.e., leaks in roofs, broken air conditioners, broken windows, damaged water or sewerage pipes, replacing cladding due to fire safety). These works are managed by the outsourced </w:t>
      </w:r>
      <w:r w:rsidR="00AA2F40" w:rsidRPr="00B819BF">
        <w:t>Property Service Providers</w:t>
      </w:r>
      <w:r w:rsidRPr="00606B0F">
        <w:rPr>
          <w:spacing w:val="-2"/>
        </w:rPr>
        <w:t xml:space="preserve"> and heritage values are taken into account when setting priorities for maintenance. Details on each work is available through Finance's Planned Works Program and the individual HMP for each property</w:t>
      </w:r>
      <w:r w:rsidR="007D34A4" w:rsidRPr="00606B0F">
        <w:rPr>
          <w:spacing w:val="-2"/>
        </w:rPr>
        <w:t>.</w:t>
      </w:r>
    </w:p>
    <w:p w:rsidR="007D34A4" w:rsidRPr="00E450CA" w:rsidRDefault="00485E60" w:rsidP="00E450CA">
      <w:pPr>
        <w:pStyle w:val="BodyText"/>
      </w:pPr>
      <w:r>
        <w:t xml:space="preserve">Works are undertaken/scheduled in accordance with the HMP repairs and maintenance recommendations and then documented in the </w:t>
      </w:r>
      <w:r w:rsidR="000047DE">
        <w:t>Preventative Maintenance and Asset Management Plan</w:t>
      </w:r>
      <w:r>
        <w:t>. Maintenance Plans per asset are set up for recurring maintenance works</w:t>
      </w:r>
      <w:r w:rsidR="00E450CA">
        <w:t>.</w:t>
      </w:r>
    </w:p>
    <w:p w:rsidR="00E450CA" w:rsidRDefault="00E450CA">
      <w:pPr>
        <w:suppressAutoHyphens w:val="0"/>
        <w:spacing w:before="0" w:after="120" w:line="440" w:lineRule="atLeast"/>
        <w:rPr>
          <w:rFonts w:asciiTheme="majorHAnsi" w:eastAsiaTheme="majorEastAsia" w:hAnsiTheme="majorHAnsi" w:cstheme="majorBidi"/>
          <w:bCs/>
          <w:color w:val="1C1C1C" w:themeColor="text2"/>
          <w:sz w:val="24"/>
          <w:szCs w:val="26"/>
        </w:rPr>
      </w:pPr>
      <w:bookmarkStart w:id="58" w:name="_Toc78450070"/>
      <w:r>
        <w:br w:type="page"/>
      </w:r>
    </w:p>
    <w:p w:rsidR="007D34A4" w:rsidRDefault="007D34A4" w:rsidP="007D34A4">
      <w:pPr>
        <w:pStyle w:val="Heading3"/>
        <w:keepLines w:val="0"/>
        <w:numPr>
          <w:ilvl w:val="2"/>
          <w:numId w:val="29"/>
        </w:numPr>
        <w:suppressAutoHyphens w:val="0"/>
        <w:spacing w:before="240" w:after="60" w:line="260" w:lineRule="atLeast"/>
        <w:contextualSpacing w:val="0"/>
      </w:pPr>
      <w:r w:rsidRPr="0089423F">
        <w:lastRenderedPageBreak/>
        <w:t>Disposal</w:t>
      </w:r>
      <w:bookmarkEnd w:id="58"/>
    </w:p>
    <w:p w:rsidR="007D34A4" w:rsidRDefault="007D34A4" w:rsidP="00F74D78">
      <w:pPr>
        <w:pStyle w:val="BodyText"/>
      </w:pPr>
      <w:r>
        <w:t>A number of properties have been divested from the Portfolio since 2015</w:t>
      </w:r>
      <w:r w:rsidR="006F45B8">
        <w:t>. For properties with heritage values there is</w:t>
      </w:r>
      <w:r>
        <w:t xml:space="preserve"> a process which include</w:t>
      </w:r>
      <w:r w:rsidR="00C748BA">
        <w:t>s</w:t>
      </w:r>
      <w:r>
        <w:t xml:space="preserve"> notification to the Minister for the Environment.</w:t>
      </w:r>
      <w:r w:rsidR="0027266A">
        <w:t xml:space="preserve"> </w:t>
      </w:r>
      <w:r>
        <w:t xml:space="preserve">Planned divestments cannot be forecast in the Strategy due to the commercial sensitivities of these transactions. </w:t>
      </w:r>
    </w:p>
    <w:p w:rsidR="007D34A4" w:rsidRDefault="007D34A4" w:rsidP="007D34A4">
      <w:pPr>
        <w:pStyle w:val="Heading2"/>
        <w:keepLines w:val="0"/>
        <w:numPr>
          <w:ilvl w:val="1"/>
          <w:numId w:val="29"/>
        </w:numPr>
        <w:suppressAutoHyphens w:val="0"/>
        <w:spacing w:before="240" w:after="180" w:line="260" w:lineRule="atLeast"/>
        <w:contextualSpacing w:val="0"/>
      </w:pPr>
      <w:bookmarkStart w:id="59" w:name="_Toc78450071"/>
      <w:bookmarkStart w:id="60" w:name="_Toc80111197"/>
      <w:r>
        <w:t>Outline of the process to ensure that Commonwealth Heritage values are considered in planning for future development, works, divestment or other proposals (Section 3(e))</w:t>
      </w:r>
      <w:bookmarkEnd w:id="59"/>
      <w:bookmarkEnd w:id="60"/>
      <w:r>
        <w:t xml:space="preserve"> </w:t>
      </w:r>
    </w:p>
    <w:p w:rsidR="007D34A4" w:rsidRDefault="007D34A4" w:rsidP="007D34A4">
      <w:pPr>
        <w:pStyle w:val="Heading3"/>
        <w:keepLines w:val="0"/>
        <w:numPr>
          <w:ilvl w:val="2"/>
          <w:numId w:val="29"/>
        </w:numPr>
        <w:suppressAutoHyphens w:val="0"/>
        <w:spacing w:before="240" w:after="60" w:line="260" w:lineRule="atLeast"/>
        <w:contextualSpacing w:val="0"/>
      </w:pPr>
      <w:bookmarkStart w:id="61" w:name="_Toc78450072"/>
      <w:r w:rsidRPr="0089423F">
        <w:t>Planning for Dev</w:t>
      </w:r>
      <w:r>
        <w:t>elopment</w:t>
      </w:r>
      <w:bookmarkEnd w:id="61"/>
      <w:r w:rsidR="0027266A">
        <w:t xml:space="preserve"> </w:t>
      </w:r>
    </w:p>
    <w:p w:rsidR="007D34A4" w:rsidRDefault="007D34A4" w:rsidP="00F74D78">
      <w:pPr>
        <w:pStyle w:val="BodyText"/>
      </w:pPr>
      <w:r>
        <w:t xml:space="preserve">Finance is working in accordance with the Strategy to support compliance with the EPBC Act across its heritage properties. Any changes proposed for its heritage properties are planned and implemented with due diligence against legislative requirements. Internal mechanisms, such as asset-specific </w:t>
      </w:r>
      <w:r w:rsidR="000047DE">
        <w:t>Preventative Maintenance and Asset Management Plans</w:t>
      </w:r>
      <w:r w:rsidR="00A30033">
        <w:t>,</w:t>
      </w:r>
      <w:r>
        <w:t xml:space="preserve"> are used to confirm if the site holds </w:t>
      </w:r>
      <w:r w:rsidR="005148CE">
        <w:t>Commonwealth Heritage</w:t>
      </w:r>
      <w:r>
        <w:t xml:space="preserve"> values and</w:t>
      </w:r>
      <w:r w:rsidR="00A30033">
        <w:t xml:space="preserve"> detail</w:t>
      </w:r>
      <w:r>
        <w:t xml:space="preserve"> the management regime that would then be triggered prior to any changes of use, divestment, development or modification.</w:t>
      </w:r>
    </w:p>
    <w:p w:rsidR="007D34A4" w:rsidRPr="00EB1DE2" w:rsidRDefault="007D34A4" w:rsidP="00F74D78">
      <w:pPr>
        <w:pStyle w:val="BodyText"/>
        <w:spacing w:line="276" w:lineRule="auto"/>
        <w:rPr>
          <w:spacing w:val="-2"/>
        </w:rPr>
      </w:pPr>
      <w:r w:rsidRPr="00EB1DE2">
        <w:rPr>
          <w:spacing w:val="-2"/>
        </w:rPr>
        <w:t>The Finance Heritage Checklist as outlined below, provides guidance on the matters to consider when proposing a change or development at</w:t>
      </w:r>
      <w:r w:rsidR="00EB1DE2" w:rsidRPr="00EB1DE2">
        <w:rPr>
          <w:spacing w:val="-2"/>
        </w:rPr>
        <w:t xml:space="preserve"> a</w:t>
      </w:r>
      <w:r w:rsidRPr="00EB1DE2">
        <w:rPr>
          <w:spacing w:val="-2"/>
        </w:rPr>
        <w:t xml:space="preserve"> heritage property, such as capital works, refurbishment or divestment. The process to be followed aims to ensure compliance with the requirements of the EPBC Act and Regulations to assess potential impacts and to avoid and minimise significant impacts to heritage values, identify mitigation measures or management strategies, establish ongoing heritage protection following divestment and to seek approval via EPBC Act referral for activities that may have a significant impact that cannot be avoided or minimised. The key steps involve:</w:t>
      </w:r>
    </w:p>
    <w:p w:rsidR="007D34A4" w:rsidRDefault="007D34A4" w:rsidP="007D34A4">
      <w:pPr>
        <w:pStyle w:val="ListBullet"/>
        <w:numPr>
          <w:ilvl w:val="0"/>
          <w:numId w:val="30"/>
        </w:numPr>
        <w:spacing w:before="0" w:after="240" w:line="360" w:lineRule="auto"/>
        <w:ind w:left="360" w:hanging="360"/>
        <w:contextualSpacing/>
      </w:pPr>
      <w:r>
        <w:t xml:space="preserve">review of the property’s HMP or </w:t>
      </w:r>
      <w:r w:rsidR="00157012" w:rsidRPr="51BC41ED">
        <w:rPr>
          <w:lang w:eastAsia="en-AU"/>
        </w:rPr>
        <w:t>Heritage Assessment</w:t>
      </w:r>
      <w:r>
        <w:t>;</w:t>
      </w:r>
    </w:p>
    <w:p w:rsidR="007D34A4" w:rsidRDefault="007D34A4" w:rsidP="007D34A4">
      <w:pPr>
        <w:pStyle w:val="ListBullet"/>
        <w:numPr>
          <w:ilvl w:val="0"/>
          <w:numId w:val="30"/>
        </w:numPr>
        <w:spacing w:before="0" w:after="240" w:line="360" w:lineRule="auto"/>
        <w:ind w:left="360" w:hanging="360"/>
        <w:contextualSpacing/>
      </w:pPr>
      <w:r>
        <w:t xml:space="preserve">preliminary consultation with </w:t>
      </w:r>
      <w:r w:rsidR="00606173">
        <w:t>subject matter experts</w:t>
      </w:r>
      <w:r>
        <w:t xml:space="preserve"> to seek heritage advice on appropriate pathways, as needed; </w:t>
      </w:r>
    </w:p>
    <w:p w:rsidR="007D34A4" w:rsidRDefault="007D34A4" w:rsidP="007D34A4">
      <w:pPr>
        <w:pStyle w:val="ListBullet"/>
        <w:numPr>
          <w:ilvl w:val="0"/>
          <w:numId w:val="30"/>
        </w:numPr>
        <w:spacing w:before="0" w:after="240" w:line="360" w:lineRule="auto"/>
        <w:ind w:left="360" w:hanging="360"/>
        <w:contextualSpacing/>
      </w:pPr>
      <w:r>
        <w:t xml:space="preserve">preparation of a </w:t>
      </w:r>
      <w:r w:rsidR="00D7660D">
        <w:t>Heritage Impact Assessments</w:t>
      </w:r>
      <w:r>
        <w:t xml:space="preserve"> if required;</w:t>
      </w:r>
    </w:p>
    <w:p w:rsidR="007D34A4" w:rsidRDefault="007D34A4" w:rsidP="007D34A4">
      <w:pPr>
        <w:pStyle w:val="ListBullet"/>
        <w:numPr>
          <w:ilvl w:val="0"/>
          <w:numId w:val="30"/>
        </w:numPr>
        <w:spacing w:before="0" w:after="240" w:line="360" w:lineRule="auto"/>
        <w:ind w:left="360" w:hanging="360"/>
        <w:contextualSpacing/>
      </w:pPr>
      <w:r>
        <w:t>consultation with DAWE as appropriate;</w:t>
      </w:r>
    </w:p>
    <w:p w:rsidR="007D34A4" w:rsidRPr="00F74D78" w:rsidRDefault="007D34A4" w:rsidP="007D34A4">
      <w:pPr>
        <w:pStyle w:val="ListBullet"/>
        <w:numPr>
          <w:ilvl w:val="0"/>
          <w:numId w:val="30"/>
        </w:numPr>
        <w:spacing w:before="0" w:after="240" w:line="360" w:lineRule="auto"/>
        <w:ind w:left="360" w:hanging="360"/>
        <w:contextualSpacing/>
        <w:rPr>
          <w:spacing w:val="-6"/>
        </w:rPr>
      </w:pPr>
      <w:r w:rsidRPr="00F74D78">
        <w:rPr>
          <w:spacing w:val="-6"/>
        </w:rPr>
        <w:t>preparation of a submission under S341ZE or an EPBC Act referral, including supporting documents;</w:t>
      </w:r>
    </w:p>
    <w:p w:rsidR="007D34A4" w:rsidRPr="0016398D" w:rsidRDefault="007D34A4" w:rsidP="007D34A4">
      <w:pPr>
        <w:pStyle w:val="ListBullet"/>
        <w:numPr>
          <w:ilvl w:val="0"/>
          <w:numId w:val="30"/>
        </w:numPr>
        <w:spacing w:before="0" w:after="240" w:line="360" w:lineRule="auto"/>
        <w:ind w:left="360" w:hanging="360"/>
        <w:contextualSpacing/>
      </w:pPr>
      <w:r w:rsidRPr="0016398D">
        <w:t>Submission by tenants of Building Owner Approval documentation for all tenant related works.</w:t>
      </w:r>
    </w:p>
    <w:p w:rsidR="007D34A4" w:rsidRPr="0016398D" w:rsidRDefault="007D34A4" w:rsidP="007D34A4">
      <w:pPr>
        <w:pStyle w:val="ListBullet"/>
        <w:numPr>
          <w:ilvl w:val="0"/>
          <w:numId w:val="30"/>
        </w:numPr>
        <w:spacing w:before="0" w:after="240" w:line="360" w:lineRule="auto"/>
        <w:ind w:left="360" w:hanging="360"/>
        <w:contextualSpacing/>
      </w:pPr>
      <w:r w:rsidRPr="0016398D">
        <w:t>Compilation of a project commitment checklist</w:t>
      </w:r>
      <w:r>
        <w:t>: and</w:t>
      </w:r>
    </w:p>
    <w:p w:rsidR="007D34A4" w:rsidRPr="0016398D" w:rsidRDefault="007D34A4" w:rsidP="007D34A4">
      <w:pPr>
        <w:pStyle w:val="ListBullet"/>
        <w:numPr>
          <w:ilvl w:val="0"/>
          <w:numId w:val="30"/>
        </w:numPr>
        <w:spacing w:before="0" w:after="240" w:line="360" w:lineRule="auto"/>
        <w:ind w:left="360" w:hanging="360"/>
        <w:contextualSpacing/>
      </w:pPr>
      <w:r w:rsidRPr="0016398D">
        <w:t xml:space="preserve">Project close out and compliance review documentation as required. </w:t>
      </w:r>
    </w:p>
    <w:p w:rsidR="007D34A4" w:rsidRDefault="007D34A4" w:rsidP="007D34A4">
      <w:pPr>
        <w:pStyle w:val="Heading3"/>
        <w:keepLines w:val="0"/>
        <w:numPr>
          <w:ilvl w:val="2"/>
          <w:numId w:val="29"/>
        </w:numPr>
        <w:suppressAutoHyphens w:val="0"/>
        <w:spacing w:before="0" w:after="60" w:line="260" w:lineRule="atLeast"/>
        <w:contextualSpacing w:val="0"/>
      </w:pPr>
      <w:bookmarkStart w:id="62" w:name="_Toc78450073"/>
      <w:r>
        <w:t>Works and other proposals</w:t>
      </w:r>
      <w:bookmarkEnd w:id="62"/>
    </w:p>
    <w:p w:rsidR="007D34A4" w:rsidRDefault="007D34A4" w:rsidP="00F74D78">
      <w:pPr>
        <w:pStyle w:val="BodyText"/>
      </w:pPr>
      <w:r>
        <w:t xml:space="preserve">Proposed works and projects at properties with </w:t>
      </w:r>
      <w:r w:rsidR="005148CE">
        <w:t>Commonwealth Heritage</w:t>
      </w:r>
      <w:r>
        <w:t xml:space="preserve"> values are guided by the HMP in the first instance. Advice from </w:t>
      </w:r>
      <w:r w:rsidR="00606173">
        <w:t>subject matter experts</w:t>
      </w:r>
      <w:r>
        <w:t xml:space="preserve"> is obtained where required, environmental approvals (including </w:t>
      </w:r>
      <w:r w:rsidR="00D7660D">
        <w:t>Heritage Impact Assessments</w:t>
      </w:r>
      <w:r>
        <w:t xml:space="preserve">) are prepared and, where necessary, referral to the Minister for the Environment is undertaken. Future developments planned for the place, where known, are accounted for when a HMP is developed. Where there is no HMP in place, planning and developments are informed by applying the </w:t>
      </w:r>
      <w:r w:rsidR="005148CE">
        <w:t>Commonwealth Heritage</w:t>
      </w:r>
      <w:r>
        <w:t xml:space="preserve"> Management Principles, the Burra Charter, the Australian Natural Heritage Charter or the </w:t>
      </w:r>
      <w:r w:rsidR="00E828FF">
        <w:rPr>
          <w:i/>
          <w:iCs/>
        </w:rPr>
        <w:t>Engage Early Guide</w:t>
      </w:r>
      <w:r w:rsidRPr="51BC41ED">
        <w:rPr>
          <w:i/>
          <w:iCs/>
        </w:rPr>
        <w:t>.</w:t>
      </w:r>
      <w:r>
        <w:t xml:space="preserve"> Independent and relevant expert heritage advice is sought to provide heritage planning and impact assessment advice early in the development process.</w:t>
      </w:r>
    </w:p>
    <w:p w:rsidR="00E450CA" w:rsidRDefault="00E450CA">
      <w:pPr>
        <w:suppressAutoHyphens w:val="0"/>
        <w:spacing w:before="0" w:after="120" w:line="440" w:lineRule="atLeast"/>
        <w:rPr>
          <w:rFonts w:asciiTheme="majorHAnsi" w:eastAsiaTheme="majorEastAsia" w:hAnsiTheme="majorHAnsi" w:cstheme="majorBidi"/>
          <w:bCs/>
          <w:color w:val="1C1C1C" w:themeColor="text2"/>
          <w:sz w:val="24"/>
          <w:szCs w:val="26"/>
        </w:rPr>
      </w:pPr>
      <w:bookmarkStart w:id="63" w:name="_Toc78450074"/>
      <w:r>
        <w:br w:type="page"/>
      </w:r>
    </w:p>
    <w:p w:rsidR="007D34A4" w:rsidRDefault="007D34A4" w:rsidP="007D34A4">
      <w:pPr>
        <w:pStyle w:val="Heading3"/>
        <w:keepLines w:val="0"/>
        <w:numPr>
          <w:ilvl w:val="2"/>
          <w:numId w:val="29"/>
        </w:numPr>
        <w:suppressAutoHyphens w:val="0"/>
        <w:spacing w:before="240" w:after="60" w:line="260" w:lineRule="atLeast"/>
        <w:contextualSpacing w:val="0"/>
      </w:pPr>
      <w:r>
        <w:lastRenderedPageBreak/>
        <w:t>Divestment</w:t>
      </w:r>
      <w:bookmarkEnd w:id="63"/>
      <w:r>
        <w:t xml:space="preserve"> </w:t>
      </w:r>
    </w:p>
    <w:p w:rsidR="007D34A4" w:rsidRPr="001E52BC" w:rsidRDefault="007D34A4" w:rsidP="00F74D78">
      <w:pPr>
        <w:pStyle w:val="BodyText"/>
      </w:pPr>
      <w:r>
        <w:t xml:space="preserve">Finance has a divestment program for the disposal of properties that are surplus to Commonwealth requirements. Some of these properties may have </w:t>
      </w:r>
      <w:r w:rsidR="005148CE">
        <w:t>Commonwealth Heritage</w:t>
      </w:r>
      <w:r>
        <w:t xml:space="preserve"> significance. Finance acknowledges its obligations to plan for the ongoing protection of heritage properties when it is transferred from Finance ownership and works in accordance with the requirements </w:t>
      </w:r>
      <w:r w:rsidR="00485E60">
        <w:t>of Section 341ZE of</w:t>
      </w:r>
      <w:r>
        <w:t xml:space="preserve"> the EPBC Act, such as notification to the Minister, EPBC Act referral, development of specific sale clauses and HMPs.</w:t>
      </w:r>
    </w:p>
    <w:p w:rsidR="007D34A4" w:rsidRDefault="007D34A4" w:rsidP="007D34A4">
      <w:pPr>
        <w:pStyle w:val="Heading2"/>
        <w:keepLines w:val="0"/>
        <w:numPr>
          <w:ilvl w:val="1"/>
          <w:numId w:val="29"/>
        </w:numPr>
        <w:suppressAutoHyphens w:val="0"/>
        <w:spacing w:before="240" w:after="180" w:line="260" w:lineRule="atLeast"/>
        <w:contextualSpacing w:val="0"/>
      </w:pPr>
      <w:bookmarkStart w:id="64" w:name="_Toc78450075"/>
      <w:bookmarkStart w:id="65" w:name="_Toc80111198"/>
      <w:r>
        <w:t>A plan and budget for the maintenance and long-term conservation of Commonwealth Heritage values (Section 3(f))</w:t>
      </w:r>
      <w:bookmarkEnd w:id="64"/>
      <w:bookmarkEnd w:id="65"/>
    </w:p>
    <w:p w:rsidR="007D34A4" w:rsidRPr="002163F9" w:rsidRDefault="007D34A4" w:rsidP="00F74D78">
      <w:pPr>
        <w:pStyle w:val="Style2"/>
        <w:spacing w:line="276" w:lineRule="auto"/>
        <w:ind w:right="72"/>
      </w:pPr>
      <w:r w:rsidRPr="51BC41ED">
        <w:rPr>
          <w:rFonts w:asciiTheme="minorHAnsi" w:eastAsiaTheme="minorEastAsia" w:hAnsiTheme="minorHAnsi" w:cstheme="minorBidi"/>
          <w:noProof w:val="0"/>
          <w:color w:val="auto"/>
          <w:lang w:val="en-GB"/>
        </w:rPr>
        <w:t xml:space="preserve">Where a property has </w:t>
      </w:r>
      <w:r w:rsidR="005148CE" w:rsidRPr="005148CE">
        <w:rPr>
          <w:rFonts w:asciiTheme="minorHAnsi" w:eastAsiaTheme="minorEastAsia" w:hAnsiTheme="minorHAnsi" w:cstheme="minorBidi"/>
          <w:noProof w:val="0"/>
          <w:color w:val="auto"/>
          <w:lang w:val="en-GB"/>
        </w:rPr>
        <w:t>Commonwealth Heritage</w:t>
      </w:r>
      <w:r w:rsidRPr="51BC41ED">
        <w:rPr>
          <w:rFonts w:asciiTheme="minorHAnsi" w:eastAsiaTheme="minorEastAsia" w:hAnsiTheme="minorHAnsi" w:cstheme="minorBidi"/>
          <w:noProof w:val="0"/>
          <w:color w:val="auto"/>
          <w:lang w:val="en-GB"/>
        </w:rPr>
        <w:t xml:space="preserve"> values, Finance's maintenance planning addresses any conservation objectives of the works that require funding and planning over and above standard operational needs. Maintenance is guided by the property-specific HMP.</w:t>
      </w:r>
      <w:r w:rsidRPr="51BC41ED">
        <w:rPr>
          <w:rFonts w:ascii="Cambria" w:hAnsi="Cambria"/>
          <w:noProof w:val="0"/>
          <w:color w:val="auto"/>
          <w:sz w:val="22"/>
          <w:szCs w:val="22"/>
        </w:rPr>
        <w:t xml:space="preserve"> </w:t>
      </w:r>
      <w:r w:rsidRPr="51BC41ED">
        <w:rPr>
          <w:rFonts w:asciiTheme="minorHAnsi" w:eastAsiaTheme="minorEastAsia" w:hAnsiTheme="minorHAnsi" w:cstheme="minorBidi"/>
          <w:noProof w:val="0"/>
          <w:color w:val="auto"/>
          <w:lang w:val="en-GB"/>
        </w:rPr>
        <w:t>Funding for maintenance is allocated through the Finance annual portfolio budget process on a risk management and compliance basis</w:t>
      </w:r>
      <w:r w:rsidRPr="51BC41ED">
        <w:rPr>
          <w:rFonts w:ascii="Cambria" w:hAnsi="Cambria"/>
          <w:noProof w:val="0"/>
          <w:color w:val="auto"/>
          <w:sz w:val="22"/>
          <w:szCs w:val="22"/>
        </w:rPr>
        <w:t xml:space="preserve">. </w:t>
      </w:r>
    </w:p>
    <w:p w:rsidR="007D34A4" w:rsidRDefault="007D34A4" w:rsidP="007D34A4">
      <w:pPr>
        <w:pStyle w:val="Heading2"/>
        <w:keepLines w:val="0"/>
        <w:numPr>
          <w:ilvl w:val="1"/>
          <w:numId w:val="29"/>
        </w:numPr>
        <w:suppressAutoHyphens w:val="0"/>
        <w:spacing w:before="240" w:after="180" w:line="260" w:lineRule="atLeast"/>
        <w:contextualSpacing w:val="0"/>
      </w:pPr>
      <w:bookmarkStart w:id="66" w:name="_Toc78450076"/>
      <w:bookmarkStart w:id="67" w:name="_Toc80111199"/>
      <w:r>
        <w:t>Outline of the process by which the success in conserving Commonwealth Heritage values will be monitored and reviewed (Section 3(g))</w:t>
      </w:r>
      <w:bookmarkEnd w:id="66"/>
      <w:bookmarkEnd w:id="67"/>
    </w:p>
    <w:p w:rsidR="007D34A4" w:rsidRPr="00466211" w:rsidRDefault="007D34A4" w:rsidP="00F74D78">
      <w:pPr>
        <w:spacing w:line="276" w:lineRule="auto"/>
        <w:rPr>
          <w:sz w:val="20"/>
          <w:szCs w:val="20"/>
        </w:rPr>
      </w:pPr>
      <w:r w:rsidRPr="00466211">
        <w:rPr>
          <w:sz w:val="20"/>
          <w:szCs w:val="20"/>
        </w:rPr>
        <w:t xml:space="preserve">The mechanisms in place for Finance to monitor and review the success of conservation of </w:t>
      </w:r>
      <w:r w:rsidR="005148CE" w:rsidRPr="005148CE">
        <w:rPr>
          <w:sz w:val="20"/>
          <w:szCs w:val="20"/>
        </w:rPr>
        <w:t>Commonwealth Heritage</w:t>
      </w:r>
      <w:r w:rsidRPr="00466211">
        <w:rPr>
          <w:sz w:val="20"/>
          <w:szCs w:val="20"/>
        </w:rPr>
        <w:t xml:space="preserve"> values are as follows:</w:t>
      </w:r>
      <w:r w:rsidR="0027266A">
        <w:rPr>
          <w:sz w:val="20"/>
          <w:szCs w:val="20"/>
        </w:rPr>
        <w:t xml:space="preserve"> </w:t>
      </w:r>
    </w:p>
    <w:p w:rsidR="007D34A4" w:rsidRDefault="007D34A4" w:rsidP="00F74D78">
      <w:pPr>
        <w:pStyle w:val="ListBullet"/>
        <w:numPr>
          <w:ilvl w:val="0"/>
          <w:numId w:val="30"/>
        </w:numPr>
      </w:pPr>
      <w:r>
        <w:t xml:space="preserve">identification and assessment of heritage values across the current Portfolio, </w:t>
      </w:r>
    </w:p>
    <w:p w:rsidR="007D34A4" w:rsidRDefault="007D34A4" w:rsidP="00F74D78">
      <w:pPr>
        <w:pStyle w:val="ListBullet"/>
        <w:numPr>
          <w:ilvl w:val="0"/>
          <w:numId w:val="30"/>
        </w:numPr>
      </w:pPr>
      <w:r>
        <w:t xml:space="preserve">five (5) yearly reviews of HMPs, </w:t>
      </w:r>
    </w:p>
    <w:p w:rsidR="007D34A4" w:rsidRDefault="007D34A4" w:rsidP="00F74D78">
      <w:pPr>
        <w:pStyle w:val="ListBullet"/>
        <w:numPr>
          <w:ilvl w:val="0"/>
          <w:numId w:val="30"/>
        </w:numPr>
      </w:pPr>
      <w:r>
        <w:t xml:space="preserve">annual review of the Heritage Register and </w:t>
      </w:r>
    </w:p>
    <w:p w:rsidR="007D34A4" w:rsidRDefault="007D34A4" w:rsidP="00F74D78">
      <w:pPr>
        <w:pStyle w:val="ListBullet"/>
        <w:numPr>
          <w:ilvl w:val="0"/>
          <w:numId w:val="30"/>
        </w:numPr>
        <w:rPr>
          <w:rFonts w:cs="Arial"/>
        </w:rPr>
      </w:pPr>
      <w:r w:rsidRPr="74EA9CD7">
        <w:rPr>
          <w:rFonts w:cs="Arial"/>
        </w:rPr>
        <w:t xml:space="preserve">Strategy commitments and performance tracking will be undertaken as part of an annual review of heritage matters by PCD. </w:t>
      </w:r>
    </w:p>
    <w:p w:rsidR="007D34A4" w:rsidRDefault="007D34A4" w:rsidP="007D34A4">
      <w:pPr>
        <w:pStyle w:val="Heading5"/>
        <w:keepLines w:val="0"/>
        <w:numPr>
          <w:ilvl w:val="4"/>
          <w:numId w:val="29"/>
        </w:numPr>
        <w:suppressAutoHyphens w:val="0"/>
        <w:spacing w:after="60" w:line="260" w:lineRule="atLeast"/>
        <w:contextualSpacing w:val="0"/>
      </w:pPr>
      <w:bookmarkStart w:id="68" w:name="_Toc391556569"/>
      <w:r>
        <w:t>Condition Reporting and Monitoring on Heritage Values</w:t>
      </w:r>
      <w:bookmarkEnd w:id="68"/>
    </w:p>
    <w:p w:rsidR="007D34A4" w:rsidRPr="00466211" w:rsidRDefault="007D34A4" w:rsidP="00F74D78">
      <w:pPr>
        <w:spacing w:line="276" w:lineRule="auto"/>
        <w:rPr>
          <w:sz w:val="20"/>
          <w:szCs w:val="20"/>
        </w:rPr>
      </w:pPr>
      <w:r w:rsidRPr="00466211">
        <w:rPr>
          <w:sz w:val="20"/>
          <w:szCs w:val="20"/>
        </w:rPr>
        <w:t>Condition reporting, review, and monitoring ensures continuous improvement and best practice heritage management of the Portfolio. A five yearly report is required to be compiled by the Minister for the Environmen</w:t>
      </w:r>
      <w:r w:rsidR="00F74D78">
        <w:rPr>
          <w:sz w:val="20"/>
          <w:szCs w:val="20"/>
        </w:rPr>
        <w:t xml:space="preserve">t pursuant to EPBC Act S341ZH. </w:t>
      </w:r>
      <w:r w:rsidRPr="00466211">
        <w:rPr>
          <w:sz w:val="20"/>
          <w:szCs w:val="20"/>
        </w:rPr>
        <w:t xml:space="preserve">This report reviews the properties included on </w:t>
      </w:r>
      <w:r w:rsidR="00E450CA">
        <w:rPr>
          <w:sz w:val="20"/>
          <w:szCs w:val="20"/>
        </w:rPr>
        <w:br/>
      </w:r>
      <w:r w:rsidRPr="00466211">
        <w:rPr>
          <w:sz w:val="20"/>
          <w:szCs w:val="20"/>
        </w:rPr>
        <w:t xml:space="preserve">the </w:t>
      </w:r>
      <w:r w:rsidR="00305FC4" w:rsidRPr="00305FC4">
        <w:rPr>
          <w:sz w:val="20"/>
          <w:szCs w:val="20"/>
        </w:rPr>
        <w:t>Commonwealth Heritage List</w:t>
      </w:r>
      <w:r w:rsidRPr="00466211">
        <w:rPr>
          <w:sz w:val="20"/>
          <w:szCs w:val="20"/>
        </w:rPr>
        <w:t>. The Minister</w:t>
      </w:r>
      <w:r w:rsidR="00150E76">
        <w:rPr>
          <w:sz w:val="20"/>
          <w:szCs w:val="20"/>
        </w:rPr>
        <w:t xml:space="preserve"> for Environment</w:t>
      </w:r>
      <w:r w:rsidRPr="00466211">
        <w:rPr>
          <w:sz w:val="20"/>
          <w:szCs w:val="20"/>
        </w:rPr>
        <w:t xml:space="preserve"> may seek key inputs to this report from Fi</w:t>
      </w:r>
      <w:r w:rsidR="00F74D78">
        <w:rPr>
          <w:sz w:val="20"/>
          <w:szCs w:val="20"/>
        </w:rPr>
        <w:t xml:space="preserve">nance. </w:t>
      </w:r>
      <w:r w:rsidRPr="00466211">
        <w:rPr>
          <w:sz w:val="20"/>
          <w:szCs w:val="20"/>
        </w:rPr>
        <w:t>A request for input was last made by the Minister in 2020.</w:t>
      </w:r>
      <w:r w:rsidR="00F74D78">
        <w:rPr>
          <w:sz w:val="20"/>
          <w:szCs w:val="20"/>
        </w:rPr>
        <w:t xml:space="preserve"> </w:t>
      </w:r>
      <w:r w:rsidRPr="00466211">
        <w:rPr>
          <w:sz w:val="20"/>
          <w:szCs w:val="20"/>
        </w:rPr>
        <w:t>Heritage compliance for the Portfolio is recor</w:t>
      </w:r>
      <w:r w:rsidR="00F74D78">
        <w:rPr>
          <w:sz w:val="20"/>
          <w:szCs w:val="20"/>
        </w:rPr>
        <w:t xml:space="preserve">ded and monitored in the </w:t>
      </w:r>
      <w:r w:rsidR="000047DE" w:rsidRPr="000047DE">
        <w:rPr>
          <w:sz w:val="20"/>
          <w:szCs w:val="20"/>
        </w:rPr>
        <w:t>Preventative Mainte</w:t>
      </w:r>
      <w:r w:rsidR="000047DE">
        <w:rPr>
          <w:sz w:val="20"/>
          <w:szCs w:val="20"/>
        </w:rPr>
        <w:t>nance and Asset Management Plan</w:t>
      </w:r>
      <w:r w:rsidR="00F74D78">
        <w:rPr>
          <w:sz w:val="20"/>
          <w:szCs w:val="20"/>
        </w:rPr>
        <w:t>. </w:t>
      </w:r>
      <w:r w:rsidRPr="00466211">
        <w:rPr>
          <w:sz w:val="20"/>
          <w:szCs w:val="20"/>
        </w:rPr>
        <w:t>The technical requirements associated with the Portfolio are reviewed</w:t>
      </w:r>
      <w:r w:rsidR="00466211">
        <w:rPr>
          <w:sz w:val="20"/>
          <w:szCs w:val="20"/>
        </w:rPr>
        <w:t xml:space="preserve"> </w:t>
      </w:r>
      <w:r w:rsidRPr="00466211">
        <w:rPr>
          <w:sz w:val="20"/>
          <w:szCs w:val="20"/>
        </w:rPr>
        <w:t>on an annual basis, with works programmed to ensure c</w:t>
      </w:r>
      <w:r w:rsidR="00F74D78">
        <w:rPr>
          <w:sz w:val="20"/>
          <w:szCs w:val="20"/>
        </w:rPr>
        <w:t>ompliance obligations are met. </w:t>
      </w:r>
      <w:r w:rsidRPr="00466211">
        <w:rPr>
          <w:sz w:val="20"/>
          <w:szCs w:val="20"/>
        </w:rPr>
        <w:t xml:space="preserve">The </w:t>
      </w:r>
      <w:r w:rsidR="000047DE" w:rsidRPr="000047DE">
        <w:rPr>
          <w:sz w:val="20"/>
          <w:szCs w:val="20"/>
        </w:rPr>
        <w:t>Preventative Mainte</w:t>
      </w:r>
      <w:r w:rsidR="000047DE">
        <w:rPr>
          <w:sz w:val="20"/>
          <w:szCs w:val="20"/>
        </w:rPr>
        <w:t>nance and Asset Management Plan</w:t>
      </w:r>
      <w:r w:rsidRPr="00466211">
        <w:rPr>
          <w:sz w:val="20"/>
          <w:szCs w:val="20"/>
        </w:rPr>
        <w:t xml:space="preserve"> allows Finance to record and monitor property condition and any </w:t>
      </w:r>
      <w:r w:rsidR="00A30033">
        <w:rPr>
          <w:sz w:val="20"/>
          <w:szCs w:val="20"/>
        </w:rPr>
        <w:t xml:space="preserve">works </w:t>
      </w:r>
      <w:r w:rsidRPr="00466211">
        <w:rPr>
          <w:sz w:val="20"/>
          <w:szCs w:val="20"/>
        </w:rPr>
        <w:t xml:space="preserve">implications for identified </w:t>
      </w:r>
      <w:r w:rsidR="005148CE" w:rsidRPr="005148CE">
        <w:rPr>
          <w:sz w:val="20"/>
          <w:szCs w:val="20"/>
        </w:rPr>
        <w:t>Commonwealth Heritage</w:t>
      </w:r>
      <w:r w:rsidRPr="00466211">
        <w:rPr>
          <w:sz w:val="20"/>
          <w:szCs w:val="20"/>
        </w:rPr>
        <w:t xml:space="preserve"> values. This process will continue to be implemented to ensure robust data is recorded and updated for heritage properties in the Portfolio, and will be utilised to update the Finance Heritage Register as it becomes available.</w:t>
      </w:r>
    </w:p>
    <w:p w:rsidR="007D34A4" w:rsidRDefault="007D34A4" w:rsidP="007D34A4">
      <w:pPr>
        <w:spacing w:line="240" w:lineRule="auto"/>
      </w:pPr>
    </w:p>
    <w:p w:rsidR="00241DED" w:rsidRDefault="00241DED">
      <w:pPr>
        <w:suppressAutoHyphens w:val="0"/>
        <w:spacing w:before="0" w:after="120" w:line="440" w:lineRule="atLeast"/>
        <w:rPr>
          <w:rFonts w:asciiTheme="majorHAnsi" w:eastAsiaTheme="majorEastAsia" w:hAnsiTheme="majorHAnsi" w:cstheme="majorBidi"/>
          <w:bCs/>
          <w:color w:val="1C1C1C" w:themeColor="text2"/>
          <w:sz w:val="40"/>
          <w:szCs w:val="28"/>
        </w:rPr>
      </w:pPr>
      <w:bookmarkStart w:id="69" w:name="_Toc78450077"/>
      <w:bookmarkStart w:id="70" w:name="_Toc80111200"/>
      <w:r>
        <w:br w:type="page"/>
      </w:r>
    </w:p>
    <w:p w:rsidR="007D34A4" w:rsidRDefault="007D34A4" w:rsidP="007D34A4">
      <w:pPr>
        <w:pStyle w:val="Heading1"/>
        <w:keepLines w:val="0"/>
        <w:numPr>
          <w:ilvl w:val="0"/>
          <w:numId w:val="29"/>
        </w:numPr>
        <w:suppressAutoHyphens w:val="0"/>
        <w:spacing w:before="0" w:after="240" w:line="260" w:lineRule="atLeast"/>
        <w:ind w:left="851" w:hanging="851"/>
        <w:contextualSpacing w:val="0"/>
      </w:pPr>
      <w:r>
        <w:lastRenderedPageBreak/>
        <w:t>Heritage Training and Promotion</w:t>
      </w:r>
      <w:bookmarkEnd w:id="69"/>
      <w:bookmarkEnd w:id="70"/>
    </w:p>
    <w:p w:rsidR="007D34A4" w:rsidRDefault="007D34A4" w:rsidP="00E450CA">
      <w:pPr>
        <w:pStyle w:val="Heading2"/>
        <w:keepLines w:val="0"/>
        <w:numPr>
          <w:ilvl w:val="1"/>
          <w:numId w:val="29"/>
        </w:numPr>
        <w:suppressAutoHyphens w:val="0"/>
        <w:spacing w:before="240" w:after="180" w:line="260" w:lineRule="atLeast"/>
        <w:contextualSpacing w:val="0"/>
      </w:pPr>
      <w:bookmarkStart w:id="71" w:name="_Toc78450078"/>
      <w:bookmarkStart w:id="72" w:name="_Toc80111201"/>
      <w:r w:rsidRPr="007548C3">
        <w:t>A program for the training of Finance staff (and contractors) about Commonwealth Heritage obligations and best practice her</w:t>
      </w:r>
      <w:r>
        <w:t>itage management (S</w:t>
      </w:r>
      <w:r w:rsidRPr="007548C3">
        <w:t>ection 4(a))</w:t>
      </w:r>
      <w:bookmarkEnd w:id="71"/>
      <w:bookmarkEnd w:id="72"/>
    </w:p>
    <w:p w:rsidR="007D34A4" w:rsidRDefault="007D34A4" w:rsidP="007B2B59">
      <w:pPr>
        <w:pStyle w:val="BodyText"/>
      </w:pPr>
      <w:r>
        <w:t xml:space="preserve">Finance is responsible for ensuring that all new Finance and </w:t>
      </w:r>
      <w:r w:rsidR="00AA2F40" w:rsidRPr="00B819BF">
        <w:t>Property Service Providers</w:t>
      </w:r>
      <w:r>
        <w:t xml:space="preserve"> staff involved in portfolio management are made aware of Finance’s </w:t>
      </w:r>
      <w:r w:rsidR="005148CE" w:rsidRPr="005148CE">
        <w:t>Commonwealth Heritage</w:t>
      </w:r>
      <w:r>
        <w:t xml:space="preserve"> obligations and best practice heritage management.</w:t>
      </w:r>
    </w:p>
    <w:p w:rsidR="007D34A4" w:rsidRPr="00623A98" w:rsidRDefault="007D34A4" w:rsidP="007B2B59">
      <w:pPr>
        <w:pStyle w:val="BodyText"/>
      </w:pPr>
      <w:r>
        <w:t xml:space="preserve">New heritage induction training material will be developed and revised annually for refresher trainings, which will be </w:t>
      </w:r>
      <w:r w:rsidRPr="00623A98">
        <w:t xml:space="preserve">delivered to key Finance and </w:t>
      </w:r>
      <w:r w:rsidR="00AA2F40" w:rsidRPr="00B819BF">
        <w:t>Property Service Providers</w:t>
      </w:r>
      <w:r w:rsidRPr="00623A98">
        <w:t xml:space="preserve"> staff either</w:t>
      </w:r>
      <w:r>
        <w:t xml:space="preserve"> virtually or face to face, as appropriate. </w:t>
      </w:r>
    </w:p>
    <w:p w:rsidR="007D34A4" w:rsidRDefault="007D34A4" w:rsidP="00E450CA">
      <w:pPr>
        <w:pStyle w:val="Heading2"/>
        <w:keepLines w:val="0"/>
        <w:numPr>
          <w:ilvl w:val="1"/>
          <w:numId w:val="29"/>
        </w:numPr>
        <w:suppressAutoHyphens w:val="0"/>
        <w:spacing w:before="240" w:after="180" w:line="260" w:lineRule="atLeast"/>
        <w:contextualSpacing w:val="0"/>
      </w:pPr>
      <w:bookmarkStart w:id="73" w:name="_Toc78450079"/>
      <w:bookmarkStart w:id="74" w:name="_Toc80111202"/>
      <w:r>
        <w:t>A program for promoting community awareness of Commonwealth Heritage values, as appropriate (Section 4(b))</w:t>
      </w:r>
      <w:bookmarkEnd w:id="73"/>
      <w:bookmarkEnd w:id="74"/>
    </w:p>
    <w:p w:rsidR="007D34A4" w:rsidRDefault="007D34A4" w:rsidP="007D34A4">
      <w:pPr>
        <w:pStyle w:val="Heading3"/>
        <w:keepLines w:val="0"/>
        <w:numPr>
          <w:ilvl w:val="2"/>
          <w:numId w:val="29"/>
        </w:numPr>
        <w:suppressAutoHyphens w:val="0"/>
        <w:spacing w:before="240" w:after="60" w:line="260" w:lineRule="atLeast"/>
        <w:contextualSpacing w:val="0"/>
      </w:pPr>
      <w:bookmarkStart w:id="75" w:name="_Toc78450080"/>
      <w:r>
        <w:t>Heritage Interpretation Overview</w:t>
      </w:r>
      <w:bookmarkEnd w:id="75"/>
    </w:p>
    <w:p w:rsidR="007D34A4" w:rsidRDefault="007D34A4" w:rsidP="007B2B59">
      <w:pPr>
        <w:pStyle w:val="BodyText"/>
      </w:pPr>
      <w:r>
        <w:t xml:space="preserve">Opportunities for interpretation at heritage properties within the Finance portfolio are subject to property use, tenant and security requirements. Finance’s HMP format requirements include guidance on interpretation options that are customised to each site. Where information about a site’s heritage values can be interpreted within these parameters Finance has provided exterior interpretive signage. Finance will investigate opportunities for further HMP interpretation recommendations at other properties with </w:t>
      </w:r>
      <w:r w:rsidR="005148CE">
        <w:t>Commonwealth Heritage</w:t>
      </w:r>
      <w:r>
        <w:t xml:space="preserve"> values. </w:t>
      </w:r>
    </w:p>
    <w:p w:rsidR="007D34A4" w:rsidRPr="007B2B59" w:rsidRDefault="007D34A4" w:rsidP="007B2B59">
      <w:pPr>
        <w:pStyle w:val="BodyText"/>
        <w:rPr>
          <w:spacing w:val="-4"/>
        </w:rPr>
      </w:pPr>
      <w:r w:rsidRPr="007B2B59">
        <w:rPr>
          <w:spacing w:val="-4"/>
        </w:rPr>
        <w:t xml:space="preserve">From a wider portfolio perspective, the online Heritage Register provides the public with detailed information about the </w:t>
      </w:r>
      <w:r w:rsidR="005148CE">
        <w:t>Commonwealth Heritage</w:t>
      </w:r>
      <w:r w:rsidRPr="007B2B59">
        <w:rPr>
          <w:spacing w:val="-4"/>
        </w:rPr>
        <w:t xml:space="preserve"> values currently identified at Finance properties. The Register will be regularly updated ensuring that current heritage value information for the portfolio is publicly accessible.</w:t>
      </w:r>
    </w:p>
    <w:p w:rsidR="007D34A4" w:rsidRDefault="007D34A4" w:rsidP="007D34A4">
      <w:pPr>
        <w:pStyle w:val="Heading3"/>
        <w:keepLines w:val="0"/>
        <w:numPr>
          <w:ilvl w:val="2"/>
          <w:numId w:val="29"/>
        </w:numPr>
        <w:suppressAutoHyphens w:val="0"/>
        <w:spacing w:before="240" w:after="60" w:line="260" w:lineRule="atLeast"/>
        <w:contextualSpacing w:val="0"/>
      </w:pPr>
      <w:bookmarkStart w:id="76" w:name="_Toc78450081"/>
      <w:r>
        <w:t>Communication Overview</w:t>
      </w:r>
      <w:bookmarkEnd w:id="76"/>
    </w:p>
    <w:p w:rsidR="007D34A4" w:rsidRDefault="007D34A4" w:rsidP="007B2B59">
      <w:pPr>
        <w:pStyle w:val="BodyText"/>
      </w:pPr>
      <w:r>
        <w:t>Finance will consult with DAWE, and other Australian Government agencies as appropriate, to discuss and seek input and advice regarding the management of heritage values at Finance properties. The process of consultation and liaison is undertaken on an as</w:t>
      </w:r>
      <w:r w:rsidR="00A30033">
        <w:t>-</w:t>
      </w:r>
      <w:r>
        <w:t>needs basis, focussed on compliance with the requirements of the EPBC Act and Regulations.</w:t>
      </w:r>
    </w:p>
    <w:p w:rsidR="007D34A4" w:rsidRDefault="007D34A4" w:rsidP="007B2B59">
      <w:pPr>
        <w:pStyle w:val="BodyText"/>
      </w:pPr>
      <w:r>
        <w:t xml:space="preserve">Consultation with the community, including Indigenous stakeholders, is undertaken in relation to specific heritage issues at individual properties as needed. Finance ensures best practice during the preparation of its </w:t>
      </w:r>
      <w:r w:rsidR="00157012" w:rsidRPr="51BC41ED">
        <w:rPr>
          <w:lang w:eastAsia="en-AU"/>
        </w:rPr>
        <w:t>Heritage Assessment</w:t>
      </w:r>
      <w:r>
        <w:t>s and HMPs through consulting with Traditional Owner representatives, including meetings and site walkovers. Consultation with the community will also occur under the new Finance procedures for the public notification of HMPs.</w:t>
      </w:r>
    </w:p>
    <w:p w:rsidR="007D34A4" w:rsidRPr="005A7EBD" w:rsidRDefault="007D34A4" w:rsidP="007D34A4">
      <w:pPr>
        <w:pStyle w:val="BodyText"/>
        <w:sectPr w:rsidR="007D34A4" w:rsidRPr="005A7EBD" w:rsidSect="007D34A4">
          <w:headerReference w:type="default" r:id="rId20"/>
          <w:footerReference w:type="default" r:id="rId21"/>
          <w:pgSz w:w="11907" w:h="16840" w:code="9"/>
          <w:pgMar w:top="1440" w:right="1440" w:bottom="1440" w:left="1440" w:header="510" w:footer="567" w:gutter="0"/>
          <w:pgNumType w:start="1"/>
          <w:cols w:space="708"/>
          <w:docGrid w:linePitch="360"/>
        </w:sectPr>
      </w:pPr>
    </w:p>
    <w:p w:rsidR="002036D2" w:rsidRPr="00F12F2E" w:rsidRDefault="003F0182" w:rsidP="00F12F2E">
      <w:pPr>
        <w:pStyle w:val="Heading1Numbered"/>
        <w:numPr>
          <w:ilvl w:val="0"/>
          <w:numId w:val="0"/>
        </w:numPr>
        <w:spacing w:before="100" w:beforeAutospacing="1"/>
        <w:rPr>
          <w:b/>
          <w:color w:val="FFFFFF" w:themeColor="background1"/>
        </w:rPr>
      </w:pPr>
      <w:r>
        <w:rPr>
          <w:rFonts w:eastAsiaTheme="minorEastAsia"/>
          <w:b/>
          <w:noProof/>
          <w:color w:val="FFFFFF" w:themeColor="background1"/>
          <w:sz w:val="20"/>
          <w:szCs w:val="20"/>
          <w:lang w:eastAsia="en-AU"/>
        </w:rPr>
        <w:lastRenderedPageBreak/>
        <w:drawing>
          <wp:anchor distT="0" distB="0" distL="114300" distR="114300" simplePos="0" relativeHeight="251666432" behindDoc="1" locked="0" layoutInCell="1" allowOverlap="1">
            <wp:simplePos x="0" y="0"/>
            <wp:positionH relativeFrom="page">
              <wp:align>center</wp:align>
            </wp:positionH>
            <wp:positionV relativeFrom="page">
              <wp:align>center</wp:align>
            </wp:positionV>
            <wp:extent cx="7560000" cy="10695600"/>
            <wp:effectExtent l="0" t="0" r="3175" b="0"/>
            <wp:wrapNone/>
            <wp:docPr id="7" name="Picture 7" descr="Decorative image" title="Decorati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eritage_Strategy_2021-24_InnerSection_draft01.jpg"/>
                    <pic:cNvPicPr/>
                  </pic:nvPicPr>
                  <pic:blipFill>
                    <a:blip r:embed="rId22">
                      <a:extLst>
                        <a:ext uri="{28A0092B-C50C-407E-A947-70E740481C1C}">
                          <a14:useLocalDpi xmlns:a14="http://schemas.microsoft.com/office/drawing/2010/main" val="0"/>
                        </a:ext>
                      </a:extLst>
                    </a:blip>
                    <a:stretch>
                      <a:fillRect/>
                    </a:stretch>
                  </pic:blipFill>
                  <pic:spPr>
                    <a:xfrm>
                      <a:off x="0" y="0"/>
                      <a:ext cx="7560000" cy="10695600"/>
                    </a:xfrm>
                    <a:prstGeom prst="rect">
                      <a:avLst/>
                    </a:prstGeom>
                  </pic:spPr>
                </pic:pic>
              </a:graphicData>
            </a:graphic>
            <wp14:sizeRelH relativeFrom="margin">
              <wp14:pctWidth>0</wp14:pctWidth>
            </wp14:sizeRelH>
            <wp14:sizeRelV relativeFrom="margin">
              <wp14:pctHeight>0</wp14:pctHeight>
            </wp14:sizeRelV>
          </wp:anchor>
        </w:drawing>
      </w:r>
      <w:bookmarkStart w:id="77" w:name="_Toc72485673"/>
      <w:bookmarkStart w:id="78" w:name="_Toc80111203"/>
      <w:r w:rsidR="00E00E97" w:rsidRPr="00F12F2E">
        <w:rPr>
          <w:b/>
          <w:color w:val="FFFFFF" w:themeColor="background1"/>
        </w:rPr>
        <w:t xml:space="preserve">Appendix A: </w:t>
      </w:r>
    </w:p>
    <w:p w:rsidR="007D34A4" w:rsidRPr="00F12F2E" w:rsidRDefault="007D34A4" w:rsidP="00F12F2E">
      <w:pPr>
        <w:pStyle w:val="Heading1Numbered"/>
        <w:numPr>
          <w:ilvl w:val="0"/>
          <w:numId w:val="0"/>
        </w:numPr>
        <w:spacing w:before="100" w:beforeAutospacing="1"/>
        <w:rPr>
          <w:sz w:val="52"/>
        </w:rPr>
      </w:pPr>
      <w:r w:rsidRPr="00F12F2E">
        <w:rPr>
          <w:sz w:val="52"/>
        </w:rPr>
        <w:t>Commitments arising from strategy</w:t>
      </w:r>
      <w:bookmarkEnd w:id="77"/>
      <w:bookmarkEnd w:id="78"/>
    </w:p>
    <w:p w:rsidR="007D34A4" w:rsidRDefault="007D34A4" w:rsidP="007D34A4">
      <w:pPr>
        <w:spacing w:line="240" w:lineRule="auto"/>
        <w:sectPr w:rsidR="007D34A4" w:rsidSect="002036D2">
          <w:headerReference w:type="default" r:id="rId23"/>
          <w:footerReference w:type="default" r:id="rId24"/>
          <w:pgSz w:w="11907" w:h="16840" w:code="9"/>
          <w:pgMar w:top="1440" w:right="1440" w:bottom="1440" w:left="1440" w:header="510" w:footer="720" w:gutter="0"/>
          <w:cols w:space="708"/>
          <w:docGrid w:linePitch="360"/>
        </w:sectPr>
      </w:pPr>
    </w:p>
    <w:tbl>
      <w:tblPr>
        <w:tblStyle w:val="ERMTablestyle1"/>
        <w:tblW w:w="5000" w:type="pct"/>
        <w:jc w:val="center"/>
        <w:tblLayout w:type="fixed"/>
        <w:tblLook w:val="0480" w:firstRow="0" w:lastRow="0" w:firstColumn="1" w:lastColumn="0" w:noHBand="0" w:noVBand="1"/>
        <w:tblCaption w:val="Commitments arising from strategy"/>
        <w:tblDescription w:val="Commitments arising from strategy"/>
      </w:tblPr>
      <w:tblGrid>
        <w:gridCol w:w="1418"/>
        <w:gridCol w:w="2410"/>
        <w:gridCol w:w="7371"/>
        <w:gridCol w:w="1417"/>
        <w:gridCol w:w="1344"/>
      </w:tblGrid>
      <w:tr w:rsidR="007310FC" w:rsidRPr="007310FC" w:rsidTr="00F12F2E">
        <w:trPr>
          <w:cantSplit/>
          <w:tblHeader/>
          <w:jc w:val="center"/>
        </w:trPr>
        <w:tc>
          <w:tcPr>
            <w:tcW w:w="1418" w:type="dxa"/>
            <w:tcBorders>
              <w:bottom w:val="nil"/>
              <w:right w:val="single" w:sz="4" w:space="0" w:color="1C1C1C" w:themeColor="text2"/>
            </w:tcBorders>
            <w:shd w:val="clear" w:color="auto" w:fill="000000" w:themeFill="text1"/>
            <w:vAlign w:val="center"/>
          </w:tcPr>
          <w:p w:rsidR="007310FC" w:rsidRPr="007310FC" w:rsidRDefault="007310FC" w:rsidP="007310FC">
            <w:pPr>
              <w:overflowPunct w:val="0"/>
              <w:autoSpaceDE w:val="0"/>
              <w:autoSpaceDN w:val="0"/>
              <w:adjustRightInd w:val="0"/>
              <w:spacing w:before="40" w:line="240" w:lineRule="auto"/>
              <w:jc w:val="center"/>
              <w:textAlignment w:val="baseline"/>
              <w:rPr>
                <w:rFonts w:cs="Arial"/>
                <w:b/>
                <w:color w:val="FFFFFF" w:themeColor="background1"/>
              </w:rPr>
            </w:pPr>
            <w:r w:rsidRPr="00BF526B">
              <w:rPr>
                <w:rFonts w:cs="Arial"/>
                <w:b/>
                <w:color w:val="FFFFFF" w:themeColor="background1"/>
              </w:rPr>
              <w:lastRenderedPageBreak/>
              <w:t>Commitment No.</w:t>
            </w:r>
          </w:p>
        </w:tc>
        <w:tc>
          <w:tcPr>
            <w:tcW w:w="2410" w:type="dxa"/>
            <w:tcBorders>
              <w:left w:val="single" w:sz="4" w:space="0" w:color="1C1C1C" w:themeColor="text2"/>
              <w:bottom w:val="nil"/>
              <w:right w:val="single" w:sz="4" w:space="0" w:color="1C1C1C" w:themeColor="text2"/>
            </w:tcBorders>
            <w:shd w:val="clear" w:color="auto" w:fill="000000" w:themeFill="text1"/>
            <w:vAlign w:val="center"/>
          </w:tcPr>
          <w:p w:rsidR="007310FC" w:rsidRPr="007310FC" w:rsidRDefault="007310FC" w:rsidP="007310FC">
            <w:pPr>
              <w:overflowPunct w:val="0"/>
              <w:autoSpaceDE w:val="0"/>
              <w:autoSpaceDN w:val="0"/>
              <w:adjustRightInd w:val="0"/>
              <w:spacing w:before="40" w:line="240" w:lineRule="auto"/>
              <w:textAlignment w:val="baseline"/>
              <w:rPr>
                <w:rFonts w:cs="Arial"/>
                <w:b/>
                <w:color w:val="FFFFFF" w:themeColor="background1"/>
              </w:rPr>
            </w:pPr>
            <w:r w:rsidRPr="00BF526B">
              <w:rPr>
                <w:rFonts w:cs="Arial"/>
                <w:b/>
                <w:color w:val="FFFFFF" w:themeColor="background1"/>
              </w:rPr>
              <w:t>EPBC Reg 10.03E. Schedule 7C Reference</w:t>
            </w:r>
          </w:p>
        </w:tc>
        <w:tc>
          <w:tcPr>
            <w:tcW w:w="7371" w:type="dxa"/>
            <w:tcBorders>
              <w:left w:val="single" w:sz="4" w:space="0" w:color="1C1C1C" w:themeColor="text2"/>
              <w:bottom w:val="nil"/>
              <w:right w:val="single" w:sz="4" w:space="0" w:color="1C1C1C" w:themeColor="text2"/>
            </w:tcBorders>
            <w:shd w:val="clear" w:color="auto" w:fill="000000" w:themeFill="text1"/>
            <w:vAlign w:val="center"/>
          </w:tcPr>
          <w:p w:rsidR="007310FC" w:rsidRPr="007310FC" w:rsidRDefault="007310FC" w:rsidP="007310FC">
            <w:pPr>
              <w:overflowPunct w:val="0"/>
              <w:autoSpaceDE w:val="0"/>
              <w:autoSpaceDN w:val="0"/>
              <w:adjustRightInd w:val="0"/>
              <w:spacing w:before="40" w:line="240" w:lineRule="auto"/>
              <w:jc w:val="center"/>
              <w:textAlignment w:val="baseline"/>
              <w:rPr>
                <w:rFonts w:cs="Arial"/>
                <w:b/>
                <w:color w:val="FFFFFF" w:themeColor="background1"/>
              </w:rPr>
            </w:pPr>
            <w:r w:rsidRPr="00BF526B">
              <w:rPr>
                <w:rFonts w:cs="Arial"/>
                <w:b/>
                <w:color w:val="FFFFFF" w:themeColor="background1"/>
              </w:rPr>
              <w:t>Commitment detail</w:t>
            </w:r>
          </w:p>
        </w:tc>
        <w:tc>
          <w:tcPr>
            <w:tcW w:w="1417" w:type="dxa"/>
            <w:tcBorders>
              <w:left w:val="single" w:sz="4" w:space="0" w:color="1C1C1C" w:themeColor="text2"/>
              <w:bottom w:val="nil"/>
              <w:right w:val="single" w:sz="4" w:space="0" w:color="1C1C1C" w:themeColor="text2"/>
            </w:tcBorders>
            <w:shd w:val="clear" w:color="auto" w:fill="000000" w:themeFill="text1"/>
            <w:vAlign w:val="center"/>
          </w:tcPr>
          <w:p w:rsidR="007310FC" w:rsidRPr="007310FC" w:rsidRDefault="007310FC" w:rsidP="007310FC">
            <w:pPr>
              <w:overflowPunct w:val="0"/>
              <w:autoSpaceDE w:val="0"/>
              <w:autoSpaceDN w:val="0"/>
              <w:adjustRightInd w:val="0"/>
              <w:spacing w:before="40" w:line="240" w:lineRule="auto"/>
              <w:jc w:val="center"/>
              <w:textAlignment w:val="baseline"/>
              <w:rPr>
                <w:rFonts w:cs="Arial"/>
                <w:b/>
                <w:color w:val="FFFFFF" w:themeColor="background1"/>
              </w:rPr>
            </w:pPr>
            <w:r w:rsidRPr="00BF526B">
              <w:rPr>
                <w:rFonts w:cs="Arial"/>
                <w:b/>
                <w:color w:val="FFFFFF" w:themeColor="background1"/>
              </w:rPr>
              <w:t>Timeframe</w:t>
            </w:r>
          </w:p>
        </w:tc>
        <w:tc>
          <w:tcPr>
            <w:tcW w:w="1344" w:type="dxa"/>
            <w:tcBorders>
              <w:left w:val="single" w:sz="4" w:space="0" w:color="1C1C1C" w:themeColor="text2"/>
              <w:bottom w:val="nil"/>
            </w:tcBorders>
            <w:shd w:val="clear" w:color="auto" w:fill="000000" w:themeFill="text1"/>
            <w:vAlign w:val="center"/>
          </w:tcPr>
          <w:p w:rsidR="007310FC" w:rsidRPr="007310FC" w:rsidRDefault="007310FC" w:rsidP="007310FC">
            <w:pPr>
              <w:overflowPunct w:val="0"/>
              <w:autoSpaceDE w:val="0"/>
              <w:autoSpaceDN w:val="0"/>
              <w:adjustRightInd w:val="0"/>
              <w:spacing w:before="40" w:line="240" w:lineRule="auto"/>
              <w:jc w:val="center"/>
              <w:textAlignment w:val="baseline"/>
              <w:rPr>
                <w:rFonts w:cs="Arial"/>
                <w:b/>
                <w:color w:val="FFFFFF" w:themeColor="background1"/>
              </w:rPr>
            </w:pPr>
            <w:r w:rsidRPr="00BF526B">
              <w:rPr>
                <w:rFonts w:cs="Arial"/>
                <w:b/>
                <w:color w:val="FFFFFF" w:themeColor="background1"/>
              </w:rPr>
              <w:t>Responsible</w:t>
            </w:r>
          </w:p>
        </w:tc>
      </w:tr>
      <w:tr w:rsidR="007D34A4" w:rsidRPr="006E2D43" w:rsidTr="00F12F2E">
        <w:trPr>
          <w:cantSplit/>
          <w:tblHeader/>
          <w:jc w:val="center"/>
        </w:trPr>
        <w:tc>
          <w:tcPr>
            <w:tcW w:w="1418" w:type="dxa"/>
            <w:tcBorders>
              <w:top w:val="nil"/>
              <w:bottom w:val="single" w:sz="4" w:space="0" w:color="1C1C1C" w:themeColor="text2"/>
              <w:right w:val="nil"/>
            </w:tcBorders>
            <w:vAlign w:val="center"/>
          </w:tcPr>
          <w:p w:rsidR="007D34A4" w:rsidRPr="00FE22B2" w:rsidRDefault="007D34A4" w:rsidP="007D34A4">
            <w:pPr>
              <w:overflowPunct w:val="0"/>
              <w:autoSpaceDE w:val="0"/>
              <w:autoSpaceDN w:val="0"/>
              <w:adjustRightInd w:val="0"/>
              <w:spacing w:before="40" w:line="240" w:lineRule="auto"/>
              <w:jc w:val="center"/>
              <w:textAlignment w:val="baseline"/>
              <w:rPr>
                <w:rFonts w:cs="Arial"/>
                <w:b/>
              </w:rPr>
            </w:pPr>
            <w:r w:rsidRPr="00FE22B2">
              <w:rPr>
                <w:rFonts w:cs="Arial"/>
                <w:b/>
              </w:rPr>
              <w:t>1</w:t>
            </w:r>
          </w:p>
        </w:tc>
        <w:tc>
          <w:tcPr>
            <w:tcW w:w="2410" w:type="dxa"/>
            <w:vMerge w:val="restart"/>
            <w:tcBorders>
              <w:top w:val="nil"/>
              <w:left w:val="nil"/>
              <w:bottom w:val="single" w:sz="4" w:space="0" w:color="1C1C1C" w:themeColor="text2"/>
              <w:right w:val="nil"/>
            </w:tcBorders>
            <w:vAlign w:val="center"/>
          </w:tcPr>
          <w:p w:rsidR="007D34A4" w:rsidRPr="006E2D43" w:rsidRDefault="007D34A4" w:rsidP="007D34A4">
            <w:pPr>
              <w:overflowPunct w:val="0"/>
              <w:autoSpaceDE w:val="0"/>
              <w:autoSpaceDN w:val="0"/>
              <w:adjustRightInd w:val="0"/>
              <w:spacing w:before="40" w:line="240" w:lineRule="auto"/>
              <w:textAlignment w:val="baseline"/>
              <w:rPr>
                <w:rFonts w:cs="Arial"/>
                <w:b/>
              </w:rPr>
            </w:pPr>
            <w:r w:rsidRPr="005110A8">
              <w:rPr>
                <w:i/>
              </w:rPr>
              <w:t>Time-frames for completion of identification and assessments, the register and the report to the Minister</w:t>
            </w:r>
            <w:r w:rsidRPr="00BC5E23">
              <w:t xml:space="preserve"> </w:t>
            </w:r>
            <w:r w:rsidRPr="00560FFD">
              <w:rPr>
                <w:i/>
              </w:rPr>
              <w:t>(Section 2(b)(i)-(iii))</w:t>
            </w:r>
          </w:p>
        </w:tc>
        <w:tc>
          <w:tcPr>
            <w:tcW w:w="7371" w:type="dxa"/>
            <w:tcBorders>
              <w:top w:val="nil"/>
              <w:left w:val="nil"/>
              <w:bottom w:val="single" w:sz="4" w:space="0" w:color="1C1C1C" w:themeColor="text2"/>
              <w:right w:val="nil"/>
            </w:tcBorders>
            <w:vAlign w:val="center"/>
          </w:tcPr>
          <w:p w:rsidR="007D34A4" w:rsidRPr="00612C4A" w:rsidRDefault="007D34A4" w:rsidP="00612C4A">
            <w:pPr>
              <w:overflowPunct w:val="0"/>
              <w:autoSpaceDE w:val="0"/>
              <w:autoSpaceDN w:val="0"/>
              <w:adjustRightInd w:val="0"/>
              <w:spacing w:before="40" w:line="240" w:lineRule="auto"/>
              <w:textAlignment w:val="baseline"/>
              <w:rPr>
                <w:rFonts w:cs="Arial"/>
                <w:b/>
                <w:bCs/>
                <w:spacing w:val="-4"/>
              </w:rPr>
            </w:pPr>
            <w:r w:rsidRPr="00612C4A">
              <w:rPr>
                <w:rFonts w:cs="Arial"/>
                <w:spacing w:val="-4"/>
              </w:rPr>
              <w:t xml:space="preserve">The assessment of </w:t>
            </w:r>
            <w:r w:rsidR="005148CE">
              <w:t>Commonwealth Heritage</w:t>
            </w:r>
            <w:r w:rsidRPr="00612C4A">
              <w:rPr>
                <w:rFonts w:cs="Arial"/>
                <w:spacing w:val="-4"/>
              </w:rPr>
              <w:t xml:space="preserve"> values of the current portfolio will be completed by mid to late 2022.</w:t>
            </w:r>
          </w:p>
        </w:tc>
        <w:tc>
          <w:tcPr>
            <w:tcW w:w="1417" w:type="dxa"/>
            <w:vMerge w:val="restart"/>
            <w:tcBorders>
              <w:top w:val="nil"/>
              <w:left w:val="nil"/>
              <w:bottom w:val="single" w:sz="4" w:space="0" w:color="1C1C1C" w:themeColor="text2"/>
              <w:right w:val="nil"/>
            </w:tcBorders>
            <w:vAlign w:val="center"/>
          </w:tcPr>
          <w:p w:rsidR="007D34A4" w:rsidRPr="005110A8" w:rsidRDefault="007D34A4" w:rsidP="007D34A4">
            <w:pPr>
              <w:overflowPunct w:val="0"/>
              <w:autoSpaceDE w:val="0"/>
              <w:autoSpaceDN w:val="0"/>
              <w:adjustRightInd w:val="0"/>
              <w:spacing w:before="40" w:line="240" w:lineRule="auto"/>
              <w:jc w:val="center"/>
              <w:textAlignment w:val="baseline"/>
              <w:rPr>
                <w:rFonts w:cs="Arial"/>
              </w:rPr>
            </w:pPr>
            <w:r w:rsidRPr="51BC41ED">
              <w:rPr>
                <w:rFonts w:cs="Arial"/>
              </w:rPr>
              <w:t xml:space="preserve">Mid </w:t>
            </w:r>
            <w:r>
              <w:rPr>
                <w:rFonts w:cs="Arial"/>
              </w:rPr>
              <w:t>to late</w:t>
            </w:r>
            <w:r w:rsidRPr="51BC41ED">
              <w:rPr>
                <w:rFonts w:cs="Arial"/>
              </w:rPr>
              <w:t xml:space="preserve"> 2022</w:t>
            </w:r>
          </w:p>
        </w:tc>
        <w:tc>
          <w:tcPr>
            <w:tcW w:w="1344" w:type="dxa"/>
            <w:vMerge w:val="restart"/>
            <w:tcBorders>
              <w:top w:val="nil"/>
              <w:left w:val="nil"/>
              <w:bottom w:val="single" w:sz="4" w:space="0" w:color="1C1C1C" w:themeColor="text2"/>
            </w:tcBorders>
            <w:vAlign w:val="center"/>
          </w:tcPr>
          <w:p w:rsidR="007D34A4" w:rsidRPr="005110A8" w:rsidRDefault="00AA2F40" w:rsidP="007D34A4">
            <w:pPr>
              <w:overflowPunct w:val="0"/>
              <w:autoSpaceDE w:val="0"/>
              <w:autoSpaceDN w:val="0"/>
              <w:adjustRightInd w:val="0"/>
              <w:spacing w:before="40" w:line="240" w:lineRule="auto"/>
              <w:jc w:val="center"/>
              <w:textAlignment w:val="baseline"/>
              <w:rPr>
                <w:rFonts w:cs="Arial"/>
              </w:rPr>
            </w:pPr>
            <w:r w:rsidRPr="00B819BF">
              <w:t>Property Service Providers</w:t>
            </w:r>
          </w:p>
        </w:tc>
      </w:tr>
      <w:tr w:rsidR="007D34A4" w:rsidRPr="006E2D43" w:rsidTr="00F12F2E">
        <w:trPr>
          <w:cantSplit/>
          <w:tblHeader/>
          <w:jc w:val="center"/>
        </w:trPr>
        <w:tc>
          <w:tcPr>
            <w:tcW w:w="1418" w:type="dxa"/>
            <w:tcBorders>
              <w:top w:val="single" w:sz="4" w:space="0" w:color="1C1C1C" w:themeColor="text2"/>
              <w:bottom w:val="single" w:sz="4" w:space="0" w:color="1C1C1C" w:themeColor="text2"/>
              <w:right w:val="nil"/>
            </w:tcBorders>
            <w:vAlign w:val="center"/>
          </w:tcPr>
          <w:p w:rsidR="007D34A4" w:rsidRPr="00FE22B2" w:rsidRDefault="007D34A4" w:rsidP="007D34A4">
            <w:pPr>
              <w:overflowPunct w:val="0"/>
              <w:autoSpaceDE w:val="0"/>
              <w:autoSpaceDN w:val="0"/>
              <w:adjustRightInd w:val="0"/>
              <w:spacing w:before="40" w:line="240" w:lineRule="auto"/>
              <w:jc w:val="center"/>
              <w:textAlignment w:val="baseline"/>
              <w:rPr>
                <w:rFonts w:cs="Arial"/>
                <w:b/>
              </w:rPr>
            </w:pPr>
            <w:r w:rsidRPr="00FE22B2">
              <w:rPr>
                <w:rFonts w:cs="Arial"/>
                <w:b/>
              </w:rPr>
              <w:t>2</w:t>
            </w:r>
          </w:p>
        </w:tc>
        <w:tc>
          <w:tcPr>
            <w:tcW w:w="2410" w:type="dxa"/>
            <w:vMerge/>
            <w:tcBorders>
              <w:top w:val="single" w:sz="4" w:space="0" w:color="1C1C1C" w:themeColor="text2"/>
              <w:left w:val="nil"/>
              <w:bottom w:val="single" w:sz="4" w:space="0" w:color="1C1C1C" w:themeColor="text2"/>
              <w:right w:val="nil"/>
            </w:tcBorders>
            <w:vAlign w:val="center"/>
          </w:tcPr>
          <w:p w:rsidR="007D34A4" w:rsidRPr="006E2D43" w:rsidRDefault="007D34A4" w:rsidP="007D34A4">
            <w:pPr>
              <w:overflowPunct w:val="0"/>
              <w:autoSpaceDE w:val="0"/>
              <w:autoSpaceDN w:val="0"/>
              <w:adjustRightInd w:val="0"/>
              <w:spacing w:before="40" w:line="240" w:lineRule="auto"/>
              <w:textAlignment w:val="baseline"/>
              <w:rPr>
                <w:rFonts w:cs="Arial"/>
                <w:b/>
              </w:rPr>
            </w:pPr>
          </w:p>
        </w:tc>
        <w:tc>
          <w:tcPr>
            <w:tcW w:w="7371" w:type="dxa"/>
            <w:tcBorders>
              <w:top w:val="single" w:sz="4" w:space="0" w:color="1C1C1C" w:themeColor="text2"/>
              <w:left w:val="nil"/>
              <w:bottom w:val="single" w:sz="4" w:space="0" w:color="1C1C1C" w:themeColor="text2"/>
              <w:right w:val="nil"/>
            </w:tcBorders>
            <w:vAlign w:val="center"/>
          </w:tcPr>
          <w:p w:rsidR="007D34A4" w:rsidRPr="006E2D43" w:rsidRDefault="007D34A4" w:rsidP="00612C4A">
            <w:pPr>
              <w:overflowPunct w:val="0"/>
              <w:autoSpaceDE w:val="0"/>
              <w:autoSpaceDN w:val="0"/>
              <w:adjustRightInd w:val="0"/>
              <w:spacing w:before="40" w:line="240" w:lineRule="auto"/>
              <w:textAlignment w:val="baseline"/>
              <w:rPr>
                <w:rFonts w:cs="Arial"/>
                <w:b/>
                <w:bCs/>
              </w:rPr>
            </w:pPr>
            <w:r w:rsidRPr="74EA9CD7">
              <w:rPr>
                <w:rFonts w:cs="Arial"/>
                <w:lang w:val="en-AU"/>
              </w:rPr>
              <w:t xml:space="preserve">The identification and assessment of </w:t>
            </w:r>
            <w:r w:rsidR="005148CE">
              <w:t>Commonwealth Heritage</w:t>
            </w:r>
            <w:r w:rsidRPr="74EA9CD7">
              <w:rPr>
                <w:rFonts w:cs="Arial"/>
                <w:lang w:val="en-AU"/>
              </w:rPr>
              <w:t xml:space="preserve"> values of the current Portfolio will be undertaken in accordance with EPBC Act Section 341ZB Regulation 10.03G, the Principles, and industry expected best practice.</w:t>
            </w:r>
          </w:p>
        </w:tc>
        <w:tc>
          <w:tcPr>
            <w:tcW w:w="1417" w:type="dxa"/>
            <w:vMerge/>
            <w:tcBorders>
              <w:top w:val="single" w:sz="4" w:space="0" w:color="1C1C1C" w:themeColor="text2"/>
              <w:left w:val="nil"/>
              <w:bottom w:val="single" w:sz="4" w:space="0" w:color="1C1C1C" w:themeColor="text2"/>
              <w:right w:val="nil"/>
            </w:tcBorders>
            <w:vAlign w:val="center"/>
          </w:tcPr>
          <w:p w:rsidR="007D34A4" w:rsidRPr="005110A8" w:rsidRDefault="007D34A4" w:rsidP="007D34A4">
            <w:pPr>
              <w:overflowPunct w:val="0"/>
              <w:autoSpaceDE w:val="0"/>
              <w:autoSpaceDN w:val="0"/>
              <w:adjustRightInd w:val="0"/>
              <w:spacing w:before="40" w:line="240" w:lineRule="auto"/>
              <w:jc w:val="center"/>
              <w:textAlignment w:val="baseline"/>
              <w:rPr>
                <w:rFonts w:cs="Arial"/>
              </w:rPr>
            </w:pPr>
          </w:p>
        </w:tc>
        <w:tc>
          <w:tcPr>
            <w:tcW w:w="1344" w:type="dxa"/>
            <w:vMerge/>
            <w:tcBorders>
              <w:top w:val="single" w:sz="4" w:space="0" w:color="1C1C1C" w:themeColor="text2"/>
              <w:left w:val="nil"/>
              <w:bottom w:val="single" w:sz="4" w:space="0" w:color="1C1C1C" w:themeColor="text2"/>
            </w:tcBorders>
            <w:vAlign w:val="center"/>
          </w:tcPr>
          <w:p w:rsidR="007D34A4" w:rsidRPr="005110A8" w:rsidRDefault="007D34A4" w:rsidP="007D34A4">
            <w:pPr>
              <w:overflowPunct w:val="0"/>
              <w:autoSpaceDE w:val="0"/>
              <w:autoSpaceDN w:val="0"/>
              <w:adjustRightInd w:val="0"/>
              <w:spacing w:before="40" w:line="240" w:lineRule="auto"/>
              <w:jc w:val="center"/>
              <w:textAlignment w:val="baseline"/>
              <w:rPr>
                <w:rFonts w:cs="Arial"/>
              </w:rPr>
            </w:pPr>
          </w:p>
        </w:tc>
      </w:tr>
      <w:tr w:rsidR="007D34A4" w:rsidRPr="006E2D43" w:rsidTr="00F12F2E">
        <w:trPr>
          <w:cantSplit/>
          <w:tblHeader/>
          <w:jc w:val="center"/>
        </w:trPr>
        <w:tc>
          <w:tcPr>
            <w:tcW w:w="1418" w:type="dxa"/>
            <w:tcBorders>
              <w:top w:val="single" w:sz="4" w:space="0" w:color="1C1C1C" w:themeColor="text2"/>
              <w:bottom w:val="single" w:sz="4" w:space="0" w:color="1C1C1C" w:themeColor="text2"/>
              <w:right w:val="nil"/>
            </w:tcBorders>
            <w:vAlign w:val="center"/>
          </w:tcPr>
          <w:p w:rsidR="007D34A4" w:rsidRPr="00FE22B2" w:rsidRDefault="007D34A4" w:rsidP="007D34A4">
            <w:pPr>
              <w:overflowPunct w:val="0"/>
              <w:autoSpaceDE w:val="0"/>
              <w:autoSpaceDN w:val="0"/>
              <w:adjustRightInd w:val="0"/>
              <w:spacing w:before="40" w:line="240" w:lineRule="auto"/>
              <w:jc w:val="center"/>
              <w:textAlignment w:val="baseline"/>
              <w:rPr>
                <w:rFonts w:cs="Arial"/>
                <w:b/>
              </w:rPr>
            </w:pPr>
            <w:r w:rsidRPr="00FE22B2">
              <w:rPr>
                <w:rFonts w:cs="Arial"/>
                <w:b/>
              </w:rPr>
              <w:t>3</w:t>
            </w:r>
          </w:p>
        </w:tc>
        <w:tc>
          <w:tcPr>
            <w:tcW w:w="2410" w:type="dxa"/>
            <w:tcBorders>
              <w:top w:val="single" w:sz="4" w:space="0" w:color="1C1C1C" w:themeColor="text2"/>
              <w:left w:val="nil"/>
              <w:bottom w:val="single" w:sz="4" w:space="0" w:color="1C1C1C" w:themeColor="text2"/>
              <w:right w:val="nil"/>
            </w:tcBorders>
            <w:vAlign w:val="center"/>
          </w:tcPr>
          <w:p w:rsidR="007D34A4" w:rsidRPr="00560FFD" w:rsidRDefault="007D34A4" w:rsidP="007D34A4">
            <w:pPr>
              <w:overflowPunct w:val="0"/>
              <w:autoSpaceDE w:val="0"/>
              <w:autoSpaceDN w:val="0"/>
              <w:adjustRightInd w:val="0"/>
              <w:spacing w:before="40" w:line="240" w:lineRule="auto"/>
              <w:textAlignment w:val="baseline"/>
              <w:rPr>
                <w:rFonts w:cs="Arial"/>
                <w:i/>
                <w:iCs/>
              </w:rPr>
            </w:pPr>
            <w:r w:rsidRPr="51BC41ED">
              <w:rPr>
                <w:rFonts w:cs="Arial"/>
                <w:i/>
                <w:iCs/>
              </w:rPr>
              <w:t>The process for identifying and assessing the Commonwealth Heritage values of the Finance</w:t>
            </w:r>
            <w:r w:rsidR="0027266A">
              <w:rPr>
                <w:rFonts w:cs="Arial"/>
                <w:i/>
                <w:iCs/>
              </w:rPr>
              <w:t xml:space="preserve"> </w:t>
            </w:r>
            <w:r w:rsidRPr="51BC41ED">
              <w:rPr>
                <w:rFonts w:cs="Arial"/>
                <w:i/>
                <w:iCs/>
              </w:rPr>
              <w:t>portfolio (Section 2(a))</w:t>
            </w:r>
          </w:p>
        </w:tc>
        <w:tc>
          <w:tcPr>
            <w:tcW w:w="7371" w:type="dxa"/>
            <w:tcBorders>
              <w:top w:val="single" w:sz="4" w:space="0" w:color="1C1C1C" w:themeColor="text2"/>
              <w:left w:val="nil"/>
              <w:bottom w:val="single" w:sz="4" w:space="0" w:color="1C1C1C" w:themeColor="text2"/>
              <w:right w:val="nil"/>
            </w:tcBorders>
            <w:vAlign w:val="center"/>
          </w:tcPr>
          <w:p w:rsidR="007D34A4" w:rsidRPr="005110A8" w:rsidRDefault="00157012" w:rsidP="00612C4A">
            <w:pPr>
              <w:overflowPunct w:val="0"/>
              <w:autoSpaceDE w:val="0"/>
              <w:autoSpaceDN w:val="0"/>
              <w:adjustRightInd w:val="0"/>
              <w:spacing w:before="40" w:line="240" w:lineRule="auto"/>
              <w:textAlignment w:val="baseline"/>
              <w:rPr>
                <w:rFonts w:cs="Arial"/>
              </w:rPr>
            </w:pPr>
            <w:r w:rsidRPr="51BC41ED">
              <w:rPr>
                <w:lang w:eastAsia="en-AU"/>
              </w:rPr>
              <w:t>Heritage Assessment</w:t>
            </w:r>
            <w:r w:rsidR="007D34A4">
              <w:t>s</w:t>
            </w:r>
            <w:r w:rsidR="007D34A4" w:rsidRPr="005110A8">
              <w:t xml:space="preserve"> will be undertaken in accordance with </w:t>
            </w:r>
            <w:r w:rsidR="007D34A4">
              <w:t>best standard heritage practice</w:t>
            </w:r>
            <w:r w:rsidR="007D34A4" w:rsidRPr="005110A8">
              <w:t xml:space="preserve"> and by a suitable qualified heritage specialist.</w:t>
            </w:r>
          </w:p>
        </w:tc>
        <w:tc>
          <w:tcPr>
            <w:tcW w:w="1417" w:type="dxa"/>
            <w:tcBorders>
              <w:top w:val="single" w:sz="4" w:space="0" w:color="1C1C1C" w:themeColor="text2"/>
              <w:left w:val="nil"/>
              <w:bottom w:val="single" w:sz="4" w:space="0" w:color="1C1C1C" w:themeColor="text2"/>
              <w:right w:val="nil"/>
            </w:tcBorders>
            <w:vAlign w:val="center"/>
          </w:tcPr>
          <w:p w:rsidR="007D34A4" w:rsidRPr="005110A8" w:rsidRDefault="007D34A4" w:rsidP="007D34A4">
            <w:pPr>
              <w:overflowPunct w:val="0"/>
              <w:autoSpaceDE w:val="0"/>
              <w:autoSpaceDN w:val="0"/>
              <w:adjustRightInd w:val="0"/>
              <w:spacing w:before="40" w:line="240" w:lineRule="auto"/>
              <w:jc w:val="center"/>
              <w:textAlignment w:val="baseline"/>
              <w:rPr>
                <w:rFonts w:cs="Arial"/>
              </w:rPr>
            </w:pPr>
            <w:r w:rsidRPr="005110A8">
              <w:rPr>
                <w:rFonts w:cs="Arial"/>
              </w:rPr>
              <w:t>Ongoing</w:t>
            </w:r>
          </w:p>
        </w:tc>
        <w:tc>
          <w:tcPr>
            <w:tcW w:w="1344" w:type="dxa"/>
            <w:tcBorders>
              <w:top w:val="single" w:sz="4" w:space="0" w:color="1C1C1C" w:themeColor="text2"/>
              <w:left w:val="nil"/>
              <w:bottom w:val="single" w:sz="4" w:space="0" w:color="1C1C1C" w:themeColor="text2"/>
            </w:tcBorders>
            <w:vAlign w:val="center"/>
          </w:tcPr>
          <w:p w:rsidR="007D34A4" w:rsidRPr="005110A8" w:rsidRDefault="00AA2F40" w:rsidP="007D34A4">
            <w:pPr>
              <w:overflowPunct w:val="0"/>
              <w:autoSpaceDE w:val="0"/>
              <w:autoSpaceDN w:val="0"/>
              <w:adjustRightInd w:val="0"/>
              <w:spacing w:before="40" w:line="240" w:lineRule="auto"/>
              <w:jc w:val="center"/>
              <w:textAlignment w:val="baseline"/>
              <w:rPr>
                <w:rFonts w:cs="Arial"/>
              </w:rPr>
            </w:pPr>
            <w:r w:rsidRPr="00B819BF">
              <w:t>Property Service Providers</w:t>
            </w:r>
          </w:p>
        </w:tc>
      </w:tr>
      <w:tr w:rsidR="007D34A4" w:rsidRPr="006E2D43" w:rsidTr="00F12F2E">
        <w:trPr>
          <w:cantSplit/>
          <w:tblHeader/>
          <w:jc w:val="center"/>
        </w:trPr>
        <w:tc>
          <w:tcPr>
            <w:tcW w:w="1418" w:type="dxa"/>
            <w:tcBorders>
              <w:top w:val="single" w:sz="4" w:space="0" w:color="1C1C1C" w:themeColor="text2"/>
              <w:bottom w:val="single" w:sz="4" w:space="0" w:color="1C1C1C" w:themeColor="text2"/>
              <w:right w:val="nil"/>
            </w:tcBorders>
            <w:vAlign w:val="center"/>
          </w:tcPr>
          <w:p w:rsidR="007D34A4" w:rsidRPr="00FE22B2" w:rsidRDefault="007D34A4" w:rsidP="007D34A4">
            <w:pPr>
              <w:overflowPunct w:val="0"/>
              <w:autoSpaceDE w:val="0"/>
              <w:autoSpaceDN w:val="0"/>
              <w:adjustRightInd w:val="0"/>
              <w:spacing w:before="40" w:line="240" w:lineRule="auto"/>
              <w:jc w:val="center"/>
              <w:textAlignment w:val="baseline"/>
              <w:rPr>
                <w:rFonts w:cs="Arial"/>
                <w:b/>
                <w:highlight w:val="yellow"/>
              </w:rPr>
            </w:pPr>
            <w:r w:rsidRPr="009D1008">
              <w:rPr>
                <w:rFonts w:cs="Arial"/>
                <w:b/>
              </w:rPr>
              <w:t>4</w:t>
            </w:r>
          </w:p>
        </w:tc>
        <w:tc>
          <w:tcPr>
            <w:tcW w:w="2410" w:type="dxa"/>
            <w:tcBorders>
              <w:top w:val="single" w:sz="4" w:space="0" w:color="1C1C1C" w:themeColor="text2"/>
              <w:left w:val="nil"/>
              <w:bottom w:val="single" w:sz="4" w:space="0" w:color="1C1C1C" w:themeColor="text2"/>
              <w:right w:val="nil"/>
            </w:tcBorders>
            <w:vAlign w:val="center"/>
          </w:tcPr>
          <w:p w:rsidR="007D34A4" w:rsidRPr="002D253C" w:rsidRDefault="007D34A4" w:rsidP="00994D65">
            <w:pPr>
              <w:overflowPunct w:val="0"/>
              <w:autoSpaceDE w:val="0"/>
              <w:autoSpaceDN w:val="0"/>
              <w:adjustRightInd w:val="0"/>
              <w:spacing w:before="40" w:line="240" w:lineRule="auto"/>
              <w:textAlignment w:val="baseline"/>
              <w:rPr>
                <w:rFonts w:cs="Arial"/>
                <w:i/>
                <w:highlight w:val="yellow"/>
              </w:rPr>
            </w:pPr>
            <w:r w:rsidRPr="009D1008">
              <w:rPr>
                <w:rFonts w:cs="Arial"/>
                <w:i/>
              </w:rPr>
              <w:t xml:space="preserve">Timeframe for the preparation of management plans for Commonwealth </w:t>
            </w:r>
            <w:r w:rsidR="00994D65">
              <w:rPr>
                <w:rFonts w:cs="Arial"/>
                <w:i/>
              </w:rPr>
              <w:t>H</w:t>
            </w:r>
            <w:r w:rsidRPr="009D1008">
              <w:rPr>
                <w:rFonts w:cs="Arial"/>
                <w:i/>
              </w:rPr>
              <w:t>eritage places (Section 3(b))</w:t>
            </w:r>
          </w:p>
        </w:tc>
        <w:tc>
          <w:tcPr>
            <w:tcW w:w="7371" w:type="dxa"/>
            <w:tcBorders>
              <w:top w:val="single" w:sz="4" w:space="0" w:color="1C1C1C" w:themeColor="text2"/>
              <w:left w:val="nil"/>
              <w:bottom w:val="single" w:sz="4" w:space="0" w:color="1C1C1C" w:themeColor="text2"/>
              <w:right w:val="nil"/>
            </w:tcBorders>
            <w:vAlign w:val="center"/>
          </w:tcPr>
          <w:p w:rsidR="007D34A4" w:rsidRDefault="007D34A4" w:rsidP="00612C4A">
            <w:pPr>
              <w:overflowPunct w:val="0"/>
              <w:autoSpaceDE w:val="0"/>
              <w:autoSpaceDN w:val="0"/>
              <w:adjustRightInd w:val="0"/>
              <w:spacing w:before="40" w:line="240" w:lineRule="auto"/>
              <w:textAlignment w:val="baseline"/>
              <w:rPr>
                <w:highlight w:val="yellow"/>
              </w:rPr>
            </w:pPr>
            <w:r>
              <w:t xml:space="preserve">Finance will ensure that all HMPs due for updating are commenced, and that the </w:t>
            </w:r>
            <w:r w:rsidR="00612C4A">
              <w:br/>
            </w:r>
            <w:r>
              <w:t xml:space="preserve">few remaining properties requiring preparation of a HMP will be completed by </w:t>
            </w:r>
            <w:r w:rsidR="00612C4A">
              <w:br/>
            </w:r>
            <w:r>
              <w:t>mid to late 2022.</w:t>
            </w:r>
          </w:p>
          <w:p w:rsidR="007D34A4" w:rsidRPr="002D253C" w:rsidRDefault="007D34A4" w:rsidP="007D34A4">
            <w:pPr>
              <w:overflowPunct w:val="0"/>
              <w:autoSpaceDE w:val="0"/>
              <w:autoSpaceDN w:val="0"/>
              <w:adjustRightInd w:val="0"/>
              <w:spacing w:before="40" w:line="240" w:lineRule="auto"/>
              <w:jc w:val="both"/>
              <w:textAlignment w:val="baseline"/>
              <w:rPr>
                <w:highlight w:val="yellow"/>
              </w:rPr>
            </w:pPr>
          </w:p>
        </w:tc>
        <w:tc>
          <w:tcPr>
            <w:tcW w:w="1417" w:type="dxa"/>
            <w:tcBorders>
              <w:top w:val="single" w:sz="4" w:space="0" w:color="1C1C1C" w:themeColor="text2"/>
              <w:left w:val="nil"/>
              <w:bottom w:val="single" w:sz="4" w:space="0" w:color="1C1C1C" w:themeColor="text2"/>
              <w:right w:val="nil"/>
            </w:tcBorders>
            <w:vAlign w:val="center"/>
          </w:tcPr>
          <w:p w:rsidR="007D34A4" w:rsidRPr="005110A8" w:rsidRDefault="007D34A4" w:rsidP="007D34A4">
            <w:pPr>
              <w:overflowPunct w:val="0"/>
              <w:autoSpaceDE w:val="0"/>
              <w:autoSpaceDN w:val="0"/>
              <w:adjustRightInd w:val="0"/>
              <w:spacing w:before="40" w:line="240" w:lineRule="auto"/>
              <w:jc w:val="center"/>
              <w:textAlignment w:val="baseline"/>
              <w:rPr>
                <w:rFonts w:cs="Arial"/>
              </w:rPr>
            </w:pPr>
            <w:r>
              <w:rPr>
                <w:rFonts w:cs="Arial"/>
              </w:rPr>
              <w:t>M</w:t>
            </w:r>
            <w:r w:rsidRPr="51BC41ED">
              <w:rPr>
                <w:rFonts w:cs="Arial"/>
              </w:rPr>
              <w:t xml:space="preserve">id </w:t>
            </w:r>
            <w:r>
              <w:rPr>
                <w:rFonts w:cs="Arial"/>
              </w:rPr>
              <w:t>to</w:t>
            </w:r>
            <w:r w:rsidRPr="51BC41ED">
              <w:rPr>
                <w:rFonts w:cs="Arial"/>
              </w:rPr>
              <w:t xml:space="preserve"> late 2022</w:t>
            </w:r>
          </w:p>
        </w:tc>
        <w:tc>
          <w:tcPr>
            <w:tcW w:w="1344" w:type="dxa"/>
            <w:tcBorders>
              <w:top w:val="single" w:sz="4" w:space="0" w:color="1C1C1C" w:themeColor="text2"/>
              <w:left w:val="nil"/>
              <w:bottom w:val="single" w:sz="4" w:space="0" w:color="1C1C1C" w:themeColor="text2"/>
            </w:tcBorders>
            <w:vAlign w:val="center"/>
          </w:tcPr>
          <w:p w:rsidR="007D34A4" w:rsidRPr="005110A8" w:rsidRDefault="00AA2F40" w:rsidP="007D34A4">
            <w:pPr>
              <w:overflowPunct w:val="0"/>
              <w:autoSpaceDE w:val="0"/>
              <w:autoSpaceDN w:val="0"/>
              <w:adjustRightInd w:val="0"/>
              <w:spacing w:before="40" w:line="240" w:lineRule="auto"/>
              <w:jc w:val="center"/>
              <w:textAlignment w:val="baseline"/>
              <w:rPr>
                <w:rFonts w:cs="Arial"/>
              </w:rPr>
            </w:pPr>
            <w:r w:rsidRPr="00B819BF">
              <w:t>Property Service Providers</w:t>
            </w:r>
          </w:p>
        </w:tc>
      </w:tr>
      <w:tr w:rsidR="007D34A4" w:rsidRPr="006E2D43" w:rsidTr="00F12F2E">
        <w:trPr>
          <w:cantSplit/>
          <w:tblHeader/>
          <w:jc w:val="center"/>
        </w:trPr>
        <w:tc>
          <w:tcPr>
            <w:tcW w:w="1418" w:type="dxa"/>
            <w:tcBorders>
              <w:top w:val="single" w:sz="4" w:space="0" w:color="1C1C1C" w:themeColor="text2"/>
              <w:bottom w:val="single" w:sz="4" w:space="0" w:color="1C1C1C" w:themeColor="text2"/>
              <w:right w:val="nil"/>
            </w:tcBorders>
            <w:vAlign w:val="center"/>
          </w:tcPr>
          <w:p w:rsidR="007D34A4" w:rsidRPr="00FE22B2" w:rsidRDefault="007D34A4" w:rsidP="007D34A4">
            <w:pPr>
              <w:overflowPunct w:val="0"/>
              <w:autoSpaceDE w:val="0"/>
              <w:autoSpaceDN w:val="0"/>
              <w:adjustRightInd w:val="0"/>
              <w:spacing w:before="40" w:line="240" w:lineRule="auto"/>
              <w:jc w:val="center"/>
              <w:textAlignment w:val="baseline"/>
              <w:rPr>
                <w:rFonts w:cs="Arial"/>
                <w:b/>
              </w:rPr>
            </w:pPr>
            <w:r w:rsidRPr="00FE22B2">
              <w:rPr>
                <w:rFonts w:cs="Arial"/>
                <w:b/>
              </w:rPr>
              <w:t>5</w:t>
            </w:r>
          </w:p>
        </w:tc>
        <w:tc>
          <w:tcPr>
            <w:tcW w:w="2410" w:type="dxa"/>
            <w:tcBorders>
              <w:top w:val="single" w:sz="4" w:space="0" w:color="1C1C1C" w:themeColor="text2"/>
              <w:left w:val="nil"/>
              <w:bottom w:val="single" w:sz="4" w:space="0" w:color="1C1C1C" w:themeColor="text2"/>
              <w:right w:val="nil"/>
            </w:tcBorders>
            <w:vAlign w:val="center"/>
          </w:tcPr>
          <w:p w:rsidR="007D34A4" w:rsidRPr="006E2D43" w:rsidRDefault="007D34A4" w:rsidP="007D34A4">
            <w:pPr>
              <w:overflowPunct w:val="0"/>
              <w:autoSpaceDE w:val="0"/>
              <w:autoSpaceDN w:val="0"/>
              <w:adjustRightInd w:val="0"/>
              <w:spacing w:before="40" w:line="240" w:lineRule="auto"/>
              <w:textAlignment w:val="baseline"/>
              <w:rPr>
                <w:rFonts w:cs="Arial"/>
                <w:b/>
              </w:rPr>
            </w:pPr>
            <w:r w:rsidRPr="00F813A9">
              <w:rPr>
                <w:rFonts w:cs="Arial"/>
                <w:i/>
              </w:rPr>
              <w:t xml:space="preserve">Process for conflict resolution arising from </w:t>
            </w:r>
            <w:r w:rsidR="00E450CA">
              <w:rPr>
                <w:rFonts w:cs="Arial"/>
                <w:i/>
              </w:rPr>
              <w:br/>
            </w:r>
            <w:r w:rsidRPr="00F813A9">
              <w:rPr>
                <w:rFonts w:cs="Arial"/>
                <w:i/>
              </w:rPr>
              <w:t>the assessment and management of Commonwealth Heritage values (Section 1(f))</w:t>
            </w:r>
          </w:p>
        </w:tc>
        <w:tc>
          <w:tcPr>
            <w:tcW w:w="7371" w:type="dxa"/>
            <w:tcBorders>
              <w:top w:val="single" w:sz="4" w:space="0" w:color="1C1C1C" w:themeColor="text2"/>
              <w:left w:val="nil"/>
              <w:bottom w:val="single" w:sz="4" w:space="0" w:color="1C1C1C" w:themeColor="text2"/>
              <w:right w:val="nil"/>
            </w:tcBorders>
            <w:vAlign w:val="center"/>
          </w:tcPr>
          <w:p w:rsidR="007D34A4" w:rsidRPr="00107526" w:rsidRDefault="007D34A4" w:rsidP="00612C4A">
            <w:pPr>
              <w:overflowPunct w:val="0"/>
              <w:autoSpaceDE w:val="0"/>
              <w:autoSpaceDN w:val="0"/>
              <w:adjustRightInd w:val="0"/>
              <w:spacing w:before="40" w:line="240" w:lineRule="auto"/>
              <w:textAlignment w:val="baseline"/>
              <w:rPr>
                <w:rFonts w:cs="Arial"/>
              </w:rPr>
            </w:pPr>
            <w:r w:rsidRPr="51BC41ED">
              <w:rPr>
                <w:rFonts w:cs="Arial"/>
              </w:rPr>
              <w:t xml:space="preserve">Where required, Finance will seek expert advice from external heritage </w:t>
            </w:r>
            <w:r w:rsidR="00606173">
              <w:t>subject matter experts</w:t>
            </w:r>
            <w:r w:rsidRPr="51BC41ED">
              <w:rPr>
                <w:rFonts w:cs="Arial"/>
              </w:rPr>
              <w:t xml:space="preserve"> or other industry specialists: DAWE or the Australian Heritage Council to assist with resolving conflicts over heritage values.</w:t>
            </w:r>
          </w:p>
        </w:tc>
        <w:tc>
          <w:tcPr>
            <w:tcW w:w="1417" w:type="dxa"/>
            <w:tcBorders>
              <w:top w:val="single" w:sz="4" w:space="0" w:color="1C1C1C" w:themeColor="text2"/>
              <w:left w:val="nil"/>
              <w:bottom w:val="single" w:sz="4" w:space="0" w:color="1C1C1C" w:themeColor="text2"/>
              <w:right w:val="nil"/>
            </w:tcBorders>
            <w:vAlign w:val="center"/>
          </w:tcPr>
          <w:p w:rsidR="007D34A4" w:rsidRPr="00107526" w:rsidRDefault="007D34A4" w:rsidP="007D34A4">
            <w:pPr>
              <w:overflowPunct w:val="0"/>
              <w:autoSpaceDE w:val="0"/>
              <w:autoSpaceDN w:val="0"/>
              <w:adjustRightInd w:val="0"/>
              <w:spacing w:before="40" w:line="240" w:lineRule="auto"/>
              <w:jc w:val="center"/>
              <w:textAlignment w:val="baseline"/>
              <w:rPr>
                <w:rFonts w:cs="Arial"/>
              </w:rPr>
            </w:pPr>
            <w:r w:rsidRPr="00107526">
              <w:rPr>
                <w:rFonts w:cs="Arial"/>
              </w:rPr>
              <w:t>Ongoing</w:t>
            </w:r>
          </w:p>
        </w:tc>
        <w:tc>
          <w:tcPr>
            <w:tcW w:w="1344" w:type="dxa"/>
            <w:tcBorders>
              <w:top w:val="single" w:sz="4" w:space="0" w:color="1C1C1C" w:themeColor="text2"/>
              <w:left w:val="nil"/>
              <w:bottom w:val="single" w:sz="4" w:space="0" w:color="1C1C1C" w:themeColor="text2"/>
            </w:tcBorders>
            <w:vAlign w:val="center"/>
          </w:tcPr>
          <w:p w:rsidR="007D34A4" w:rsidRPr="00107526" w:rsidRDefault="007D34A4" w:rsidP="007D34A4">
            <w:pPr>
              <w:overflowPunct w:val="0"/>
              <w:autoSpaceDE w:val="0"/>
              <w:autoSpaceDN w:val="0"/>
              <w:adjustRightInd w:val="0"/>
              <w:spacing w:before="40" w:line="240" w:lineRule="auto"/>
              <w:jc w:val="center"/>
              <w:textAlignment w:val="baseline"/>
              <w:rPr>
                <w:rFonts w:cs="Arial"/>
              </w:rPr>
            </w:pPr>
            <w:r w:rsidRPr="00107526">
              <w:rPr>
                <w:rFonts w:cs="Arial"/>
              </w:rPr>
              <w:t>PCD</w:t>
            </w:r>
          </w:p>
        </w:tc>
      </w:tr>
      <w:tr w:rsidR="007D34A4" w:rsidRPr="006E2D43" w:rsidTr="00F12F2E">
        <w:trPr>
          <w:cantSplit/>
          <w:trHeight w:val="393"/>
          <w:tblHeader/>
          <w:jc w:val="center"/>
        </w:trPr>
        <w:tc>
          <w:tcPr>
            <w:tcW w:w="1418" w:type="dxa"/>
            <w:tcBorders>
              <w:top w:val="single" w:sz="4" w:space="0" w:color="1C1C1C" w:themeColor="text2"/>
              <w:bottom w:val="single" w:sz="4" w:space="0" w:color="1C1C1C" w:themeColor="text2"/>
              <w:right w:val="nil"/>
            </w:tcBorders>
            <w:vAlign w:val="center"/>
          </w:tcPr>
          <w:p w:rsidR="007D34A4" w:rsidRPr="00FE22B2" w:rsidRDefault="007D34A4" w:rsidP="007D34A4">
            <w:pPr>
              <w:spacing w:before="40" w:line="240" w:lineRule="auto"/>
              <w:jc w:val="center"/>
              <w:rPr>
                <w:rFonts w:cs="Arial"/>
                <w:b/>
              </w:rPr>
            </w:pPr>
            <w:r w:rsidRPr="00FE22B2">
              <w:rPr>
                <w:rFonts w:cs="Arial"/>
                <w:b/>
              </w:rPr>
              <w:lastRenderedPageBreak/>
              <w:t>6</w:t>
            </w:r>
          </w:p>
        </w:tc>
        <w:tc>
          <w:tcPr>
            <w:tcW w:w="2410" w:type="dxa"/>
            <w:tcBorders>
              <w:top w:val="single" w:sz="4" w:space="0" w:color="1C1C1C" w:themeColor="text2"/>
              <w:left w:val="nil"/>
              <w:bottom w:val="single" w:sz="4" w:space="0" w:color="1C1C1C" w:themeColor="text2"/>
              <w:right w:val="nil"/>
            </w:tcBorders>
            <w:vAlign w:val="center"/>
          </w:tcPr>
          <w:p w:rsidR="007D34A4" w:rsidRPr="006E2D43" w:rsidRDefault="007D34A4" w:rsidP="007D34A4">
            <w:pPr>
              <w:spacing w:before="40" w:line="240" w:lineRule="auto"/>
              <w:rPr>
                <w:rFonts w:cs="Arial"/>
              </w:rPr>
            </w:pPr>
            <w:r w:rsidRPr="008E137B">
              <w:rPr>
                <w:rFonts w:cs="Arial"/>
                <w:i/>
              </w:rPr>
              <w:t>Processes for monitoring, reviewing and reporting on the implementation of the Heritage Strategy</w:t>
            </w:r>
            <w:r w:rsidRPr="00174AF0">
              <w:rPr>
                <w:rFonts w:cs="Arial"/>
              </w:rPr>
              <w:t xml:space="preserve"> </w:t>
            </w:r>
            <w:r w:rsidRPr="00560FFD">
              <w:rPr>
                <w:rFonts w:cs="Arial"/>
                <w:i/>
              </w:rPr>
              <w:t>(Section 1(g))</w:t>
            </w:r>
          </w:p>
        </w:tc>
        <w:tc>
          <w:tcPr>
            <w:tcW w:w="7371" w:type="dxa"/>
            <w:tcBorders>
              <w:top w:val="single" w:sz="4" w:space="0" w:color="1C1C1C" w:themeColor="text2"/>
              <w:left w:val="nil"/>
              <w:bottom w:val="single" w:sz="4" w:space="0" w:color="1C1C1C" w:themeColor="text2"/>
              <w:right w:val="nil"/>
            </w:tcBorders>
            <w:vAlign w:val="center"/>
          </w:tcPr>
          <w:p w:rsidR="007D34A4" w:rsidRDefault="007D34A4" w:rsidP="00612C4A">
            <w:pPr>
              <w:spacing w:before="40" w:line="240" w:lineRule="auto"/>
              <w:rPr>
                <w:rFonts w:cs="Arial"/>
              </w:rPr>
            </w:pPr>
            <w:r w:rsidRPr="00AB26B1">
              <w:rPr>
                <w:rFonts w:cs="Arial"/>
                <w:b/>
              </w:rPr>
              <w:t xml:space="preserve">The day-to-day management of the portfolio is the responsibility of the </w:t>
            </w:r>
            <w:r w:rsidR="00AA2F40" w:rsidRPr="00AA2F40">
              <w:rPr>
                <w:rFonts w:cs="Arial"/>
                <w:b/>
              </w:rPr>
              <w:t>Property Service Providers</w:t>
            </w:r>
            <w:r w:rsidRPr="00AB26B1">
              <w:rPr>
                <w:rFonts w:cs="Arial"/>
                <w:b/>
              </w:rPr>
              <w:t xml:space="preserve"> in line with the Arrangements, and responsibility for overall heritage compliance and tracking against Strategy commitments is with </w:t>
            </w:r>
            <w:r>
              <w:rPr>
                <w:rFonts w:cs="Arial"/>
                <w:b/>
              </w:rPr>
              <w:t xml:space="preserve">PCD. </w:t>
            </w:r>
            <w:r w:rsidRPr="51BC41ED">
              <w:rPr>
                <w:rFonts w:cs="Arial"/>
              </w:rPr>
              <w:t>Revi</w:t>
            </w:r>
            <w:r>
              <w:rPr>
                <w:rFonts w:cs="Arial"/>
              </w:rPr>
              <w:t>se Procedural Tools, as required, to align to</w:t>
            </w:r>
            <w:r w:rsidRPr="51BC41ED">
              <w:rPr>
                <w:rFonts w:cs="Arial"/>
              </w:rPr>
              <w:t xml:space="preserve"> a clearly-defined </w:t>
            </w:r>
            <w:r w:rsidR="00AA2F40" w:rsidRPr="00B819BF">
              <w:t>Property Service Providers</w:t>
            </w:r>
            <w:r w:rsidRPr="51BC41ED">
              <w:rPr>
                <w:rFonts w:cs="Arial"/>
              </w:rPr>
              <w:t xml:space="preserve"> and PCD heritage management responsibility structure</w:t>
            </w:r>
            <w:r>
              <w:rPr>
                <w:rFonts w:cs="Arial"/>
              </w:rPr>
              <w:t>, as follows:</w:t>
            </w:r>
            <w:r w:rsidRPr="51BC41ED">
              <w:rPr>
                <w:rFonts w:cs="Arial"/>
              </w:rPr>
              <w:t xml:space="preserve"> </w:t>
            </w:r>
          </w:p>
          <w:p w:rsidR="007D34A4" w:rsidRDefault="007D34A4" w:rsidP="007D34A4">
            <w:pPr>
              <w:spacing w:before="40" w:line="240" w:lineRule="auto"/>
              <w:jc w:val="both"/>
              <w:rPr>
                <w:rFonts w:cs="Arial"/>
              </w:rPr>
            </w:pPr>
          </w:p>
          <w:p w:rsidR="007D34A4" w:rsidRPr="00AB26B1" w:rsidRDefault="007D34A4" w:rsidP="007D34A4">
            <w:pPr>
              <w:spacing w:before="40" w:line="240" w:lineRule="auto"/>
              <w:jc w:val="both"/>
              <w:rPr>
                <w:rFonts w:cs="Arial"/>
                <w:b/>
                <w:u w:val="single"/>
              </w:rPr>
            </w:pPr>
            <w:r w:rsidRPr="00AB26B1">
              <w:rPr>
                <w:rFonts w:cs="Arial"/>
                <w:b/>
                <w:u w:val="single"/>
              </w:rPr>
              <w:t xml:space="preserve">PCD </w:t>
            </w:r>
          </w:p>
          <w:p w:rsidR="007D34A4" w:rsidRPr="00466211" w:rsidRDefault="007D34A4" w:rsidP="000047DE">
            <w:pPr>
              <w:pStyle w:val="ListBullet"/>
              <w:numPr>
                <w:ilvl w:val="0"/>
                <w:numId w:val="30"/>
              </w:numPr>
              <w:rPr>
                <w:sz w:val="18"/>
                <w:szCs w:val="18"/>
              </w:rPr>
            </w:pPr>
            <w:r w:rsidRPr="00466211">
              <w:rPr>
                <w:sz w:val="18"/>
                <w:szCs w:val="18"/>
              </w:rPr>
              <w:t xml:space="preserve">Undertake annual review of Heritage Strategy commitments and performance tracking, including review of </w:t>
            </w:r>
            <w:r w:rsidR="000047DE" w:rsidRPr="000047DE">
              <w:rPr>
                <w:sz w:val="18"/>
                <w:szCs w:val="18"/>
              </w:rPr>
              <w:t>Preventative Maintenance and Asset Management Plans</w:t>
            </w:r>
            <w:r w:rsidR="0027266A">
              <w:rPr>
                <w:sz w:val="18"/>
                <w:szCs w:val="18"/>
              </w:rPr>
              <w:t xml:space="preserve"> </w:t>
            </w:r>
          </w:p>
          <w:p w:rsidR="007D34A4" w:rsidRDefault="007D34A4" w:rsidP="00612C4A">
            <w:pPr>
              <w:spacing w:before="40" w:line="240" w:lineRule="auto"/>
              <w:rPr>
                <w:rFonts w:cs="Arial"/>
              </w:rPr>
            </w:pPr>
          </w:p>
          <w:p w:rsidR="007D34A4" w:rsidRPr="00AB26B1" w:rsidRDefault="00AA2F40" w:rsidP="00612C4A">
            <w:pPr>
              <w:spacing w:before="40" w:line="240" w:lineRule="auto"/>
              <w:rPr>
                <w:rFonts w:cs="Arial"/>
                <w:b/>
                <w:u w:val="single"/>
              </w:rPr>
            </w:pPr>
            <w:r w:rsidRPr="00AA2F40">
              <w:rPr>
                <w:rFonts w:cs="Arial"/>
                <w:b/>
                <w:u w:val="single"/>
              </w:rPr>
              <w:t>Property Service Providers</w:t>
            </w:r>
            <w:r w:rsidR="007D34A4" w:rsidRPr="00AB26B1">
              <w:rPr>
                <w:rFonts w:cs="Arial"/>
                <w:b/>
                <w:u w:val="single"/>
              </w:rPr>
              <w:t xml:space="preserve"> </w:t>
            </w:r>
            <w:r w:rsidR="007D34A4">
              <w:rPr>
                <w:rFonts w:cs="Arial"/>
                <w:b/>
                <w:u w:val="single"/>
              </w:rPr>
              <w:br/>
            </w:r>
          </w:p>
          <w:p w:rsidR="007D34A4" w:rsidRPr="006279B9" w:rsidRDefault="007D34A4" w:rsidP="00612C4A">
            <w:pPr>
              <w:spacing w:before="40" w:line="240" w:lineRule="auto"/>
              <w:rPr>
                <w:rFonts w:cs="Arial"/>
                <w:b/>
              </w:rPr>
            </w:pPr>
            <w:r w:rsidRPr="006279B9">
              <w:rPr>
                <w:rFonts w:cs="Arial"/>
                <w:b/>
              </w:rPr>
              <w:t>Management Team</w:t>
            </w:r>
          </w:p>
          <w:p w:rsidR="007D34A4" w:rsidRPr="00466211" w:rsidRDefault="007D34A4" w:rsidP="000047DE">
            <w:pPr>
              <w:pStyle w:val="ListBullet"/>
              <w:numPr>
                <w:ilvl w:val="0"/>
                <w:numId w:val="30"/>
              </w:numPr>
              <w:rPr>
                <w:sz w:val="18"/>
                <w:szCs w:val="18"/>
              </w:rPr>
            </w:pPr>
            <w:r w:rsidRPr="00466211">
              <w:rPr>
                <w:sz w:val="18"/>
                <w:szCs w:val="18"/>
              </w:rPr>
              <w:t xml:space="preserve">Annual </w:t>
            </w:r>
            <w:r w:rsidR="000047DE" w:rsidRPr="000047DE">
              <w:rPr>
                <w:sz w:val="18"/>
                <w:szCs w:val="18"/>
              </w:rPr>
              <w:t>Preventative Mainte</w:t>
            </w:r>
            <w:r w:rsidR="000047DE">
              <w:rPr>
                <w:sz w:val="18"/>
                <w:szCs w:val="18"/>
              </w:rPr>
              <w:t>nance and Asset Management Plan</w:t>
            </w:r>
            <w:r w:rsidRPr="00466211">
              <w:rPr>
                <w:sz w:val="18"/>
                <w:szCs w:val="18"/>
              </w:rPr>
              <w:t xml:space="preserve"> to include HMP as an Appendix</w:t>
            </w:r>
          </w:p>
          <w:p w:rsidR="007D34A4" w:rsidRPr="00466211" w:rsidRDefault="007D34A4" w:rsidP="000047DE">
            <w:pPr>
              <w:pStyle w:val="ListBullet"/>
              <w:numPr>
                <w:ilvl w:val="0"/>
                <w:numId w:val="30"/>
              </w:numPr>
              <w:rPr>
                <w:sz w:val="18"/>
                <w:szCs w:val="18"/>
              </w:rPr>
            </w:pPr>
            <w:r w:rsidRPr="00466211">
              <w:rPr>
                <w:sz w:val="18"/>
                <w:szCs w:val="18"/>
              </w:rPr>
              <w:t xml:space="preserve">Annual </w:t>
            </w:r>
            <w:r w:rsidR="000047DE" w:rsidRPr="000047DE">
              <w:rPr>
                <w:sz w:val="18"/>
                <w:szCs w:val="18"/>
              </w:rPr>
              <w:t>Preventative Mainte</w:t>
            </w:r>
            <w:r w:rsidR="000047DE">
              <w:rPr>
                <w:sz w:val="18"/>
                <w:szCs w:val="18"/>
              </w:rPr>
              <w:t>nance and Asset Management Plan</w:t>
            </w:r>
            <w:r w:rsidRPr="00466211">
              <w:rPr>
                <w:sz w:val="18"/>
                <w:szCs w:val="18"/>
              </w:rPr>
              <w:t xml:space="preserve"> to specifically identify ‘catch-up maintenance’ identified in the HMP</w:t>
            </w:r>
          </w:p>
          <w:p w:rsidR="007D34A4" w:rsidRPr="00AB26B1" w:rsidRDefault="007D34A4" w:rsidP="000047DE">
            <w:pPr>
              <w:pStyle w:val="ListBullet"/>
              <w:numPr>
                <w:ilvl w:val="0"/>
                <w:numId w:val="30"/>
              </w:numPr>
            </w:pPr>
            <w:r w:rsidRPr="00466211">
              <w:rPr>
                <w:sz w:val="18"/>
                <w:szCs w:val="18"/>
              </w:rPr>
              <w:t xml:space="preserve">Annual </w:t>
            </w:r>
            <w:r w:rsidR="000047DE" w:rsidRPr="000047DE">
              <w:rPr>
                <w:sz w:val="18"/>
                <w:szCs w:val="18"/>
              </w:rPr>
              <w:t>Preventative Mainte</w:t>
            </w:r>
            <w:r w:rsidR="000047DE">
              <w:rPr>
                <w:sz w:val="18"/>
                <w:szCs w:val="18"/>
              </w:rPr>
              <w:t>nance and Asset Management Plan</w:t>
            </w:r>
            <w:r w:rsidRPr="00466211">
              <w:rPr>
                <w:sz w:val="18"/>
                <w:szCs w:val="18"/>
              </w:rPr>
              <w:t xml:space="preserve"> to specifically identify annual maintenance requirements identified in the HMP</w:t>
            </w:r>
          </w:p>
          <w:p w:rsidR="007D34A4" w:rsidRPr="006279B9" w:rsidRDefault="007D34A4" w:rsidP="00612C4A">
            <w:pPr>
              <w:spacing w:before="40" w:line="240" w:lineRule="auto"/>
              <w:rPr>
                <w:rFonts w:cs="Arial"/>
                <w:b/>
              </w:rPr>
            </w:pPr>
            <w:r w:rsidRPr="006279B9">
              <w:rPr>
                <w:rFonts w:cs="Arial"/>
                <w:b/>
              </w:rPr>
              <w:t>FM Team</w:t>
            </w:r>
          </w:p>
          <w:p w:rsidR="007D34A4" w:rsidRPr="00466211" w:rsidRDefault="007D34A4" w:rsidP="00612C4A">
            <w:pPr>
              <w:pStyle w:val="ListBullet"/>
              <w:numPr>
                <w:ilvl w:val="0"/>
                <w:numId w:val="30"/>
              </w:numPr>
              <w:rPr>
                <w:sz w:val="18"/>
                <w:szCs w:val="18"/>
              </w:rPr>
            </w:pPr>
            <w:r w:rsidRPr="00466211">
              <w:rPr>
                <w:sz w:val="18"/>
                <w:szCs w:val="18"/>
              </w:rPr>
              <w:t>FM to review HMP at commencement of all works on site</w:t>
            </w:r>
          </w:p>
          <w:p w:rsidR="007D34A4" w:rsidRPr="00466211" w:rsidRDefault="007D34A4" w:rsidP="00612C4A">
            <w:pPr>
              <w:pStyle w:val="ListBullet"/>
              <w:numPr>
                <w:ilvl w:val="0"/>
                <w:numId w:val="30"/>
              </w:numPr>
              <w:rPr>
                <w:sz w:val="18"/>
                <w:szCs w:val="18"/>
              </w:rPr>
            </w:pPr>
            <w:r w:rsidRPr="00466211">
              <w:rPr>
                <w:sz w:val="18"/>
                <w:szCs w:val="18"/>
              </w:rPr>
              <w:t>FM to provide copy of HMP to tenants</w:t>
            </w:r>
          </w:p>
          <w:p w:rsidR="007D34A4" w:rsidRPr="00466211" w:rsidRDefault="007D34A4" w:rsidP="00612C4A">
            <w:pPr>
              <w:pStyle w:val="ListBullet"/>
              <w:numPr>
                <w:ilvl w:val="0"/>
                <w:numId w:val="30"/>
              </w:numPr>
              <w:rPr>
                <w:sz w:val="18"/>
                <w:szCs w:val="18"/>
              </w:rPr>
            </w:pPr>
            <w:r w:rsidRPr="00466211">
              <w:rPr>
                <w:sz w:val="18"/>
                <w:szCs w:val="18"/>
              </w:rPr>
              <w:t>Tenants to submit a response to HMP requirements in each BOA and evidence engagement with Heritage Consultant where necessary</w:t>
            </w:r>
          </w:p>
          <w:p w:rsidR="007D34A4" w:rsidRPr="00466211" w:rsidRDefault="007D34A4" w:rsidP="007D34A4">
            <w:pPr>
              <w:pStyle w:val="ListBullet"/>
              <w:numPr>
                <w:ilvl w:val="0"/>
                <w:numId w:val="30"/>
              </w:numPr>
              <w:rPr>
                <w:sz w:val="18"/>
                <w:szCs w:val="18"/>
              </w:rPr>
            </w:pPr>
            <w:r w:rsidRPr="00466211">
              <w:rPr>
                <w:sz w:val="18"/>
                <w:szCs w:val="18"/>
              </w:rPr>
              <w:t>FM to undertake all catch-up maintenance as detailed in the site HMPs</w:t>
            </w:r>
            <w:r w:rsidRPr="00466211">
              <w:rPr>
                <w:sz w:val="18"/>
                <w:szCs w:val="18"/>
              </w:rPr>
              <w:br/>
            </w:r>
          </w:p>
          <w:p w:rsidR="007D34A4" w:rsidRPr="006279B9" w:rsidRDefault="00AA2F40" w:rsidP="007D34A4">
            <w:pPr>
              <w:spacing w:before="40" w:line="240" w:lineRule="auto"/>
              <w:rPr>
                <w:rFonts w:cs="Arial"/>
                <w:b/>
              </w:rPr>
            </w:pPr>
            <w:r w:rsidRPr="00AA2F40">
              <w:rPr>
                <w:rFonts w:cs="Arial"/>
                <w:b/>
              </w:rPr>
              <w:t>Property Service Providers</w:t>
            </w:r>
            <w:r w:rsidR="007D34A4" w:rsidRPr="006279B9">
              <w:rPr>
                <w:rFonts w:cs="Arial"/>
                <w:b/>
              </w:rPr>
              <w:t xml:space="preserve"> Project Management Team:</w:t>
            </w:r>
          </w:p>
          <w:p w:rsidR="007D34A4" w:rsidRPr="00466211" w:rsidRDefault="007D34A4" w:rsidP="007D34A4">
            <w:pPr>
              <w:pStyle w:val="ListBullet"/>
              <w:numPr>
                <w:ilvl w:val="0"/>
                <w:numId w:val="30"/>
              </w:numPr>
              <w:rPr>
                <w:sz w:val="18"/>
                <w:szCs w:val="18"/>
              </w:rPr>
            </w:pPr>
            <w:r w:rsidRPr="00466211">
              <w:rPr>
                <w:sz w:val="18"/>
                <w:szCs w:val="18"/>
              </w:rPr>
              <w:t>PM Team to be issued a copy of the HMP prior to conducting any works on site;</w:t>
            </w:r>
          </w:p>
          <w:p w:rsidR="007D34A4" w:rsidRPr="00466211" w:rsidRDefault="007D34A4" w:rsidP="007D34A4">
            <w:pPr>
              <w:pStyle w:val="ListBullet"/>
              <w:numPr>
                <w:ilvl w:val="0"/>
                <w:numId w:val="30"/>
              </w:numPr>
              <w:rPr>
                <w:sz w:val="18"/>
                <w:szCs w:val="18"/>
              </w:rPr>
            </w:pPr>
            <w:r w:rsidRPr="00466211">
              <w:rPr>
                <w:sz w:val="18"/>
                <w:szCs w:val="18"/>
              </w:rPr>
              <w:t>PM Team to include Heritage Status into PCG Agenda’s;</w:t>
            </w:r>
          </w:p>
          <w:p w:rsidR="007D34A4" w:rsidRPr="00F12F2E" w:rsidRDefault="007D34A4" w:rsidP="007D34A4">
            <w:pPr>
              <w:pStyle w:val="ListBullet"/>
              <w:numPr>
                <w:ilvl w:val="0"/>
                <w:numId w:val="30"/>
              </w:numPr>
              <w:rPr>
                <w:spacing w:val="-4"/>
                <w:sz w:val="18"/>
                <w:szCs w:val="18"/>
              </w:rPr>
            </w:pPr>
            <w:r w:rsidRPr="00F12F2E">
              <w:rPr>
                <w:spacing w:val="-4"/>
                <w:sz w:val="18"/>
                <w:szCs w:val="18"/>
              </w:rPr>
              <w:lastRenderedPageBreak/>
              <w:t>PM to consult with Heritage Consultant as required to ensure compliance with the HMP;</w:t>
            </w:r>
          </w:p>
          <w:p w:rsidR="007D34A4" w:rsidRPr="00396374" w:rsidRDefault="007D34A4" w:rsidP="007D34A4">
            <w:pPr>
              <w:pStyle w:val="ListBullet"/>
              <w:numPr>
                <w:ilvl w:val="0"/>
                <w:numId w:val="30"/>
              </w:numPr>
              <w:rPr>
                <w:sz w:val="22"/>
                <w:szCs w:val="22"/>
                <w:lang w:val="en-AU"/>
              </w:rPr>
            </w:pPr>
            <w:r w:rsidRPr="00466211">
              <w:rPr>
                <w:sz w:val="18"/>
                <w:szCs w:val="18"/>
              </w:rPr>
              <w:t>PM to include Heritage Commentary in Project Close-out Report as required.</w:t>
            </w:r>
            <w:r w:rsidRPr="00F46250">
              <w:rPr>
                <w:color w:val="2B579A"/>
                <w:shd w:val="clear" w:color="auto" w:fill="E6E6E6"/>
                <w:lang w:val="en-AU"/>
              </w:rPr>
              <w:t xml:space="preserve"> </w:t>
            </w:r>
          </w:p>
        </w:tc>
        <w:tc>
          <w:tcPr>
            <w:tcW w:w="1417" w:type="dxa"/>
            <w:tcBorders>
              <w:top w:val="single" w:sz="4" w:space="0" w:color="1C1C1C" w:themeColor="text2"/>
              <w:left w:val="nil"/>
              <w:bottom w:val="single" w:sz="4" w:space="0" w:color="1C1C1C" w:themeColor="text2"/>
              <w:right w:val="nil"/>
            </w:tcBorders>
            <w:vAlign w:val="center"/>
          </w:tcPr>
          <w:p w:rsidR="007D34A4" w:rsidRPr="006E2D43" w:rsidRDefault="007D34A4" w:rsidP="007D34A4">
            <w:pPr>
              <w:spacing w:before="40" w:line="240" w:lineRule="auto"/>
              <w:rPr>
                <w:rFonts w:cs="Arial"/>
              </w:rPr>
            </w:pPr>
            <w:r>
              <w:rPr>
                <w:rFonts w:cs="Arial"/>
              </w:rPr>
              <w:lastRenderedPageBreak/>
              <w:t xml:space="preserve">Within 6 months of Strategy endorsement </w:t>
            </w:r>
          </w:p>
        </w:tc>
        <w:tc>
          <w:tcPr>
            <w:tcW w:w="1344" w:type="dxa"/>
            <w:tcBorders>
              <w:top w:val="single" w:sz="4" w:space="0" w:color="1C1C1C" w:themeColor="text2"/>
              <w:left w:val="nil"/>
              <w:bottom w:val="single" w:sz="4" w:space="0" w:color="1C1C1C" w:themeColor="text2"/>
            </w:tcBorders>
          </w:tcPr>
          <w:p w:rsidR="007D34A4" w:rsidRDefault="007D34A4" w:rsidP="007D34A4">
            <w:pPr>
              <w:spacing w:before="40" w:line="240" w:lineRule="auto"/>
              <w:rPr>
                <w:rFonts w:cs="Arial"/>
              </w:rPr>
            </w:pPr>
            <w:r>
              <w:rPr>
                <w:rFonts w:cs="Arial"/>
              </w:rPr>
              <w:t>PCD Lead</w:t>
            </w:r>
          </w:p>
          <w:p w:rsidR="007D34A4" w:rsidRPr="006E2D43" w:rsidRDefault="00AA2F40" w:rsidP="007D34A4">
            <w:pPr>
              <w:spacing w:before="40" w:line="240" w:lineRule="auto"/>
              <w:rPr>
                <w:rFonts w:cs="Arial"/>
              </w:rPr>
            </w:pPr>
            <w:r w:rsidRPr="00B819BF">
              <w:t>Property Service Providers</w:t>
            </w:r>
            <w:r w:rsidR="007D34A4">
              <w:rPr>
                <w:rFonts w:cs="Arial"/>
              </w:rPr>
              <w:t xml:space="preserve"> (e</w:t>
            </w:r>
            <w:r w:rsidR="007D34A4">
              <w:t xml:space="preserve">ngagement of </w:t>
            </w:r>
            <w:r w:rsidR="00606173">
              <w:t>subject matter experts</w:t>
            </w:r>
            <w:r w:rsidR="007D34A4">
              <w:t>, as required)</w:t>
            </w:r>
          </w:p>
        </w:tc>
      </w:tr>
      <w:tr w:rsidR="007D34A4" w:rsidRPr="006E2D43" w:rsidTr="00F12F2E">
        <w:trPr>
          <w:cantSplit/>
          <w:trHeight w:val="35"/>
          <w:tblHeader/>
          <w:jc w:val="center"/>
        </w:trPr>
        <w:tc>
          <w:tcPr>
            <w:tcW w:w="1418" w:type="dxa"/>
            <w:tcBorders>
              <w:top w:val="single" w:sz="4" w:space="0" w:color="1C1C1C" w:themeColor="text2"/>
              <w:bottom w:val="single" w:sz="4" w:space="0" w:color="1C1C1C" w:themeColor="text2"/>
              <w:right w:val="nil"/>
            </w:tcBorders>
            <w:vAlign w:val="center"/>
          </w:tcPr>
          <w:p w:rsidR="007D34A4" w:rsidRPr="00FE22B2" w:rsidRDefault="007D34A4" w:rsidP="007D34A4">
            <w:pPr>
              <w:spacing w:before="40" w:line="240" w:lineRule="auto"/>
              <w:jc w:val="center"/>
              <w:rPr>
                <w:rFonts w:cs="Arial"/>
                <w:b/>
              </w:rPr>
            </w:pPr>
            <w:r w:rsidRPr="00FE22B2">
              <w:rPr>
                <w:rFonts w:cs="Arial"/>
                <w:b/>
              </w:rPr>
              <w:t>7</w:t>
            </w:r>
          </w:p>
        </w:tc>
        <w:tc>
          <w:tcPr>
            <w:tcW w:w="2410" w:type="dxa"/>
            <w:tcBorders>
              <w:top w:val="single" w:sz="4" w:space="0" w:color="1C1C1C" w:themeColor="text2"/>
              <w:left w:val="nil"/>
              <w:bottom w:val="single" w:sz="4" w:space="0" w:color="1C1C1C" w:themeColor="text2"/>
              <w:right w:val="nil"/>
            </w:tcBorders>
            <w:vAlign w:val="center"/>
          </w:tcPr>
          <w:p w:rsidR="007D34A4" w:rsidRPr="008E137B" w:rsidRDefault="007D34A4" w:rsidP="007D34A4">
            <w:pPr>
              <w:spacing w:before="40" w:line="240" w:lineRule="auto"/>
              <w:rPr>
                <w:rFonts w:cs="Arial"/>
                <w:i/>
              </w:rPr>
            </w:pPr>
            <w:r w:rsidRPr="00FE22B2">
              <w:rPr>
                <w:rFonts w:cs="Arial"/>
                <w:i/>
              </w:rPr>
              <w:t>Outline of the process by which the success in conserving Commonwealth Heritage values will be monitored and reviewed (Section 3(g))</w:t>
            </w:r>
          </w:p>
        </w:tc>
        <w:tc>
          <w:tcPr>
            <w:tcW w:w="7371" w:type="dxa"/>
            <w:tcBorders>
              <w:top w:val="single" w:sz="4" w:space="0" w:color="1C1C1C" w:themeColor="text2"/>
              <w:left w:val="nil"/>
              <w:bottom w:val="single" w:sz="4" w:space="0" w:color="1C1C1C" w:themeColor="text2"/>
              <w:right w:val="nil"/>
            </w:tcBorders>
            <w:vAlign w:val="center"/>
          </w:tcPr>
          <w:p w:rsidR="007D34A4" w:rsidRDefault="007D34A4" w:rsidP="00F12F2E">
            <w:pPr>
              <w:spacing w:before="40" w:line="240" w:lineRule="auto"/>
              <w:rPr>
                <w:rFonts w:cs="Arial"/>
              </w:rPr>
            </w:pPr>
            <w:r w:rsidRPr="51BC41ED">
              <w:rPr>
                <w:rFonts w:cs="Arial"/>
              </w:rPr>
              <w:t xml:space="preserve">Finance will </w:t>
            </w:r>
            <w:r>
              <w:rPr>
                <w:rFonts w:cs="Arial"/>
              </w:rPr>
              <w:t>provide</w:t>
            </w:r>
            <w:r w:rsidRPr="51BC41ED">
              <w:rPr>
                <w:rFonts w:cs="Arial"/>
              </w:rPr>
              <w:t xml:space="preserve"> </w:t>
            </w:r>
            <w:r>
              <w:rPr>
                <w:rFonts w:cs="Arial"/>
              </w:rPr>
              <w:t xml:space="preserve">information into </w:t>
            </w:r>
            <w:r w:rsidRPr="51BC41ED">
              <w:rPr>
                <w:rFonts w:cs="Arial"/>
              </w:rPr>
              <w:t xml:space="preserve">the five yearly report on properties included in the </w:t>
            </w:r>
            <w:r w:rsidR="00305FC4" w:rsidRPr="00305FC4">
              <w:rPr>
                <w:rFonts w:cs="Arial"/>
              </w:rPr>
              <w:t>Commonwealth Heritage List</w:t>
            </w:r>
            <w:r w:rsidRPr="51BC41ED">
              <w:rPr>
                <w:rFonts w:cs="Arial"/>
              </w:rPr>
              <w:t>, required for</w:t>
            </w:r>
            <w:r>
              <w:rPr>
                <w:rFonts w:cs="Arial"/>
              </w:rPr>
              <w:t xml:space="preserve"> submission to the Minister for</w:t>
            </w:r>
            <w:r w:rsidRPr="51BC41ED">
              <w:rPr>
                <w:rFonts w:cs="Arial"/>
              </w:rPr>
              <w:t xml:space="preserve"> Environment under EPBC Act S341ZH</w:t>
            </w:r>
            <w:r>
              <w:rPr>
                <w:rFonts w:cs="Arial"/>
              </w:rPr>
              <w:t>, upon request</w:t>
            </w:r>
            <w:r w:rsidRPr="51BC41ED">
              <w:rPr>
                <w:rFonts w:cs="Arial"/>
              </w:rPr>
              <w:t xml:space="preserve">. </w:t>
            </w:r>
          </w:p>
        </w:tc>
        <w:tc>
          <w:tcPr>
            <w:tcW w:w="1417" w:type="dxa"/>
            <w:tcBorders>
              <w:top w:val="single" w:sz="4" w:space="0" w:color="1C1C1C" w:themeColor="text2"/>
              <w:left w:val="nil"/>
              <w:bottom w:val="single" w:sz="4" w:space="0" w:color="1C1C1C" w:themeColor="text2"/>
              <w:right w:val="nil"/>
            </w:tcBorders>
            <w:vAlign w:val="center"/>
          </w:tcPr>
          <w:p w:rsidR="007D34A4" w:rsidRDefault="007D34A4" w:rsidP="007D34A4">
            <w:pPr>
              <w:spacing w:before="40" w:line="240" w:lineRule="auto"/>
              <w:rPr>
                <w:rFonts w:cs="Arial"/>
              </w:rPr>
            </w:pPr>
            <w:r>
              <w:rPr>
                <w:rFonts w:cs="Arial"/>
              </w:rPr>
              <w:t>As required</w:t>
            </w:r>
          </w:p>
        </w:tc>
        <w:tc>
          <w:tcPr>
            <w:tcW w:w="1344" w:type="dxa"/>
            <w:tcBorders>
              <w:top w:val="single" w:sz="4" w:space="0" w:color="1C1C1C" w:themeColor="text2"/>
              <w:left w:val="nil"/>
              <w:bottom w:val="single" w:sz="4" w:space="0" w:color="1C1C1C" w:themeColor="text2"/>
            </w:tcBorders>
          </w:tcPr>
          <w:p w:rsidR="007D34A4" w:rsidRDefault="00AA2F40" w:rsidP="007D34A4">
            <w:pPr>
              <w:spacing w:before="40" w:line="240" w:lineRule="auto"/>
              <w:rPr>
                <w:rFonts w:cs="Arial"/>
              </w:rPr>
            </w:pPr>
            <w:r w:rsidRPr="00B819BF">
              <w:t>Property Service Providers</w:t>
            </w:r>
            <w:r>
              <w:rPr>
                <w:rFonts w:cs="Arial"/>
              </w:rPr>
              <w:t xml:space="preserve"> </w:t>
            </w:r>
            <w:r w:rsidR="007D34A4">
              <w:rPr>
                <w:rFonts w:cs="Arial"/>
              </w:rPr>
              <w:t>/PCD</w:t>
            </w:r>
          </w:p>
        </w:tc>
      </w:tr>
      <w:tr w:rsidR="007D34A4" w:rsidRPr="006E2D43" w:rsidTr="00F12F2E">
        <w:trPr>
          <w:cantSplit/>
          <w:tblHeader/>
          <w:jc w:val="center"/>
        </w:trPr>
        <w:tc>
          <w:tcPr>
            <w:tcW w:w="1418" w:type="dxa"/>
            <w:tcBorders>
              <w:top w:val="single" w:sz="4" w:space="0" w:color="1C1C1C" w:themeColor="text2"/>
              <w:bottom w:val="single" w:sz="4" w:space="0" w:color="1C1C1C" w:themeColor="text2"/>
              <w:right w:val="nil"/>
            </w:tcBorders>
            <w:vAlign w:val="center"/>
          </w:tcPr>
          <w:p w:rsidR="007D34A4" w:rsidRPr="00FE22B2" w:rsidRDefault="007D34A4" w:rsidP="007D34A4">
            <w:pPr>
              <w:spacing w:before="40" w:line="240" w:lineRule="auto"/>
              <w:jc w:val="center"/>
              <w:rPr>
                <w:b/>
              </w:rPr>
            </w:pPr>
            <w:r w:rsidRPr="00FE22B2">
              <w:rPr>
                <w:b/>
              </w:rPr>
              <w:t>8</w:t>
            </w:r>
          </w:p>
        </w:tc>
        <w:tc>
          <w:tcPr>
            <w:tcW w:w="2410" w:type="dxa"/>
            <w:vMerge w:val="restart"/>
            <w:tcBorders>
              <w:top w:val="single" w:sz="4" w:space="0" w:color="1C1C1C" w:themeColor="text2"/>
              <w:left w:val="nil"/>
              <w:bottom w:val="single" w:sz="4" w:space="0" w:color="1C1C1C" w:themeColor="text2"/>
              <w:right w:val="nil"/>
            </w:tcBorders>
            <w:vAlign w:val="center"/>
          </w:tcPr>
          <w:p w:rsidR="007D34A4" w:rsidRPr="00560FFD" w:rsidRDefault="007D34A4" w:rsidP="007D34A4">
            <w:pPr>
              <w:spacing w:before="40" w:line="240" w:lineRule="auto"/>
              <w:rPr>
                <w:i/>
              </w:rPr>
            </w:pPr>
            <w:r w:rsidRPr="00560FFD">
              <w:rPr>
                <w:i/>
              </w:rPr>
              <w:t>How the Finance Heritage Register will be maintained, updated and made accessible to the public (Section 3(a))</w:t>
            </w:r>
          </w:p>
        </w:tc>
        <w:tc>
          <w:tcPr>
            <w:tcW w:w="7371" w:type="dxa"/>
            <w:tcBorders>
              <w:top w:val="single" w:sz="4" w:space="0" w:color="1C1C1C" w:themeColor="text2"/>
              <w:left w:val="nil"/>
              <w:bottom w:val="single" w:sz="4" w:space="0" w:color="1C1C1C" w:themeColor="text2"/>
              <w:right w:val="nil"/>
            </w:tcBorders>
            <w:vAlign w:val="center"/>
          </w:tcPr>
          <w:p w:rsidR="007D34A4" w:rsidRPr="00560FFD" w:rsidRDefault="007D34A4" w:rsidP="00F12F2E">
            <w:pPr>
              <w:spacing w:before="40" w:line="240" w:lineRule="auto"/>
              <w:rPr>
                <w:rFonts w:cs="Arial"/>
                <w:lang w:val="en-AU"/>
              </w:rPr>
            </w:pPr>
            <w:r w:rsidRPr="51BC41ED">
              <w:rPr>
                <w:rFonts w:cs="Arial"/>
              </w:rPr>
              <w:t>The Finance Heritage Reg</w:t>
            </w:r>
            <w:r>
              <w:rPr>
                <w:rFonts w:cs="Arial"/>
              </w:rPr>
              <w:t>ister will be updated as part of the annual review.</w:t>
            </w:r>
            <w:r w:rsidRPr="51BC41ED">
              <w:rPr>
                <w:rFonts w:cs="Arial"/>
              </w:rPr>
              <w:t xml:space="preserve"> Updates are to include changes to property use and new information as a result of </w:t>
            </w:r>
            <w:r w:rsidR="00157012" w:rsidRPr="51BC41ED">
              <w:rPr>
                <w:lang w:eastAsia="en-AU"/>
              </w:rPr>
              <w:t>Heritage Assessment</w:t>
            </w:r>
            <w:r>
              <w:rPr>
                <w:rFonts w:cs="Arial"/>
              </w:rPr>
              <w:t xml:space="preserve">s, </w:t>
            </w:r>
            <w:r w:rsidR="00D7660D">
              <w:t>Heritage Impact Assessments</w:t>
            </w:r>
            <w:r>
              <w:rPr>
                <w:rFonts w:cs="Arial"/>
              </w:rPr>
              <w:t xml:space="preserve"> and/or HMPs</w:t>
            </w:r>
            <w:r>
              <w:t>.</w:t>
            </w:r>
          </w:p>
        </w:tc>
        <w:tc>
          <w:tcPr>
            <w:tcW w:w="1417" w:type="dxa"/>
            <w:tcBorders>
              <w:top w:val="single" w:sz="4" w:space="0" w:color="1C1C1C" w:themeColor="text2"/>
              <w:left w:val="nil"/>
              <w:bottom w:val="single" w:sz="4" w:space="0" w:color="1C1C1C" w:themeColor="text2"/>
              <w:right w:val="nil"/>
            </w:tcBorders>
            <w:vAlign w:val="center"/>
          </w:tcPr>
          <w:p w:rsidR="007D34A4" w:rsidRPr="006E2D43" w:rsidRDefault="007D34A4" w:rsidP="007D34A4">
            <w:pPr>
              <w:spacing w:before="40" w:line="240" w:lineRule="auto"/>
              <w:rPr>
                <w:rFonts w:cs="Arial"/>
              </w:rPr>
            </w:pPr>
            <w:r>
              <w:rPr>
                <w:rFonts w:cs="Arial"/>
              </w:rPr>
              <w:t>On-going</w:t>
            </w:r>
          </w:p>
        </w:tc>
        <w:tc>
          <w:tcPr>
            <w:tcW w:w="1344" w:type="dxa"/>
            <w:tcBorders>
              <w:top w:val="single" w:sz="4" w:space="0" w:color="1C1C1C" w:themeColor="text2"/>
              <w:left w:val="nil"/>
              <w:bottom w:val="single" w:sz="4" w:space="0" w:color="1C1C1C" w:themeColor="text2"/>
            </w:tcBorders>
          </w:tcPr>
          <w:p w:rsidR="007D34A4" w:rsidRDefault="007D34A4" w:rsidP="007D34A4">
            <w:pPr>
              <w:spacing w:before="40" w:line="240" w:lineRule="auto"/>
              <w:rPr>
                <w:rFonts w:cs="Arial"/>
              </w:rPr>
            </w:pPr>
            <w:r>
              <w:rPr>
                <w:rFonts w:cs="Arial"/>
              </w:rPr>
              <w:t>PCD</w:t>
            </w:r>
          </w:p>
        </w:tc>
      </w:tr>
      <w:tr w:rsidR="007D34A4" w:rsidRPr="006E2D43" w:rsidTr="00F12F2E">
        <w:trPr>
          <w:cantSplit/>
          <w:tblHeader/>
          <w:jc w:val="center"/>
        </w:trPr>
        <w:tc>
          <w:tcPr>
            <w:tcW w:w="1418" w:type="dxa"/>
            <w:tcBorders>
              <w:top w:val="single" w:sz="4" w:space="0" w:color="1C1C1C" w:themeColor="text2"/>
              <w:bottom w:val="single" w:sz="4" w:space="0" w:color="1C1C1C" w:themeColor="text2"/>
              <w:right w:val="nil"/>
            </w:tcBorders>
            <w:vAlign w:val="center"/>
          </w:tcPr>
          <w:p w:rsidR="007D34A4" w:rsidRPr="00FE22B2" w:rsidRDefault="007D34A4" w:rsidP="007D34A4">
            <w:pPr>
              <w:spacing w:before="40" w:line="240" w:lineRule="auto"/>
              <w:jc w:val="center"/>
              <w:rPr>
                <w:b/>
              </w:rPr>
            </w:pPr>
            <w:r w:rsidRPr="00FE22B2">
              <w:rPr>
                <w:b/>
              </w:rPr>
              <w:t>10</w:t>
            </w:r>
          </w:p>
        </w:tc>
        <w:tc>
          <w:tcPr>
            <w:tcW w:w="2410" w:type="dxa"/>
            <w:vMerge/>
            <w:tcBorders>
              <w:top w:val="single" w:sz="4" w:space="0" w:color="1C1C1C" w:themeColor="text2"/>
              <w:left w:val="nil"/>
              <w:bottom w:val="single" w:sz="4" w:space="0" w:color="1C1C1C" w:themeColor="text2"/>
              <w:right w:val="nil"/>
            </w:tcBorders>
            <w:vAlign w:val="center"/>
          </w:tcPr>
          <w:p w:rsidR="007D34A4" w:rsidRPr="00560FFD" w:rsidRDefault="007D34A4" w:rsidP="007D34A4">
            <w:pPr>
              <w:spacing w:before="40" w:line="240" w:lineRule="auto"/>
              <w:rPr>
                <w:i/>
              </w:rPr>
            </w:pPr>
          </w:p>
        </w:tc>
        <w:tc>
          <w:tcPr>
            <w:tcW w:w="7371" w:type="dxa"/>
            <w:tcBorders>
              <w:top w:val="single" w:sz="4" w:space="0" w:color="1C1C1C" w:themeColor="text2"/>
              <w:left w:val="nil"/>
              <w:bottom w:val="single" w:sz="4" w:space="0" w:color="1C1C1C" w:themeColor="text2"/>
              <w:right w:val="nil"/>
            </w:tcBorders>
            <w:vAlign w:val="center"/>
          </w:tcPr>
          <w:p w:rsidR="007D34A4" w:rsidRPr="00261FEA" w:rsidRDefault="007D34A4" w:rsidP="00F12F2E">
            <w:pPr>
              <w:spacing w:before="40" w:line="240" w:lineRule="auto"/>
              <w:rPr>
                <w:rFonts w:cs="Arial"/>
                <w:lang w:val="en-AU"/>
              </w:rPr>
            </w:pPr>
            <w:r w:rsidRPr="51BC41ED">
              <w:rPr>
                <w:rFonts w:cs="Arial"/>
                <w:lang w:val="en-AU"/>
              </w:rPr>
              <w:t xml:space="preserve">Finance will ensure that the revised Heritage Register is made publicly available through an online platform. </w:t>
            </w:r>
          </w:p>
        </w:tc>
        <w:tc>
          <w:tcPr>
            <w:tcW w:w="1417" w:type="dxa"/>
            <w:tcBorders>
              <w:top w:val="single" w:sz="4" w:space="0" w:color="1C1C1C" w:themeColor="text2"/>
              <w:left w:val="nil"/>
              <w:bottom w:val="single" w:sz="4" w:space="0" w:color="1C1C1C" w:themeColor="text2"/>
              <w:right w:val="nil"/>
            </w:tcBorders>
            <w:vAlign w:val="center"/>
          </w:tcPr>
          <w:p w:rsidR="007D34A4" w:rsidRDefault="006F45B8" w:rsidP="007D34A4">
            <w:pPr>
              <w:spacing w:before="40" w:line="240" w:lineRule="auto"/>
              <w:rPr>
                <w:rFonts w:cs="Arial"/>
              </w:rPr>
            </w:pPr>
            <w:r>
              <w:rPr>
                <w:rFonts w:cs="Arial"/>
              </w:rPr>
              <w:t>2022</w:t>
            </w:r>
          </w:p>
        </w:tc>
        <w:tc>
          <w:tcPr>
            <w:tcW w:w="1344" w:type="dxa"/>
            <w:tcBorders>
              <w:top w:val="single" w:sz="4" w:space="0" w:color="1C1C1C" w:themeColor="text2"/>
              <w:left w:val="nil"/>
              <w:bottom w:val="single" w:sz="4" w:space="0" w:color="1C1C1C" w:themeColor="text2"/>
            </w:tcBorders>
          </w:tcPr>
          <w:p w:rsidR="007D34A4" w:rsidRDefault="007D34A4" w:rsidP="007D34A4">
            <w:pPr>
              <w:spacing w:before="40" w:line="240" w:lineRule="auto"/>
              <w:rPr>
                <w:rFonts w:cs="Arial"/>
              </w:rPr>
            </w:pPr>
            <w:r>
              <w:rPr>
                <w:rFonts w:cs="Arial"/>
              </w:rPr>
              <w:t>PCD</w:t>
            </w:r>
          </w:p>
        </w:tc>
      </w:tr>
      <w:tr w:rsidR="007D34A4" w:rsidRPr="006E2D43" w:rsidTr="00F12F2E">
        <w:trPr>
          <w:cantSplit/>
          <w:trHeight w:val="636"/>
          <w:tblHeader/>
          <w:jc w:val="center"/>
        </w:trPr>
        <w:tc>
          <w:tcPr>
            <w:tcW w:w="1418" w:type="dxa"/>
            <w:tcBorders>
              <w:top w:val="single" w:sz="4" w:space="0" w:color="1C1C1C" w:themeColor="text2"/>
              <w:bottom w:val="single" w:sz="4" w:space="0" w:color="1C1C1C" w:themeColor="text2"/>
              <w:right w:val="nil"/>
            </w:tcBorders>
            <w:vAlign w:val="center"/>
          </w:tcPr>
          <w:p w:rsidR="007D34A4" w:rsidRPr="00FE22B2" w:rsidRDefault="007D34A4" w:rsidP="007D34A4">
            <w:pPr>
              <w:spacing w:before="40" w:line="240" w:lineRule="auto"/>
              <w:jc w:val="center"/>
              <w:rPr>
                <w:b/>
              </w:rPr>
            </w:pPr>
            <w:r w:rsidRPr="00FE22B2">
              <w:rPr>
                <w:b/>
              </w:rPr>
              <w:t>11</w:t>
            </w:r>
          </w:p>
        </w:tc>
        <w:tc>
          <w:tcPr>
            <w:tcW w:w="2410" w:type="dxa"/>
            <w:vMerge/>
            <w:tcBorders>
              <w:top w:val="single" w:sz="4" w:space="0" w:color="1C1C1C" w:themeColor="text2"/>
              <w:left w:val="nil"/>
              <w:bottom w:val="single" w:sz="4" w:space="0" w:color="1C1C1C" w:themeColor="text2"/>
              <w:right w:val="nil"/>
            </w:tcBorders>
            <w:vAlign w:val="center"/>
          </w:tcPr>
          <w:p w:rsidR="007D34A4" w:rsidRPr="00560FFD" w:rsidRDefault="007D34A4" w:rsidP="007D34A4">
            <w:pPr>
              <w:spacing w:before="40" w:line="240" w:lineRule="auto"/>
              <w:rPr>
                <w:i/>
              </w:rPr>
            </w:pPr>
          </w:p>
        </w:tc>
        <w:tc>
          <w:tcPr>
            <w:tcW w:w="7371" w:type="dxa"/>
            <w:tcBorders>
              <w:top w:val="single" w:sz="4" w:space="0" w:color="1C1C1C" w:themeColor="text2"/>
              <w:left w:val="nil"/>
              <w:bottom w:val="single" w:sz="4" w:space="0" w:color="1C1C1C" w:themeColor="text2"/>
              <w:right w:val="nil"/>
            </w:tcBorders>
            <w:vAlign w:val="center"/>
          </w:tcPr>
          <w:p w:rsidR="007D34A4" w:rsidRDefault="007D34A4" w:rsidP="00F12F2E">
            <w:pPr>
              <w:spacing w:before="40" w:line="240" w:lineRule="auto"/>
              <w:rPr>
                <w:rFonts w:cs="Arial"/>
                <w:lang w:val="en-AU"/>
              </w:rPr>
            </w:pPr>
            <w:r w:rsidRPr="000A66F1">
              <w:t xml:space="preserve">New entries to the Finance Heritage Register will be prepared within 12 months of acceptance of a final </w:t>
            </w:r>
            <w:r w:rsidR="00157012" w:rsidRPr="51BC41ED">
              <w:rPr>
                <w:lang w:eastAsia="en-AU"/>
              </w:rPr>
              <w:t>Heritage Assessment</w:t>
            </w:r>
            <w:r>
              <w:t>.</w:t>
            </w:r>
          </w:p>
        </w:tc>
        <w:tc>
          <w:tcPr>
            <w:tcW w:w="1417" w:type="dxa"/>
            <w:tcBorders>
              <w:top w:val="single" w:sz="4" w:space="0" w:color="1C1C1C" w:themeColor="text2"/>
              <w:left w:val="nil"/>
              <w:bottom w:val="single" w:sz="4" w:space="0" w:color="1C1C1C" w:themeColor="text2"/>
              <w:right w:val="nil"/>
            </w:tcBorders>
            <w:vAlign w:val="center"/>
          </w:tcPr>
          <w:p w:rsidR="007D34A4" w:rsidRDefault="007D34A4" w:rsidP="007D34A4">
            <w:pPr>
              <w:spacing w:before="40" w:line="240" w:lineRule="auto"/>
              <w:rPr>
                <w:rFonts w:cs="Arial"/>
              </w:rPr>
            </w:pPr>
            <w:r>
              <w:rPr>
                <w:rFonts w:cs="Arial"/>
              </w:rPr>
              <w:t xml:space="preserve">On-going </w:t>
            </w:r>
          </w:p>
        </w:tc>
        <w:tc>
          <w:tcPr>
            <w:tcW w:w="1344" w:type="dxa"/>
            <w:tcBorders>
              <w:top w:val="single" w:sz="4" w:space="0" w:color="1C1C1C" w:themeColor="text2"/>
              <w:left w:val="nil"/>
              <w:bottom w:val="single" w:sz="4" w:space="0" w:color="1C1C1C" w:themeColor="text2"/>
            </w:tcBorders>
          </w:tcPr>
          <w:p w:rsidR="007D34A4" w:rsidRDefault="007D34A4" w:rsidP="007D34A4">
            <w:pPr>
              <w:spacing w:before="40" w:line="240" w:lineRule="auto"/>
              <w:rPr>
                <w:rFonts w:cs="Arial"/>
              </w:rPr>
            </w:pPr>
            <w:r>
              <w:rPr>
                <w:rFonts w:cs="Arial"/>
              </w:rPr>
              <w:t>PCD</w:t>
            </w:r>
          </w:p>
          <w:p w:rsidR="007D34A4" w:rsidRDefault="007D34A4" w:rsidP="007D34A4">
            <w:pPr>
              <w:spacing w:before="40" w:line="240" w:lineRule="auto"/>
              <w:rPr>
                <w:rFonts w:cs="Arial"/>
              </w:rPr>
            </w:pPr>
          </w:p>
        </w:tc>
      </w:tr>
      <w:tr w:rsidR="007D34A4" w:rsidRPr="006E2D43" w:rsidTr="00F12F2E">
        <w:trPr>
          <w:cantSplit/>
          <w:tblHeader/>
          <w:jc w:val="center"/>
        </w:trPr>
        <w:tc>
          <w:tcPr>
            <w:tcW w:w="1418" w:type="dxa"/>
            <w:tcBorders>
              <w:top w:val="single" w:sz="4" w:space="0" w:color="1C1C1C" w:themeColor="text2"/>
              <w:bottom w:val="single" w:sz="4" w:space="0" w:color="1C1C1C" w:themeColor="text2"/>
              <w:right w:val="nil"/>
            </w:tcBorders>
            <w:vAlign w:val="center"/>
          </w:tcPr>
          <w:p w:rsidR="007D34A4" w:rsidRPr="00FE22B2" w:rsidRDefault="007D34A4" w:rsidP="007D34A4">
            <w:pPr>
              <w:spacing w:before="40" w:line="240" w:lineRule="auto"/>
              <w:jc w:val="center"/>
              <w:rPr>
                <w:b/>
              </w:rPr>
            </w:pPr>
            <w:r w:rsidRPr="00FE22B2">
              <w:rPr>
                <w:b/>
              </w:rPr>
              <w:t>12</w:t>
            </w:r>
          </w:p>
        </w:tc>
        <w:tc>
          <w:tcPr>
            <w:tcW w:w="2410" w:type="dxa"/>
            <w:vMerge/>
            <w:tcBorders>
              <w:top w:val="single" w:sz="4" w:space="0" w:color="1C1C1C" w:themeColor="text2"/>
              <w:left w:val="nil"/>
              <w:bottom w:val="single" w:sz="4" w:space="0" w:color="1C1C1C" w:themeColor="text2"/>
              <w:right w:val="nil"/>
            </w:tcBorders>
            <w:vAlign w:val="center"/>
          </w:tcPr>
          <w:p w:rsidR="007D34A4" w:rsidRPr="00560FFD" w:rsidRDefault="007D34A4" w:rsidP="007D34A4">
            <w:pPr>
              <w:spacing w:before="40" w:line="240" w:lineRule="auto"/>
              <w:rPr>
                <w:i/>
              </w:rPr>
            </w:pPr>
          </w:p>
        </w:tc>
        <w:tc>
          <w:tcPr>
            <w:tcW w:w="7371" w:type="dxa"/>
            <w:tcBorders>
              <w:top w:val="single" w:sz="4" w:space="0" w:color="1C1C1C" w:themeColor="text2"/>
              <w:left w:val="nil"/>
              <w:bottom w:val="single" w:sz="4" w:space="0" w:color="1C1C1C" w:themeColor="text2"/>
              <w:right w:val="nil"/>
            </w:tcBorders>
            <w:vAlign w:val="center"/>
          </w:tcPr>
          <w:p w:rsidR="007D34A4" w:rsidRPr="000A66F1" w:rsidRDefault="007D34A4" w:rsidP="00F12F2E">
            <w:pPr>
              <w:spacing w:before="40" w:line="240" w:lineRule="auto"/>
            </w:pPr>
            <w:r w:rsidRPr="00157012">
              <w:rPr>
                <w:spacing w:val="-4"/>
              </w:rPr>
              <w:t xml:space="preserve">Finance will nominate properties in its Portfolio assessed as having </w:t>
            </w:r>
            <w:r w:rsidR="005148CE" w:rsidRPr="00157012">
              <w:rPr>
                <w:spacing w:val="-4"/>
              </w:rPr>
              <w:t>Commonwealth Heritage</w:t>
            </w:r>
            <w:r w:rsidRPr="00157012">
              <w:rPr>
                <w:spacing w:val="-4"/>
              </w:rPr>
              <w:t xml:space="preserve"> values to the Australian Heritage Council for possible inclusion on the </w:t>
            </w:r>
            <w:r w:rsidR="00305FC4" w:rsidRPr="00157012">
              <w:rPr>
                <w:spacing w:val="-4"/>
                <w:lang w:eastAsia="en-AU"/>
              </w:rPr>
              <w:t>Commonwealth Heritage List</w:t>
            </w:r>
            <w:r w:rsidRPr="00157012">
              <w:rPr>
                <w:spacing w:val="-4"/>
              </w:rPr>
              <w:t xml:space="preserve">, as </w:t>
            </w:r>
            <w:r w:rsidR="00157012" w:rsidRPr="00157012">
              <w:rPr>
                <w:spacing w:val="-4"/>
                <w:lang w:eastAsia="en-AU"/>
              </w:rPr>
              <w:t>Heritage Assessment</w:t>
            </w:r>
            <w:r w:rsidRPr="00157012">
              <w:rPr>
                <w:spacing w:val="-4"/>
              </w:rPr>
              <w:t>s are finalised and accepted by Finance</w:t>
            </w:r>
            <w:r>
              <w:t>.</w:t>
            </w:r>
          </w:p>
        </w:tc>
        <w:tc>
          <w:tcPr>
            <w:tcW w:w="1417" w:type="dxa"/>
            <w:tcBorders>
              <w:top w:val="single" w:sz="4" w:space="0" w:color="1C1C1C" w:themeColor="text2"/>
              <w:left w:val="nil"/>
              <w:bottom w:val="single" w:sz="4" w:space="0" w:color="1C1C1C" w:themeColor="text2"/>
              <w:right w:val="nil"/>
            </w:tcBorders>
            <w:vAlign w:val="center"/>
          </w:tcPr>
          <w:p w:rsidR="007D34A4" w:rsidRDefault="007D34A4" w:rsidP="007D34A4">
            <w:pPr>
              <w:spacing w:before="40" w:line="240" w:lineRule="auto"/>
              <w:rPr>
                <w:rFonts w:cs="Arial"/>
              </w:rPr>
            </w:pPr>
            <w:r>
              <w:rPr>
                <w:rFonts w:cs="Arial"/>
              </w:rPr>
              <w:t>On-going</w:t>
            </w:r>
          </w:p>
        </w:tc>
        <w:tc>
          <w:tcPr>
            <w:tcW w:w="1344" w:type="dxa"/>
            <w:tcBorders>
              <w:top w:val="single" w:sz="4" w:space="0" w:color="1C1C1C" w:themeColor="text2"/>
              <w:left w:val="nil"/>
              <w:bottom w:val="single" w:sz="4" w:space="0" w:color="1C1C1C" w:themeColor="text2"/>
            </w:tcBorders>
          </w:tcPr>
          <w:p w:rsidR="007D34A4" w:rsidRDefault="007D34A4" w:rsidP="007D34A4">
            <w:pPr>
              <w:spacing w:before="40" w:line="240" w:lineRule="auto"/>
              <w:rPr>
                <w:rFonts w:cs="Arial"/>
              </w:rPr>
            </w:pPr>
            <w:r>
              <w:rPr>
                <w:rFonts w:cs="Arial"/>
              </w:rPr>
              <w:t>PCD</w:t>
            </w:r>
          </w:p>
        </w:tc>
      </w:tr>
      <w:tr w:rsidR="007D34A4" w:rsidRPr="006E2D43" w:rsidTr="00F12F2E">
        <w:trPr>
          <w:cantSplit/>
          <w:tblHeader/>
          <w:jc w:val="center"/>
        </w:trPr>
        <w:tc>
          <w:tcPr>
            <w:tcW w:w="1418" w:type="dxa"/>
            <w:tcBorders>
              <w:top w:val="single" w:sz="4" w:space="0" w:color="1C1C1C" w:themeColor="text2"/>
              <w:bottom w:val="single" w:sz="4" w:space="0" w:color="1C1C1C" w:themeColor="text2"/>
              <w:right w:val="nil"/>
            </w:tcBorders>
            <w:vAlign w:val="center"/>
          </w:tcPr>
          <w:p w:rsidR="007D34A4" w:rsidRPr="00FE22B2" w:rsidRDefault="007D34A4" w:rsidP="007D34A4">
            <w:pPr>
              <w:spacing w:before="40" w:line="240" w:lineRule="auto"/>
              <w:jc w:val="center"/>
              <w:rPr>
                <w:b/>
              </w:rPr>
            </w:pPr>
            <w:r w:rsidRPr="00FE22B2">
              <w:rPr>
                <w:b/>
              </w:rPr>
              <w:t>13</w:t>
            </w:r>
          </w:p>
        </w:tc>
        <w:tc>
          <w:tcPr>
            <w:tcW w:w="2410" w:type="dxa"/>
            <w:tcBorders>
              <w:top w:val="single" w:sz="4" w:space="0" w:color="1C1C1C" w:themeColor="text2"/>
              <w:left w:val="nil"/>
              <w:bottom w:val="single" w:sz="4" w:space="0" w:color="1C1C1C" w:themeColor="text2"/>
              <w:right w:val="nil"/>
            </w:tcBorders>
            <w:vAlign w:val="center"/>
          </w:tcPr>
          <w:p w:rsidR="007D34A4" w:rsidRPr="006E2D43" w:rsidRDefault="007D34A4" w:rsidP="007D34A4">
            <w:pPr>
              <w:spacing w:before="40" w:line="240" w:lineRule="auto"/>
            </w:pPr>
            <w:r w:rsidRPr="00560FFD">
              <w:rPr>
                <w:i/>
              </w:rPr>
              <w:t xml:space="preserve">A program for the training of Finance staff (and contractors) about </w:t>
            </w:r>
            <w:r w:rsidR="005148CE" w:rsidRPr="005148CE">
              <w:rPr>
                <w:i/>
              </w:rPr>
              <w:t xml:space="preserve">Commonwealth Heritage </w:t>
            </w:r>
            <w:r w:rsidRPr="00560FFD">
              <w:rPr>
                <w:i/>
              </w:rPr>
              <w:t xml:space="preserve">obligations and best practice heritage </w:t>
            </w:r>
            <w:r w:rsidRPr="00560FFD">
              <w:t>management (Section 4(a))</w:t>
            </w:r>
          </w:p>
        </w:tc>
        <w:tc>
          <w:tcPr>
            <w:tcW w:w="7371" w:type="dxa"/>
            <w:tcBorders>
              <w:top w:val="single" w:sz="4" w:space="0" w:color="1C1C1C" w:themeColor="text2"/>
              <w:left w:val="nil"/>
              <w:bottom w:val="single" w:sz="4" w:space="0" w:color="1C1C1C" w:themeColor="text2"/>
              <w:right w:val="nil"/>
            </w:tcBorders>
            <w:vAlign w:val="center"/>
          </w:tcPr>
          <w:p w:rsidR="007D34A4" w:rsidRPr="005110A8" w:rsidRDefault="007D34A4" w:rsidP="00F12F2E">
            <w:pPr>
              <w:spacing w:before="40" w:line="240" w:lineRule="auto"/>
              <w:rPr>
                <w:rFonts w:cs="Arial"/>
                <w:lang w:val="en-AU"/>
              </w:rPr>
            </w:pPr>
            <w:r w:rsidRPr="00261FEA">
              <w:rPr>
                <w:rFonts w:cs="Arial"/>
                <w:lang w:val="en-AU"/>
              </w:rPr>
              <w:t xml:space="preserve">Finance </w:t>
            </w:r>
            <w:r>
              <w:rPr>
                <w:rFonts w:cs="Arial"/>
                <w:lang w:val="en-AU"/>
              </w:rPr>
              <w:t>will ensure that</w:t>
            </w:r>
            <w:r w:rsidRPr="00261FEA">
              <w:rPr>
                <w:rFonts w:cs="Arial"/>
                <w:lang w:val="en-AU"/>
              </w:rPr>
              <w:t xml:space="preserve"> regular</w:t>
            </w:r>
            <w:r>
              <w:rPr>
                <w:rFonts w:cs="Arial"/>
                <w:lang w:val="en-AU"/>
              </w:rPr>
              <w:t xml:space="preserve"> heritage</w:t>
            </w:r>
            <w:r w:rsidRPr="00261FEA">
              <w:rPr>
                <w:rFonts w:cs="Arial"/>
                <w:lang w:val="en-AU"/>
              </w:rPr>
              <w:t xml:space="preserve"> training </w:t>
            </w:r>
            <w:r>
              <w:rPr>
                <w:rFonts w:cs="Arial"/>
                <w:lang w:val="en-AU"/>
              </w:rPr>
              <w:t xml:space="preserve">and awareness (induction and refresher) for key personnel and </w:t>
            </w:r>
            <w:r w:rsidR="00AA2F40" w:rsidRPr="00B819BF">
              <w:t>Property Service Providers</w:t>
            </w:r>
            <w:r>
              <w:rPr>
                <w:rFonts w:cs="Arial"/>
                <w:lang w:val="en-AU"/>
              </w:rPr>
              <w:t xml:space="preserve"> is provided on a regular basis,</w:t>
            </w:r>
            <w:r w:rsidRPr="00261FEA">
              <w:rPr>
                <w:rFonts w:cs="Arial"/>
                <w:lang w:val="en-AU"/>
              </w:rPr>
              <w:t xml:space="preserve"> and a focus on compliance assurance and current industry</w:t>
            </w:r>
            <w:r>
              <w:rPr>
                <w:rFonts w:cs="Arial"/>
                <w:lang w:val="en-AU"/>
              </w:rPr>
              <w:t xml:space="preserve"> best practise</w:t>
            </w:r>
            <w:r w:rsidRPr="00261FEA">
              <w:rPr>
                <w:rFonts w:cs="Arial"/>
                <w:lang w:val="en-AU"/>
              </w:rPr>
              <w:t xml:space="preserve"> standards</w:t>
            </w:r>
            <w:r>
              <w:rPr>
                <w:rFonts w:cs="Arial"/>
                <w:lang w:val="en-AU"/>
              </w:rPr>
              <w:t xml:space="preserve"> is maintained</w:t>
            </w:r>
            <w:r w:rsidRPr="00261FEA">
              <w:rPr>
                <w:rFonts w:cs="Arial"/>
                <w:lang w:val="en-AU"/>
              </w:rPr>
              <w:t>.</w:t>
            </w:r>
          </w:p>
        </w:tc>
        <w:tc>
          <w:tcPr>
            <w:tcW w:w="1417" w:type="dxa"/>
            <w:tcBorders>
              <w:top w:val="single" w:sz="4" w:space="0" w:color="1C1C1C" w:themeColor="text2"/>
              <w:left w:val="nil"/>
              <w:bottom w:val="single" w:sz="4" w:space="0" w:color="1C1C1C" w:themeColor="text2"/>
              <w:right w:val="nil"/>
            </w:tcBorders>
            <w:vAlign w:val="center"/>
          </w:tcPr>
          <w:p w:rsidR="007D34A4" w:rsidRPr="006E2D43" w:rsidRDefault="007D34A4" w:rsidP="007D34A4">
            <w:pPr>
              <w:spacing w:before="40" w:line="240" w:lineRule="auto"/>
              <w:rPr>
                <w:rFonts w:cs="Arial"/>
              </w:rPr>
            </w:pPr>
            <w:r>
              <w:rPr>
                <w:rFonts w:cs="Arial"/>
              </w:rPr>
              <w:t>On-going</w:t>
            </w:r>
          </w:p>
        </w:tc>
        <w:tc>
          <w:tcPr>
            <w:tcW w:w="1344" w:type="dxa"/>
            <w:tcBorders>
              <w:top w:val="single" w:sz="4" w:space="0" w:color="1C1C1C" w:themeColor="text2"/>
              <w:left w:val="nil"/>
              <w:bottom w:val="single" w:sz="4" w:space="0" w:color="1C1C1C" w:themeColor="text2"/>
            </w:tcBorders>
          </w:tcPr>
          <w:p w:rsidR="007D34A4" w:rsidRDefault="007D34A4" w:rsidP="007D34A4">
            <w:pPr>
              <w:spacing w:before="40" w:line="240" w:lineRule="auto"/>
              <w:rPr>
                <w:rFonts w:cs="Arial"/>
              </w:rPr>
            </w:pPr>
            <w:r>
              <w:rPr>
                <w:rFonts w:cs="Arial"/>
              </w:rPr>
              <w:t>PCD Lead</w:t>
            </w:r>
          </w:p>
          <w:p w:rsidR="007D34A4" w:rsidRPr="006E2D43" w:rsidRDefault="00AA2F40" w:rsidP="007D34A4">
            <w:pPr>
              <w:spacing w:before="40" w:line="240" w:lineRule="auto"/>
              <w:rPr>
                <w:rFonts w:cs="Arial"/>
              </w:rPr>
            </w:pPr>
            <w:r w:rsidRPr="00B819BF">
              <w:t>Property Service Providers</w:t>
            </w:r>
          </w:p>
        </w:tc>
      </w:tr>
      <w:tr w:rsidR="007D34A4" w:rsidRPr="006E2D43" w:rsidTr="00F12F2E">
        <w:trPr>
          <w:cantSplit/>
          <w:tblHeader/>
          <w:jc w:val="center"/>
        </w:trPr>
        <w:tc>
          <w:tcPr>
            <w:tcW w:w="1418" w:type="dxa"/>
            <w:tcBorders>
              <w:top w:val="single" w:sz="4" w:space="0" w:color="1C1C1C" w:themeColor="text2"/>
              <w:bottom w:val="single" w:sz="4" w:space="0" w:color="1C1C1C" w:themeColor="text2"/>
              <w:right w:val="nil"/>
            </w:tcBorders>
            <w:vAlign w:val="center"/>
          </w:tcPr>
          <w:p w:rsidR="007D34A4" w:rsidRPr="00FE22B2" w:rsidRDefault="007D34A4" w:rsidP="007D34A4">
            <w:pPr>
              <w:spacing w:before="40" w:line="240" w:lineRule="auto"/>
              <w:jc w:val="center"/>
              <w:rPr>
                <w:b/>
              </w:rPr>
            </w:pPr>
            <w:r w:rsidRPr="00FE22B2">
              <w:rPr>
                <w:b/>
              </w:rPr>
              <w:t>14</w:t>
            </w:r>
          </w:p>
        </w:tc>
        <w:tc>
          <w:tcPr>
            <w:tcW w:w="2410" w:type="dxa"/>
            <w:tcBorders>
              <w:top w:val="single" w:sz="4" w:space="0" w:color="1C1C1C" w:themeColor="text2"/>
              <w:left w:val="nil"/>
              <w:bottom w:val="single" w:sz="4" w:space="0" w:color="1C1C1C" w:themeColor="text2"/>
              <w:right w:val="nil"/>
            </w:tcBorders>
            <w:vAlign w:val="center"/>
          </w:tcPr>
          <w:p w:rsidR="007D34A4" w:rsidRPr="00BC5E23" w:rsidRDefault="007D34A4" w:rsidP="007D34A4">
            <w:pPr>
              <w:spacing w:before="40" w:line="240" w:lineRule="auto"/>
            </w:pPr>
            <w:r w:rsidRPr="00F642CF">
              <w:rPr>
                <w:i/>
              </w:rPr>
              <w:t>A program for promoting community awareness of Commonwealth Heritage values, as appropriate (Section 4(b))</w:t>
            </w:r>
          </w:p>
        </w:tc>
        <w:tc>
          <w:tcPr>
            <w:tcW w:w="7371" w:type="dxa"/>
            <w:tcBorders>
              <w:top w:val="single" w:sz="4" w:space="0" w:color="1C1C1C" w:themeColor="text2"/>
              <w:left w:val="nil"/>
              <w:bottom w:val="single" w:sz="4" w:space="0" w:color="1C1C1C" w:themeColor="text2"/>
              <w:right w:val="nil"/>
            </w:tcBorders>
            <w:vAlign w:val="center"/>
          </w:tcPr>
          <w:p w:rsidR="007D34A4" w:rsidRPr="00560FFD" w:rsidRDefault="007D34A4" w:rsidP="00F12F2E">
            <w:pPr>
              <w:spacing w:before="40" w:line="240" w:lineRule="auto"/>
              <w:rPr>
                <w:rFonts w:cs="Arial"/>
                <w:lang w:val="en-AU"/>
              </w:rPr>
            </w:pPr>
            <w:r w:rsidRPr="00F642CF">
              <w:rPr>
                <w:rFonts w:cs="Arial"/>
                <w:lang w:val="en-AU"/>
              </w:rPr>
              <w:t xml:space="preserve">Finance </w:t>
            </w:r>
            <w:r>
              <w:rPr>
                <w:rFonts w:cs="Arial"/>
                <w:lang w:val="en-AU"/>
              </w:rPr>
              <w:t>will investigate opportunities to</w:t>
            </w:r>
            <w:r w:rsidRPr="00F642CF">
              <w:rPr>
                <w:rFonts w:cs="Arial"/>
                <w:lang w:val="en-AU"/>
              </w:rPr>
              <w:t xml:space="preserve"> implement </w:t>
            </w:r>
            <w:r>
              <w:rPr>
                <w:rFonts w:cs="Arial"/>
                <w:lang w:val="en-AU"/>
              </w:rPr>
              <w:t xml:space="preserve">current </w:t>
            </w:r>
            <w:r w:rsidRPr="00F642CF">
              <w:rPr>
                <w:rFonts w:cs="Arial"/>
                <w:lang w:val="en-AU"/>
              </w:rPr>
              <w:t xml:space="preserve">HMP interpretation recommendations at </w:t>
            </w:r>
            <w:r w:rsidR="00305FC4" w:rsidRPr="51BC41ED">
              <w:rPr>
                <w:lang w:eastAsia="en-AU"/>
              </w:rPr>
              <w:t>Commonwealth Heritage List</w:t>
            </w:r>
            <w:r>
              <w:rPr>
                <w:rFonts w:cs="Arial"/>
                <w:lang w:val="en-AU"/>
              </w:rPr>
              <w:t xml:space="preserve"> listed properties. </w:t>
            </w:r>
          </w:p>
        </w:tc>
        <w:tc>
          <w:tcPr>
            <w:tcW w:w="1417" w:type="dxa"/>
            <w:tcBorders>
              <w:top w:val="single" w:sz="4" w:space="0" w:color="1C1C1C" w:themeColor="text2"/>
              <w:left w:val="nil"/>
              <w:bottom w:val="single" w:sz="4" w:space="0" w:color="1C1C1C" w:themeColor="text2"/>
              <w:right w:val="nil"/>
            </w:tcBorders>
            <w:vAlign w:val="center"/>
          </w:tcPr>
          <w:p w:rsidR="007D34A4" w:rsidRPr="006E2D43" w:rsidRDefault="007D34A4" w:rsidP="007D34A4">
            <w:pPr>
              <w:spacing w:before="40" w:line="240" w:lineRule="auto"/>
              <w:rPr>
                <w:rFonts w:cs="Arial"/>
              </w:rPr>
            </w:pPr>
            <w:r>
              <w:rPr>
                <w:rFonts w:cs="Arial"/>
              </w:rPr>
              <w:t>On-going, as part of annual review</w:t>
            </w:r>
          </w:p>
        </w:tc>
        <w:tc>
          <w:tcPr>
            <w:tcW w:w="1344" w:type="dxa"/>
            <w:tcBorders>
              <w:top w:val="single" w:sz="4" w:space="0" w:color="1C1C1C" w:themeColor="text2"/>
              <w:left w:val="nil"/>
              <w:bottom w:val="single" w:sz="4" w:space="0" w:color="1C1C1C" w:themeColor="text2"/>
            </w:tcBorders>
          </w:tcPr>
          <w:p w:rsidR="007D34A4" w:rsidRPr="006E2D43" w:rsidRDefault="007D34A4" w:rsidP="007D34A4">
            <w:pPr>
              <w:spacing w:before="40" w:line="240" w:lineRule="auto"/>
              <w:rPr>
                <w:rFonts w:cs="Arial"/>
              </w:rPr>
            </w:pPr>
            <w:r>
              <w:rPr>
                <w:rFonts w:cs="Arial"/>
              </w:rPr>
              <w:t>PCD</w:t>
            </w:r>
          </w:p>
        </w:tc>
      </w:tr>
      <w:tr w:rsidR="007D34A4" w:rsidRPr="006E2D43" w:rsidTr="00F12F2E">
        <w:trPr>
          <w:cantSplit/>
          <w:tblHeader/>
          <w:jc w:val="center"/>
        </w:trPr>
        <w:tc>
          <w:tcPr>
            <w:tcW w:w="1418" w:type="dxa"/>
            <w:tcBorders>
              <w:top w:val="single" w:sz="4" w:space="0" w:color="1C1C1C" w:themeColor="text2"/>
              <w:bottom w:val="nil"/>
              <w:right w:val="nil"/>
            </w:tcBorders>
            <w:vAlign w:val="center"/>
          </w:tcPr>
          <w:p w:rsidR="007D34A4" w:rsidRPr="00FE22B2" w:rsidRDefault="007D34A4" w:rsidP="007D34A4">
            <w:pPr>
              <w:spacing w:before="40" w:line="240" w:lineRule="auto"/>
              <w:jc w:val="center"/>
              <w:rPr>
                <w:b/>
              </w:rPr>
            </w:pPr>
            <w:r>
              <w:rPr>
                <w:b/>
              </w:rPr>
              <w:t>15</w:t>
            </w:r>
          </w:p>
        </w:tc>
        <w:tc>
          <w:tcPr>
            <w:tcW w:w="2410" w:type="dxa"/>
            <w:tcBorders>
              <w:top w:val="single" w:sz="4" w:space="0" w:color="1C1C1C" w:themeColor="text2"/>
              <w:left w:val="nil"/>
              <w:bottom w:val="nil"/>
              <w:right w:val="nil"/>
            </w:tcBorders>
            <w:vAlign w:val="center"/>
          </w:tcPr>
          <w:p w:rsidR="007D34A4" w:rsidRPr="00F642CF" w:rsidRDefault="007D34A4" w:rsidP="007D34A4">
            <w:pPr>
              <w:spacing w:before="40" w:line="240" w:lineRule="auto"/>
              <w:rPr>
                <w:i/>
              </w:rPr>
            </w:pPr>
            <w:r w:rsidRPr="007E6610">
              <w:rPr>
                <w:rFonts w:cs="Arial"/>
              </w:rPr>
              <w:t>EBPC S.341ZA</w:t>
            </w:r>
            <w:r w:rsidRPr="007E6610">
              <w:t>(5)</w:t>
            </w:r>
          </w:p>
        </w:tc>
        <w:tc>
          <w:tcPr>
            <w:tcW w:w="7371" w:type="dxa"/>
            <w:tcBorders>
              <w:top w:val="single" w:sz="4" w:space="0" w:color="1C1C1C" w:themeColor="text2"/>
              <w:left w:val="nil"/>
              <w:bottom w:val="nil"/>
              <w:right w:val="nil"/>
            </w:tcBorders>
            <w:vAlign w:val="center"/>
          </w:tcPr>
          <w:p w:rsidR="007D34A4" w:rsidRPr="00F642CF" w:rsidRDefault="007D34A4" w:rsidP="00F12F2E">
            <w:pPr>
              <w:spacing w:before="40" w:line="240" w:lineRule="auto"/>
              <w:rPr>
                <w:rFonts w:cs="Arial"/>
                <w:lang w:val="en-AU"/>
              </w:rPr>
            </w:pPr>
            <w:r w:rsidRPr="74EA9CD7">
              <w:rPr>
                <w:rFonts w:cs="Arial"/>
                <w:lang w:val="en-AU"/>
              </w:rPr>
              <w:t xml:space="preserve">Finance will carry out a Strategy review at least once in a 3-year period after this Strategy is accepted by the Minister of the Environment. </w:t>
            </w:r>
          </w:p>
        </w:tc>
        <w:tc>
          <w:tcPr>
            <w:tcW w:w="1417" w:type="dxa"/>
            <w:tcBorders>
              <w:top w:val="single" w:sz="4" w:space="0" w:color="1C1C1C" w:themeColor="text2"/>
              <w:left w:val="nil"/>
              <w:bottom w:val="nil"/>
              <w:right w:val="nil"/>
            </w:tcBorders>
            <w:vAlign w:val="center"/>
          </w:tcPr>
          <w:p w:rsidR="007D34A4" w:rsidRDefault="007D34A4" w:rsidP="007D34A4">
            <w:pPr>
              <w:spacing w:before="40" w:line="240" w:lineRule="auto"/>
              <w:rPr>
                <w:rFonts w:cs="Arial"/>
              </w:rPr>
            </w:pPr>
            <w:r>
              <w:rPr>
                <w:rFonts w:cs="Arial"/>
              </w:rPr>
              <w:t>By 2024</w:t>
            </w:r>
          </w:p>
        </w:tc>
        <w:tc>
          <w:tcPr>
            <w:tcW w:w="1344" w:type="dxa"/>
            <w:tcBorders>
              <w:top w:val="single" w:sz="4" w:space="0" w:color="1C1C1C" w:themeColor="text2"/>
              <w:left w:val="nil"/>
              <w:bottom w:val="nil"/>
            </w:tcBorders>
          </w:tcPr>
          <w:p w:rsidR="007D34A4" w:rsidRDefault="007D34A4" w:rsidP="007D34A4">
            <w:pPr>
              <w:spacing w:before="40" w:line="240" w:lineRule="auto"/>
              <w:rPr>
                <w:rFonts w:cs="Arial"/>
              </w:rPr>
            </w:pPr>
            <w:r>
              <w:rPr>
                <w:rFonts w:cs="Arial"/>
              </w:rPr>
              <w:t>PCD</w:t>
            </w:r>
          </w:p>
        </w:tc>
      </w:tr>
    </w:tbl>
    <w:p w:rsidR="007D34A4" w:rsidRDefault="007D34A4" w:rsidP="007D34A4">
      <w:pPr>
        <w:sectPr w:rsidR="007D34A4" w:rsidSect="007D34A4">
          <w:pgSz w:w="16840" w:h="11907" w:orient="landscape" w:code="9"/>
          <w:pgMar w:top="1440" w:right="1440" w:bottom="1440" w:left="1440" w:header="510" w:footer="720" w:gutter="0"/>
          <w:cols w:space="708"/>
          <w:docGrid w:linePitch="360"/>
        </w:sectPr>
      </w:pPr>
    </w:p>
    <w:p w:rsidR="002036D2" w:rsidRPr="00F12F2E" w:rsidRDefault="003F0182">
      <w:pPr>
        <w:pStyle w:val="Heading1Numbered"/>
        <w:numPr>
          <w:ilvl w:val="0"/>
          <w:numId w:val="0"/>
        </w:numPr>
        <w:rPr>
          <w:b/>
          <w:color w:val="FFFFFF" w:themeColor="background1"/>
        </w:rPr>
      </w:pPr>
      <w:bookmarkStart w:id="79" w:name="_Toc72485674"/>
      <w:bookmarkStart w:id="80" w:name="_Toc80111204"/>
      <w:r>
        <w:rPr>
          <w:b/>
          <w:noProof/>
          <w:color w:val="FFFFFF" w:themeColor="background1"/>
          <w:lang w:eastAsia="en-AU"/>
        </w:rPr>
        <w:lastRenderedPageBreak/>
        <w:drawing>
          <wp:anchor distT="0" distB="0" distL="114300" distR="114300" simplePos="0" relativeHeight="251668480" behindDoc="1" locked="0" layoutInCell="1" allowOverlap="1" wp14:anchorId="7C6CDCED" wp14:editId="77647461">
            <wp:simplePos x="0" y="0"/>
            <wp:positionH relativeFrom="page">
              <wp:align>center</wp:align>
            </wp:positionH>
            <wp:positionV relativeFrom="page">
              <wp:align>center</wp:align>
            </wp:positionV>
            <wp:extent cx="7560000" cy="10695600"/>
            <wp:effectExtent l="0" t="0" r="3175" b="0"/>
            <wp:wrapNone/>
            <wp:docPr id="8" name="Picture 8" descr="Decorative image" title="Decorati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eritage_Strategy_2021-24_InnerSection_draft01.jpg"/>
                    <pic:cNvPicPr/>
                  </pic:nvPicPr>
                  <pic:blipFill>
                    <a:blip r:embed="rId22">
                      <a:extLst>
                        <a:ext uri="{28A0092B-C50C-407E-A947-70E740481C1C}">
                          <a14:useLocalDpi xmlns:a14="http://schemas.microsoft.com/office/drawing/2010/main" val="0"/>
                        </a:ext>
                      </a:extLst>
                    </a:blip>
                    <a:stretch>
                      <a:fillRect/>
                    </a:stretch>
                  </pic:blipFill>
                  <pic:spPr>
                    <a:xfrm>
                      <a:off x="0" y="0"/>
                      <a:ext cx="7560000" cy="10695600"/>
                    </a:xfrm>
                    <a:prstGeom prst="rect">
                      <a:avLst/>
                    </a:prstGeom>
                  </pic:spPr>
                </pic:pic>
              </a:graphicData>
            </a:graphic>
            <wp14:sizeRelH relativeFrom="margin">
              <wp14:pctWidth>0</wp14:pctWidth>
            </wp14:sizeRelH>
            <wp14:sizeRelV relativeFrom="margin">
              <wp14:pctHeight>0</wp14:pctHeight>
            </wp14:sizeRelV>
          </wp:anchor>
        </w:drawing>
      </w:r>
      <w:r w:rsidR="00E00E97" w:rsidRPr="00F12F2E">
        <w:rPr>
          <w:b/>
          <w:color w:val="FFFFFF" w:themeColor="background1"/>
        </w:rPr>
        <w:t>Appendix B:</w:t>
      </w:r>
      <w:r w:rsidR="00E00E97">
        <w:t xml:space="preserve"> </w:t>
      </w:r>
    </w:p>
    <w:p w:rsidR="002036D2" w:rsidRDefault="007D34A4">
      <w:pPr>
        <w:pStyle w:val="Heading1Numbered"/>
        <w:numPr>
          <w:ilvl w:val="0"/>
          <w:numId w:val="0"/>
        </w:numPr>
      </w:pPr>
      <w:r w:rsidRPr="00F12F2E">
        <w:rPr>
          <w:sz w:val="52"/>
        </w:rPr>
        <w:t>EPBC ACT ‘Quick Guide’</w:t>
      </w:r>
      <w:bookmarkEnd w:id="79"/>
      <w:bookmarkEnd w:id="80"/>
      <w:r w:rsidRPr="00F12F2E">
        <w:rPr>
          <w:sz w:val="52"/>
        </w:rPr>
        <w:t xml:space="preserve"> </w:t>
      </w:r>
      <w:r w:rsidR="002036D2">
        <w:br w:type="page"/>
      </w:r>
    </w:p>
    <w:p w:rsidR="007D34A4" w:rsidRDefault="007D34A4" w:rsidP="00E00E97">
      <w:pPr>
        <w:pStyle w:val="Heading1Numbered"/>
        <w:numPr>
          <w:ilvl w:val="0"/>
          <w:numId w:val="0"/>
        </w:numPr>
      </w:pPr>
    </w:p>
    <w:p w:rsidR="007D34A4" w:rsidRDefault="007D34A4" w:rsidP="007D34A4">
      <w:pPr>
        <w:pStyle w:val="BodyText"/>
      </w:pPr>
      <w:r w:rsidRPr="00F12F2E">
        <w:rPr>
          <w:b/>
        </w:rPr>
        <w:t>WORKING TOGETHER MANAGING COMMONWEALTH HERITAGE PLACES 2019</w:t>
      </w:r>
    </w:p>
    <w:p w:rsidR="007D34A4" w:rsidRDefault="007D34A4" w:rsidP="007D34A4">
      <w:pPr>
        <w:pStyle w:val="BodyText"/>
      </w:pPr>
      <w:r>
        <w:rPr>
          <w:noProof/>
          <w:lang w:val="en-AU" w:eastAsia="en-AU"/>
        </w:rPr>
        <w:drawing>
          <wp:inline distT="0" distB="0" distL="0" distR="0" wp14:anchorId="4DE88928" wp14:editId="6CE299D9">
            <wp:extent cx="5732145" cy="3132455"/>
            <wp:effectExtent l="0" t="0" r="1905" b="0"/>
            <wp:docPr id="26" name="Picture 26" descr="EPBC Act QUICK GUIDE for Commonwealth agencies:&#10;S 3 4 1 Z A&#10;Commonwealth agency obligations&#10;to prepare a written heritage strategy&#10;S 3 4 1 Z A (1) (a)&#10;Commonwealth agency must&#10;prepare a written heritage strategy&#10;S 3 4 1 Z A (1) (b)&#10;Commonwealth agency must give&#10;a copy of the strategy to the Minister&#10;S 3 4 1 Z A (1A)&#10;Agency must consult the&#10;Australian Heritage Council&#10;S 3 4 1 Z A (3) (d)&#10;A heritage strategy must be&#10;consistent with the Commonwealth&#10;Heritage management principles&#10;S 3 4 1 Z A (5)&#10;Agency must review heritage&#10;strategy every three years.&#10;S 3 4 1 Z B&#10;Heritage assessments and registers&#10;S 3 4 1 Z E&#10;Protecting Commonwealth Heritage&#10;values of places sold or leased&#10;E PBC R egul at ions 2 0 0 0&#10;R e g. 1 0 . 0 3D S c h. 7 b&#10;Commonwealth Heritage&#10;management principles&#10;R e g. 1 0 . 0 3 E S c h. 7C&#10;Content requirements for a heritage strategy&#10;R e g. 1 0 . 0 3 F&#10;Report about review of a heritage strategy&#10;R e g. 1 0 . 0 3 G&#10;Heritage assessments and registers" title="EPBC Act QUICK GUIDE for Commonwealth agenc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25">
                      <a:duotone>
                        <a:prstClr val="black"/>
                        <a:schemeClr val="accent5">
                          <a:lumMod val="20000"/>
                          <a:lumOff val="80000"/>
                          <a:tint val="45000"/>
                          <a:satMod val="400000"/>
                        </a:schemeClr>
                      </a:duotone>
                      <a:extLst>
                        <a:ext uri="{28A0092B-C50C-407E-A947-70E740481C1C}">
                          <a14:useLocalDpi xmlns:a14="http://schemas.microsoft.com/office/drawing/2010/main" val="0"/>
                        </a:ext>
                      </a:extLst>
                    </a:blip>
                    <a:stretch>
                      <a:fillRect/>
                    </a:stretch>
                  </pic:blipFill>
                  <pic:spPr>
                    <a:xfrm>
                      <a:off x="0" y="0"/>
                      <a:ext cx="5732145" cy="3132455"/>
                    </a:xfrm>
                    <a:prstGeom prst="rect">
                      <a:avLst/>
                    </a:prstGeom>
                  </pic:spPr>
                </pic:pic>
              </a:graphicData>
            </a:graphic>
          </wp:inline>
        </w:drawing>
      </w:r>
    </w:p>
    <w:p w:rsidR="007D34A4" w:rsidRDefault="007D34A4" w:rsidP="007D34A4">
      <w:pPr>
        <w:pStyle w:val="BodyText"/>
      </w:pPr>
    </w:p>
    <w:p w:rsidR="007D34A4" w:rsidRDefault="007D34A4" w:rsidP="007D34A4">
      <w:pPr>
        <w:pStyle w:val="BodyText"/>
      </w:pPr>
    </w:p>
    <w:p w:rsidR="007D34A4" w:rsidRDefault="007D34A4" w:rsidP="007D34A4">
      <w:pPr>
        <w:pStyle w:val="BodyText"/>
      </w:pPr>
    </w:p>
    <w:p w:rsidR="007D34A4" w:rsidRDefault="007D34A4" w:rsidP="007D34A4">
      <w:pPr>
        <w:spacing w:line="240" w:lineRule="auto"/>
      </w:pPr>
      <w:r>
        <w:br w:type="page"/>
      </w:r>
    </w:p>
    <w:p w:rsidR="007D34A4" w:rsidRDefault="007D34A4" w:rsidP="007D34A4">
      <w:pPr>
        <w:pStyle w:val="BodyText"/>
      </w:pPr>
    </w:p>
    <w:p w:rsidR="007D34A4" w:rsidRPr="00F12F2E" w:rsidRDefault="00E00E97">
      <w:pPr>
        <w:pStyle w:val="Heading1Numbered"/>
        <w:numPr>
          <w:ilvl w:val="0"/>
          <w:numId w:val="0"/>
        </w:numPr>
        <w:rPr>
          <w:sz w:val="44"/>
        </w:rPr>
      </w:pPr>
      <w:bookmarkStart w:id="81" w:name="_Toc72485675"/>
      <w:bookmarkStart w:id="82" w:name="_Toc80111205"/>
      <w:r w:rsidRPr="00F12F2E">
        <w:rPr>
          <w:b/>
          <w:color w:val="FFFFFF" w:themeColor="background1"/>
        </w:rPr>
        <w:t>Appendix C:</w:t>
      </w:r>
      <w:r w:rsidR="002036D2">
        <w:br/>
      </w:r>
      <w:r w:rsidR="007D34A4" w:rsidRPr="00F12F2E">
        <w:rPr>
          <w:sz w:val="52"/>
        </w:rPr>
        <w:t xml:space="preserve">List of Finance-managed </w:t>
      </w:r>
      <w:r w:rsidR="002036D2">
        <w:rPr>
          <w:sz w:val="52"/>
        </w:rPr>
        <w:br/>
      </w:r>
      <w:r w:rsidR="007D34A4" w:rsidRPr="00F12F2E">
        <w:rPr>
          <w:sz w:val="52"/>
        </w:rPr>
        <w:t>properties with Commonwealth Heritage values</w:t>
      </w:r>
      <w:bookmarkEnd w:id="81"/>
      <w:bookmarkEnd w:id="82"/>
      <w:r w:rsidR="003F0182">
        <w:rPr>
          <w:b/>
          <w:noProof/>
          <w:color w:val="FFFFFF" w:themeColor="background1"/>
          <w:lang w:eastAsia="en-AU"/>
        </w:rPr>
        <w:drawing>
          <wp:anchor distT="0" distB="0" distL="114300" distR="114300" simplePos="0" relativeHeight="251670528" behindDoc="1" locked="0" layoutInCell="1" allowOverlap="1" wp14:anchorId="5A7FCC90" wp14:editId="73D7838E">
            <wp:simplePos x="0" y="0"/>
            <wp:positionH relativeFrom="page">
              <wp:align>center</wp:align>
            </wp:positionH>
            <wp:positionV relativeFrom="page">
              <wp:align>center</wp:align>
            </wp:positionV>
            <wp:extent cx="7560000" cy="10695600"/>
            <wp:effectExtent l="0" t="0" r="3175" b="0"/>
            <wp:wrapNone/>
            <wp:docPr id="9" name="Picture 9" descr="Decorative image" title="Decorati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eritage_Strategy_2021-24_InnerSection_draft01.jpg"/>
                    <pic:cNvPicPr/>
                  </pic:nvPicPr>
                  <pic:blipFill>
                    <a:blip r:embed="rId22">
                      <a:extLst>
                        <a:ext uri="{28A0092B-C50C-407E-A947-70E740481C1C}">
                          <a14:useLocalDpi xmlns:a14="http://schemas.microsoft.com/office/drawing/2010/main" val="0"/>
                        </a:ext>
                      </a:extLst>
                    </a:blip>
                    <a:stretch>
                      <a:fillRect/>
                    </a:stretch>
                  </pic:blipFill>
                  <pic:spPr>
                    <a:xfrm>
                      <a:off x="0" y="0"/>
                      <a:ext cx="7560000" cy="10695600"/>
                    </a:xfrm>
                    <a:prstGeom prst="rect">
                      <a:avLst/>
                    </a:prstGeom>
                  </pic:spPr>
                </pic:pic>
              </a:graphicData>
            </a:graphic>
            <wp14:sizeRelH relativeFrom="margin">
              <wp14:pctWidth>0</wp14:pctWidth>
            </wp14:sizeRelH>
            <wp14:sizeRelV relativeFrom="margin">
              <wp14:pctHeight>0</wp14:pctHeight>
            </wp14:sizeRelV>
          </wp:anchor>
        </w:drawing>
      </w:r>
    </w:p>
    <w:p w:rsidR="002036D2" w:rsidRDefault="002036D2" w:rsidP="002036D2">
      <w:r>
        <w:br w:type="page"/>
      </w:r>
    </w:p>
    <w:p w:rsidR="002036D2" w:rsidRPr="00F12F2E" w:rsidRDefault="002036D2" w:rsidP="00F12F2E"/>
    <w:p w:rsidR="007D34A4" w:rsidRPr="00A41BA3" w:rsidRDefault="00806A91" w:rsidP="00806A91">
      <w:pPr>
        <w:pStyle w:val="Tableheadingleft"/>
        <w:spacing w:after="120"/>
      </w:pPr>
      <w:r w:rsidRPr="00806A91">
        <w:t>Table 1. Finance Owned Estate properties with Commonwealth Heritage values.</w:t>
      </w:r>
    </w:p>
    <w:tbl>
      <w:tblPr>
        <w:tblStyle w:val="ERMTablestyle11"/>
        <w:tblW w:w="4947" w:type="pct"/>
        <w:tblBorders>
          <w:top w:val="none" w:sz="0" w:space="0" w:color="auto"/>
          <w:bottom w:val="none" w:sz="0" w:space="0" w:color="auto"/>
          <w:insideH w:val="single" w:sz="4" w:space="0" w:color="1C1C1C" w:themeColor="text2"/>
          <w:insideV w:val="none" w:sz="0" w:space="0" w:color="auto"/>
        </w:tblBorders>
        <w:tblCellMar>
          <w:top w:w="0" w:type="dxa"/>
          <w:left w:w="85" w:type="dxa"/>
        </w:tblCellMar>
        <w:tblLook w:val="01E0" w:firstRow="1" w:lastRow="1" w:firstColumn="1" w:lastColumn="1" w:noHBand="0" w:noVBand="0"/>
        <w:tblCaption w:val="Table 1. Finance Owned Estate properties with Commonwealth Heritage values."/>
        <w:tblDescription w:val="Table 1. Finance Owned Estate properties with Commonwealth Heritage values.&#10;"/>
      </w:tblPr>
      <w:tblGrid>
        <w:gridCol w:w="2848"/>
        <w:gridCol w:w="3419"/>
        <w:gridCol w:w="2707"/>
      </w:tblGrid>
      <w:tr w:rsidR="00FC5471" w:rsidRPr="00AE647F" w:rsidTr="004529BE">
        <w:trPr>
          <w:cnfStyle w:val="100000000000" w:firstRow="1" w:lastRow="0" w:firstColumn="0" w:lastColumn="0" w:oddVBand="0" w:evenVBand="0" w:oddHBand="0" w:evenHBand="0" w:firstRowFirstColumn="0" w:firstRowLastColumn="0" w:lastRowFirstColumn="0" w:lastRowLastColumn="0"/>
          <w:tblHeader/>
        </w:trPr>
        <w:tc>
          <w:tcPr>
            <w:tcW w:w="1587" w:type="pct"/>
            <w:tcBorders>
              <w:right w:val="single" w:sz="4" w:space="0" w:color="auto"/>
            </w:tcBorders>
            <w:shd w:val="clear" w:color="auto" w:fill="000000" w:themeFill="text1"/>
          </w:tcPr>
          <w:p w:rsidR="007D34A4" w:rsidRPr="00AE647F" w:rsidRDefault="007D34A4" w:rsidP="007D34A4">
            <w:pPr>
              <w:spacing w:before="120" w:line="240" w:lineRule="auto"/>
              <w:rPr>
                <w:b/>
                <w:color w:val="FFFFFF" w:themeColor="background1"/>
                <w:sz w:val="19"/>
                <w:szCs w:val="19"/>
              </w:rPr>
            </w:pPr>
            <w:r w:rsidRPr="00AE647F">
              <w:rPr>
                <w:b/>
                <w:color w:val="FFFFFF" w:themeColor="background1"/>
                <w:sz w:val="19"/>
                <w:szCs w:val="19"/>
              </w:rPr>
              <w:t>Property Name</w:t>
            </w:r>
          </w:p>
        </w:tc>
        <w:tc>
          <w:tcPr>
            <w:tcW w:w="1905" w:type="pct"/>
            <w:tcBorders>
              <w:left w:val="single" w:sz="4" w:space="0" w:color="auto"/>
              <w:right w:val="single" w:sz="4" w:space="0" w:color="auto"/>
            </w:tcBorders>
            <w:shd w:val="clear" w:color="auto" w:fill="000000" w:themeFill="text1"/>
          </w:tcPr>
          <w:p w:rsidR="007D34A4" w:rsidRPr="00AE647F" w:rsidRDefault="007D34A4" w:rsidP="007D34A4">
            <w:pPr>
              <w:spacing w:before="120" w:line="240" w:lineRule="auto"/>
              <w:rPr>
                <w:b/>
                <w:color w:val="FFFFFF" w:themeColor="background1"/>
                <w:sz w:val="19"/>
                <w:szCs w:val="19"/>
              </w:rPr>
            </w:pPr>
            <w:r w:rsidRPr="00AE647F">
              <w:rPr>
                <w:b/>
                <w:color w:val="FFFFFF" w:themeColor="background1"/>
                <w:sz w:val="19"/>
                <w:szCs w:val="19"/>
              </w:rPr>
              <w:t>Property Address</w:t>
            </w:r>
          </w:p>
        </w:tc>
        <w:tc>
          <w:tcPr>
            <w:tcW w:w="1508" w:type="pct"/>
            <w:tcBorders>
              <w:left w:val="single" w:sz="4" w:space="0" w:color="auto"/>
            </w:tcBorders>
            <w:shd w:val="clear" w:color="auto" w:fill="000000" w:themeFill="text1"/>
          </w:tcPr>
          <w:p w:rsidR="007D34A4" w:rsidRPr="00AE647F" w:rsidRDefault="00305FC4" w:rsidP="007D34A4">
            <w:pPr>
              <w:spacing w:before="120" w:line="240" w:lineRule="auto"/>
              <w:rPr>
                <w:b/>
                <w:color w:val="FFFFFF" w:themeColor="background1"/>
                <w:sz w:val="19"/>
                <w:szCs w:val="19"/>
              </w:rPr>
            </w:pPr>
            <w:r w:rsidRPr="00305FC4">
              <w:rPr>
                <w:b/>
                <w:color w:val="FFFFFF" w:themeColor="background1"/>
                <w:sz w:val="19"/>
                <w:szCs w:val="19"/>
              </w:rPr>
              <w:t>Commonwealth Heritage List</w:t>
            </w:r>
            <w:r w:rsidR="007D34A4" w:rsidRPr="00AE647F">
              <w:rPr>
                <w:b/>
                <w:color w:val="FFFFFF" w:themeColor="background1"/>
                <w:sz w:val="19"/>
                <w:szCs w:val="19"/>
              </w:rPr>
              <w:t xml:space="preserve"> Listing</w:t>
            </w:r>
          </w:p>
        </w:tc>
      </w:tr>
      <w:tr w:rsidR="007D34A4" w:rsidRPr="00A41BA3" w:rsidTr="00F12F2E">
        <w:trPr>
          <w:trHeight w:val="264"/>
        </w:trPr>
        <w:tc>
          <w:tcPr>
            <w:tcW w:w="1587" w:type="pct"/>
            <w:tcBorders>
              <w:top w:val="single" w:sz="4" w:space="0" w:color="1C1C1C" w:themeColor="text2"/>
              <w:bottom w:val="single" w:sz="4" w:space="0" w:color="1C1C1C" w:themeColor="text2"/>
            </w:tcBorders>
            <w:tcMar>
              <w:top w:w="57" w:type="dxa"/>
              <w:left w:w="57" w:type="dxa"/>
            </w:tcMar>
          </w:tcPr>
          <w:p w:rsidR="007D34A4" w:rsidRPr="00A41BA3" w:rsidRDefault="007D34A4" w:rsidP="007D34A4">
            <w:pPr>
              <w:spacing w:before="40" w:line="240" w:lineRule="auto"/>
              <w:rPr>
                <w:rFonts w:cs="Arial"/>
              </w:rPr>
            </w:pPr>
            <w:r w:rsidRPr="00A41BA3">
              <w:rPr>
                <w:rFonts w:cs="Arial"/>
              </w:rPr>
              <w:t xml:space="preserve">Snapper Island </w:t>
            </w:r>
          </w:p>
        </w:tc>
        <w:tc>
          <w:tcPr>
            <w:tcW w:w="1905" w:type="pct"/>
            <w:tcBorders>
              <w:top w:val="single" w:sz="4" w:space="0" w:color="1C1C1C" w:themeColor="text2"/>
              <w:bottom w:val="single" w:sz="4" w:space="0" w:color="1C1C1C" w:themeColor="text2"/>
            </w:tcBorders>
            <w:tcMar>
              <w:top w:w="57" w:type="dxa"/>
              <w:left w:w="57" w:type="dxa"/>
            </w:tcMar>
          </w:tcPr>
          <w:p w:rsidR="007D34A4" w:rsidRPr="00A41BA3" w:rsidRDefault="007D34A4" w:rsidP="007D34A4">
            <w:pPr>
              <w:spacing w:before="40" w:line="240" w:lineRule="auto"/>
              <w:rPr>
                <w:rFonts w:cs="Arial"/>
              </w:rPr>
            </w:pPr>
            <w:r w:rsidRPr="00A41BA3">
              <w:rPr>
                <w:rFonts w:cs="Arial"/>
              </w:rPr>
              <w:t>Sydney Harbour</w:t>
            </w:r>
            <w:r>
              <w:rPr>
                <w:rFonts w:cs="Arial"/>
              </w:rPr>
              <w:t>, NSW</w:t>
            </w:r>
          </w:p>
        </w:tc>
        <w:tc>
          <w:tcPr>
            <w:tcW w:w="1508" w:type="pct"/>
            <w:tcBorders>
              <w:top w:val="single" w:sz="4" w:space="0" w:color="1C1C1C" w:themeColor="text2"/>
              <w:bottom w:val="single" w:sz="4" w:space="0" w:color="1C1C1C" w:themeColor="text2"/>
            </w:tcBorders>
            <w:tcMar>
              <w:top w:w="57" w:type="dxa"/>
              <w:left w:w="57" w:type="dxa"/>
            </w:tcMar>
          </w:tcPr>
          <w:p w:rsidR="007D34A4" w:rsidRPr="00A41BA3" w:rsidRDefault="007D34A4" w:rsidP="007D34A4">
            <w:pPr>
              <w:spacing w:before="40" w:line="240" w:lineRule="auto"/>
              <w:rPr>
                <w:rFonts w:cs="Arial"/>
              </w:rPr>
            </w:pPr>
            <w:r>
              <w:rPr>
                <w:rFonts w:cs="Arial"/>
              </w:rPr>
              <w:t>‘</w:t>
            </w:r>
            <w:r w:rsidRPr="00FF0D02">
              <w:rPr>
                <w:rFonts w:cs="Arial"/>
              </w:rPr>
              <w:t>Snapper Island, Drummoyne, NSW, Australia</w:t>
            </w:r>
            <w:r>
              <w:rPr>
                <w:rFonts w:cs="Arial"/>
              </w:rPr>
              <w:t>’, Place ID 105477</w:t>
            </w:r>
          </w:p>
        </w:tc>
      </w:tr>
      <w:tr w:rsidR="007D34A4" w:rsidRPr="00A41BA3" w:rsidTr="00F12F2E">
        <w:tc>
          <w:tcPr>
            <w:tcW w:w="1587" w:type="pct"/>
            <w:tcBorders>
              <w:top w:val="single" w:sz="4" w:space="0" w:color="1C1C1C" w:themeColor="text2"/>
              <w:bottom w:val="single" w:sz="4" w:space="0" w:color="1C1C1C" w:themeColor="text2"/>
            </w:tcBorders>
            <w:tcMar>
              <w:top w:w="57" w:type="dxa"/>
              <w:left w:w="57" w:type="dxa"/>
            </w:tcMar>
          </w:tcPr>
          <w:p w:rsidR="007D34A4" w:rsidRPr="00A41BA3" w:rsidRDefault="007D34A4" w:rsidP="007D34A4">
            <w:pPr>
              <w:spacing w:before="40" w:line="240" w:lineRule="auto"/>
              <w:rPr>
                <w:rFonts w:cs="Arial"/>
              </w:rPr>
            </w:pPr>
            <w:r w:rsidRPr="00A41BA3">
              <w:rPr>
                <w:rFonts w:cs="Arial"/>
              </w:rPr>
              <w:t>Sydney Customs Depot</w:t>
            </w:r>
          </w:p>
        </w:tc>
        <w:tc>
          <w:tcPr>
            <w:tcW w:w="1905" w:type="pct"/>
            <w:tcBorders>
              <w:top w:val="single" w:sz="4" w:space="0" w:color="1C1C1C" w:themeColor="text2"/>
              <w:bottom w:val="single" w:sz="4" w:space="0" w:color="1C1C1C" w:themeColor="text2"/>
            </w:tcBorders>
            <w:tcMar>
              <w:top w:w="57" w:type="dxa"/>
              <w:left w:w="57" w:type="dxa"/>
            </w:tcMar>
          </w:tcPr>
          <w:p w:rsidR="007D34A4" w:rsidRPr="00A41BA3" w:rsidRDefault="007D34A4" w:rsidP="007D34A4">
            <w:pPr>
              <w:spacing w:before="40" w:line="240" w:lineRule="auto"/>
              <w:rPr>
                <w:rFonts w:cs="Arial"/>
              </w:rPr>
            </w:pPr>
            <w:r w:rsidRPr="00A41BA3">
              <w:rPr>
                <w:rFonts w:cs="Arial"/>
              </w:rPr>
              <w:t>Lower Ben Boyd Road</w:t>
            </w:r>
            <w:r>
              <w:rPr>
                <w:rFonts w:cs="Arial"/>
              </w:rPr>
              <w:t xml:space="preserve">, </w:t>
            </w:r>
            <w:r w:rsidRPr="00A41BA3">
              <w:rPr>
                <w:rFonts w:cs="Arial"/>
              </w:rPr>
              <w:t>Neutral Bay, NSW</w:t>
            </w:r>
          </w:p>
        </w:tc>
        <w:tc>
          <w:tcPr>
            <w:tcW w:w="1508" w:type="pct"/>
            <w:tcBorders>
              <w:top w:val="single" w:sz="4" w:space="0" w:color="1C1C1C" w:themeColor="text2"/>
              <w:bottom w:val="single" w:sz="4" w:space="0" w:color="1C1C1C" w:themeColor="text2"/>
            </w:tcBorders>
            <w:tcMar>
              <w:top w:w="57" w:type="dxa"/>
              <w:left w:w="57" w:type="dxa"/>
            </w:tcMar>
          </w:tcPr>
          <w:p w:rsidR="007D34A4" w:rsidRPr="00A41BA3" w:rsidRDefault="007D34A4" w:rsidP="007D34A4">
            <w:pPr>
              <w:spacing w:before="40" w:line="240" w:lineRule="auto"/>
              <w:rPr>
                <w:rFonts w:cs="Arial"/>
              </w:rPr>
            </w:pPr>
            <w:r>
              <w:rPr>
                <w:rFonts w:cs="Arial"/>
              </w:rPr>
              <w:t xml:space="preserve">‘Customs Marine Centre, </w:t>
            </w:r>
            <w:r w:rsidRPr="00FF0D02">
              <w:rPr>
                <w:rFonts w:cs="Arial"/>
              </w:rPr>
              <w:t>Ben Boyd Rd, Neutral Bay, NSW, Australia</w:t>
            </w:r>
            <w:r>
              <w:rPr>
                <w:rFonts w:cs="Arial"/>
              </w:rPr>
              <w:t>’, Place ID 105249</w:t>
            </w:r>
          </w:p>
        </w:tc>
      </w:tr>
      <w:tr w:rsidR="007D34A4" w:rsidRPr="00A41BA3" w:rsidTr="00F12F2E">
        <w:tc>
          <w:tcPr>
            <w:tcW w:w="1587" w:type="pct"/>
            <w:tcBorders>
              <w:top w:val="single" w:sz="4" w:space="0" w:color="1C1C1C" w:themeColor="text2"/>
              <w:bottom w:val="single" w:sz="4" w:space="0" w:color="1C1C1C" w:themeColor="text2"/>
            </w:tcBorders>
            <w:tcMar>
              <w:top w:w="57" w:type="dxa"/>
              <w:left w:w="57" w:type="dxa"/>
            </w:tcMar>
          </w:tcPr>
          <w:p w:rsidR="007D34A4" w:rsidRPr="00A41BA3" w:rsidRDefault="007D34A4" w:rsidP="007D34A4">
            <w:pPr>
              <w:spacing w:before="120" w:line="240" w:lineRule="auto"/>
              <w:rPr>
                <w:sz w:val="19"/>
                <w:szCs w:val="19"/>
              </w:rPr>
            </w:pPr>
            <w:r w:rsidRPr="00A41BA3">
              <w:rPr>
                <w:sz w:val="19"/>
                <w:szCs w:val="19"/>
              </w:rPr>
              <w:t>ANZAC Rif</w:t>
            </w:r>
            <w:r w:rsidR="00D9586F">
              <w:rPr>
                <w:sz w:val="19"/>
                <w:szCs w:val="19"/>
              </w:rPr>
              <w:t>l</w:t>
            </w:r>
            <w:r w:rsidRPr="00A41BA3">
              <w:rPr>
                <w:sz w:val="19"/>
                <w:szCs w:val="19"/>
              </w:rPr>
              <w:t>e Range (Malabar)</w:t>
            </w:r>
          </w:p>
        </w:tc>
        <w:tc>
          <w:tcPr>
            <w:tcW w:w="1905" w:type="pct"/>
            <w:tcBorders>
              <w:top w:val="single" w:sz="4" w:space="0" w:color="1C1C1C" w:themeColor="text2"/>
              <w:bottom w:val="single" w:sz="4" w:space="0" w:color="1C1C1C" w:themeColor="text2"/>
            </w:tcBorders>
            <w:tcMar>
              <w:top w:w="57" w:type="dxa"/>
              <w:left w:w="57" w:type="dxa"/>
            </w:tcMar>
          </w:tcPr>
          <w:p w:rsidR="007D34A4" w:rsidRPr="00A41BA3" w:rsidRDefault="007D34A4" w:rsidP="007D34A4">
            <w:pPr>
              <w:spacing w:before="40" w:line="240" w:lineRule="auto"/>
              <w:rPr>
                <w:rFonts w:cs="Arial"/>
              </w:rPr>
            </w:pPr>
            <w:r w:rsidRPr="00A41BA3">
              <w:rPr>
                <w:rFonts w:cs="Arial"/>
              </w:rPr>
              <w:t>Franklin Street</w:t>
            </w:r>
            <w:r>
              <w:rPr>
                <w:rFonts w:cs="Arial"/>
              </w:rPr>
              <w:t xml:space="preserve">, </w:t>
            </w:r>
            <w:r w:rsidRPr="00A41BA3">
              <w:rPr>
                <w:rFonts w:cs="Arial"/>
              </w:rPr>
              <w:t>Malabar, NSW</w:t>
            </w:r>
          </w:p>
        </w:tc>
        <w:tc>
          <w:tcPr>
            <w:tcW w:w="1508" w:type="pct"/>
            <w:tcBorders>
              <w:top w:val="single" w:sz="4" w:space="0" w:color="1C1C1C" w:themeColor="text2"/>
              <w:bottom w:val="single" w:sz="4" w:space="0" w:color="1C1C1C" w:themeColor="text2"/>
            </w:tcBorders>
            <w:tcMar>
              <w:top w:w="57" w:type="dxa"/>
              <w:left w:w="57" w:type="dxa"/>
            </w:tcMar>
          </w:tcPr>
          <w:p w:rsidR="007D34A4" w:rsidRPr="00A41BA3" w:rsidRDefault="005148CE" w:rsidP="007D34A4">
            <w:pPr>
              <w:spacing w:before="40" w:line="240" w:lineRule="auto"/>
              <w:rPr>
                <w:rFonts w:cs="Arial"/>
              </w:rPr>
            </w:pPr>
            <w:r>
              <w:t>Commonwealth Heritage</w:t>
            </w:r>
            <w:r w:rsidR="007D34A4">
              <w:rPr>
                <w:rFonts w:cs="Arial"/>
              </w:rPr>
              <w:t xml:space="preserve"> Values identified, not yet nominated for listing</w:t>
            </w:r>
          </w:p>
        </w:tc>
      </w:tr>
      <w:tr w:rsidR="007D34A4" w:rsidRPr="00A41BA3" w:rsidTr="00F12F2E">
        <w:tc>
          <w:tcPr>
            <w:tcW w:w="1587" w:type="pct"/>
            <w:tcBorders>
              <w:top w:val="single" w:sz="4" w:space="0" w:color="1C1C1C" w:themeColor="text2"/>
              <w:bottom w:val="single" w:sz="4" w:space="0" w:color="1C1C1C" w:themeColor="text2"/>
            </w:tcBorders>
            <w:tcMar>
              <w:top w:w="57" w:type="dxa"/>
              <w:left w:w="57" w:type="dxa"/>
            </w:tcMar>
          </w:tcPr>
          <w:p w:rsidR="007D34A4" w:rsidRPr="00A41BA3" w:rsidRDefault="007D34A4" w:rsidP="007D34A4">
            <w:pPr>
              <w:spacing w:before="40" w:line="240" w:lineRule="auto"/>
              <w:rPr>
                <w:rFonts w:cs="Arial"/>
                <w:sz w:val="19"/>
                <w:szCs w:val="19"/>
              </w:rPr>
            </w:pPr>
            <w:r w:rsidRPr="00A41BA3">
              <w:rPr>
                <w:rFonts w:cs="Arial"/>
              </w:rPr>
              <w:t>Commonwealth Offices</w:t>
            </w:r>
          </w:p>
        </w:tc>
        <w:tc>
          <w:tcPr>
            <w:tcW w:w="1905" w:type="pct"/>
            <w:tcBorders>
              <w:top w:val="single" w:sz="4" w:space="0" w:color="1C1C1C" w:themeColor="text2"/>
              <w:bottom w:val="single" w:sz="4" w:space="0" w:color="1C1C1C" w:themeColor="text2"/>
            </w:tcBorders>
            <w:tcMar>
              <w:top w:w="57" w:type="dxa"/>
              <w:left w:w="57" w:type="dxa"/>
            </w:tcMar>
          </w:tcPr>
          <w:p w:rsidR="007D34A4" w:rsidRPr="00A41BA3" w:rsidRDefault="007D34A4" w:rsidP="007D34A4">
            <w:pPr>
              <w:spacing w:before="40" w:line="240" w:lineRule="auto"/>
              <w:rPr>
                <w:rFonts w:cs="Arial"/>
              </w:rPr>
            </w:pPr>
            <w:r w:rsidRPr="00A41BA3">
              <w:rPr>
                <w:rFonts w:cs="Arial"/>
              </w:rPr>
              <w:t>4 Treasury Place</w:t>
            </w:r>
            <w:r>
              <w:rPr>
                <w:rFonts w:cs="Arial"/>
              </w:rPr>
              <w:t>,</w:t>
            </w:r>
            <w:r w:rsidRPr="00A41BA3">
              <w:rPr>
                <w:rFonts w:cs="Arial"/>
              </w:rPr>
              <w:t xml:space="preserve"> Melbourne, VIC</w:t>
            </w:r>
          </w:p>
        </w:tc>
        <w:tc>
          <w:tcPr>
            <w:tcW w:w="1508" w:type="pct"/>
            <w:tcBorders>
              <w:top w:val="single" w:sz="4" w:space="0" w:color="1C1C1C" w:themeColor="text2"/>
              <w:bottom w:val="single" w:sz="4" w:space="0" w:color="1C1C1C" w:themeColor="text2"/>
            </w:tcBorders>
            <w:tcMar>
              <w:top w:w="57" w:type="dxa"/>
              <w:left w:w="57" w:type="dxa"/>
            </w:tcMar>
          </w:tcPr>
          <w:p w:rsidR="007D34A4" w:rsidRPr="00A41BA3" w:rsidRDefault="007D34A4" w:rsidP="007D34A4">
            <w:pPr>
              <w:spacing w:before="40" w:line="240" w:lineRule="auto"/>
              <w:rPr>
                <w:rFonts w:cs="Arial"/>
              </w:rPr>
            </w:pPr>
            <w:r>
              <w:rPr>
                <w:rFonts w:cs="Arial"/>
              </w:rPr>
              <w:t>‘</w:t>
            </w:r>
            <w:r w:rsidRPr="00FF0D02">
              <w:rPr>
                <w:rFonts w:cs="Arial"/>
              </w:rPr>
              <w:t>Commonwealth Offices Building, 4 Treasury Pl, East Melbourne, VIC, Australia</w:t>
            </w:r>
            <w:r>
              <w:rPr>
                <w:rFonts w:cs="Arial"/>
              </w:rPr>
              <w:t>’, Place ID 105453</w:t>
            </w:r>
          </w:p>
        </w:tc>
      </w:tr>
      <w:tr w:rsidR="007D34A4" w:rsidRPr="00A41BA3" w:rsidTr="00F12F2E">
        <w:tc>
          <w:tcPr>
            <w:tcW w:w="1587" w:type="pct"/>
            <w:tcBorders>
              <w:top w:val="single" w:sz="4" w:space="0" w:color="1C1C1C" w:themeColor="text2"/>
              <w:bottom w:val="single" w:sz="4" w:space="0" w:color="1C1C1C" w:themeColor="text2"/>
            </w:tcBorders>
            <w:tcMar>
              <w:top w:w="57" w:type="dxa"/>
              <w:left w:w="57" w:type="dxa"/>
            </w:tcMar>
          </w:tcPr>
          <w:p w:rsidR="007D34A4" w:rsidRPr="00A41BA3" w:rsidRDefault="007D34A4" w:rsidP="007D34A4">
            <w:pPr>
              <w:spacing w:before="40" w:line="240" w:lineRule="auto"/>
              <w:rPr>
                <w:rFonts w:cs="Arial"/>
                <w:sz w:val="19"/>
                <w:szCs w:val="19"/>
              </w:rPr>
            </w:pPr>
            <w:r w:rsidRPr="00A41BA3">
              <w:rPr>
                <w:rFonts w:cs="Arial"/>
              </w:rPr>
              <w:t>Edward Braddon Commonwealth Law Court</w:t>
            </w:r>
          </w:p>
        </w:tc>
        <w:tc>
          <w:tcPr>
            <w:tcW w:w="1905" w:type="pct"/>
            <w:tcBorders>
              <w:top w:val="single" w:sz="4" w:space="0" w:color="1C1C1C" w:themeColor="text2"/>
              <w:bottom w:val="single" w:sz="4" w:space="0" w:color="1C1C1C" w:themeColor="text2"/>
            </w:tcBorders>
            <w:tcMar>
              <w:top w:w="57" w:type="dxa"/>
              <w:left w:w="57" w:type="dxa"/>
            </w:tcMar>
          </w:tcPr>
          <w:p w:rsidR="007D34A4" w:rsidRPr="00A41BA3" w:rsidRDefault="007D34A4" w:rsidP="007D34A4">
            <w:pPr>
              <w:spacing w:before="40" w:line="240" w:lineRule="auto"/>
              <w:rPr>
                <w:rFonts w:cs="Arial"/>
              </w:rPr>
            </w:pPr>
            <w:r w:rsidRPr="00A41BA3">
              <w:rPr>
                <w:rFonts w:cs="Arial"/>
              </w:rPr>
              <w:t>Davey Street</w:t>
            </w:r>
            <w:r>
              <w:rPr>
                <w:rFonts w:cs="Arial"/>
              </w:rPr>
              <w:t xml:space="preserve">, </w:t>
            </w:r>
            <w:r w:rsidRPr="00A41BA3">
              <w:rPr>
                <w:rFonts w:cs="Arial"/>
              </w:rPr>
              <w:t>Hobart, TAS</w:t>
            </w:r>
          </w:p>
        </w:tc>
        <w:tc>
          <w:tcPr>
            <w:tcW w:w="1508" w:type="pct"/>
            <w:tcBorders>
              <w:top w:val="single" w:sz="4" w:space="0" w:color="1C1C1C" w:themeColor="text2"/>
              <w:bottom w:val="single" w:sz="4" w:space="0" w:color="1C1C1C" w:themeColor="text2"/>
            </w:tcBorders>
            <w:tcMar>
              <w:top w:w="57" w:type="dxa"/>
              <w:left w:w="57" w:type="dxa"/>
            </w:tcMar>
          </w:tcPr>
          <w:p w:rsidR="007D34A4" w:rsidRPr="00A41BA3" w:rsidRDefault="007D34A4" w:rsidP="007D34A4">
            <w:pPr>
              <w:spacing w:before="40" w:line="240" w:lineRule="auto"/>
              <w:rPr>
                <w:rFonts w:cs="Arial"/>
              </w:rPr>
            </w:pPr>
            <w:r>
              <w:rPr>
                <w:rFonts w:cs="Arial"/>
              </w:rPr>
              <w:t>‘</w:t>
            </w:r>
            <w:r w:rsidRPr="00FF0D02">
              <w:rPr>
                <w:rFonts w:cs="Arial"/>
              </w:rPr>
              <w:t>Edward Braddon Commonwealth Law Courts, 39-41 Davey St, Hobart, TAS, Australia</w:t>
            </w:r>
            <w:r>
              <w:rPr>
                <w:rFonts w:cs="Arial"/>
              </w:rPr>
              <w:t>’, Place ID 106152</w:t>
            </w:r>
          </w:p>
        </w:tc>
      </w:tr>
      <w:tr w:rsidR="007D34A4" w:rsidRPr="00A41BA3" w:rsidTr="00F12F2E">
        <w:tc>
          <w:tcPr>
            <w:tcW w:w="1587" w:type="pct"/>
            <w:tcBorders>
              <w:top w:val="single" w:sz="4" w:space="0" w:color="1C1C1C" w:themeColor="text2"/>
              <w:bottom w:val="single" w:sz="4" w:space="0" w:color="1C1C1C" w:themeColor="text2"/>
            </w:tcBorders>
            <w:tcMar>
              <w:top w:w="57" w:type="dxa"/>
              <w:left w:w="57" w:type="dxa"/>
            </w:tcMar>
          </w:tcPr>
          <w:p w:rsidR="007D34A4" w:rsidRPr="00A41BA3" w:rsidRDefault="007D34A4" w:rsidP="007D34A4">
            <w:pPr>
              <w:spacing w:before="40" w:line="240" w:lineRule="auto"/>
              <w:rPr>
                <w:rFonts w:cs="Arial"/>
                <w:sz w:val="19"/>
                <w:szCs w:val="19"/>
              </w:rPr>
            </w:pPr>
            <w:r w:rsidRPr="00A41BA3">
              <w:rPr>
                <w:rFonts w:cs="Arial"/>
              </w:rPr>
              <w:t>Residence</w:t>
            </w:r>
          </w:p>
        </w:tc>
        <w:tc>
          <w:tcPr>
            <w:tcW w:w="1905" w:type="pct"/>
            <w:tcBorders>
              <w:top w:val="single" w:sz="4" w:space="0" w:color="1C1C1C" w:themeColor="text2"/>
              <w:bottom w:val="single" w:sz="4" w:space="0" w:color="1C1C1C" w:themeColor="text2"/>
            </w:tcBorders>
            <w:tcMar>
              <w:top w:w="57" w:type="dxa"/>
              <w:left w:w="57" w:type="dxa"/>
            </w:tcMar>
          </w:tcPr>
          <w:p w:rsidR="007D34A4" w:rsidRPr="00A41BA3" w:rsidRDefault="007D34A4" w:rsidP="007D34A4">
            <w:pPr>
              <w:spacing w:before="40" w:line="240" w:lineRule="auto"/>
              <w:rPr>
                <w:rFonts w:cs="Arial"/>
              </w:rPr>
            </w:pPr>
            <w:r w:rsidRPr="00A41BA3">
              <w:rPr>
                <w:rFonts w:cs="Arial"/>
              </w:rPr>
              <w:t>13 McMinn Street</w:t>
            </w:r>
            <w:r>
              <w:rPr>
                <w:rFonts w:cs="Arial"/>
              </w:rPr>
              <w:t xml:space="preserve">, </w:t>
            </w:r>
            <w:r w:rsidRPr="00A41BA3">
              <w:rPr>
                <w:rFonts w:cs="Arial"/>
              </w:rPr>
              <w:t>Alice Springs, NT</w:t>
            </w:r>
          </w:p>
        </w:tc>
        <w:tc>
          <w:tcPr>
            <w:tcW w:w="1508" w:type="pct"/>
            <w:tcBorders>
              <w:top w:val="single" w:sz="4" w:space="0" w:color="1C1C1C" w:themeColor="text2"/>
              <w:bottom w:val="single" w:sz="4" w:space="0" w:color="1C1C1C" w:themeColor="text2"/>
            </w:tcBorders>
            <w:tcMar>
              <w:top w:w="57" w:type="dxa"/>
              <w:left w:w="57" w:type="dxa"/>
            </w:tcMar>
          </w:tcPr>
          <w:p w:rsidR="007D34A4" w:rsidRPr="00A41BA3" w:rsidRDefault="007D34A4" w:rsidP="007D34A4">
            <w:pPr>
              <w:spacing w:before="40" w:line="240" w:lineRule="auto"/>
              <w:rPr>
                <w:rFonts w:cs="Arial"/>
              </w:rPr>
            </w:pPr>
            <w:r>
              <w:rPr>
                <w:rFonts w:cs="Arial"/>
              </w:rPr>
              <w:t>‘</w:t>
            </w:r>
            <w:r w:rsidRPr="00FF0D02">
              <w:rPr>
                <w:rFonts w:cs="Arial"/>
              </w:rPr>
              <w:t xml:space="preserve">Arid A Type Residence, </w:t>
            </w:r>
            <w:r w:rsidR="00270B1B">
              <w:rPr>
                <w:rFonts w:cs="Arial"/>
              </w:rPr>
              <w:br/>
            </w:r>
            <w:r w:rsidRPr="00FF0D02">
              <w:rPr>
                <w:rFonts w:cs="Arial"/>
              </w:rPr>
              <w:t>13 McMinn St, Alice Springs, NT, Australia</w:t>
            </w:r>
            <w:r>
              <w:rPr>
                <w:rFonts w:cs="Arial"/>
              </w:rPr>
              <w:t>’, Place ID 105423</w:t>
            </w:r>
          </w:p>
        </w:tc>
      </w:tr>
      <w:tr w:rsidR="007D34A4" w:rsidRPr="00A41BA3" w:rsidTr="00F12F2E">
        <w:tc>
          <w:tcPr>
            <w:tcW w:w="1587" w:type="pct"/>
            <w:tcBorders>
              <w:top w:val="single" w:sz="4" w:space="0" w:color="1C1C1C" w:themeColor="text2"/>
              <w:bottom w:val="single" w:sz="4" w:space="0" w:color="1C1C1C" w:themeColor="text2"/>
            </w:tcBorders>
            <w:tcMar>
              <w:top w:w="57" w:type="dxa"/>
              <w:left w:w="57" w:type="dxa"/>
            </w:tcMar>
          </w:tcPr>
          <w:p w:rsidR="007D34A4" w:rsidRPr="00A41BA3" w:rsidRDefault="007D34A4" w:rsidP="007D34A4">
            <w:pPr>
              <w:spacing w:before="40" w:line="240" w:lineRule="auto"/>
              <w:rPr>
                <w:rFonts w:cs="Arial"/>
              </w:rPr>
            </w:pPr>
            <w:r w:rsidRPr="00A41BA3">
              <w:rPr>
                <w:rFonts w:cs="Arial"/>
              </w:rPr>
              <w:t>Harry Gibbs Building Commonwealth Law Courts</w:t>
            </w:r>
          </w:p>
        </w:tc>
        <w:tc>
          <w:tcPr>
            <w:tcW w:w="1905" w:type="pct"/>
            <w:tcBorders>
              <w:top w:val="single" w:sz="4" w:space="0" w:color="1C1C1C" w:themeColor="text2"/>
              <w:bottom w:val="single" w:sz="4" w:space="0" w:color="1C1C1C" w:themeColor="text2"/>
            </w:tcBorders>
            <w:tcMar>
              <w:top w:w="57" w:type="dxa"/>
              <w:left w:w="57" w:type="dxa"/>
            </w:tcMar>
          </w:tcPr>
          <w:p w:rsidR="007D34A4" w:rsidRPr="00A41BA3" w:rsidRDefault="007D34A4" w:rsidP="007D34A4">
            <w:pPr>
              <w:spacing w:before="40" w:line="240" w:lineRule="auto"/>
              <w:rPr>
                <w:rFonts w:cs="Arial"/>
              </w:rPr>
            </w:pPr>
            <w:r w:rsidRPr="51BC41ED">
              <w:rPr>
                <w:rFonts w:cs="Arial"/>
              </w:rPr>
              <w:t>119 North Quay, Brisbane, QLD</w:t>
            </w:r>
          </w:p>
        </w:tc>
        <w:tc>
          <w:tcPr>
            <w:tcW w:w="1508" w:type="pct"/>
            <w:tcBorders>
              <w:top w:val="single" w:sz="4" w:space="0" w:color="1C1C1C" w:themeColor="text2"/>
              <w:bottom w:val="single" w:sz="4" w:space="0" w:color="1C1C1C" w:themeColor="text2"/>
            </w:tcBorders>
            <w:tcMar>
              <w:top w:w="57" w:type="dxa"/>
              <w:left w:w="57" w:type="dxa"/>
            </w:tcMar>
          </w:tcPr>
          <w:p w:rsidR="007D34A4" w:rsidRPr="00A41BA3" w:rsidRDefault="005148CE" w:rsidP="007D34A4">
            <w:pPr>
              <w:spacing w:before="40" w:line="240" w:lineRule="auto"/>
              <w:rPr>
                <w:rFonts w:cs="Arial"/>
              </w:rPr>
            </w:pPr>
            <w:r>
              <w:t>Commonwealth Heritage</w:t>
            </w:r>
            <w:r w:rsidR="007D34A4" w:rsidRPr="00FF08F4">
              <w:rPr>
                <w:rFonts w:cs="Arial"/>
              </w:rPr>
              <w:t xml:space="preserve"> Values identified, not yet nominated for listing</w:t>
            </w:r>
          </w:p>
        </w:tc>
      </w:tr>
      <w:tr w:rsidR="007D34A4" w:rsidRPr="00A41BA3" w:rsidTr="00F12F2E">
        <w:tc>
          <w:tcPr>
            <w:tcW w:w="1587" w:type="pct"/>
            <w:tcBorders>
              <w:top w:val="single" w:sz="4" w:space="0" w:color="1C1C1C" w:themeColor="text2"/>
              <w:bottom w:val="single" w:sz="4" w:space="0" w:color="1C1C1C" w:themeColor="text2"/>
            </w:tcBorders>
            <w:tcMar>
              <w:top w:w="57" w:type="dxa"/>
              <w:left w:w="57" w:type="dxa"/>
            </w:tcMar>
          </w:tcPr>
          <w:p w:rsidR="007D34A4" w:rsidRPr="00A41BA3" w:rsidRDefault="007D34A4" w:rsidP="007D34A4">
            <w:pPr>
              <w:spacing w:before="40" w:line="240" w:lineRule="auto"/>
              <w:rPr>
                <w:rFonts w:cs="Arial"/>
              </w:rPr>
            </w:pPr>
            <w:r w:rsidRPr="00811909">
              <w:t>John Gorton Building</w:t>
            </w:r>
          </w:p>
        </w:tc>
        <w:tc>
          <w:tcPr>
            <w:tcW w:w="1905" w:type="pct"/>
            <w:tcBorders>
              <w:top w:val="single" w:sz="4" w:space="0" w:color="1C1C1C" w:themeColor="text2"/>
              <w:bottom w:val="single" w:sz="4" w:space="0" w:color="1C1C1C" w:themeColor="text2"/>
            </w:tcBorders>
            <w:tcMar>
              <w:top w:w="57" w:type="dxa"/>
              <w:left w:w="57" w:type="dxa"/>
            </w:tcMar>
          </w:tcPr>
          <w:p w:rsidR="007D34A4" w:rsidRPr="00A41BA3" w:rsidRDefault="007D34A4" w:rsidP="007D34A4">
            <w:pPr>
              <w:spacing w:before="40" w:line="240" w:lineRule="auto"/>
              <w:rPr>
                <w:rFonts w:cs="Arial"/>
              </w:rPr>
            </w:pPr>
            <w:r w:rsidRPr="00811909">
              <w:t>King Edward Terrace</w:t>
            </w:r>
            <w:r>
              <w:t>, Parkes ACT</w:t>
            </w:r>
          </w:p>
        </w:tc>
        <w:tc>
          <w:tcPr>
            <w:tcW w:w="1508" w:type="pct"/>
            <w:tcBorders>
              <w:top w:val="single" w:sz="4" w:space="0" w:color="1C1C1C" w:themeColor="text2"/>
              <w:bottom w:val="single" w:sz="4" w:space="0" w:color="1C1C1C" w:themeColor="text2"/>
            </w:tcBorders>
            <w:tcMar>
              <w:top w:w="57" w:type="dxa"/>
              <w:left w:w="57" w:type="dxa"/>
            </w:tcMar>
          </w:tcPr>
          <w:p w:rsidR="007D34A4" w:rsidRPr="00A41BA3" w:rsidRDefault="007D34A4" w:rsidP="007D34A4">
            <w:pPr>
              <w:spacing w:before="40" w:line="240" w:lineRule="auto"/>
              <w:rPr>
                <w:rFonts w:cs="Arial"/>
              </w:rPr>
            </w:pPr>
            <w:r>
              <w:rPr>
                <w:rFonts w:cs="Arial"/>
              </w:rPr>
              <w:t>‘J</w:t>
            </w:r>
            <w:r w:rsidRPr="00FF0D02">
              <w:rPr>
                <w:rFonts w:cs="Arial"/>
              </w:rPr>
              <w:t>ohn Gorton Building, Parkes Pl, Parkes, ACT, Australia</w:t>
            </w:r>
            <w:r>
              <w:rPr>
                <w:rFonts w:cs="Arial"/>
              </w:rPr>
              <w:t>’, Place ID 105472</w:t>
            </w:r>
          </w:p>
        </w:tc>
      </w:tr>
      <w:tr w:rsidR="007D34A4" w:rsidRPr="00A41BA3" w:rsidTr="00F12F2E">
        <w:tc>
          <w:tcPr>
            <w:tcW w:w="1587" w:type="pct"/>
            <w:tcBorders>
              <w:top w:val="single" w:sz="4" w:space="0" w:color="1C1C1C" w:themeColor="text2"/>
              <w:bottom w:val="single" w:sz="4" w:space="0" w:color="1C1C1C" w:themeColor="text2"/>
            </w:tcBorders>
            <w:tcMar>
              <w:top w:w="57" w:type="dxa"/>
              <w:left w:w="57" w:type="dxa"/>
            </w:tcMar>
          </w:tcPr>
          <w:p w:rsidR="007D34A4" w:rsidRPr="00A41BA3" w:rsidRDefault="007D34A4" w:rsidP="007D34A4">
            <w:pPr>
              <w:spacing w:before="40" w:line="240" w:lineRule="auto"/>
              <w:rPr>
                <w:rFonts w:cs="Arial"/>
              </w:rPr>
            </w:pPr>
            <w:r w:rsidRPr="00767160">
              <w:t xml:space="preserve">Russell Blocks (HMP managed by Department of </w:t>
            </w:r>
            <w:r w:rsidRPr="00175F80">
              <w:t>Defence) within Russell Precinct Heritage Area</w:t>
            </w:r>
          </w:p>
        </w:tc>
        <w:tc>
          <w:tcPr>
            <w:tcW w:w="1905" w:type="pct"/>
            <w:tcBorders>
              <w:top w:val="single" w:sz="4" w:space="0" w:color="1C1C1C" w:themeColor="text2"/>
              <w:bottom w:val="single" w:sz="4" w:space="0" w:color="1C1C1C" w:themeColor="text2"/>
            </w:tcBorders>
            <w:tcMar>
              <w:top w:w="57" w:type="dxa"/>
              <w:left w:w="57" w:type="dxa"/>
            </w:tcMar>
          </w:tcPr>
          <w:p w:rsidR="007D34A4" w:rsidRPr="00A41BA3" w:rsidRDefault="007D34A4" w:rsidP="007D34A4">
            <w:pPr>
              <w:spacing w:before="40" w:line="240" w:lineRule="auto"/>
              <w:rPr>
                <w:rFonts w:cs="Arial"/>
              </w:rPr>
            </w:pPr>
            <w:r w:rsidRPr="00767160">
              <w:t>Block 4 Section 80</w:t>
            </w:r>
            <w:r w:rsidRPr="00767160">
              <w:br/>
              <w:t>Block 1 Section 85</w:t>
            </w:r>
            <w:r w:rsidRPr="00767160">
              <w:br/>
              <w:t>Block 2 Section 80</w:t>
            </w:r>
            <w:r w:rsidRPr="00767160">
              <w:br/>
              <w:t>Block 3 Section 80</w:t>
            </w:r>
            <w:r w:rsidRPr="00767160">
              <w:br/>
            </w:r>
            <w:r w:rsidRPr="00F931E4">
              <w:t>Block</w:t>
            </w:r>
            <w:r>
              <w:t xml:space="preserve"> </w:t>
            </w:r>
            <w:r w:rsidRPr="00767160">
              <w:t>3 Section 84</w:t>
            </w:r>
            <w:r>
              <w:t>, Russell, ACT</w:t>
            </w:r>
          </w:p>
        </w:tc>
        <w:tc>
          <w:tcPr>
            <w:tcW w:w="1508" w:type="pct"/>
            <w:tcBorders>
              <w:top w:val="single" w:sz="4" w:space="0" w:color="1C1C1C" w:themeColor="text2"/>
              <w:bottom w:val="single" w:sz="4" w:space="0" w:color="1C1C1C" w:themeColor="text2"/>
            </w:tcBorders>
            <w:tcMar>
              <w:top w:w="57" w:type="dxa"/>
              <w:left w:w="57" w:type="dxa"/>
            </w:tcMar>
          </w:tcPr>
          <w:p w:rsidR="007D34A4" w:rsidRPr="00A41BA3" w:rsidRDefault="007D34A4" w:rsidP="007D34A4">
            <w:pPr>
              <w:spacing w:before="40" w:line="240" w:lineRule="auto"/>
              <w:rPr>
                <w:rFonts w:cs="Arial"/>
              </w:rPr>
            </w:pPr>
            <w:r>
              <w:rPr>
                <w:rFonts w:cs="Arial"/>
              </w:rPr>
              <w:t>‘</w:t>
            </w:r>
            <w:r w:rsidRPr="00C73710">
              <w:rPr>
                <w:rFonts w:cs="Arial"/>
              </w:rPr>
              <w:t>Russell Precinct Heritage Area, Sir Thomas Blamey Sq, Russell, ACT, Australia</w:t>
            </w:r>
            <w:r>
              <w:rPr>
                <w:rFonts w:cs="Arial"/>
              </w:rPr>
              <w:t xml:space="preserve">’, </w:t>
            </w:r>
            <w:r w:rsidR="00270B1B">
              <w:rPr>
                <w:rFonts w:cs="Arial"/>
              </w:rPr>
              <w:br/>
            </w:r>
            <w:r>
              <w:rPr>
                <w:rFonts w:cs="Arial"/>
              </w:rPr>
              <w:t>Place ID 105621</w:t>
            </w:r>
          </w:p>
        </w:tc>
      </w:tr>
      <w:tr w:rsidR="007D34A4" w:rsidRPr="00A41BA3" w:rsidTr="00F12F2E">
        <w:tc>
          <w:tcPr>
            <w:tcW w:w="1587" w:type="pct"/>
            <w:tcBorders>
              <w:top w:val="single" w:sz="4" w:space="0" w:color="1C1C1C" w:themeColor="text2"/>
              <w:bottom w:val="single" w:sz="4" w:space="0" w:color="1C1C1C" w:themeColor="text2"/>
            </w:tcBorders>
            <w:tcMar>
              <w:top w:w="57" w:type="dxa"/>
              <w:left w:w="57" w:type="dxa"/>
            </w:tcMar>
          </w:tcPr>
          <w:p w:rsidR="007D34A4" w:rsidRPr="00767160" w:rsidRDefault="007D34A4" w:rsidP="007D34A4">
            <w:pPr>
              <w:spacing w:before="40" w:line="240" w:lineRule="auto"/>
            </w:pPr>
            <w:r w:rsidRPr="00767160">
              <w:t>Portion 838</w:t>
            </w:r>
            <w:r>
              <w:t xml:space="preserve"> (Jim Jim) and Portion 295 (Cooinda Road)</w:t>
            </w:r>
          </w:p>
        </w:tc>
        <w:tc>
          <w:tcPr>
            <w:tcW w:w="1905" w:type="pct"/>
            <w:tcBorders>
              <w:top w:val="single" w:sz="4" w:space="0" w:color="1C1C1C" w:themeColor="text2"/>
              <w:bottom w:val="single" w:sz="4" w:space="0" w:color="1C1C1C" w:themeColor="text2"/>
            </w:tcBorders>
            <w:tcMar>
              <w:top w:w="57" w:type="dxa"/>
              <w:left w:w="57" w:type="dxa"/>
            </w:tcMar>
          </w:tcPr>
          <w:p w:rsidR="007D34A4" w:rsidRPr="008A7288" w:rsidRDefault="007D34A4" w:rsidP="007D34A4">
            <w:pPr>
              <w:spacing w:before="40" w:line="240" w:lineRule="auto"/>
              <w:rPr>
                <w:sz w:val="19"/>
                <w:szCs w:val="19"/>
              </w:rPr>
            </w:pPr>
            <w:r>
              <w:rPr>
                <w:sz w:val="19"/>
                <w:szCs w:val="19"/>
              </w:rPr>
              <w:t>As listed, NT</w:t>
            </w:r>
          </w:p>
        </w:tc>
        <w:tc>
          <w:tcPr>
            <w:tcW w:w="1508" w:type="pct"/>
            <w:tcBorders>
              <w:top w:val="single" w:sz="4" w:space="0" w:color="1C1C1C" w:themeColor="text2"/>
              <w:bottom w:val="single" w:sz="4" w:space="0" w:color="1C1C1C" w:themeColor="text2"/>
            </w:tcBorders>
            <w:tcMar>
              <w:top w:w="57" w:type="dxa"/>
              <w:left w:w="57" w:type="dxa"/>
            </w:tcMar>
          </w:tcPr>
          <w:p w:rsidR="007D34A4" w:rsidRPr="00A41BA3" w:rsidRDefault="005148CE" w:rsidP="007D34A4">
            <w:pPr>
              <w:spacing w:before="40" w:line="240" w:lineRule="auto"/>
              <w:rPr>
                <w:rFonts w:cs="Arial"/>
              </w:rPr>
            </w:pPr>
            <w:r>
              <w:t>Commonwealth Heritage</w:t>
            </w:r>
            <w:r w:rsidR="007D34A4">
              <w:rPr>
                <w:rFonts w:cs="Arial"/>
              </w:rPr>
              <w:t xml:space="preserve"> Values identified, not yet nominated for listing</w:t>
            </w:r>
          </w:p>
        </w:tc>
      </w:tr>
      <w:tr w:rsidR="00404A90" w:rsidRPr="00A41BA3" w:rsidTr="00F12F2E">
        <w:tc>
          <w:tcPr>
            <w:tcW w:w="1587" w:type="pct"/>
            <w:tcBorders>
              <w:top w:val="single" w:sz="4" w:space="0" w:color="1C1C1C" w:themeColor="text2"/>
              <w:bottom w:val="nil"/>
            </w:tcBorders>
            <w:tcMar>
              <w:top w:w="57" w:type="dxa"/>
              <w:left w:w="57" w:type="dxa"/>
            </w:tcMar>
          </w:tcPr>
          <w:p w:rsidR="00404A90" w:rsidRPr="00767160" w:rsidRDefault="00404A90" w:rsidP="007D34A4">
            <w:pPr>
              <w:spacing w:before="40" w:line="240" w:lineRule="auto"/>
            </w:pPr>
            <w:r>
              <w:t>ACT Border Properties</w:t>
            </w:r>
          </w:p>
        </w:tc>
        <w:tc>
          <w:tcPr>
            <w:tcW w:w="1905" w:type="pct"/>
            <w:tcBorders>
              <w:top w:val="single" w:sz="4" w:space="0" w:color="1C1C1C" w:themeColor="text2"/>
              <w:bottom w:val="nil"/>
            </w:tcBorders>
            <w:tcMar>
              <w:top w:w="57" w:type="dxa"/>
              <w:left w:w="57" w:type="dxa"/>
            </w:tcMar>
          </w:tcPr>
          <w:p w:rsidR="00326FF0" w:rsidRDefault="00404A90" w:rsidP="00326FF0">
            <w:pPr>
              <w:spacing w:before="40" w:line="240" w:lineRule="auto"/>
              <w:rPr>
                <w:sz w:val="19"/>
                <w:szCs w:val="19"/>
                <w:lang w:val="en-AU"/>
              </w:rPr>
            </w:pPr>
            <w:r w:rsidRPr="00404A90">
              <w:rPr>
                <w:sz w:val="19"/>
                <w:szCs w:val="19"/>
                <w:lang w:val="en-AU"/>
              </w:rPr>
              <w:t xml:space="preserve">Lot 23, Urayarra, </w:t>
            </w:r>
            <w:r w:rsidR="00326FF0">
              <w:rPr>
                <w:sz w:val="19"/>
                <w:szCs w:val="19"/>
                <w:lang w:val="en-AU"/>
              </w:rPr>
              <w:t>ACT</w:t>
            </w:r>
            <w:r w:rsidR="00CC5EAF">
              <w:rPr>
                <w:sz w:val="19"/>
                <w:szCs w:val="19"/>
                <w:lang w:val="en-AU"/>
              </w:rPr>
              <w:t>/NSW</w:t>
            </w:r>
          </w:p>
          <w:p w:rsidR="00404A90" w:rsidRDefault="00404A90" w:rsidP="00326FF0">
            <w:pPr>
              <w:spacing w:before="40" w:line="240" w:lineRule="auto"/>
              <w:rPr>
                <w:sz w:val="19"/>
                <w:szCs w:val="19"/>
                <w:lang w:val="en-AU"/>
              </w:rPr>
            </w:pPr>
            <w:r w:rsidRPr="00404A90">
              <w:rPr>
                <w:sz w:val="19"/>
                <w:szCs w:val="19"/>
                <w:lang w:val="en-AU"/>
              </w:rPr>
              <w:t xml:space="preserve">Portions 223 </w:t>
            </w:r>
          </w:p>
          <w:p w:rsidR="00326FF0" w:rsidRDefault="00326FF0" w:rsidP="00326FF0">
            <w:pPr>
              <w:spacing w:before="40" w:line="240" w:lineRule="auto"/>
              <w:rPr>
                <w:sz w:val="19"/>
                <w:szCs w:val="19"/>
              </w:rPr>
            </w:pPr>
            <w:r>
              <w:rPr>
                <w:sz w:val="19"/>
                <w:szCs w:val="19"/>
                <w:lang w:val="en-AU"/>
              </w:rPr>
              <w:t xml:space="preserve">Portions </w:t>
            </w:r>
            <w:r w:rsidRPr="00404A90">
              <w:rPr>
                <w:sz w:val="19"/>
                <w:szCs w:val="19"/>
                <w:lang w:val="en-AU"/>
              </w:rPr>
              <w:t>224, Goorooyaroo</w:t>
            </w:r>
            <w:r>
              <w:rPr>
                <w:sz w:val="19"/>
                <w:szCs w:val="19"/>
                <w:lang w:val="en-AU"/>
              </w:rPr>
              <w:t xml:space="preserve">, </w:t>
            </w:r>
            <w:r w:rsidR="00CC5EAF">
              <w:rPr>
                <w:sz w:val="19"/>
                <w:szCs w:val="19"/>
                <w:lang w:val="en-AU"/>
              </w:rPr>
              <w:t>ACT/</w:t>
            </w:r>
            <w:r>
              <w:rPr>
                <w:sz w:val="19"/>
                <w:szCs w:val="19"/>
                <w:lang w:val="en-AU"/>
              </w:rPr>
              <w:t>NSW</w:t>
            </w:r>
          </w:p>
        </w:tc>
        <w:tc>
          <w:tcPr>
            <w:tcW w:w="1508" w:type="pct"/>
            <w:tcBorders>
              <w:top w:val="single" w:sz="4" w:space="0" w:color="1C1C1C" w:themeColor="text2"/>
              <w:bottom w:val="nil"/>
            </w:tcBorders>
            <w:tcMar>
              <w:top w:w="57" w:type="dxa"/>
              <w:left w:w="57" w:type="dxa"/>
            </w:tcMar>
          </w:tcPr>
          <w:p w:rsidR="00404A90" w:rsidRDefault="005148CE" w:rsidP="007D34A4">
            <w:pPr>
              <w:spacing w:before="40" w:line="240" w:lineRule="auto"/>
              <w:rPr>
                <w:rFonts w:cs="Arial"/>
              </w:rPr>
            </w:pPr>
            <w:r>
              <w:t>Commonwealth Heritage</w:t>
            </w:r>
            <w:r w:rsidR="00DA769C">
              <w:rPr>
                <w:rFonts w:cs="Arial"/>
              </w:rPr>
              <w:t xml:space="preserve"> Values identified, not yet nominated for listing</w:t>
            </w:r>
          </w:p>
        </w:tc>
      </w:tr>
      <w:bookmarkEnd w:id="5"/>
      <w:bookmarkEnd w:id="6"/>
    </w:tbl>
    <w:p w:rsidR="005D3E0C" w:rsidRDefault="005D3E0C" w:rsidP="00466211"/>
    <w:p w:rsidR="00806A91" w:rsidRDefault="00806A91" w:rsidP="00466211"/>
    <w:p w:rsidR="00FC43B4" w:rsidRDefault="00FC43B4" w:rsidP="00466211"/>
    <w:p w:rsidR="00FC43B4" w:rsidRDefault="00FC43B4" w:rsidP="00466211"/>
    <w:p w:rsidR="00270B1B" w:rsidRDefault="00270B1B" w:rsidP="00466211"/>
    <w:p w:rsidR="00270B1B" w:rsidRDefault="00270B1B" w:rsidP="00466211"/>
    <w:p w:rsidR="00806A91" w:rsidRPr="00806A91" w:rsidRDefault="007E7C47" w:rsidP="00806A91">
      <w:pPr>
        <w:spacing w:after="120"/>
        <w:rPr>
          <w:b/>
          <w:sz w:val="18"/>
        </w:rPr>
      </w:pPr>
      <w:r w:rsidRPr="007E7C47">
        <w:rPr>
          <w:b/>
          <w:sz w:val="18"/>
        </w:rPr>
        <w:t>Table 2. National Land interests that are on the Commonwealth Heritage List.</w:t>
      </w:r>
    </w:p>
    <w:tbl>
      <w:tblPr>
        <w:tblStyle w:val="PlainTable2"/>
        <w:tblW w:w="4947" w:type="pct"/>
        <w:tblCellMar>
          <w:top w:w="57" w:type="dxa"/>
          <w:left w:w="57" w:type="dxa"/>
          <w:bottom w:w="57" w:type="dxa"/>
          <w:right w:w="57" w:type="dxa"/>
        </w:tblCellMar>
        <w:tblLook w:val="01A0" w:firstRow="1" w:lastRow="0" w:firstColumn="1" w:lastColumn="1" w:noHBand="0" w:noVBand="0"/>
        <w:tblCaption w:val="Table 2. National Land interests that are on the Commonwealth Heritage List."/>
        <w:tblDescription w:val="Table 2. National Land interests that are on the Commonwealth Heritage List.&#10;"/>
      </w:tblPr>
      <w:tblGrid>
        <w:gridCol w:w="2848"/>
        <w:gridCol w:w="3419"/>
        <w:gridCol w:w="2707"/>
      </w:tblGrid>
      <w:tr w:rsidR="00806A91" w:rsidRPr="006311F0" w:rsidTr="00F57A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7" w:type="pct"/>
            <w:tcBorders>
              <w:top w:val="single" w:sz="4" w:space="0" w:color="7F7F7F" w:themeColor="text1" w:themeTint="80"/>
              <w:bottom w:val="nil"/>
              <w:right w:val="single" w:sz="4" w:space="0" w:color="auto"/>
            </w:tcBorders>
            <w:shd w:val="clear" w:color="auto" w:fill="000000" w:themeFill="text1"/>
            <w:vAlign w:val="center"/>
          </w:tcPr>
          <w:p w:rsidR="00806A91" w:rsidRPr="006311F0" w:rsidRDefault="00806A91" w:rsidP="00AE647F">
            <w:pPr>
              <w:spacing w:before="120" w:line="240" w:lineRule="auto"/>
              <w:rPr>
                <w:rFonts w:cstheme="minorHAnsi"/>
                <w:b/>
                <w:color w:val="FFFFFF" w:themeColor="background1"/>
                <w:sz w:val="18"/>
                <w:szCs w:val="18"/>
              </w:rPr>
            </w:pPr>
            <w:r w:rsidRPr="006311F0">
              <w:rPr>
                <w:rFonts w:cstheme="minorHAnsi"/>
                <w:b/>
                <w:color w:val="FFFFFF" w:themeColor="background1"/>
                <w:sz w:val="18"/>
                <w:szCs w:val="18"/>
              </w:rPr>
              <w:t>Property Name</w:t>
            </w:r>
          </w:p>
        </w:tc>
        <w:tc>
          <w:tcPr>
            <w:cnfStyle w:val="000010000000" w:firstRow="0" w:lastRow="0" w:firstColumn="0" w:lastColumn="0" w:oddVBand="1" w:evenVBand="0" w:oddHBand="0" w:evenHBand="0" w:firstRowFirstColumn="0" w:firstRowLastColumn="0" w:lastRowFirstColumn="0" w:lastRowLastColumn="0"/>
            <w:tcW w:w="1905" w:type="pct"/>
            <w:tcBorders>
              <w:top w:val="single" w:sz="4" w:space="0" w:color="7F7F7F" w:themeColor="text1" w:themeTint="80"/>
              <w:left w:val="single" w:sz="4" w:space="0" w:color="auto"/>
              <w:bottom w:val="nil"/>
              <w:right w:val="single" w:sz="4" w:space="0" w:color="auto"/>
            </w:tcBorders>
            <w:shd w:val="clear" w:color="auto" w:fill="000000" w:themeFill="text1"/>
            <w:vAlign w:val="center"/>
          </w:tcPr>
          <w:p w:rsidR="00806A91" w:rsidRPr="006311F0" w:rsidRDefault="00806A91" w:rsidP="00AE647F">
            <w:pPr>
              <w:spacing w:before="40" w:after="40" w:line="240" w:lineRule="auto"/>
              <w:rPr>
                <w:rFonts w:cstheme="minorHAnsi"/>
                <w:b/>
                <w:color w:val="FFFFFF" w:themeColor="background1"/>
                <w:sz w:val="18"/>
                <w:szCs w:val="18"/>
              </w:rPr>
            </w:pPr>
            <w:r w:rsidRPr="006311F0">
              <w:rPr>
                <w:rFonts w:cstheme="minorHAnsi"/>
                <w:b/>
                <w:color w:val="FFFFFF" w:themeColor="background1"/>
                <w:sz w:val="18"/>
                <w:szCs w:val="18"/>
              </w:rPr>
              <w:t>Property Address</w:t>
            </w:r>
          </w:p>
        </w:tc>
        <w:tc>
          <w:tcPr>
            <w:cnfStyle w:val="000100000000" w:firstRow="0" w:lastRow="0" w:firstColumn="0" w:lastColumn="1" w:oddVBand="0" w:evenVBand="0" w:oddHBand="0" w:evenHBand="0" w:firstRowFirstColumn="0" w:firstRowLastColumn="0" w:lastRowFirstColumn="0" w:lastRowLastColumn="0"/>
            <w:tcW w:w="1508" w:type="pct"/>
            <w:tcBorders>
              <w:top w:val="single" w:sz="4" w:space="0" w:color="7F7F7F" w:themeColor="text1" w:themeTint="80"/>
              <w:left w:val="single" w:sz="4" w:space="0" w:color="auto"/>
              <w:bottom w:val="nil"/>
            </w:tcBorders>
            <w:shd w:val="clear" w:color="auto" w:fill="000000" w:themeFill="text1"/>
            <w:vAlign w:val="center"/>
          </w:tcPr>
          <w:p w:rsidR="00806A91" w:rsidRPr="006311F0" w:rsidRDefault="00305FC4" w:rsidP="00AE647F">
            <w:pPr>
              <w:spacing w:before="40" w:after="40" w:line="240" w:lineRule="auto"/>
              <w:rPr>
                <w:rFonts w:cstheme="minorHAnsi"/>
                <w:b/>
                <w:color w:val="FFFFFF" w:themeColor="background1"/>
                <w:sz w:val="18"/>
                <w:szCs w:val="18"/>
              </w:rPr>
            </w:pPr>
            <w:r w:rsidRPr="00305FC4">
              <w:rPr>
                <w:rFonts w:cstheme="minorHAnsi"/>
                <w:b/>
                <w:color w:val="FFFFFF" w:themeColor="background1"/>
                <w:sz w:val="18"/>
                <w:szCs w:val="18"/>
              </w:rPr>
              <w:t xml:space="preserve">Commonwealth Heritage </w:t>
            </w:r>
            <w:r>
              <w:rPr>
                <w:rFonts w:cstheme="minorHAnsi"/>
                <w:b/>
                <w:color w:val="FFFFFF" w:themeColor="background1"/>
                <w:sz w:val="18"/>
                <w:szCs w:val="18"/>
              </w:rPr>
              <w:br/>
            </w:r>
            <w:r w:rsidRPr="00305FC4">
              <w:rPr>
                <w:rFonts w:cstheme="minorHAnsi"/>
                <w:b/>
                <w:color w:val="FFFFFF" w:themeColor="background1"/>
                <w:sz w:val="18"/>
                <w:szCs w:val="18"/>
              </w:rPr>
              <w:t>List</w:t>
            </w:r>
            <w:r w:rsidR="00806A91" w:rsidRPr="006311F0">
              <w:rPr>
                <w:rFonts w:cstheme="minorHAnsi"/>
                <w:b/>
                <w:color w:val="FFFFFF" w:themeColor="background1"/>
                <w:sz w:val="18"/>
                <w:szCs w:val="18"/>
              </w:rPr>
              <w:t xml:space="preserve"> Listing</w:t>
            </w:r>
          </w:p>
        </w:tc>
      </w:tr>
      <w:tr w:rsidR="007E7C47" w:rsidRPr="006311F0" w:rsidTr="00F57A4D">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587" w:type="pct"/>
            <w:tcBorders>
              <w:top w:val="nil"/>
              <w:bottom w:val="single" w:sz="4" w:space="0" w:color="auto"/>
              <w:right w:val="nil"/>
            </w:tcBorders>
          </w:tcPr>
          <w:p w:rsidR="007E7C47" w:rsidRPr="006311F0" w:rsidRDefault="007E7C47" w:rsidP="007E198D">
            <w:pPr>
              <w:spacing w:before="40" w:after="40" w:line="240" w:lineRule="auto"/>
              <w:rPr>
                <w:rFonts w:cstheme="minorHAnsi"/>
                <w:b w:val="0"/>
                <w:sz w:val="18"/>
                <w:szCs w:val="18"/>
              </w:rPr>
            </w:pPr>
            <w:r w:rsidRPr="006311F0">
              <w:rPr>
                <w:rFonts w:cstheme="minorHAnsi"/>
                <w:b w:val="0"/>
                <w:sz w:val="18"/>
                <w:szCs w:val="18"/>
              </w:rPr>
              <w:t xml:space="preserve">Royal Australian Mint (Administration and former Process Building) </w:t>
            </w:r>
          </w:p>
        </w:tc>
        <w:tc>
          <w:tcPr>
            <w:cnfStyle w:val="000010000000" w:firstRow="0" w:lastRow="0" w:firstColumn="0" w:lastColumn="0" w:oddVBand="1" w:evenVBand="0" w:oddHBand="0" w:evenHBand="0" w:firstRowFirstColumn="0" w:firstRowLastColumn="0" w:lastRowFirstColumn="0" w:lastRowLastColumn="0"/>
            <w:tcW w:w="1905" w:type="pct"/>
            <w:tcBorders>
              <w:top w:val="nil"/>
              <w:left w:val="nil"/>
              <w:bottom w:val="single" w:sz="4" w:space="0" w:color="auto"/>
              <w:right w:val="nil"/>
            </w:tcBorders>
          </w:tcPr>
          <w:p w:rsidR="007E7C47" w:rsidRPr="006311F0" w:rsidRDefault="007E7C47" w:rsidP="007E198D">
            <w:pPr>
              <w:spacing w:before="40" w:after="40" w:line="240" w:lineRule="auto"/>
              <w:rPr>
                <w:rFonts w:cstheme="minorHAnsi"/>
                <w:sz w:val="18"/>
                <w:szCs w:val="18"/>
              </w:rPr>
            </w:pPr>
            <w:r w:rsidRPr="006311F0">
              <w:rPr>
                <w:rFonts w:cstheme="minorHAnsi"/>
                <w:sz w:val="18"/>
                <w:szCs w:val="18"/>
              </w:rPr>
              <w:t xml:space="preserve">60-66 Denison Street, Deakin, ACT </w:t>
            </w:r>
          </w:p>
        </w:tc>
        <w:tc>
          <w:tcPr>
            <w:cnfStyle w:val="000100000000" w:firstRow="0" w:lastRow="0" w:firstColumn="0" w:lastColumn="1" w:oddVBand="0" w:evenVBand="0" w:oddHBand="0" w:evenHBand="0" w:firstRowFirstColumn="0" w:firstRowLastColumn="0" w:lastRowFirstColumn="0" w:lastRowLastColumn="0"/>
            <w:tcW w:w="1508" w:type="pct"/>
            <w:tcBorders>
              <w:top w:val="nil"/>
              <w:left w:val="nil"/>
              <w:bottom w:val="single" w:sz="4" w:space="0" w:color="auto"/>
            </w:tcBorders>
          </w:tcPr>
          <w:p w:rsidR="007E7C47" w:rsidRPr="007E198D" w:rsidRDefault="007E198D" w:rsidP="007E198D">
            <w:pPr>
              <w:pStyle w:val="Default"/>
              <w:spacing w:before="40" w:after="40"/>
              <w:rPr>
                <w:b w:val="0"/>
                <w:sz w:val="18"/>
                <w:szCs w:val="18"/>
              </w:rPr>
            </w:pPr>
            <w:r w:rsidRPr="007E198D">
              <w:rPr>
                <w:b w:val="0"/>
                <w:sz w:val="18"/>
                <w:szCs w:val="18"/>
              </w:rPr>
              <w:t xml:space="preserve">‘The Royal Australian Mint, Denison St, Deakin, ACT, Australia’, Place ID 106191 </w:t>
            </w:r>
          </w:p>
        </w:tc>
      </w:tr>
      <w:tr w:rsidR="007E7C47" w:rsidRPr="006311F0" w:rsidTr="00F57A4D">
        <w:trPr>
          <w:trHeight w:val="22"/>
        </w:trPr>
        <w:tc>
          <w:tcPr>
            <w:cnfStyle w:val="001000000000" w:firstRow="0" w:lastRow="0" w:firstColumn="1" w:lastColumn="0" w:oddVBand="0" w:evenVBand="0" w:oddHBand="0" w:evenHBand="0" w:firstRowFirstColumn="0" w:firstRowLastColumn="0" w:lastRowFirstColumn="0" w:lastRowLastColumn="0"/>
            <w:tcW w:w="1587" w:type="pct"/>
            <w:tcBorders>
              <w:top w:val="single" w:sz="4" w:space="0" w:color="auto"/>
              <w:bottom w:val="single" w:sz="4" w:space="0" w:color="auto"/>
              <w:right w:val="nil"/>
            </w:tcBorders>
          </w:tcPr>
          <w:p w:rsidR="007E7C47" w:rsidRPr="006311F0" w:rsidRDefault="007E7C47" w:rsidP="007E198D">
            <w:pPr>
              <w:spacing w:before="40" w:after="40" w:line="240" w:lineRule="auto"/>
              <w:rPr>
                <w:rFonts w:cstheme="minorHAnsi"/>
                <w:b w:val="0"/>
                <w:sz w:val="18"/>
                <w:szCs w:val="18"/>
              </w:rPr>
            </w:pPr>
            <w:r w:rsidRPr="006311F0">
              <w:rPr>
                <w:rFonts w:cstheme="minorHAnsi"/>
                <w:b w:val="0"/>
                <w:sz w:val="18"/>
                <w:szCs w:val="18"/>
              </w:rPr>
              <w:t xml:space="preserve">Westridge House and Ground </w:t>
            </w:r>
          </w:p>
        </w:tc>
        <w:tc>
          <w:tcPr>
            <w:cnfStyle w:val="000010000000" w:firstRow="0" w:lastRow="0" w:firstColumn="0" w:lastColumn="0" w:oddVBand="1" w:evenVBand="0" w:oddHBand="0" w:evenHBand="0" w:firstRowFirstColumn="0" w:firstRowLastColumn="0" w:lastRowFirstColumn="0" w:lastRowLastColumn="0"/>
            <w:tcW w:w="1905" w:type="pct"/>
            <w:tcBorders>
              <w:top w:val="single" w:sz="4" w:space="0" w:color="auto"/>
              <w:left w:val="nil"/>
              <w:bottom w:val="single" w:sz="4" w:space="0" w:color="auto"/>
              <w:right w:val="nil"/>
            </w:tcBorders>
          </w:tcPr>
          <w:p w:rsidR="007E7C47" w:rsidRPr="006311F0" w:rsidRDefault="007E7C47" w:rsidP="007E198D">
            <w:pPr>
              <w:spacing w:before="40" w:after="40" w:line="240" w:lineRule="auto"/>
              <w:rPr>
                <w:rFonts w:cstheme="minorHAnsi"/>
                <w:sz w:val="18"/>
                <w:szCs w:val="18"/>
              </w:rPr>
            </w:pPr>
            <w:r w:rsidRPr="006311F0">
              <w:rPr>
                <w:rFonts w:cstheme="minorHAnsi"/>
                <w:sz w:val="18"/>
                <w:szCs w:val="18"/>
              </w:rPr>
              <w:t>Banks St, Yarralumla, ACT</w:t>
            </w:r>
          </w:p>
        </w:tc>
        <w:tc>
          <w:tcPr>
            <w:cnfStyle w:val="000100000000" w:firstRow="0" w:lastRow="0" w:firstColumn="0" w:lastColumn="1" w:oddVBand="0" w:evenVBand="0" w:oddHBand="0" w:evenHBand="0" w:firstRowFirstColumn="0" w:firstRowLastColumn="0" w:lastRowFirstColumn="0" w:lastRowLastColumn="0"/>
            <w:tcW w:w="1508" w:type="pct"/>
            <w:tcBorders>
              <w:top w:val="single" w:sz="4" w:space="0" w:color="auto"/>
              <w:left w:val="nil"/>
              <w:bottom w:val="single" w:sz="4" w:space="0" w:color="auto"/>
            </w:tcBorders>
          </w:tcPr>
          <w:p w:rsidR="007E7C47" w:rsidRPr="007E198D" w:rsidRDefault="007E198D" w:rsidP="007E198D">
            <w:pPr>
              <w:pStyle w:val="Default"/>
              <w:spacing w:before="40" w:after="40"/>
              <w:rPr>
                <w:b w:val="0"/>
                <w:sz w:val="18"/>
                <w:szCs w:val="18"/>
              </w:rPr>
            </w:pPr>
            <w:r w:rsidRPr="007E198D">
              <w:rPr>
                <w:b w:val="0"/>
                <w:sz w:val="18"/>
                <w:szCs w:val="18"/>
              </w:rPr>
              <w:t>‘Westridge House &amp; Grounds, Banks St, Yarralumla, ACT, Australia’, Place ID 105427</w:t>
            </w:r>
          </w:p>
        </w:tc>
      </w:tr>
      <w:tr w:rsidR="007E7C47" w:rsidRPr="006311F0" w:rsidTr="00F57A4D">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587" w:type="pct"/>
            <w:tcBorders>
              <w:top w:val="single" w:sz="4" w:space="0" w:color="auto"/>
              <w:bottom w:val="single" w:sz="4" w:space="0" w:color="auto"/>
              <w:right w:val="nil"/>
            </w:tcBorders>
          </w:tcPr>
          <w:p w:rsidR="007E7C47" w:rsidRPr="006311F0" w:rsidRDefault="007E7C47" w:rsidP="007E198D">
            <w:pPr>
              <w:spacing w:before="40" w:after="40" w:line="240" w:lineRule="auto"/>
              <w:rPr>
                <w:rFonts w:cstheme="minorHAnsi"/>
                <w:b w:val="0"/>
                <w:sz w:val="18"/>
                <w:szCs w:val="18"/>
              </w:rPr>
            </w:pPr>
            <w:r w:rsidRPr="006311F0">
              <w:rPr>
                <w:rFonts w:cstheme="minorHAnsi"/>
                <w:b w:val="0"/>
                <w:sz w:val="18"/>
                <w:szCs w:val="18"/>
              </w:rPr>
              <w:t xml:space="preserve">West Block </w:t>
            </w:r>
          </w:p>
        </w:tc>
        <w:tc>
          <w:tcPr>
            <w:cnfStyle w:val="000010000000" w:firstRow="0" w:lastRow="0" w:firstColumn="0" w:lastColumn="0" w:oddVBand="1" w:evenVBand="0" w:oddHBand="0" w:evenHBand="0" w:firstRowFirstColumn="0" w:firstRowLastColumn="0" w:lastRowFirstColumn="0" w:lastRowLastColumn="0"/>
            <w:tcW w:w="1905" w:type="pct"/>
            <w:tcBorders>
              <w:top w:val="single" w:sz="4" w:space="0" w:color="auto"/>
              <w:left w:val="nil"/>
              <w:bottom w:val="single" w:sz="4" w:space="0" w:color="auto"/>
              <w:right w:val="nil"/>
            </w:tcBorders>
          </w:tcPr>
          <w:p w:rsidR="007E7C47" w:rsidRPr="006311F0" w:rsidRDefault="007E7C47" w:rsidP="007E198D">
            <w:pPr>
              <w:spacing w:before="40" w:after="40" w:line="240" w:lineRule="auto"/>
              <w:rPr>
                <w:rFonts w:cstheme="minorHAnsi"/>
                <w:sz w:val="18"/>
                <w:szCs w:val="18"/>
              </w:rPr>
            </w:pPr>
            <w:r w:rsidRPr="006311F0">
              <w:rPr>
                <w:rFonts w:cstheme="minorHAnsi"/>
                <w:sz w:val="18"/>
                <w:szCs w:val="18"/>
              </w:rPr>
              <w:t>Queen Victoria Terra</w:t>
            </w:r>
            <w:r w:rsidR="007E198D">
              <w:rPr>
                <w:rFonts w:cstheme="minorHAnsi"/>
                <w:sz w:val="18"/>
                <w:szCs w:val="18"/>
              </w:rPr>
              <w:t>ce</w:t>
            </w:r>
            <w:r w:rsidRPr="006311F0">
              <w:rPr>
                <w:rFonts w:cstheme="minorHAnsi"/>
                <w:sz w:val="18"/>
                <w:szCs w:val="18"/>
              </w:rPr>
              <w:t>, corner Commonwealth Avenue, ACT</w:t>
            </w:r>
          </w:p>
        </w:tc>
        <w:tc>
          <w:tcPr>
            <w:cnfStyle w:val="000100000000" w:firstRow="0" w:lastRow="0" w:firstColumn="0" w:lastColumn="1" w:oddVBand="0" w:evenVBand="0" w:oddHBand="0" w:evenHBand="0" w:firstRowFirstColumn="0" w:firstRowLastColumn="0" w:lastRowFirstColumn="0" w:lastRowLastColumn="0"/>
            <w:tcW w:w="1508" w:type="pct"/>
            <w:tcBorders>
              <w:top w:val="single" w:sz="4" w:space="0" w:color="auto"/>
              <w:left w:val="nil"/>
              <w:bottom w:val="single" w:sz="4" w:space="0" w:color="auto"/>
            </w:tcBorders>
          </w:tcPr>
          <w:p w:rsidR="007E7C47" w:rsidRPr="007E198D" w:rsidRDefault="007E198D" w:rsidP="007E198D">
            <w:pPr>
              <w:pStyle w:val="Default"/>
              <w:spacing w:before="40" w:after="40"/>
              <w:rPr>
                <w:b w:val="0"/>
                <w:sz w:val="18"/>
                <w:szCs w:val="18"/>
              </w:rPr>
            </w:pPr>
            <w:r w:rsidRPr="007E198D">
              <w:rPr>
                <w:b w:val="0"/>
                <w:sz w:val="18"/>
                <w:szCs w:val="18"/>
              </w:rPr>
              <w:t>‘West Block and the Dugout, Queen Victoria Tce, Parkes, ACT, Australia’, Place ID 105428</w:t>
            </w:r>
          </w:p>
        </w:tc>
      </w:tr>
      <w:tr w:rsidR="007E7C47" w:rsidRPr="006311F0" w:rsidTr="00F57A4D">
        <w:trPr>
          <w:trHeight w:val="441"/>
        </w:trPr>
        <w:tc>
          <w:tcPr>
            <w:cnfStyle w:val="001000000000" w:firstRow="0" w:lastRow="0" w:firstColumn="1" w:lastColumn="0" w:oddVBand="0" w:evenVBand="0" w:oddHBand="0" w:evenHBand="0" w:firstRowFirstColumn="0" w:firstRowLastColumn="0" w:lastRowFirstColumn="0" w:lastRowLastColumn="0"/>
            <w:tcW w:w="1587" w:type="pct"/>
            <w:tcBorders>
              <w:top w:val="single" w:sz="4" w:space="0" w:color="auto"/>
              <w:bottom w:val="single" w:sz="4" w:space="0" w:color="auto"/>
              <w:right w:val="nil"/>
            </w:tcBorders>
          </w:tcPr>
          <w:p w:rsidR="007E7C47" w:rsidRPr="006311F0" w:rsidRDefault="007E7C47" w:rsidP="007E198D">
            <w:pPr>
              <w:spacing w:before="40" w:after="40" w:line="240" w:lineRule="auto"/>
              <w:rPr>
                <w:rFonts w:cstheme="minorHAnsi"/>
                <w:b w:val="0"/>
                <w:sz w:val="18"/>
                <w:szCs w:val="18"/>
              </w:rPr>
            </w:pPr>
            <w:r w:rsidRPr="006311F0">
              <w:rPr>
                <w:rFonts w:cstheme="minorHAnsi"/>
                <w:b w:val="0"/>
                <w:sz w:val="18"/>
                <w:szCs w:val="18"/>
              </w:rPr>
              <w:t>East Block Government Offices</w:t>
            </w:r>
          </w:p>
        </w:tc>
        <w:tc>
          <w:tcPr>
            <w:cnfStyle w:val="000010000000" w:firstRow="0" w:lastRow="0" w:firstColumn="0" w:lastColumn="0" w:oddVBand="1" w:evenVBand="0" w:oddHBand="0" w:evenHBand="0" w:firstRowFirstColumn="0" w:firstRowLastColumn="0" w:lastRowFirstColumn="0" w:lastRowLastColumn="0"/>
            <w:tcW w:w="1905" w:type="pct"/>
            <w:tcBorders>
              <w:top w:val="single" w:sz="4" w:space="0" w:color="auto"/>
              <w:left w:val="nil"/>
              <w:bottom w:val="single" w:sz="4" w:space="0" w:color="auto"/>
              <w:right w:val="nil"/>
            </w:tcBorders>
          </w:tcPr>
          <w:p w:rsidR="007E7C47" w:rsidRPr="006311F0" w:rsidRDefault="007E7C47" w:rsidP="007E198D">
            <w:pPr>
              <w:spacing w:before="40" w:after="40" w:line="240" w:lineRule="auto"/>
              <w:rPr>
                <w:rFonts w:cstheme="minorHAnsi"/>
                <w:sz w:val="18"/>
                <w:szCs w:val="18"/>
              </w:rPr>
            </w:pPr>
            <w:r w:rsidRPr="006311F0">
              <w:rPr>
                <w:rFonts w:cstheme="minorHAnsi"/>
                <w:sz w:val="18"/>
                <w:szCs w:val="18"/>
              </w:rPr>
              <w:t>Corner of Kings Avenue and Queen Victoria Tce, ACT</w:t>
            </w:r>
          </w:p>
        </w:tc>
        <w:tc>
          <w:tcPr>
            <w:cnfStyle w:val="000100000000" w:firstRow="0" w:lastRow="0" w:firstColumn="0" w:lastColumn="1" w:oddVBand="0" w:evenVBand="0" w:oddHBand="0" w:evenHBand="0" w:firstRowFirstColumn="0" w:firstRowLastColumn="0" w:lastRowFirstColumn="0" w:lastRowLastColumn="0"/>
            <w:tcW w:w="1508" w:type="pct"/>
            <w:tcBorders>
              <w:top w:val="single" w:sz="4" w:space="0" w:color="auto"/>
              <w:left w:val="nil"/>
              <w:bottom w:val="single" w:sz="4" w:space="0" w:color="auto"/>
            </w:tcBorders>
          </w:tcPr>
          <w:p w:rsidR="007E7C47" w:rsidRPr="007E198D" w:rsidRDefault="007E198D" w:rsidP="007E198D">
            <w:pPr>
              <w:pStyle w:val="Default"/>
              <w:spacing w:before="40" w:after="40"/>
              <w:rPr>
                <w:b w:val="0"/>
                <w:sz w:val="18"/>
                <w:szCs w:val="18"/>
              </w:rPr>
            </w:pPr>
            <w:r w:rsidRPr="007E198D">
              <w:rPr>
                <w:b w:val="0"/>
                <w:sz w:val="18"/>
                <w:szCs w:val="18"/>
              </w:rPr>
              <w:t>‘East Block Government Offices, Queen Victoria Tce, Parkes, ACT, Australia’, Place ID 105349</w:t>
            </w:r>
          </w:p>
        </w:tc>
      </w:tr>
      <w:tr w:rsidR="007E7C47" w:rsidRPr="006311F0" w:rsidTr="00F57A4D">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587" w:type="pct"/>
            <w:tcBorders>
              <w:top w:val="single" w:sz="4" w:space="0" w:color="auto"/>
              <w:bottom w:val="single" w:sz="4" w:space="0" w:color="auto"/>
              <w:right w:val="nil"/>
            </w:tcBorders>
          </w:tcPr>
          <w:p w:rsidR="007E7C47" w:rsidRPr="006311F0" w:rsidRDefault="007E198D" w:rsidP="007E198D">
            <w:pPr>
              <w:spacing w:before="40" w:after="40" w:line="240" w:lineRule="auto"/>
              <w:rPr>
                <w:rFonts w:cstheme="minorHAnsi"/>
                <w:b w:val="0"/>
                <w:sz w:val="18"/>
                <w:szCs w:val="18"/>
              </w:rPr>
            </w:pPr>
            <w:r>
              <w:rPr>
                <w:rFonts w:cstheme="minorHAnsi"/>
                <w:b w:val="0"/>
                <w:sz w:val="18"/>
                <w:szCs w:val="18"/>
              </w:rPr>
              <w:t xml:space="preserve">Anzac Park East, West and </w:t>
            </w:r>
            <w:r w:rsidR="007E7C47" w:rsidRPr="006311F0">
              <w:rPr>
                <w:rFonts w:cstheme="minorHAnsi"/>
                <w:b w:val="0"/>
                <w:sz w:val="18"/>
                <w:szCs w:val="18"/>
              </w:rPr>
              <w:t xml:space="preserve">Constitution Avenue </w:t>
            </w:r>
            <w:r w:rsidR="00FB6727">
              <w:rPr>
                <w:rFonts w:cstheme="minorHAnsi"/>
                <w:b w:val="0"/>
                <w:sz w:val="18"/>
                <w:szCs w:val="18"/>
              </w:rPr>
              <w:br/>
            </w:r>
            <w:r w:rsidR="007E7C47" w:rsidRPr="006311F0">
              <w:rPr>
                <w:rFonts w:cstheme="minorHAnsi"/>
                <w:b w:val="0"/>
                <w:sz w:val="18"/>
                <w:szCs w:val="18"/>
              </w:rPr>
              <w:t xml:space="preserve">Development Site </w:t>
            </w:r>
          </w:p>
        </w:tc>
        <w:tc>
          <w:tcPr>
            <w:cnfStyle w:val="000010000000" w:firstRow="0" w:lastRow="0" w:firstColumn="0" w:lastColumn="0" w:oddVBand="1" w:evenVBand="0" w:oddHBand="0" w:evenHBand="0" w:firstRowFirstColumn="0" w:firstRowLastColumn="0" w:lastRowFirstColumn="0" w:lastRowLastColumn="0"/>
            <w:tcW w:w="1905" w:type="pct"/>
            <w:tcBorders>
              <w:top w:val="single" w:sz="4" w:space="0" w:color="auto"/>
              <w:left w:val="nil"/>
              <w:bottom w:val="single" w:sz="4" w:space="0" w:color="auto"/>
              <w:right w:val="nil"/>
            </w:tcBorders>
          </w:tcPr>
          <w:p w:rsidR="007E7C47" w:rsidRPr="006311F0" w:rsidRDefault="007E7C47" w:rsidP="007E198D">
            <w:pPr>
              <w:spacing w:before="40" w:after="40" w:line="240" w:lineRule="auto"/>
              <w:rPr>
                <w:rFonts w:cstheme="minorHAnsi"/>
                <w:sz w:val="18"/>
                <w:szCs w:val="18"/>
              </w:rPr>
            </w:pPr>
            <w:r w:rsidRPr="006311F0">
              <w:rPr>
                <w:rFonts w:cstheme="minorHAnsi"/>
                <w:sz w:val="18"/>
                <w:szCs w:val="18"/>
              </w:rPr>
              <w:t>Parkes, ACT</w:t>
            </w:r>
          </w:p>
        </w:tc>
        <w:tc>
          <w:tcPr>
            <w:cnfStyle w:val="000100000000" w:firstRow="0" w:lastRow="0" w:firstColumn="0" w:lastColumn="1" w:oddVBand="0" w:evenVBand="0" w:oddHBand="0" w:evenHBand="0" w:firstRowFirstColumn="0" w:firstRowLastColumn="0" w:lastRowFirstColumn="0" w:lastRowLastColumn="0"/>
            <w:tcW w:w="1508" w:type="pct"/>
            <w:tcBorders>
              <w:top w:val="single" w:sz="4" w:space="0" w:color="auto"/>
              <w:left w:val="nil"/>
              <w:bottom w:val="single" w:sz="4" w:space="0" w:color="auto"/>
            </w:tcBorders>
          </w:tcPr>
          <w:p w:rsidR="007E7C47" w:rsidRPr="007E198D" w:rsidRDefault="007E198D" w:rsidP="007E198D">
            <w:pPr>
              <w:pStyle w:val="Default"/>
              <w:spacing w:before="40" w:after="40"/>
              <w:rPr>
                <w:b w:val="0"/>
                <w:sz w:val="18"/>
                <w:szCs w:val="18"/>
              </w:rPr>
            </w:pPr>
            <w:r w:rsidRPr="007E198D">
              <w:rPr>
                <w:b w:val="0"/>
                <w:sz w:val="18"/>
                <w:szCs w:val="18"/>
              </w:rPr>
              <w:t xml:space="preserve">‘Parliament House Vista Extension – Portal Buildings, Anzac Pde, Parkes, ACT, Australia’, Place ID 105474 </w:t>
            </w:r>
          </w:p>
        </w:tc>
      </w:tr>
      <w:tr w:rsidR="007E7C47" w:rsidRPr="006311F0" w:rsidTr="00F57A4D">
        <w:trPr>
          <w:trHeight w:val="454"/>
        </w:trPr>
        <w:tc>
          <w:tcPr>
            <w:cnfStyle w:val="001000000000" w:firstRow="0" w:lastRow="0" w:firstColumn="1" w:lastColumn="0" w:oddVBand="0" w:evenVBand="0" w:oddHBand="0" w:evenHBand="0" w:firstRowFirstColumn="0" w:firstRowLastColumn="0" w:lastRowFirstColumn="0" w:lastRowLastColumn="0"/>
            <w:tcW w:w="1587" w:type="pct"/>
            <w:tcBorders>
              <w:top w:val="single" w:sz="4" w:space="0" w:color="auto"/>
              <w:bottom w:val="single" w:sz="4" w:space="0" w:color="auto"/>
              <w:right w:val="nil"/>
            </w:tcBorders>
          </w:tcPr>
          <w:p w:rsidR="007E7C47" w:rsidRPr="006311F0" w:rsidRDefault="007E7C47" w:rsidP="007E198D">
            <w:pPr>
              <w:spacing w:before="40" w:after="40" w:line="240" w:lineRule="auto"/>
              <w:rPr>
                <w:rFonts w:cstheme="minorHAnsi"/>
                <w:b w:val="0"/>
                <w:sz w:val="18"/>
                <w:szCs w:val="18"/>
              </w:rPr>
            </w:pPr>
            <w:r w:rsidRPr="006311F0">
              <w:rPr>
                <w:rFonts w:cstheme="minorHAnsi"/>
                <w:b w:val="0"/>
                <w:sz w:val="18"/>
                <w:szCs w:val="18"/>
              </w:rPr>
              <w:t>Googong Foreshores</w:t>
            </w:r>
          </w:p>
        </w:tc>
        <w:tc>
          <w:tcPr>
            <w:cnfStyle w:val="000010000000" w:firstRow="0" w:lastRow="0" w:firstColumn="0" w:lastColumn="0" w:oddVBand="1" w:evenVBand="0" w:oddHBand="0" w:evenHBand="0" w:firstRowFirstColumn="0" w:firstRowLastColumn="0" w:lastRowFirstColumn="0" w:lastRowLastColumn="0"/>
            <w:tcW w:w="1905" w:type="pct"/>
            <w:tcBorders>
              <w:top w:val="single" w:sz="4" w:space="0" w:color="auto"/>
              <w:left w:val="nil"/>
              <w:bottom w:val="single" w:sz="4" w:space="0" w:color="auto"/>
              <w:right w:val="nil"/>
            </w:tcBorders>
          </w:tcPr>
          <w:p w:rsidR="007E7C47" w:rsidRPr="006311F0" w:rsidRDefault="007E7C47" w:rsidP="007E198D">
            <w:pPr>
              <w:spacing w:before="40" w:after="40" w:line="240" w:lineRule="auto"/>
              <w:rPr>
                <w:rFonts w:cstheme="minorHAnsi"/>
                <w:sz w:val="18"/>
                <w:szCs w:val="18"/>
              </w:rPr>
            </w:pPr>
            <w:r w:rsidRPr="006311F0">
              <w:rPr>
                <w:rFonts w:cstheme="minorHAnsi"/>
                <w:sz w:val="18"/>
                <w:szCs w:val="18"/>
              </w:rPr>
              <w:t>London Bridge Road, Burra, NSW</w:t>
            </w:r>
          </w:p>
        </w:tc>
        <w:tc>
          <w:tcPr>
            <w:cnfStyle w:val="000100000000" w:firstRow="0" w:lastRow="0" w:firstColumn="0" w:lastColumn="1" w:oddVBand="0" w:evenVBand="0" w:oddHBand="0" w:evenHBand="0" w:firstRowFirstColumn="0" w:firstRowLastColumn="0" w:lastRowFirstColumn="0" w:lastRowLastColumn="0"/>
            <w:tcW w:w="1508" w:type="pct"/>
            <w:tcBorders>
              <w:top w:val="single" w:sz="4" w:space="0" w:color="auto"/>
              <w:left w:val="nil"/>
              <w:bottom w:val="single" w:sz="4" w:space="0" w:color="auto"/>
            </w:tcBorders>
          </w:tcPr>
          <w:p w:rsidR="007E7C47" w:rsidRPr="007E198D" w:rsidRDefault="007E198D" w:rsidP="007E198D">
            <w:pPr>
              <w:pStyle w:val="Default"/>
              <w:spacing w:before="40" w:after="40"/>
              <w:rPr>
                <w:b w:val="0"/>
                <w:sz w:val="18"/>
                <w:szCs w:val="18"/>
              </w:rPr>
            </w:pPr>
            <w:r w:rsidRPr="007E198D">
              <w:rPr>
                <w:b w:val="0"/>
                <w:sz w:val="18"/>
                <w:szCs w:val="18"/>
              </w:rPr>
              <w:t>‘Googong Foreshores Cultural and Geodiversity Heritage Areas, London Bridge Rd, Burra, NSW, Australia’, Place ID 106072</w:t>
            </w:r>
          </w:p>
        </w:tc>
      </w:tr>
      <w:tr w:rsidR="007E7C47" w:rsidRPr="006311F0" w:rsidTr="00F57A4D">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587" w:type="pct"/>
            <w:tcBorders>
              <w:top w:val="single" w:sz="4" w:space="0" w:color="auto"/>
              <w:bottom w:val="single" w:sz="4" w:space="0" w:color="auto"/>
              <w:right w:val="nil"/>
            </w:tcBorders>
          </w:tcPr>
          <w:p w:rsidR="007E7C47" w:rsidRPr="006311F0" w:rsidRDefault="007E7C47" w:rsidP="007E198D">
            <w:pPr>
              <w:spacing w:before="40" w:after="40" w:line="240" w:lineRule="auto"/>
              <w:rPr>
                <w:rFonts w:cstheme="minorHAnsi"/>
                <w:b w:val="0"/>
                <w:sz w:val="18"/>
                <w:szCs w:val="18"/>
              </w:rPr>
            </w:pPr>
            <w:r w:rsidRPr="006311F0">
              <w:rPr>
                <w:rFonts w:cstheme="minorHAnsi"/>
                <w:b w:val="0"/>
                <w:sz w:val="18"/>
                <w:szCs w:val="18"/>
              </w:rPr>
              <w:t>Casey House</w:t>
            </w:r>
          </w:p>
        </w:tc>
        <w:tc>
          <w:tcPr>
            <w:cnfStyle w:val="000010000000" w:firstRow="0" w:lastRow="0" w:firstColumn="0" w:lastColumn="0" w:oddVBand="1" w:evenVBand="0" w:oddHBand="0" w:evenHBand="0" w:firstRowFirstColumn="0" w:firstRowLastColumn="0" w:lastRowFirstColumn="0" w:lastRowLastColumn="0"/>
            <w:tcW w:w="1905" w:type="pct"/>
            <w:tcBorders>
              <w:top w:val="single" w:sz="4" w:space="0" w:color="auto"/>
              <w:left w:val="nil"/>
              <w:bottom w:val="single" w:sz="4" w:space="0" w:color="auto"/>
              <w:right w:val="nil"/>
            </w:tcBorders>
          </w:tcPr>
          <w:p w:rsidR="007E7C47" w:rsidRPr="006311F0" w:rsidRDefault="007E7C47" w:rsidP="007E198D">
            <w:pPr>
              <w:spacing w:before="40" w:after="40" w:line="240" w:lineRule="auto"/>
              <w:rPr>
                <w:rFonts w:cstheme="minorHAnsi"/>
                <w:sz w:val="18"/>
                <w:szCs w:val="18"/>
              </w:rPr>
            </w:pPr>
            <w:r w:rsidRPr="006311F0">
              <w:rPr>
                <w:rFonts w:cstheme="minorHAnsi"/>
                <w:sz w:val="18"/>
                <w:szCs w:val="18"/>
              </w:rPr>
              <w:t xml:space="preserve">Block 1 Section 44, Yarralumla, ACT </w:t>
            </w:r>
          </w:p>
        </w:tc>
        <w:tc>
          <w:tcPr>
            <w:cnfStyle w:val="000100000000" w:firstRow="0" w:lastRow="0" w:firstColumn="0" w:lastColumn="1" w:oddVBand="0" w:evenVBand="0" w:oddHBand="0" w:evenHBand="0" w:firstRowFirstColumn="0" w:firstRowLastColumn="0" w:lastRowFirstColumn="0" w:lastRowLastColumn="0"/>
            <w:tcW w:w="1508" w:type="pct"/>
            <w:tcBorders>
              <w:top w:val="single" w:sz="4" w:space="0" w:color="auto"/>
              <w:left w:val="nil"/>
              <w:bottom w:val="single" w:sz="4" w:space="0" w:color="auto"/>
            </w:tcBorders>
          </w:tcPr>
          <w:p w:rsidR="007E7C47" w:rsidRPr="007E198D" w:rsidRDefault="007E198D" w:rsidP="007E198D">
            <w:pPr>
              <w:spacing w:before="40" w:after="40" w:line="240" w:lineRule="auto"/>
              <w:rPr>
                <w:rFonts w:cstheme="minorHAnsi"/>
                <w:b w:val="0"/>
                <w:sz w:val="18"/>
                <w:szCs w:val="18"/>
              </w:rPr>
            </w:pPr>
            <w:r w:rsidRPr="007E198D">
              <w:rPr>
                <w:rFonts w:cstheme="minorHAnsi"/>
                <w:b w:val="0"/>
                <w:sz w:val="18"/>
                <w:szCs w:val="18"/>
              </w:rPr>
              <w:t>‘Casey House and Garden, 4 Rhodes Pl, Yarralumla, ACT, Australia’, Place ID 105629</w:t>
            </w:r>
          </w:p>
        </w:tc>
      </w:tr>
    </w:tbl>
    <w:p w:rsidR="00806A91" w:rsidRPr="00AF2050" w:rsidRDefault="00806A91" w:rsidP="00466211"/>
    <w:sectPr w:rsidR="00806A91" w:rsidRPr="00AF2050" w:rsidSect="0090309A">
      <w:headerReference w:type="default" r:id="rId26"/>
      <w:footerReference w:type="default" r:id="rId27"/>
      <w:pgSz w:w="11906" w:h="16838" w:code="9"/>
      <w:pgMar w:top="1418" w:right="1418" w:bottom="1418" w:left="1418" w:header="567"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F2450" w:rsidRDefault="004F2450" w:rsidP="00EF4574">
      <w:pPr>
        <w:spacing w:before="0" w:after="0" w:line="240" w:lineRule="auto"/>
      </w:pPr>
      <w:r>
        <w:separator/>
      </w:r>
    </w:p>
    <w:p w:rsidR="004F2450" w:rsidRDefault="004F2450"/>
  </w:endnote>
  <w:endnote w:type="continuationSeparator" w:id="0">
    <w:p w:rsidR="004F2450" w:rsidRDefault="004F2450" w:rsidP="00EF4574">
      <w:pPr>
        <w:spacing w:before="0" w:after="0" w:line="240" w:lineRule="auto"/>
      </w:pPr>
      <w:r>
        <w:continuationSeparator/>
      </w:r>
    </w:p>
    <w:p w:rsidR="004F2450" w:rsidRDefault="004F245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useoSans-500">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2450" w:rsidRDefault="004F2450" w:rsidP="005D3E0C">
    <w:pPr>
      <w:pStyle w:val="Footer"/>
      <w:jc w:val="right"/>
      <w:rPr>
        <w:noProof/>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2450" w:rsidRDefault="004F2450">
    <w:pPr>
      <w:pStyle w:val="Footer"/>
    </w:pPr>
  </w:p>
  <w:p w:rsidR="004F2450" w:rsidRDefault="004F2450" w:rsidP="000A6A8B">
    <w:pPr>
      <w:pStyle w:val="Footer"/>
      <w:jc w:val="center"/>
      <w:rPr>
        <w:rStyle w:val="Classification"/>
      </w:rPr>
    </w:pPr>
    <w:r w:rsidRPr="000A6A8B">
      <w:rPr>
        <w:rStyle w:val="Classification"/>
      </w:rPr>
      <w:t>Classification</w:t>
    </w:r>
  </w:p>
  <w:p w:rsidR="004F2450" w:rsidRPr="000A6A8B" w:rsidRDefault="004F2450" w:rsidP="000A6A8B">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64641025"/>
      <w:docPartObj>
        <w:docPartGallery w:val="Page Numbers (Bottom of Page)"/>
        <w:docPartUnique/>
      </w:docPartObj>
    </w:sdtPr>
    <w:sdtEndPr>
      <w:rPr>
        <w:noProof/>
      </w:rPr>
    </w:sdtEndPr>
    <w:sdtContent>
      <w:p w:rsidR="004F2450" w:rsidRDefault="00FA38E8" w:rsidP="00F12F2E">
        <w:pPr>
          <w:pStyle w:val="Footer"/>
        </w:pPr>
        <w:r>
          <w:fldChar w:fldCharType="begin"/>
        </w:r>
        <w:r>
          <w:instrText xml:space="preserve"> TITLE  "Department of Finance Heritage Strategy 2021–2024"  \* MERGEFORMAT </w:instrText>
        </w:r>
        <w:r>
          <w:fldChar w:fldCharType="separate"/>
        </w:r>
        <w:r w:rsidR="004F2450">
          <w:t>Department of Finance Heritage Strategy 2021–2024</w:t>
        </w:r>
        <w:r>
          <w:fldChar w:fldCharType="end"/>
        </w:r>
        <w:r w:rsidR="004F2450">
          <w:tab/>
        </w:r>
        <w:r w:rsidR="004F2450">
          <w:tab/>
        </w:r>
        <w:r w:rsidR="004F2450">
          <w:fldChar w:fldCharType="begin"/>
        </w:r>
        <w:r w:rsidR="004F2450">
          <w:instrText xml:space="preserve"> PAGE   \* MERGEFORMAT </w:instrText>
        </w:r>
        <w:r w:rsidR="004F2450">
          <w:fldChar w:fldCharType="separate"/>
        </w:r>
        <w:r>
          <w:rPr>
            <w:noProof/>
          </w:rPr>
          <w:t>7</w:t>
        </w:r>
        <w:r w:rsidR="004F2450">
          <w:rPr>
            <w:noProof/>
          </w:rPr>
          <w:fldChar w:fldCharType="end"/>
        </w:r>
      </w:p>
    </w:sdtContent>
  </w:sdt>
  <w:p w:rsidR="004F2450" w:rsidRPr="00F5666C" w:rsidRDefault="004F2450" w:rsidP="007D34A4">
    <w:pPr>
      <w:pStyle w:val="Footer"/>
      <w:tabs>
        <w:tab w:val="left" w:pos="993"/>
        <w:tab w:val="left" w:pos="1985"/>
        <w:tab w:val="left" w:pos="3828"/>
        <w:tab w:val="right" w:pos="7920"/>
      </w:tabs>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79580637"/>
      <w:docPartObj>
        <w:docPartGallery w:val="Page Numbers (Bottom of Page)"/>
        <w:docPartUnique/>
      </w:docPartObj>
    </w:sdtPr>
    <w:sdtEndPr>
      <w:rPr>
        <w:noProof/>
      </w:rPr>
    </w:sdtEndPr>
    <w:sdtContent>
      <w:p w:rsidR="004F2450" w:rsidRPr="00475E69" w:rsidRDefault="00FA38E8" w:rsidP="007D34A4">
        <w:pPr>
          <w:pStyle w:val="Footer"/>
        </w:pPr>
        <w:r>
          <w:fldChar w:fldCharType="begin"/>
        </w:r>
        <w:r>
          <w:instrText xml:space="preserve"> TITLE  "Department of Finance Heritage Strategy 2021–2024"  \* MERGEFORMAT </w:instrText>
        </w:r>
        <w:r>
          <w:fldChar w:fldCharType="separate"/>
        </w:r>
        <w:r w:rsidR="004F2450">
          <w:t>Department of Finance Heritage Strategy 2021–2024</w:t>
        </w:r>
        <w:r>
          <w:fldChar w:fldCharType="end"/>
        </w:r>
        <w:r w:rsidR="004F2450">
          <w:tab/>
        </w:r>
        <w:r w:rsidR="004F2450">
          <w:tab/>
        </w:r>
        <w:r w:rsidR="004F2450">
          <w:ptab w:relativeTo="margin" w:alignment="right" w:leader="none"/>
        </w:r>
        <w:r w:rsidR="004F2450">
          <w:fldChar w:fldCharType="begin"/>
        </w:r>
        <w:r w:rsidR="004F2450">
          <w:instrText xml:space="preserve"> PAGE   \* MERGEFORMAT </w:instrText>
        </w:r>
        <w:r w:rsidR="004F2450">
          <w:fldChar w:fldCharType="separate"/>
        </w:r>
        <w:r>
          <w:rPr>
            <w:noProof/>
          </w:rPr>
          <w:t>22</w:t>
        </w:r>
        <w:r w:rsidR="004F2450">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2450" w:rsidRDefault="00FA38E8" w:rsidP="00F12F2E">
    <w:pPr>
      <w:pStyle w:val="Footer"/>
    </w:pPr>
    <w:sdt>
      <w:sdtPr>
        <w:id w:val="93990868"/>
        <w:docPartObj>
          <w:docPartGallery w:val="Page Numbers (Bottom of Page)"/>
          <w:docPartUnique/>
        </w:docPartObj>
      </w:sdtPr>
      <w:sdtEndPr>
        <w:rPr>
          <w:noProof/>
        </w:rPr>
      </w:sdtEndPr>
      <w:sdtContent>
        <w:r>
          <w:fldChar w:fldCharType="begin"/>
        </w:r>
        <w:r>
          <w:instrText xml:space="preserve"> TITLE  "Department of Finance Heritage Strategy 2021–2024"  \* MERGEFORMAT </w:instrText>
        </w:r>
        <w:r>
          <w:fldChar w:fldCharType="separate"/>
        </w:r>
        <w:r w:rsidR="004F2450">
          <w:t>Department of Finance Heritage Strategy 2021–2024</w:t>
        </w:r>
        <w:r>
          <w:fldChar w:fldCharType="end"/>
        </w:r>
        <w:r w:rsidR="004F2450">
          <w:tab/>
        </w:r>
        <w:r w:rsidR="004F2450">
          <w:tab/>
        </w:r>
        <w:r w:rsidR="004F2450">
          <w:fldChar w:fldCharType="begin"/>
        </w:r>
        <w:r w:rsidR="004F2450">
          <w:instrText xml:space="preserve"> PAGE   \* MERGEFORMAT </w:instrText>
        </w:r>
        <w:r w:rsidR="004F2450">
          <w:fldChar w:fldCharType="separate"/>
        </w:r>
        <w:r>
          <w:rPr>
            <w:noProof/>
          </w:rPr>
          <w:t>27</w:t>
        </w:r>
        <w:r w:rsidR="004F2450">
          <w:rPr>
            <w:noProof/>
          </w:rPr>
          <w:fldChar w:fldCharType="end"/>
        </w:r>
      </w:sdtContent>
    </w:sdt>
    <w:r w:rsidR="004F2450">
      <w:rPr>
        <w:noProof/>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F2450" w:rsidRDefault="004F2450" w:rsidP="0020122A">
      <w:pPr>
        <w:pStyle w:val="FootnoteSeparator"/>
      </w:pPr>
    </w:p>
  </w:footnote>
  <w:footnote w:type="continuationSeparator" w:id="0">
    <w:p w:rsidR="004F2450" w:rsidRDefault="004F2450" w:rsidP="00EF4574">
      <w:pPr>
        <w:spacing w:before="0" w:after="0" w:line="240" w:lineRule="auto"/>
      </w:pPr>
      <w:r>
        <w:continuationSeparator/>
      </w:r>
    </w:p>
    <w:p w:rsidR="004F2450" w:rsidRDefault="004F2450"/>
  </w:footnote>
  <w:footnote w:id="1">
    <w:p w:rsidR="004F2450" w:rsidRPr="00742D1D" w:rsidRDefault="004F2450" w:rsidP="00742D1D">
      <w:pPr>
        <w:pStyle w:val="FootnoteText"/>
      </w:pPr>
      <w:r w:rsidRPr="00742D1D">
        <w:rPr>
          <w:rStyle w:val="FootnoteReference"/>
          <w:vertAlign w:val="baseline"/>
        </w:rPr>
        <w:footnoteRef/>
      </w:r>
      <w:r w:rsidRPr="00742D1D">
        <w:t xml:space="preserve"> Protecting Natural Heritage: Using the Australian Heritage Charter (2nd Edition)</w:t>
      </w:r>
    </w:p>
  </w:footnote>
  <w:footnote w:id="2">
    <w:p w:rsidR="004F2450" w:rsidRPr="00742D1D" w:rsidRDefault="004F2450" w:rsidP="00742D1D">
      <w:pPr>
        <w:pStyle w:val="FootnoteText"/>
      </w:pPr>
      <w:r w:rsidRPr="00742D1D">
        <w:rPr>
          <w:rStyle w:val="FootnoteReference"/>
          <w:vertAlign w:val="baseline"/>
        </w:rPr>
        <w:footnoteRef/>
      </w:r>
      <w:r w:rsidRPr="00742D1D">
        <w:t xml:space="preserve"> </w:t>
      </w:r>
      <w:r>
        <w:t>Engage Early</w:t>
      </w:r>
      <w:r w:rsidRPr="00742D1D">
        <w:rPr>
          <w:rFonts w:hint="eastAsia"/>
        </w:rPr>
        <w:t>, A Guide to Respecting Indigenous Heritage Places and Values</w:t>
      </w:r>
      <w:r w:rsidRPr="00742D1D">
        <w:t>,</w:t>
      </w:r>
      <w:r w:rsidRPr="00742D1D">
        <w:rPr>
          <w:rFonts w:hint="eastAsia"/>
        </w:rPr>
        <w:t xml:space="preserve"> Australian Heritage Commission 2002</w:t>
      </w:r>
      <w:r w:rsidRPr="00742D1D">
        <w:t>.</w:t>
      </w:r>
    </w:p>
  </w:footnote>
  <w:footnote w:id="3">
    <w:p w:rsidR="004F2450" w:rsidRPr="004D6E37" w:rsidRDefault="004F2450" w:rsidP="007D34A4">
      <w:pPr>
        <w:pStyle w:val="FootnoteText"/>
      </w:pPr>
      <w:r>
        <w:rPr>
          <w:rStyle w:val="FootnoteReference"/>
        </w:rPr>
        <w:footnoteRef/>
      </w:r>
      <w:r>
        <w:t xml:space="preserve"> Department of Finance Corporate Plan 2020</w:t>
      </w:r>
      <w:r>
        <w:rPr>
          <w:rFonts w:cstheme="minorHAnsi"/>
        </w:rPr>
        <w:t>–</w:t>
      </w:r>
      <w:r>
        <w:t>2021: 4</w:t>
      </w:r>
    </w:p>
  </w:footnote>
  <w:footnote w:id="4">
    <w:p w:rsidR="004F2450" w:rsidRPr="001B164A" w:rsidRDefault="004F2450" w:rsidP="007D34A4">
      <w:pPr>
        <w:pStyle w:val="FootnoteText"/>
      </w:pPr>
      <w:r>
        <w:rPr>
          <w:rStyle w:val="FootnoteReference"/>
        </w:rPr>
        <w:footnoteRef/>
      </w:r>
      <w:r>
        <w:t xml:space="preserve"> Commonwealth of Australia (2020). Commonwealth Property Management Framework Resource Management Guide </w:t>
      </w:r>
      <w:r>
        <w:br/>
        <w:t>No. 500: 4.</w:t>
      </w:r>
    </w:p>
  </w:footnote>
  <w:footnote w:id="5">
    <w:p w:rsidR="004F2450" w:rsidRPr="001B164A" w:rsidRDefault="004F2450" w:rsidP="007D34A4">
      <w:pPr>
        <w:pStyle w:val="FootnoteText"/>
      </w:pPr>
      <w:r>
        <w:rPr>
          <w:rStyle w:val="FootnoteReference"/>
        </w:rPr>
        <w:footnoteRef/>
      </w:r>
      <w:r>
        <w:t xml:space="preserve"> This arrangement, as announced in the 2016</w:t>
      </w:r>
      <w:r>
        <w:rPr>
          <w:rFonts w:cstheme="minorHAnsi"/>
        </w:rPr>
        <w:t>–</w:t>
      </w:r>
      <w:r>
        <w:t>17 Budget, supports</w:t>
      </w:r>
      <w:r w:rsidRPr="001B164A">
        <w:t xml:space="preserve"> the </w:t>
      </w:r>
      <w:r w:rsidRPr="001B164A">
        <w:rPr>
          <w:i/>
        </w:rPr>
        <w:t xml:space="preserve">Public Governance, Performance and Accountability Act 2013 (PGPA Act), </w:t>
      </w:r>
      <w:r w:rsidRPr="001B164A">
        <w:t xml:space="preserve">which relates to the proper use and management of public resources. </w:t>
      </w:r>
    </w:p>
  </w:footnote>
  <w:footnote w:id="6">
    <w:p w:rsidR="004F2450" w:rsidRPr="001B1B46" w:rsidRDefault="004F2450" w:rsidP="007D34A4">
      <w:pPr>
        <w:pStyle w:val="FootnoteText"/>
      </w:pPr>
      <w:r>
        <w:rPr>
          <w:rStyle w:val="FootnoteReference"/>
        </w:rPr>
        <w:footnoteRef/>
      </w:r>
      <w:r>
        <w:t xml:space="preserve"> </w:t>
      </w:r>
      <w:r w:rsidRPr="001B1B46">
        <w:t>The Burra Charter: The Australia ICOMOS Charter for Places of Cultural Significance. Australia ICOMOS, Australia</w:t>
      </w:r>
      <w:r>
        <w:t>.</w:t>
      </w:r>
    </w:p>
  </w:footnote>
  <w:footnote w:id="7">
    <w:p w:rsidR="004F2450" w:rsidRPr="00175F80" w:rsidRDefault="004F2450" w:rsidP="00485E60">
      <w:pPr>
        <w:pStyle w:val="BodyText1"/>
        <w:rPr>
          <w:rFonts w:asciiTheme="minorHAnsi" w:eastAsiaTheme="minorEastAsia" w:hAnsiTheme="minorHAnsi" w:cstheme="minorHAnsi"/>
          <w:sz w:val="16"/>
          <w:szCs w:val="16"/>
          <w:lang w:val="en-GB"/>
        </w:rPr>
      </w:pPr>
      <w:r w:rsidRPr="00E96671">
        <w:rPr>
          <w:rStyle w:val="FootnoteReference"/>
        </w:rPr>
        <w:footnoteRef/>
      </w:r>
      <w:r w:rsidRPr="00175F80">
        <w:rPr>
          <w:rFonts w:asciiTheme="minorHAnsi" w:hAnsiTheme="minorHAnsi" w:cstheme="minorHAnsi"/>
          <w:sz w:val="16"/>
          <w:szCs w:val="16"/>
        </w:rPr>
        <w:t xml:space="preserve"> In</w:t>
      </w:r>
      <w:r>
        <w:rPr>
          <w:rFonts w:asciiTheme="minorHAnsi" w:hAnsiTheme="minorHAnsi" w:cstheme="minorHAnsi"/>
          <w:sz w:val="16"/>
          <w:szCs w:val="16"/>
        </w:rPr>
        <w:t xml:space="preserve"> accordance with Section 10.03C</w:t>
      </w:r>
      <w:r w:rsidRPr="00175F80">
        <w:rPr>
          <w:rFonts w:asciiTheme="minorHAnsi" w:hAnsiTheme="minorHAnsi" w:cstheme="minorHAnsi"/>
          <w:sz w:val="16"/>
          <w:szCs w:val="16"/>
        </w:rPr>
        <w:t>, ‘</w:t>
      </w:r>
      <w:r w:rsidRPr="00175F80">
        <w:rPr>
          <w:rFonts w:asciiTheme="minorHAnsi" w:hAnsiTheme="minorHAnsi" w:cstheme="minorHAnsi"/>
          <w:bCs/>
          <w:sz w:val="16"/>
          <w:szCs w:val="16"/>
          <w:lang w:val="en-GB"/>
        </w:rPr>
        <w:t xml:space="preserve">Publication of notice about management plan for Commonwealth Heritage places </w:t>
      </w:r>
      <w:r>
        <w:rPr>
          <w:rFonts w:asciiTheme="minorHAnsi" w:hAnsiTheme="minorHAnsi" w:cstheme="minorHAnsi"/>
          <w:bCs/>
          <w:sz w:val="16"/>
          <w:szCs w:val="16"/>
          <w:lang w:val="en-GB"/>
        </w:rPr>
        <w:br/>
      </w:r>
      <w:r w:rsidRPr="00175F80">
        <w:rPr>
          <w:rFonts w:asciiTheme="minorHAnsi" w:hAnsiTheme="minorHAnsi" w:cstheme="minorHAnsi"/>
          <w:bCs/>
          <w:sz w:val="16"/>
          <w:szCs w:val="16"/>
          <w:lang w:val="en-GB"/>
        </w:rPr>
        <w:t xml:space="preserve">(Act s 341S)’, </w:t>
      </w:r>
      <w:r w:rsidRPr="00175F80">
        <w:rPr>
          <w:rFonts w:asciiTheme="minorHAnsi" w:hAnsiTheme="minorHAnsi" w:cstheme="minorHAnsi"/>
          <w:sz w:val="16"/>
          <w:szCs w:val="16"/>
        </w:rPr>
        <w:t>and 16.05A of the EPBC Regulations</w:t>
      </w:r>
      <w:r>
        <w:rPr>
          <w:rFonts w:asciiTheme="minorHAnsi" w:hAnsiTheme="minorHAnsi" w:cstheme="minorHAnsi"/>
          <w:sz w:val="16"/>
          <w:szCs w:val="16"/>
        </w:rPr>
        <w:t>.</w:t>
      </w:r>
    </w:p>
    <w:p w:rsidR="004F2450" w:rsidRPr="0086554C" w:rsidRDefault="004F2450" w:rsidP="007D34A4">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2450" w:rsidRDefault="004F2450">
    <w:pPr>
      <w:pStyle w:val="Header"/>
    </w:pPr>
    <w:r>
      <w:rPr>
        <w:noProof/>
        <w:lang w:eastAsia="en-AU"/>
      </w:rPr>
      <w:drawing>
        <wp:anchor distT="0" distB="0" distL="114300" distR="114300" simplePos="0" relativeHeight="251656704" behindDoc="1" locked="0" layoutInCell="1" allowOverlap="1" wp14:anchorId="1FD5A1C7" wp14:editId="61AC1486">
          <wp:simplePos x="0" y="0"/>
          <wp:positionH relativeFrom="page">
            <wp:align>left</wp:align>
          </wp:positionH>
          <wp:positionV relativeFrom="paragraph">
            <wp:posOffset>-389181</wp:posOffset>
          </wp:positionV>
          <wp:extent cx="7564755" cy="10700385"/>
          <wp:effectExtent l="0" t="0" r="0" b="5715"/>
          <wp:wrapNone/>
          <wp:docPr id="12" name="Picture 12" descr="Decorative image" title="Decorati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abel\AppData\Local\Microsoft\Windows\INetCache\Content.Word\Long word cover_blue.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5003" cy="10700818"/>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2450" w:rsidRDefault="00FA38E8" w:rsidP="000A6A8B">
    <w:pPr>
      <w:pStyle w:val="Header"/>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8193" type="#_x0000_t75" style="position:absolute;left:0;text-align:left;margin-left:-70.9pt;margin-top:-28.4pt;width:596.15pt;height:842.95pt;z-index:-251657728;mso-position-horizontal-relative:text;mso-position-vertical-relative:text;mso-width-relative:page;mso-height-relative:page">
          <v:imagedata r:id="rId1" o:title="Long word cover_blue"/>
        </v:shape>
      </w:pict>
    </w:r>
    <w:r w:rsidR="004F2450" w:rsidRPr="000A6A8B">
      <w:rPr>
        <w:rStyle w:val="Classification"/>
      </w:rPr>
      <w:t>Classification</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2450" w:rsidRPr="00241DED" w:rsidRDefault="004F2450" w:rsidP="00F12F2E">
    <w:pPr>
      <w:pStyle w:val="Header"/>
      <w:spacing w:line="220" w:lineRule="atLeast"/>
      <w:rPr>
        <w:noProof/>
        <w:color w:val="1C1C1C" w:themeColor="text2"/>
        <w:spacing w:val="-4"/>
        <w:kern w:val="16"/>
        <w:sz w:val="16"/>
      </w:rPr>
    </w:pPr>
    <w:r w:rsidRPr="00E673BB">
      <w:rPr>
        <w:noProof/>
        <w:color w:val="1C1C1C" w:themeColor="text2"/>
        <w:spacing w:val="-4"/>
        <w:kern w:val="16"/>
        <w:sz w:val="16"/>
        <w:shd w:val="clear" w:color="auto" w:fill="E6E6E6"/>
        <w:lang w:eastAsia="en-AU"/>
      </w:rPr>
      <mc:AlternateContent>
        <mc:Choice Requires="wps">
          <w:drawing>
            <wp:anchor distT="0" distB="0" distL="114300" distR="114300" simplePos="0" relativeHeight="251657728" behindDoc="0" locked="1" layoutInCell="1" allowOverlap="1" wp14:anchorId="7C90B5D4" wp14:editId="569C6EEA">
              <wp:simplePos x="0" y="0"/>
              <wp:positionH relativeFrom="margin">
                <wp:posOffset>2790825</wp:posOffset>
              </wp:positionH>
              <wp:positionV relativeFrom="paragraph">
                <wp:posOffset>18415</wp:posOffset>
              </wp:positionV>
              <wp:extent cx="2964180" cy="418465"/>
              <wp:effectExtent l="0" t="0" r="7620" b="635"/>
              <wp:wrapNone/>
              <wp:docPr id="10" name="Text Box 10"/>
              <wp:cNvGraphicFramePr/>
              <a:graphic xmlns:a="http://schemas.openxmlformats.org/drawingml/2006/main">
                <a:graphicData uri="http://schemas.microsoft.com/office/word/2010/wordprocessingShape">
                  <wps:wsp>
                    <wps:cNvSpPr txBox="1"/>
                    <wps:spPr>
                      <a:xfrm>
                        <a:off x="0" y="0"/>
                        <a:ext cx="2964180" cy="418465"/>
                      </a:xfrm>
                      <a:prstGeom prst="rect">
                        <a:avLst/>
                      </a:prstGeom>
                      <a:solidFill>
                        <a:schemeClr val="bg1"/>
                      </a:solidFill>
                      <a:ln w="6350">
                        <a:noFill/>
                      </a:ln>
                    </wps:spPr>
                    <wps:txbx>
                      <w:txbxContent>
                        <w:p w:rsidR="004F2450" w:rsidRPr="00816D8D" w:rsidRDefault="004F2450" w:rsidP="007D34A4">
                          <w:pPr>
                            <w:pStyle w:val="Header"/>
                            <w:rPr>
                              <w:color w:val="1C1C1C" w:themeColor="text2"/>
                            </w:rPr>
                          </w:pPr>
                          <w:r w:rsidRPr="00816D8D">
                            <w:rPr>
                              <w:noProof/>
                              <w:color w:val="1C1C1C" w:themeColor="text2"/>
                              <w:shd w:val="clear" w:color="auto" w:fill="E6E6E6"/>
                            </w:rPr>
                            <w:fldChar w:fldCharType="begin"/>
                          </w:r>
                          <w:r w:rsidRPr="00816D8D">
                            <w:rPr>
                              <w:noProof/>
                              <w:color w:val="1C1C1C" w:themeColor="text2"/>
                            </w:rPr>
                            <w:instrText xml:space="preserve"> STYLEREF  "Heading 1"  \* CHARFORMAT </w:instrText>
                          </w:r>
                          <w:r w:rsidR="00FA38E8">
                            <w:rPr>
                              <w:noProof/>
                              <w:color w:val="1C1C1C" w:themeColor="text2"/>
                              <w:shd w:val="clear" w:color="auto" w:fill="E6E6E6"/>
                            </w:rPr>
                            <w:fldChar w:fldCharType="separate"/>
                          </w:r>
                          <w:r w:rsidR="00FA38E8">
                            <w:rPr>
                              <w:noProof/>
                              <w:color w:val="1C1C1C" w:themeColor="text2"/>
                            </w:rPr>
                            <w:t>Heritage in the Finance Context</w:t>
                          </w:r>
                          <w:r w:rsidRPr="00816D8D">
                            <w:rPr>
                              <w:noProof/>
                              <w:color w:val="1C1C1C" w:themeColor="text2"/>
                              <w:shd w:val="clear" w:color="auto" w:fill="E6E6E6"/>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90B5D4" id="_x0000_t202" coordsize="21600,21600" o:spt="202" path="m,l,21600r21600,l21600,xe">
              <v:stroke joinstyle="miter"/>
              <v:path gradientshapeok="t" o:connecttype="rect"/>
            </v:shapetype>
            <v:shape id="Text Box 10" o:spid="_x0000_s1026" type="#_x0000_t202" style="position:absolute;left:0;text-align:left;margin-left:219.75pt;margin-top:1.45pt;width:233.4pt;height:32.9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" fillcolor="white [3212]" stroked="f" strokeweight=".5pt">
              <v:textbox inset="0,0,0,0">
                <w:txbxContent>
                  <w:p w:rsidR="004F2450" w:rsidRPr="00816D8D" w:rsidRDefault="004F2450" w:rsidP="007D34A4">
                    <w:pPr>
                      <w:pStyle w:val="Header"/>
                      <w:rPr>
                        <w:color w:val="1C1C1C" w:themeColor="text2"/>
                      </w:rPr>
                    </w:pPr>
                    <w:r w:rsidRPr="00816D8D">
                      <w:rPr>
                        <w:noProof/>
                        <w:color w:val="1C1C1C" w:themeColor="text2"/>
                        <w:shd w:val="clear" w:color="auto" w:fill="E6E6E6"/>
                      </w:rPr>
                      <w:fldChar w:fldCharType="begin"/>
                    </w:r>
                    <w:r w:rsidRPr="00816D8D">
                      <w:rPr>
                        <w:noProof/>
                        <w:color w:val="1C1C1C" w:themeColor="text2"/>
                      </w:rPr>
                      <w:instrText xml:space="preserve"> STYLEREF  "Heading 1"  \* CHARFORMAT </w:instrText>
                    </w:r>
                    <w:r w:rsidR="00FA38E8">
                      <w:rPr>
                        <w:noProof/>
                        <w:color w:val="1C1C1C" w:themeColor="text2"/>
                        <w:shd w:val="clear" w:color="auto" w:fill="E6E6E6"/>
                      </w:rPr>
                      <w:fldChar w:fldCharType="separate"/>
                    </w:r>
                    <w:r w:rsidR="00FA38E8">
                      <w:rPr>
                        <w:noProof/>
                        <w:color w:val="1C1C1C" w:themeColor="text2"/>
                      </w:rPr>
                      <w:t>Heritage in the Finance Context</w:t>
                    </w:r>
                    <w:r w:rsidRPr="00816D8D">
                      <w:rPr>
                        <w:noProof/>
                        <w:color w:val="1C1C1C" w:themeColor="text2"/>
                        <w:shd w:val="clear" w:color="auto" w:fill="E6E6E6"/>
                      </w:rPr>
                      <w:fldChar w:fldCharType="end"/>
                    </w:r>
                  </w:p>
                </w:txbxContent>
              </v:textbox>
              <w10:wrap anchorx="margin"/>
              <w10:anchorlock/>
            </v:shape>
          </w:pict>
        </mc:Fallback>
      </mc:AlternateContent>
    </w:r>
    <w:r>
      <w:rPr>
        <w:noProof/>
        <w:color w:val="1C1C1C" w:themeColor="text2"/>
        <w:spacing w:val="-4"/>
        <w:kern w:val="16"/>
        <w:sz w:val="16"/>
      </w:rPr>
      <w:t>CoonPor</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2450" w:rsidRPr="00E02AE1" w:rsidRDefault="004F2450" w:rsidP="00F12F2E">
    <w:pPr>
      <w:pStyle w:val="Header"/>
      <w:spacing w:line="220" w:lineRule="atLeast"/>
      <w:rPr>
        <w:noProof/>
        <w:color w:val="1C1C1C" w:themeColor="text2"/>
        <w:spacing w:val="-4"/>
        <w:kern w:val="16"/>
        <w:sz w:val="16"/>
      </w:rPr>
    </w:pPr>
  </w:p>
  <w:p w:rsidR="004F2450" w:rsidRPr="00F6579D" w:rsidRDefault="004F2450" w:rsidP="007D34A4">
    <w:pPr>
      <w:pStyle w:val="Header"/>
      <w:spacing w:line="220" w:lineRule="atLeast"/>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2450" w:rsidRDefault="004F2450"/>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9E64506"/>
    <w:lvl w:ilvl="0">
      <w:start w:val="1"/>
      <w:numFmt w:val="decimal"/>
      <w:lvlText w:val="%1."/>
      <w:lvlJc w:val="left"/>
      <w:pPr>
        <w:tabs>
          <w:tab w:val="num" w:pos="10564"/>
        </w:tabs>
        <w:ind w:left="10564" w:hanging="360"/>
      </w:pPr>
    </w:lvl>
  </w:abstractNum>
  <w:abstractNum w:abstractNumId="1" w15:restartNumberingAfterBreak="0">
    <w:nsid w:val="FFFFFF7D"/>
    <w:multiLevelType w:val="singleLevel"/>
    <w:tmpl w:val="D930B88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738A8F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5B2898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820DC6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F2C468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E5CE02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6A2FB5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D9EA0E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2DEA28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A2F6B80"/>
    <w:multiLevelType w:val="multilevel"/>
    <w:tmpl w:val="437081D8"/>
    <w:styleLink w:val="Numberedlist"/>
    <w:lvl w:ilvl="0">
      <w:start w:val="1"/>
      <w:numFmt w:val="decimal"/>
      <w:pStyle w:val="NumberedList1"/>
      <w:lvlText w:val="%1."/>
      <w:lvlJc w:val="left"/>
      <w:pPr>
        <w:ind w:left="284" w:hanging="284"/>
      </w:pPr>
      <w:rPr>
        <w:rFonts w:hint="default"/>
      </w:rPr>
    </w:lvl>
    <w:lvl w:ilvl="1">
      <w:start w:val="1"/>
      <w:numFmt w:val="lowerLetter"/>
      <w:pStyle w:val="NumberedList2"/>
      <w:lvlText w:val="%2."/>
      <w:lvlJc w:val="left"/>
      <w:pPr>
        <w:ind w:left="568" w:hanging="284"/>
      </w:pPr>
      <w:rPr>
        <w:rFonts w:hint="default"/>
      </w:rPr>
    </w:lvl>
    <w:lvl w:ilvl="2">
      <w:start w:val="1"/>
      <w:numFmt w:val="lowerRoman"/>
      <w:pStyle w:val="NumberedList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1" w15:restartNumberingAfterBreak="0">
    <w:nsid w:val="0A521E43"/>
    <w:multiLevelType w:val="hybridMultilevel"/>
    <w:tmpl w:val="F4E45B22"/>
    <w:lvl w:ilvl="0" w:tplc="8C4CA0B0">
      <w:start w:val="1"/>
      <w:numFmt w:val="bullet"/>
      <w:pStyle w:val="Tablebullet"/>
      <w:lvlText w:val="■"/>
      <w:lvlJc w:val="left"/>
      <w:pPr>
        <w:ind w:left="360" w:hanging="360"/>
      </w:pPr>
      <w:rPr>
        <w:rFonts w:ascii="Arial" w:hAnsi="Arial" w:hint="default"/>
        <w:color w:val="1C1C1C" w:themeColor="text2"/>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E1B58A6"/>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6C07C1A"/>
    <w:multiLevelType w:val="multilevel"/>
    <w:tmpl w:val="48B48188"/>
    <w:styleLink w:val="ERMNumLIst"/>
    <w:lvl w:ilvl="0">
      <w:start w:val="1"/>
      <w:numFmt w:val="decimal"/>
      <w:lvlText w:val="%1."/>
      <w:lvlJc w:val="left"/>
      <w:pPr>
        <w:ind w:left="794" w:hanging="794"/>
      </w:pPr>
    </w:lvl>
    <w:lvl w:ilvl="1">
      <w:start w:val="1"/>
      <w:numFmt w:val="decimal"/>
      <w:lvlText w:val="%1.%2"/>
      <w:lvlJc w:val="left"/>
      <w:pPr>
        <w:ind w:left="794" w:hanging="794"/>
      </w:pPr>
      <w:rPr>
        <w:rFonts w:hint="default"/>
      </w:rPr>
    </w:lvl>
    <w:lvl w:ilvl="2">
      <w:start w:val="1"/>
      <w:numFmt w:val="decimal"/>
      <w:lvlText w:val="%1.%2.%3"/>
      <w:lvlJc w:val="left"/>
      <w:pPr>
        <w:ind w:left="794" w:hanging="794"/>
      </w:pPr>
      <w:rPr>
        <w:rFonts w:hint="default"/>
      </w:rPr>
    </w:lvl>
    <w:lvl w:ilvl="3">
      <w:start w:val="1"/>
      <w:numFmt w:val="decimal"/>
      <w:lvlText w:val="%1.%2.%3.%4"/>
      <w:lvlJc w:val="left"/>
      <w:pPr>
        <w:ind w:left="794" w:hanging="794"/>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decimal"/>
      <w:lvlText w:val="%7."/>
      <w:lvlJc w:val="left"/>
      <w:pPr>
        <w:ind w:left="397" w:hanging="397"/>
      </w:pPr>
      <w:rPr>
        <w:rFonts w:hint="default"/>
      </w:rPr>
    </w:lvl>
    <w:lvl w:ilvl="7">
      <w:start w:val="1"/>
      <w:numFmt w:val="lowerLetter"/>
      <w:lvlText w:val="%8."/>
      <w:lvlJc w:val="left"/>
      <w:pPr>
        <w:tabs>
          <w:tab w:val="num" w:pos="397"/>
        </w:tabs>
        <w:ind w:left="397" w:firstLine="0"/>
      </w:pPr>
      <w:rPr>
        <w:rFonts w:hint="default"/>
      </w:rPr>
    </w:lvl>
    <w:lvl w:ilvl="8">
      <w:start w:val="1"/>
      <w:numFmt w:val="lowerRoman"/>
      <w:lvlText w:val="%9."/>
      <w:lvlJc w:val="left"/>
      <w:pPr>
        <w:tabs>
          <w:tab w:val="num" w:pos="397"/>
        </w:tabs>
        <w:ind w:left="794" w:hanging="397"/>
      </w:pPr>
      <w:rPr>
        <w:rFonts w:hint="default"/>
      </w:rPr>
    </w:lvl>
  </w:abstractNum>
  <w:abstractNum w:abstractNumId="14" w15:restartNumberingAfterBreak="0">
    <w:nsid w:val="18F92BAD"/>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19BA3A35"/>
    <w:multiLevelType w:val="multilevel"/>
    <w:tmpl w:val="5F36F220"/>
    <w:styleLink w:val="ERMBulletList"/>
    <w:lvl w:ilvl="0">
      <w:start w:val="1"/>
      <w:numFmt w:val="bullet"/>
      <w:lvlText w:val=""/>
      <w:lvlJc w:val="left"/>
      <w:pPr>
        <w:ind w:left="397" w:hanging="397"/>
      </w:pPr>
      <w:rPr>
        <w:rFonts w:ascii="Wingdings" w:hAnsi="Wingdings" w:cs="Times New Roman" w:hint="default"/>
        <w:color w:val="1C1C1C" w:themeColor="text2"/>
        <w:sz w:val="16"/>
        <w:szCs w:val="16"/>
      </w:rPr>
    </w:lvl>
    <w:lvl w:ilvl="1">
      <w:start w:val="1"/>
      <w:numFmt w:val="bullet"/>
      <w:pStyle w:val="ListBullet2"/>
      <w:lvlText w:val="-"/>
      <w:lvlJc w:val="left"/>
      <w:pPr>
        <w:ind w:left="397" w:firstLine="0"/>
      </w:pPr>
      <w:rPr>
        <w:rFonts w:ascii="Arial" w:hAnsi="Arial" w:cs="Arial" w:hint="default"/>
      </w:rPr>
    </w:lvl>
    <w:lvl w:ilvl="2">
      <w:start w:val="1"/>
      <w:numFmt w:val="bullet"/>
      <w:pStyle w:val="ListBullet3"/>
      <w:lvlText w:val=""/>
      <w:lvlJc w:val="left"/>
      <w:pPr>
        <w:ind w:left="1191" w:hanging="397"/>
      </w:pPr>
      <w:rPr>
        <w:rFonts w:ascii="Wingdings" w:hAnsi="Wingdings" w:cs="Times New Roman" w:hint="default"/>
      </w:rPr>
    </w:lvl>
    <w:lvl w:ilvl="3">
      <w:start w:val="1"/>
      <w:numFmt w:val="bullet"/>
      <w:pStyle w:val="ListBullet4"/>
      <w:lvlText w:val="○"/>
      <w:lvlJc w:val="left"/>
      <w:pPr>
        <w:ind w:left="1588" w:hanging="397"/>
      </w:pPr>
      <w:rPr>
        <w:rFonts w:ascii="Arial" w:hAnsi="Arial" w:cs="Arial" w:hint="default"/>
      </w:rPr>
    </w:lvl>
    <w:lvl w:ilvl="4">
      <w:start w:val="1"/>
      <w:numFmt w:val="none"/>
      <w:lvlText w:val=""/>
      <w:lvlJc w:val="left"/>
      <w:pPr>
        <w:tabs>
          <w:tab w:val="num" w:pos="397"/>
        </w:tabs>
        <w:ind w:left="1588" w:hanging="1191"/>
      </w:pPr>
      <w:rPr>
        <w:rFonts w:hint="default"/>
      </w:rPr>
    </w:lvl>
    <w:lvl w:ilvl="5">
      <w:start w:val="1"/>
      <w:numFmt w:val="none"/>
      <w:lvlText w:val=""/>
      <w:lvlJc w:val="left"/>
      <w:pPr>
        <w:ind w:left="4320" w:hanging="360"/>
      </w:pPr>
      <w:rPr>
        <w:rFonts w:hint="default"/>
      </w:rPr>
    </w:lvl>
    <w:lvl w:ilvl="6">
      <w:start w:val="1"/>
      <w:numFmt w:val="none"/>
      <w:lvlText w:val=""/>
      <w:lvlJc w:val="left"/>
      <w:pPr>
        <w:ind w:left="5040" w:hanging="360"/>
      </w:pPr>
      <w:rPr>
        <w:rFonts w:hint="default"/>
      </w:rPr>
    </w:lvl>
    <w:lvl w:ilvl="7">
      <w:start w:val="1"/>
      <w:numFmt w:val="none"/>
      <w:lvlText w:val=""/>
      <w:lvlJc w:val="left"/>
      <w:pPr>
        <w:ind w:left="5760" w:hanging="360"/>
      </w:pPr>
      <w:rPr>
        <w:rFonts w:hint="default"/>
      </w:rPr>
    </w:lvl>
    <w:lvl w:ilvl="8">
      <w:start w:val="1"/>
      <w:numFmt w:val="none"/>
      <w:lvlText w:val=""/>
      <w:lvlJc w:val="left"/>
      <w:pPr>
        <w:ind w:left="6480" w:hanging="360"/>
      </w:pPr>
      <w:rPr>
        <w:rFonts w:hint="default"/>
      </w:rPr>
    </w:lvl>
  </w:abstractNum>
  <w:abstractNum w:abstractNumId="16" w15:restartNumberingAfterBreak="0">
    <w:nsid w:val="1C285EDC"/>
    <w:multiLevelType w:val="multilevel"/>
    <w:tmpl w:val="5F36F220"/>
    <w:numStyleLink w:val="ERMBulletList"/>
  </w:abstractNum>
  <w:abstractNum w:abstractNumId="17" w15:restartNumberingAfterBreak="0">
    <w:nsid w:val="2B9B159F"/>
    <w:multiLevelType w:val="multilevel"/>
    <w:tmpl w:val="12F6E208"/>
    <w:styleLink w:val="HeadingsList"/>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ind w:left="567" w:hanging="567"/>
      </w:pPr>
      <w:rPr>
        <w:rFonts w:hint="default"/>
      </w:rPr>
    </w:lvl>
    <w:lvl w:ilvl="2">
      <w:start w:val="1"/>
      <w:numFmt w:val="decimal"/>
      <w:pStyle w:val="Heading3Numbered"/>
      <w:lvlText w:val="%1.%2.%3"/>
      <w:lvlJc w:val="left"/>
      <w:pPr>
        <w:ind w:left="851" w:hanging="851"/>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18" w15:restartNumberingAfterBreak="0">
    <w:nsid w:val="48D257FC"/>
    <w:multiLevelType w:val="hybridMultilevel"/>
    <w:tmpl w:val="64569AE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14C08A5"/>
    <w:multiLevelType w:val="hybridMultilevel"/>
    <w:tmpl w:val="3BCEB5F4"/>
    <w:lvl w:ilvl="0" w:tplc="74B830D0">
      <w:start w:val="1"/>
      <w:numFmt w:val="upperLetter"/>
      <w:pStyle w:val="Appendixheading1"/>
      <w:lvlText w:val="Appendix %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4F806D3"/>
    <w:multiLevelType w:val="multilevel"/>
    <w:tmpl w:val="48B48188"/>
    <w:lvl w:ilvl="0">
      <w:start w:val="1"/>
      <w:numFmt w:val="decimal"/>
      <w:lvlText w:val="%1."/>
      <w:lvlJc w:val="left"/>
      <w:pPr>
        <w:ind w:left="794" w:hanging="794"/>
      </w:pPr>
    </w:lvl>
    <w:lvl w:ilvl="1">
      <w:start w:val="1"/>
      <w:numFmt w:val="decimal"/>
      <w:lvlText w:val="%1.%2"/>
      <w:lvlJc w:val="left"/>
      <w:pPr>
        <w:ind w:left="794" w:hanging="794"/>
      </w:pPr>
      <w:rPr>
        <w:rFonts w:hint="default"/>
      </w:rPr>
    </w:lvl>
    <w:lvl w:ilvl="2">
      <w:start w:val="1"/>
      <w:numFmt w:val="decimal"/>
      <w:lvlText w:val="%1.%2.%3"/>
      <w:lvlJc w:val="left"/>
      <w:pPr>
        <w:ind w:left="794" w:hanging="794"/>
      </w:pPr>
      <w:rPr>
        <w:rFonts w:hint="default"/>
      </w:rPr>
    </w:lvl>
    <w:lvl w:ilvl="3">
      <w:start w:val="1"/>
      <w:numFmt w:val="decimal"/>
      <w:lvlText w:val="%1.%2.%3.%4"/>
      <w:lvlJc w:val="left"/>
      <w:pPr>
        <w:ind w:left="794" w:hanging="794"/>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decimal"/>
      <w:lvlText w:val="%7."/>
      <w:lvlJc w:val="left"/>
      <w:pPr>
        <w:ind w:left="397" w:hanging="397"/>
      </w:pPr>
      <w:rPr>
        <w:rFonts w:hint="default"/>
      </w:rPr>
    </w:lvl>
    <w:lvl w:ilvl="7">
      <w:start w:val="1"/>
      <w:numFmt w:val="lowerLetter"/>
      <w:lvlText w:val="%8."/>
      <w:lvlJc w:val="left"/>
      <w:pPr>
        <w:tabs>
          <w:tab w:val="num" w:pos="397"/>
        </w:tabs>
        <w:ind w:left="397" w:firstLine="0"/>
      </w:pPr>
      <w:rPr>
        <w:rFonts w:hint="default"/>
      </w:rPr>
    </w:lvl>
    <w:lvl w:ilvl="8">
      <w:start w:val="1"/>
      <w:numFmt w:val="lowerRoman"/>
      <w:lvlText w:val="%9."/>
      <w:lvlJc w:val="left"/>
      <w:pPr>
        <w:tabs>
          <w:tab w:val="num" w:pos="397"/>
        </w:tabs>
        <w:ind w:left="794" w:hanging="397"/>
      </w:pPr>
      <w:rPr>
        <w:rFonts w:hint="default"/>
      </w:rPr>
    </w:lvl>
  </w:abstractNum>
  <w:abstractNum w:abstractNumId="21" w15:restartNumberingAfterBreak="0">
    <w:nsid w:val="595D7E15"/>
    <w:multiLevelType w:val="multilevel"/>
    <w:tmpl w:val="5860EE72"/>
    <w:styleLink w:val="TableHeadingNumbers"/>
    <w:lvl w:ilvl="0">
      <w:start w:val="1"/>
      <w:numFmt w:val="decimal"/>
      <w:lvlText w:val="Tabl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22" w15:restartNumberingAfterBreak="0">
    <w:nsid w:val="59C0700D"/>
    <w:multiLevelType w:val="multilevel"/>
    <w:tmpl w:val="04090023"/>
    <w:styleLink w:val="ArticleSection"/>
    <w:lvl w:ilvl="0">
      <w:start w:val="1"/>
      <w:numFmt w:val="upperRoman"/>
      <w:pStyle w:val="Heading1"/>
      <w:lvlText w:val="Article %1."/>
      <w:lvlJc w:val="left"/>
      <w:pPr>
        <w:tabs>
          <w:tab w:val="num" w:pos="2160"/>
        </w:tabs>
        <w:ind w:left="0" w:firstLine="0"/>
      </w:pPr>
    </w:lvl>
    <w:lvl w:ilvl="1">
      <w:start w:val="1"/>
      <w:numFmt w:val="decimalZero"/>
      <w:pStyle w:val="Heading2"/>
      <w:isLgl/>
      <w:lvlText w:val="Section %1.%2"/>
      <w:lvlJc w:val="left"/>
      <w:pPr>
        <w:tabs>
          <w:tab w:val="num" w:pos="2160"/>
        </w:tabs>
        <w:ind w:left="0" w:firstLine="0"/>
      </w:pPr>
    </w:lvl>
    <w:lvl w:ilvl="2">
      <w:start w:val="1"/>
      <w:numFmt w:val="lowerLetter"/>
      <w:pStyle w:val="Heading3"/>
      <w:lvlText w:val="(%3)"/>
      <w:lvlJc w:val="left"/>
      <w:pPr>
        <w:tabs>
          <w:tab w:val="num" w:pos="1008"/>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23" w15:restartNumberingAfterBreak="0">
    <w:nsid w:val="5DEF649F"/>
    <w:multiLevelType w:val="multilevel"/>
    <w:tmpl w:val="3BD00EE2"/>
    <w:styleLink w:val="FigureTitles"/>
    <w:lvl w:ilvl="0">
      <w:start w:val="1"/>
      <w:numFmt w:val="decimal"/>
      <w:lvlText w:val="Figur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24" w15:restartNumberingAfterBreak="0">
    <w:nsid w:val="69C56C76"/>
    <w:multiLevelType w:val="hybridMultilevel"/>
    <w:tmpl w:val="7280FEFE"/>
    <w:lvl w:ilvl="0" w:tplc="B9628B8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9EF47B1"/>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5040"/>
        </w:tabs>
        <w:ind w:left="3744" w:hanging="1224"/>
      </w:pPr>
    </w:lvl>
    <w:lvl w:ilvl="8">
      <w:start w:val="1"/>
      <w:numFmt w:val="decimal"/>
      <w:lvlText w:val="%1.%2.%3.%4.%5.%6.%7.%8.%9."/>
      <w:lvlJc w:val="left"/>
      <w:pPr>
        <w:tabs>
          <w:tab w:val="num" w:pos="5760"/>
        </w:tabs>
        <w:ind w:left="4320" w:hanging="1440"/>
      </w:pPr>
    </w:lvl>
  </w:abstractNum>
  <w:abstractNum w:abstractNumId="26" w15:restartNumberingAfterBreak="0">
    <w:nsid w:val="73107305"/>
    <w:multiLevelType w:val="multilevel"/>
    <w:tmpl w:val="79262C7A"/>
    <w:styleLink w:val="BulletsList"/>
    <w:lvl w:ilvl="0">
      <w:start w:val="1"/>
      <w:numFmt w:val="bullet"/>
      <w:pStyle w:val="Bullet1"/>
      <w:lvlText w:val=""/>
      <w:lvlJc w:val="left"/>
      <w:pPr>
        <w:ind w:left="284" w:hanging="284"/>
      </w:pPr>
      <w:rPr>
        <w:rFonts w:ascii="Symbol" w:hAnsi="Symbol" w:hint="default"/>
      </w:rPr>
    </w:lvl>
    <w:lvl w:ilvl="1">
      <w:start w:val="1"/>
      <w:numFmt w:val="bullet"/>
      <w:pStyle w:val="Bullet2"/>
      <w:lvlText w:val="–"/>
      <w:lvlJc w:val="left"/>
      <w:pPr>
        <w:ind w:left="568" w:hanging="284"/>
      </w:pPr>
      <w:rPr>
        <w:rFonts w:ascii="Arial" w:hAnsi="Arial" w:hint="default"/>
      </w:rPr>
    </w:lvl>
    <w:lvl w:ilvl="2">
      <w:start w:val="1"/>
      <w:numFmt w:val="bullet"/>
      <w:pStyle w:val="Bullet3"/>
      <w:lvlText w:val="»"/>
      <w:lvlJc w:val="left"/>
      <w:pPr>
        <w:ind w:left="852" w:hanging="284"/>
      </w:pPr>
      <w:rPr>
        <w:rFonts w:ascii="Arial" w:hAnsi="Arial"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num w:numId="1">
    <w:abstractNumId w:val="26"/>
  </w:num>
  <w:num w:numId="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num>
  <w:num w:numId="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7"/>
    <w:lvlOverride w:ilvl="0">
      <w:lvl w:ilvl="0">
        <w:start w:val="1"/>
        <w:numFmt w:val="decimal"/>
        <w:pStyle w:val="Heading1Numbered"/>
        <w:lvlText w:val="%1."/>
        <w:lvlJc w:val="left"/>
        <w:pPr>
          <w:ind w:left="567" w:hanging="567"/>
        </w:pPr>
        <w:rPr>
          <w:rFonts w:hint="default"/>
        </w:rPr>
      </w:lvl>
    </w:lvlOverride>
  </w:num>
  <w:num w:numId="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
  </w:num>
  <w:num w:numId="9">
    <w:abstractNumId w:val="21"/>
  </w:num>
  <w:num w:numId="10">
    <w:abstractNumId w:val="23"/>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18"/>
  </w:num>
  <w:num w:numId="22">
    <w:abstractNumId w:val="25"/>
  </w:num>
  <w:num w:numId="23">
    <w:abstractNumId w:val="14"/>
  </w:num>
  <w:num w:numId="24">
    <w:abstractNumId w:val="22"/>
  </w:num>
  <w:num w:numId="25">
    <w:abstractNumId w:val="11"/>
  </w:num>
  <w:num w:numId="26">
    <w:abstractNumId w:val="15"/>
  </w:num>
  <w:num w:numId="27">
    <w:abstractNumId w:val="13"/>
  </w:num>
  <w:num w:numId="28">
    <w:abstractNumId w:val="19"/>
  </w:num>
  <w:num w:numId="29">
    <w:abstractNumId w:val="20"/>
  </w:num>
  <w:num w:numId="30">
    <w:abstractNumId w:val="16"/>
  </w:num>
  <w:num w:numId="31">
    <w:abstractNumId w:val="24"/>
  </w:num>
  <w:num w:numId="3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8194"/>
    <o:shapelayout v:ext="edit">
      <o:idmap v:ext="edit" data="8"/>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296C"/>
    <w:rsid w:val="000047DE"/>
    <w:rsid w:val="0002782F"/>
    <w:rsid w:val="00037CB2"/>
    <w:rsid w:val="00054E4D"/>
    <w:rsid w:val="00060073"/>
    <w:rsid w:val="000603C7"/>
    <w:rsid w:val="000829F4"/>
    <w:rsid w:val="00093A8F"/>
    <w:rsid w:val="000A4B30"/>
    <w:rsid w:val="000A6A8B"/>
    <w:rsid w:val="000C2A48"/>
    <w:rsid w:val="000C5F75"/>
    <w:rsid w:val="000D2A83"/>
    <w:rsid w:val="000D60B1"/>
    <w:rsid w:val="000E3DB0"/>
    <w:rsid w:val="00136530"/>
    <w:rsid w:val="00147CA1"/>
    <w:rsid w:val="00150E76"/>
    <w:rsid w:val="001541EA"/>
    <w:rsid w:val="00157012"/>
    <w:rsid w:val="001612A4"/>
    <w:rsid w:val="001812FF"/>
    <w:rsid w:val="0019567C"/>
    <w:rsid w:val="001D7EB4"/>
    <w:rsid w:val="001E1DC0"/>
    <w:rsid w:val="001E52BC"/>
    <w:rsid w:val="0020122A"/>
    <w:rsid w:val="002036D2"/>
    <w:rsid w:val="00204ACA"/>
    <w:rsid w:val="002129D2"/>
    <w:rsid w:val="00241DED"/>
    <w:rsid w:val="002631F1"/>
    <w:rsid w:val="00270B1B"/>
    <w:rsid w:val="0027266A"/>
    <w:rsid w:val="0028602A"/>
    <w:rsid w:val="002962B4"/>
    <w:rsid w:val="002A6FBF"/>
    <w:rsid w:val="002B7879"/>
    <w:rsid w:val="002E385D"/>
    <w:rsid w:val="002F5017"/>
    <w:rsid w:val="00301144"/>
    <w:rsid w:val="00305FC4"/>
    <w:rsid w:val="00306474"/>
    <w:rsid w:val="003148B7"/>
    <w:rsid w:val="003158C3"/>
    <w:rsid w:val="00326FF0"/>
    <w:rsid w:val="003274CD"/>
    <w:rsid w:val="0035119D"/>
    <w:rsid w:val="0036575E"/>
    <w:rsid w:val="003A71C5"/>
    <w:rsid w:val="003B4471"/>
    <w:rsid w:val="003B4F12"/>
    <w:rsid w:val="003C0E5E"/>
    <w:rsid w:val="003D1CE2"/>
    <w:rsid w:val="003E4292"/>
    <w:rsid w:val="003F0182"/>
    <w:rsid w:val="00404A90"/>
    <w:rsid w:val="00423F31"/>
    <w:rsid w:val="00431899"/>
    <w:rsid w:val="00432FAA"/>
    <w:rsid w:val="00437E87"/>
    <w:rsid w:val="004529BE"/>
    <w:rsid w:val="00460508"/>
    <w:rsid w:val="00460D5D"/>
    <w:rsid w:val="00466211"/>
    <w:rsid w:val="00483234"/>
    <w:rsid w:val="00485E60"/>
    <w:rsid w:val="00486804"/>
    <w:rsid w:val="004B3775"/>
    <w:rsid w:val="004B6CAA"/>
    <w:rsid w:val="004C2A06"/>
    <w:rsid w:val="004D1EEB"/>
    <w:rsid w:val="004D6B01"/>
    <w:rsid w:val="004E058F"/>
    <w:rsid w:val="004E2372"/>
    <w:rsid w:val="004E3B87"/>
    <w:rsid w:val="004F1CCD"/>
    <w:rsid w:val="004F2450"/>
    <w:rsid w:val="00510921"/>
    <w:rsid w:val="00510AD3"/>
    <w:rsid w:val="00513348"/>
    <w:rsid w:val="005148CE"/>
    <w:rsid w:val="005171C6"/>
    <w:rsid w:val="00517B7D"/>
    <w:rsid w:val="00533B5D"/>
    <w:rsid w:val="005570E8"/>
    <w:rsid w:val="00573704"/>
    <w:rsid w:val="00576566"/>
    <w:rsid w:val="00593ECC"/>
    <w:rsid w:val="00595491"/>
    <w:rsid w:val="005970EA"/>
    <w:rsid w:val="005C37F0"/>
    <w:rsid w:val="005D1924"/>
    <w:rsid w:val="005D2D36"/>
    <w:rsid w:val="005D3E0C"/>
    <w:rsid w:val="005F4B34"/>
    <w:rsid w:val="00606173"/>
    <w:rsid w:val="00606B0F"/>
    <w:rsid w:val="00612C4A"/>
    <w:rsid w:val="00615697"/>
    <w:rsid w:val="006170D2"/>
    <w:rsid w:val="00623BA1"/>
    <w:rsid w:val="006279A0"/>
    <w:rsid w:val="006279B9"/>
    <w:rsid w:val="006311F0"/>
    <w:rsid w:val="006346BC"/>
    <w:rsid w:val="00666291"/>
    <w:rsid w:val="0066652A"/>
    <w:rsid w:val="00677BC1"/>
    <w:rsid w:val="00681FD8"/>
    <w:rsid w:val="00682167"/>
    <w:rsid w:val="006A7806"/>
    <w:rsid w:val="006C42AF"/>
    <w:rsid w:val="006C4DD1"/>
    <w:rsid w:val="006F45B8"/>
    <w:rsid w:val="00705F38"/>
    <w:rsid w:val="00711D8E"/>
    <w:rsid w:val="00711E57"/>
    <w:rsid w:val="00712672"/>
    <w:rsid w:val="007310FC"/>
    <w:rsid w:val="00734E3F"/>
    <w:rsid w:val="00736985"/>
    <w:rsid w:val="00737A13"/>
    <w:rsid w:val="00742D1D"/>
    <w:rsid w:val="00755521"/>
    <w:rsid w:val="007B1CF8"/>
    <w:rsid w:val="007B2B59"/>
    <w:rsid w:val="007B435D"/>
    <w:rsid w:val="007B6200"/>
    <w:rsid w:val="007D29D9"/>
    <w:rsid w:val="007D34A4"/>
    <w:rsid w:val="007D7775"/>
    <w:rsid w:val="007E198D"/>
    <w:rsid w:val="007E7C47"/>
    <w:rsid w:val="00801B9F"/>
    <w:rsid w:val="00803303"/>
    <w:rsid w:val="00806A91"/>
    <w:rsid w:val="00810301"/>
    <w:rsid w:val="00820CEC"/>
    <w:rsid w:val="0082589D"/>
    <w:rsid w:val="00831BAF"/>
    <w:rsid w:val="008355DF"/>
    <w:rsid w:val="008610BC"/>
    <w:rsid w:val="00880B3F"/>
    <w:rsid w:val="00885861"/>
    <w:rsid w:val="008B62C7"/>
    <w:rsid w:val="008B6582"/>
    <w:rsid w:val="008D4A99"/>
    <w:rsid w:val="0090309A"/>
    <w:rsid w:val="00903541"/>
    <w:rsid w:val="00923CC6"/>
    <w:rsid w:val="00994D65"/>
    <w:rsid w:val="009A2DA7"/>
    <w:rsid w:val="009B3583"/>
    <w:rsid w:val="009B4D3B"/>
    <w:rsid w:val="009C23F7"/>
    <w:rsid w:val="009C3A47"/>
    <w:rsid w:val="009D7407"/>
    <w:rsid w:val="009E0866"/>
    <w:rsid w:val="009E307A"/>
    <w:rsid w:val="00A20E8E"/>
    <w:rsid w:val="00A24A62"/>
    <w:rsid w:val="00A30033"/>
    <w:rsid w:val="00A31C9F"/>
    <w:rsid w:val="00AA2F40"/>
    <w:rsid w:val="00AA5DBF"/>
    <w:rsid w:val="00AB19CF"/>
    <w:rsid w:val="00AB4322"/>
    <w:rsid w:val="00AC164A"/>
    <w:rsid w:val="00AD14FF"/>
    <w:rsid w:val="00AE647F"/>
    <w:rsid w:val="00AE6C75"/>
    <w:rsid w:val="00AE7EE2"/>
    <w:rsid w:val="00AF2050"/>
    <w:rsid w:val="00B2560D"/>
    <w:rsid w:val="00B60352"/>
    <w:rsid w:val="00B61388"/>
    <w:rsid w:val="00BB26C5"/>
    <w:rsid w:val="00BC3960"/>
    <w:rsid w:val="00BF4DE6"/>
    <w:rsid w:val="00C27965"/>
    <w:rsid w:val="00C42CDE"/>
    <w:rsid w:val="00C46FB0"/>
    <w:rsid w:val="00C64E74"/>
    <w:rsid w:val="00C748BA"/>
    <w:rsid w:val="00C76F4A"/>
    <w:rsid w:val="00C85BEA"/>
    <w:rsid w:val="00C914ED"/>
    <w:rsid w:val="00C93891"/>
    <w:rsid w:val="00CA37B1"/>
    <w:rsid w:val="00CB1959"/>
    <w:rsid w:val="00CC5EAF"/>
    <w:rsid w:val="00CE0C4A"/>
    <w:rsid w:val="00CE2619"/>
    <w:rsid w:val="00CE4FCB"/>
    <w:rsid w:val="00D0296C"/>
    <w:rsid w:val="00D129F0"/>
    <w:rsid w:val="00D22869"/>
    <w:rsid w:val="00D46D82"/>
    <w:rsid w:val="00D677B8"/>
    <w:rsid w:val="00D7660D"/>
    <w:rsid w:val="00D9586F"/>
    <w:rsid w:val="00DA769C"/>
    <w:rsid w:val="00DB14FD"/>
    <w:rsid w:val="00DB6D69"/>
    <w:rsid w:val="00DC430B"/>
    <w:rsid w:val="00DF25F7"/>
    <w:rsid w:val="00E00E97"/>
    <w:rsid w:val="00E16B94"/>
    <w:rsid w:val="00E357B7"/>
    <w:rsid w:val="00E379A5"/>
    <w:rsid w:val="00E44D53"/>
    <w:rsid w:val="00E450CA"/>
    <w:rsid w:val="00E53800"/>
    <w:rsid w:val="00E6081F"/>
    <w:rsid w:val="00E828FF"/>
    <w:rsid w:val="00E83224"/>
    <w:rsid w:val="00E90DA0"/>
    <w:rsid w:val="00E93818"/>
    <w:rsid w:val="00EA04B2"/>
    <w:rsid w:val="00EA20F3"/>
    <w:rsid w:val="00EA77F5"/>
    <w:rsid w:val="00EB1DE2"/>
    <w:rsid w:val="00ED43D1"/>
    <w:rsid w:val="00EE4EE1"/>
    <w:rsid w:val="00EE6980"/>
    <w:rsid w:val="00EF4574"/>
    <w:rsid w:val="00EF7823"/>
    <w:rsid w:val="00F12F2E"/>
    <w:rsid w:val="00F2684E"/>
    <w:rsid w:val="00F45819"/>
    <w:rsid w:val="00F57A4D"/>
    <w:rsid w:val="00F62315"/>
    <w:rsid w:val="00F729EF"/>
    <w:rsid w:val="00F74D78"/>
    <w:rsid w:val="00F77CAE"/>
    <w:rsid w:val="00F84149"/>
    <w:rsid w:val="00F96BB9"/>
    <w:rsid w:val="00FA00A7"/>
    <w:rsid w:val="00FA38E8"/>
    <w:rsid w:val="00FB44AA"/>
    <w:rsid w:val="00FB6727"/>
    <w:rsid w:val="00FC43B4"/>
    <w:rsid w:val="00FC5471"/>
    <w:rsid w:val="00FD2C03"/>
    <w:rsid w:val="00FD372D"/>
    <w:rsid w:val="00FE6D5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14:defaultImageDpi w14:val="1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20" w:line="440" w:lineRule="atLeast"/>
      </w:pPr>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iPriority="99"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99" w:unhideWhenUsed="1"/>
    <w:lsdException w:name="Subtitle" w:qFormat="1"/>
    <w:lsdException w:name="Salutation" w:semiHidden="1" w:uiPriority="99" w:unhideWhenUsed="1"/>
    <w:lsdException w:name="Date" w:semiHidden="1" w:unhideWhenUsed="1"/>
    <w:lsdException w:name="Body Text First Indent" w:semiHidden="1" w:unhideWhenUsed="1"/>
    <w:lsdException w:name="Body Text First Indent 2" w:semiHidden="1" w:unhideWhenUsed="1"/>
    <w:lsdException w:name="Note Heading" w:semiHidden="1" w:uiPriority="99"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44AA"/>
    <w:pPr>
      <w:suppressAutoHyphens/>
      <w:spacing w:before="180" w:after="60" w:line="280" w:lineRule="atLeast"/>
    </w:pPr>
  </w:style>
  <w:style w:type="paragraph" w:styleId="Heading1">
    <w:name w:val="heading 1"/>
    <w:basedOn w:val="Normal"/>
    <w:next w:val="Normal"/>
    <w:link w:val="Heading1Char"/>
    <w:qFormat/>
    <w:rsid w:val="001612A4"/>
    <w:pPr>
      <w:keepNext/>
      <w:keepLines/>
      <w:numPr>
        <w:numId w:val="24"/>
      </w:numPr>
      <w:spacing w:before="360" w:after="120" w:line="460" w:lineRule="atLeast"/>
      <w:contextualSpacing/>
      <w:outlineLvl w:val="0"/>
    </w:pPr>
    <w:rPr>
      <w:rFonts w:asciiTheme="majorHAnsi" w:eastAsiaTheme="majorEastAsia" w:hAnsiTheme="majorHAnsi" w:cstheme="majorBidi"/>
      <w:bCs/>
      <w:color w:val="1C1C1C" w:themeColor="text2"/>
      <w:sz w:val="40"/>
      <w:szCs w:val="28"/>
    </w:rPr>
  </w:style>
  <w:style w:type="paragraph" w:styleId="Heading2">
    <w:name w:val="heading 2"/>
    <w:basedOn w:val="Heading1"/>
    <w:next w:val="Normal"/>
    <w:link w:val="Heading2Char"/>
    <w:unhideWhenUsed/>
    <w:qFormat/>
    <w:rsid w:val="003D1CE2"/>
    <w:pPr>
      <w:numPr>
        <w:ilvl w:val="1"/>
      </w:numPr>
      <w:spacing w:line="400" w:lineRule="atLeast"/>
      <w:outlineLvl w:val="1"/>
    </w:pPr>
    <w:rPr>
      <w:bCs w:val="0"/>
      <w:sz w:val="28"/>
      <w:szCs w:val="26"/>
    </w:rPr>
  </w:style>
  <w:style w:type="paragraph" w:styleId="Heading3">
    <w:name w:val="heading 3"/>
    <w:basedOn w:val="Heading2"/>
    <w:next w:val="Normal"/>
    <w:link w:val="Heading3Char"/>
    <w:uiPriority w:val="9"/>
    <w:unhideWhenUsed/>
    <w:qFormat/>
    <w:rsid w:val="002631F1"/>
    <w:pPr>
      <w:numPr>
        <w:ilvl w:val="2"/>
      </w:numPr>
      <w:spacing w:line="340" w:lineRule="atLeast"/>
      <w:outlineLvl w:val="2"/>
    </w:pPr>
    <w:rPr>
      <w:bCs/>
      <w:sz w:val="24"/>
    </w:rPr>
  </w:style>
  <w:style w:type="paragraph" w:styleId="Heading4">
    <w:name w:val="heading 4"/>
    <w:basedOn w:val="Heading3"/>
    <w:next w:val="Normal"/>
    <w:link w:val="Heading4Char"/>
    <w:unhideWhenUsed/>
    <w:qFormat/>
    <w:rsid w:val="00D46D82"/>
    <w:pPr>
      <w:numPr>
        <w:ilvl w:val="3"/>
      </w:numPr>
      <w:spacing w:before="240" w:line="300" w:lineRule="atLeast"/>
      <w:outlineLvl w:val="3"/>
    </w:pPr>
    <w:rPr>
      <w:iCs/>
      <w:sz w:val="26"/>
    </w:rPr>
  </w:style>
  <w:style w:type="paragraph" w:styleId="Heading5">
    <w:name w:val="heading 5"/>
    <w:basedOn w:val="Heading4"/>
    <w:next w:val="Normal"/>
    <w:link w:val="Heading5Char"/>
    <w:unhideWhenUsed/>
    <w:qFormat/>
    <w:rsid w:val="00623BA1"/>
    <w:pPr>
      <w:numPr>
        <w:ilvl w:val="4"/>
      </w:numPr>
      <w:outlineLvl w:val="4"/>
    </w:pPr>
    <w:rPr>
      <w:i/>
      <w:color w:val="56C2BE" w:themeColor="accent1" w:themeShade="BF"/>
      <w:sz w:val="22"/>
    </w:rPr>
  </w:style>
  <w:style w:type="paragraph" w:styleId="Heading6">
    <w:name w:val="heading 6"/>
    <w:basedOn w:val="Heading5"/>
    <w:next w:val="Normal"/>
    <w:link w:val="Heading6Char"/>
    <w:unhideWhenUsed/>
    <w:qFormat/>
    <w:rsid w:val="00486804"/>
    <w:pPr>
      <w:numPr>
        <w:ilvl w:val="5"/>
      </w:numPr>
      <w:spacing w:before="40"/>
      <w:outlineLvl w:val="5"/>
    </w:pPr>
    <w:rPr>
      <w:color w:val="318885" w:themeColor="accent1" w:themeShade="7F"/>
    </w:rPr>
  </w:style>
  <w:style w:type="paragraph" w:styleId="Heading7">
    <w:name w:val="heading 7"/>
    <w:basedOn w:val="Heading6"/>
    <w:next w:val="Normal"/>
    <w:link w:val="Heading7Char"/>
    <w:semiHidden/>
    <w:unhideWhenUsed/>
    <w:qFormat/>
    <w:rsid w:val="00486804"/>
    <w:pPr>
      <w:numPr>
        <w:ilvl w:val="6"/>
      </w:numPr>
      <w:outlineLvl w:val="6"/>
    </w:pPr>
    <w:rPr>
      <w:i w:val="0"/>
      <w:iCs w:val="0"/>
    </w:rPr>
  </w:style>
  <w:style w:type="paragraph" w:styleId="Heading8">
    <w:name w:val="heading 8"/>
    <w:basedOn w:val="Heading7"/>
    <w:next w:val="Normal"/>
    <w:link w:val="Heading8Char"/>
    <w:semiHidden/>
    <w:unhideWhenUsed/>
    <w:qFormat/>
    <w:rsid w:val="00486804"/>
    <w:pPr>
      <w:numPr>
        <w:ilvl w:val="7"/>
      </w:numPr>
      <w:outlineLvl w:val="7"/>
    </w:pPr>
    <w:rPr>
      <w:color w:val="272727" w:themeColor="text1" w:themeTint="D8"/>
      <w:sz w:val="21"/>
      <w:szCs w:val="21"/>
    </w:rPr>
  </w:style>
  <w:style w:type="paragraph" w:styleId="Heading9">
    <w:name w:val="heading 9"/>
    <w:basedOn w:val="Heading8"/>
    <w:next w:val="Normal"/>
    <w:link w:val="Heading9Char"/>
    <w:semiHidden/>
    <w:unhideWhenUsed/>
    <w:qFormat/>
    <w:rsid w:val="00486804"/>
    <w:pPr>
      <w:numPr>
        <w:ilvl w:val="8"/>
      </w:numPr>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612A4"/>
    <w:rPr>
      <w:rFonts w:asciiTheme="majorHAnsi" w:eastAsiaTheme="majorEastAsia" w:hAnsiTheme="majorHAnsi" w:cstheme="majorBidi"/>
      <w:bCs/>
      <w:color w:val="1C1C1C" w:themeColor="text2"/>
      <w:sz w:val="40"/>
      <w:szCs w:val="28"/>
    </w:rPr>
  </w:style>
  <w:style w:type="character" w:customStyle="1" w:styleId="Heading2Char">
    <w:name w:val="Heading 2 Char"/>
    <w:basedOn w:val="DefaultParagraphFont"/>
    <w:link w:val="Heading2"/>
    <w:rsid w:val="003D1CE2"/>
    <w:rPr>
      <w:rFonts w:asciiTheme="majorHAnsi" w:eastAsiaTheme="majorEastAsia" w:hAnsiTheme="majorHAnsi" w:cstheme="majorBidi"/>
      <w:color w:val="1C1C1C" w:themeColor="text2"/>
      <w:sz w:val="28"/>
      <w:szCs w:val="26"/>
    </w:rPr>
  </w:style>
  <w:style w:type="character" w:customStyle="1" w:styleId="Heading3Char">
    <w:name w:val="Heading 3 Char"/>
    <w:basedOn w:val="DefaultParagraphFont"/>
    <w:link w:val="Heading3"/>
    <w:uiPriority w:val="9"/>
    <w:rsid w:val="002631F1"/>
    <w:rPr>
      <w:rFonts w:asciiTheme="majorHAnsi" w:eastAsiaTheme="majorEastAsia" w:hAnsiTheme="majorHAnsi" w:cstheme="majorBidi"/>
      <w:bCs/>
      <w:color w:val="1C1C1C" w:themeColor="text2"/>
      <w:sz w:val="24"/>
      <w:szCs w:val="26"/>
    </w:rPr>
  </w:style>
  <w:style w:type="paragraph" w:customStyle="1" w:styleId="NormalIndented">
    <w:name w:val="Normal Indented"/>
    <w:basedOn w:val="Normal"/>
    <w:qFormat/>
    <w:rsid w:val="00D0296C"/>
    <w:pPr>
      <w:ind w:left="284"/>
    </w:pPr>
  </w:style>
  <w:style w:type="paragraph" w:styleId="Title">
    <w:name w:val="Title"/>
    <w:basedOn w:val="Heading1"/>
    <w:next w:val="Normal"/>
    <w:link w:val="TitleChar"/>
    <w:qFormat/>
    <w:rsid w:val="00DB6D69"/>
    <w:pPr>
      <w:keepNext w:val="0"/>
      <w:spacing w:before="8400" w:line="480" w:lineRule="atLeast"/>
      <w:jc w:val="right"/>
    </w:pPr>
    <w:rPr>
      <w:kern w:val="28"/>
      <w:szCs w:val="52"/>
    </w:rPr>
  </w:style>
  <w:style w:type="character" w:customStyle="1" w:styleId="TitleChar">
    <w:name w:val="Title Char"/>
    <w:basedOn w:val="DefaultParagraphFont"/>
    <w:link w:val="Title"/>
    <w:rsid w:val="00DB6D69"/>
    <w:rPr>
      <w:rFonts w:asciiTheme="majorHAnsi" w:eastAsiaTheme="majorEastAsia" w:hAnsiTheme="majorHAnsi" w:cstheme="majorBidi"/>
      <w:bCs/>
      <w:color w:val="1C1C1C" w:themeColor="text2"/>
      <w:kern w:val="28"/>
      <w:sz w:val="40"/>
      <w:szCs w:val="52"/>
    </w:rPr>
  </w:style>
  <w:style w:type="paragraph" w:styleId="Subtitle">
    <w:name w:val="Subtitle"/>
    <w:basedOn w:val="Title"/>
    <w:next w:val="Normal"/>
    <w:link w:val="SubtitleChar"/>
    <w:qFormat/>
    <w:rsid w:val="00DB6D69"/>
    <w:pPr>
      <w:numPr>
        <w:numId w:val="0"/>
      </w:numPr>
      <w:tabs>
        <w:tab w:val="num" w:pos="2160"/>
      </w:tabs>
      <w:spacing w:before="360" w:line="260" w:lineRule="atLeast"/>
    </w:pPr>
    <w:rPr>
      <w:b/>
      <w:iCs/>
      <w:sz w:val="20"/>
      <w:szCs w:val="24"/>
    </w:rPr>
  </w:style>
  <w:style w:type="character" w:customStyle="1" w:styleId="SubtitleChar">
    <w:name w:val="Subtitle Char"/>
    <w:basedOn w:val="DefaultParagraphFont"/>
    <w:link w:val="Subtitle"/>
    <w:rsid w:val="00DB6D69"/>
    <w:rPr>
      <w:rFonts w:asciiTheme="majorHAnsi" w:eastAsiaTheme="majorEastAsia" w:hAnsiTheme="majorHAnsi" w:cstheme="majorBidi"/>
      <w:b/>
      <w:bCs/>
      <w:iCs/>
      <w:color w:val="1C1C1C" w:themeColor="text2"/>
      <w:kern w:val="28"/>
      <w:sz w:val="20"/>
      <w:szCs w:val="24"/>
    </w:rPr>
  </w:style>
  <w:style w:type="paragraph" w:customStyle="1" w:styleId="Bullet1">
    <w:name w:val="Bullet 1"/>
    <w:basedOn w:val="Normal"/>
    <w:qFormat/>
    <w:rsid w:val="00FB44AA"/>
    <w:pPr>
      <w:numPr>
        <w:numId w:val="1"/>
      </w:numPr>
      <w:spacing w:before="120"/>
    </w:pPr>
  </w:style>
  <w:style w:type="paragraph" w:customStyle="1" w:styleId="Bullet2">
    <w:name w:val="Bullet 2"/>
    <w:basedOn w:val="Bullet1"/>
    <w:qFormat/>
    <w:rsid w:val="00F2684E"/>
    <w:pPr>
      <w:numPr>
        <w:ilvl w:val="1"/>
      </w:numPr>
    </w:pPr>
  </w:style>
  <w:style w:type="paragraph" w:customStyle="1" w:styleId="Bullet3">
    <w:name w:val="Bullet 3"/>
    <w:basedOn w:val="Bullet2"/>
    <w:qFormat/>
    <w:rsid w:val="00F2684E"/>
    <w:pPr>
      <w:numPr>
        <w:ilvl w:val="2"/>
      </w:numPr>
    </w:pPr>
  </w:style>
  <w:style w:type="paragraph" w:customStyle="1" w:styleId="NumberedList1">
    <w:name w:val="Numbered List 1"/>
    <w:basedOn w:val="Normal"/>
    <w:qFormat/>
    <w:rsid w:val="00576566"/>
    <w:pPr>
      <w:numPr>
        <w:numId w:val="3"/>
      </w:numPr>
      <w:ind w:left="397" w:hanging="397"/>
    </w:pPr>
  </w:style>
  <w:style w:type="paragraph" w:customStyle="1" w:styleId="NumberedList2">
    <w:name w:val="Numbered List 2"/>
    <w:basedOn w:val="NumberedList1"/>
    <w:qFormat/>
    <w:rsid w:val="00576566"/>
    <w:pPr>
      <w:numPr>
        <w:ilvl w:val="1"/>
      </w:numPr>
      <w:spacing w:before="120"/>
      <w:ind w:left="681" w:hanging="397"/>
    </w:pPr>
  </w:style>
  <w:style w:type="paragraph" w:customStyle="1" w:styleId="NumberedList3">
    <w:name w:val="Numbered List 3"/>
    <w:basedOn w:val="NumberedList2"/>
    <w:qFormat/>
    <w:rsid w:val="00576566"/>
    <w:pPr>
      <w:numPr>
        <w:ilvl w:val="2"/>
      </w:numPr>
      <w:ind w:left="964" w:hanging="397"/>
    </w:pPr>
  </w:style>
  <w:style w:type="paragraph" w:customStyle="1" w:styleId="Heading1Numbered">
    <w:name w:val="Heading 1 Numbered"/>
    <w:basedOn w:val="Heading1"/>
    <w:next w:val="Normal"/>
    <w:qFormat/>
    <w:rsid w:val="001E1DC0"/>
    <w:pPr>
      <w:numPr>
        <w:numId w:val="5"/>
      </w:numPr>
    </w:pPr>
  </w:style>
  <w:style w:type="paragraph" w:customStyle="1" w:styleId="Heading2Numbered">
    <w:name w:val="Heading 2 Numbered"/>
    <w:basedOn w:val="Heading2"/>
    <w:next w:val="Normal"/>
    <w:qFormat/>
    <w:rsid w:val="0082589D"/>
    <w:pPr>
      <w:numPr>
        <w:numId w:val="5"/>
      </w:numPr>
      <w:ind w:left="851" w:hanging="851"/>
    </w:pPr>
    <w:rPr>
      <w:bCs/>
    </w:rPr>
  </w:style>
  <w:style w:type="paragraph" w:customStyle="1" w:styleId="Heading3Numbered">
    <w:name w:val="Heading 3 Numbered"/>
    <w:basedOn w:val="Heading3"/>
    <w:next w:val="Normal"/>
    <w:qFormat/>
    <w:rsid w:val="001D7EB4"/>
    <w:pPr>
      <w:numPr>
        <w:numId w:val="5"/>
      </w:numPr>
    </w:pPr>
    <w:rPr>
      <w:szCs w:val="22"/>
    </w:rPr>
  </w:style>
  <w:style w:type="numbering" w:customStyle="1" w:styleId="BulletsList">
    <w:name w:val="Bullets List"/>
    <w:uiPriority w:val="99"/>
    <w:rsid w:val="00F2684E"/>
    <w:pPr>
      <w:numPr>
        <w:numId w:val="1"/>
      </w:numPr>
    </w:pPr>
  </w:style>
  <w:style w:type="numbering" w:customStyle="1" w:styleId="Numberedlist">
    <w:name w:val="Numbered list"/>
    <w:uiPriority w:val="99"/>
    <w:rsid w:val="00F2684E"/>
    <w:pPr>
      <w:numPr>
        <w:numId w:val="3"/>
      </w:numPr>
    </w:pPr>
  </w:style>
  <w:style w:type="numbering" w:customStyle="1" w:styleId="HeadingsList">
    <w:name w:val="Headings List"/>
    <w:uiPriority w:val="99"/>
    <w:rsid w:val="001E1DC0"/>
    <w:pPr>
      <w:numPr>
        <w:numId w:val="32"/>
      </w:numPr>
    </w:pPr>
  </w:style>
  <w:style w:type="table" w:styleId="PlainTable2">
    <w:name w:val="Plain Table 2"/>
    <w:basedOn w:val="TableNormal"/>
    <w:uiPriority w:val="42"/>
    <w:rsid w:val="003148B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val="0"/>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OCHeading">
    <w:name w:val="TOC Heading"/>
    <w:basedOn w:val="Heading1"/>
    <w:next w:val="Normal"/>
    <w:uiPriority w:val="39"/>
    <w:unhideWhenUsed/>
    <w:qFormat/>
    <w:rsid w:val="0020122A"/>
    <w:pPr>
      <w:suppressAutoHyphens w:val="0"/>
      <w:contextualSpacing w:val="0"/>
      <w:outlineLvl w:val="9"/>
    </w:pPr>
    <w:rPr>
      <w:bCs w:val="0"/>
      <w:szCs w:val="32"/>
      <w:lang w:val="en-US"/>
    </w:rPr>
  </w:style>
  <w:style w:type="character" w:customStyle="1" w:styleId="Heading4Char">
    <w:name w:val="Heading 4 Char"/>
    <w:basedOn w:val="DefaultParagraphFont"/>
    <w:link w:val="Heading4"/>
    <w:rsid w:val="00D46D82"/>
    <w:rPr>
      <w:rFonts w:asciiTheme="majorHAnsi" w:eastAsiaTheme="majorEastAsia" w:hAnsiTheme="majorHAnsi" w:cstheme="majorBidi"/>
      <w:bCs/>
      <w:iCs/>
      <w:color w:val="1C1C1C" w:themeColor="text2"/>
      <w:sz w:val="26"/>
      <w:szCs w:val="26"/>
    </w:rPr>
  </w:style>
  <w:style w:type="paragraph" w:styleId="TOC1">
    <w:name w:val="toc 1"/>
    <w:basedOn w:val="Normal"/>
    <w:next w:val="Normal"/>
    <w:autoRedefine/>
    <w:uiPriority w:val="39"/>
    <w:unhideWhenUsed/>
    <w:rsid w:val="00C27965"/>
    <w:pPr>
      <w:tabs>
        <w:tab w:val="left" w:pos="454"/>
        <w:tab w:val="right" w:pos="9072"/>
      </w:tabs>
      <w:spacing w:after="180" w:line="230" w:lineRule="atLeast"/>
    </w:pPr>
    <w:rPr>
      <w:b/>
      <w:sz w:val="23"/>
    </w:rPr>
  </w:style>
  <w:style w:type="paragraph" w:styleId="TOC2">
    <w:name w:val="toc 2"/>
    <w:basedOn w:val="Normal"/>
    <w:next w:val="Normal"/>
    <w:autoRedefine/>
    <w:uiPriority w:val="39"/>
    <w:unhideWhenUsed/>
    <w:rsid w:val="00C27965"/>
    <w:pPr>
      <w:tabs>
        <w:tab w:val="left" w:pos="454"/>
        <w:tab w:val="right" w:pos="9072"/>
      </w:tabs>
      <w:spacing w:after="180" w:line="230" w:lineRule="atLeast"/>
      <w:ind w:left="738" w:hanging="454"/>
    </w:pPr>
  </w:style>
  <w:style w:type="paragraph" w:styleId="TOC3">
    <w:name w:val="toc 3"/>
    <w:basedOn w:val="Normal"/>
    <w:next w:val="Normal"/>
    <w:autoRedefine/>
    <w:uiPriority w:val="39"/>
    <w:unhideWhenUsed/>
    <w:rsid w:val="00880B3F"/>
    <w:pPr>
      <w:tabs>
        <w:tab w:val="left" w:pos="1134"/>
        <w:tab w:val="right" w:pos="9072"/>
      </w:tabs>
      <w:spacing w:before="60"/>
      <w:ind w:left="1134" w:hanging="680"/>
    </w:pPr>
  </w:style>
  <w:style w:type="paragraph" w:styleId="Header">
    <w:name w:val="header"/>
    <w:basedOn w:val="Normal"/>
    <w:link w:val="HeaderChar"/>
    <w:uiPriority w:val="99"/>
    <w:unhideWhenUsed/>
    <w:rsid w:val="00DB6D69"/>
    <w:pPr>
      <w:tabs>
        <w:tab w:val="center" w:pos="4513"/>
        <w:tab w:val="right" w:pos="9026"/>
      </w:tabs>
      <w:spacing w:before="0" w:after="0" w:line="180" w:lineRule="atLeast"/>
      <w:jc w:val="right"/>
    </w:pPr>
    <w:rPr>
      <w:sz w:val="14"/>
    </w:rPr>
  </w:style>
  <w:style w:type="paragraph" w:styleId="TOC4">
    <w:name w:val="toc 4"/>
    <w:basedOn w:val="Normal"/>
    <w:next w:val="Normal"/>
    <w:autoRedefine/>
    <w:uiPriority w:val="39"/>
    <w:unhideWhenUsed/>
    <w:rsid w:val="0035119D"/>
    <w:pPr>
      <w:suppressAutoHyphens w:val="0"/>
      <w:spacing w:before="0" w:after="100" w:line="259" w:lineRule="auto"/>
      <w:ind w:left="660"/>
    </w:pPr>
    <w:rPr>
      <w:rFonts w:eastAsiaTheme="minorEastAsia"/>
      <w:lang w:eastAsia="en-AU"/>
    </w:rPr>
  </w:style>
  <w:style w:type="paragraph" w:styleId="TOC5">
    <w:name w:val="toc 5"/>
    <w:basedOn w:val="Normal"/>
    <w:next w:val="Normal"/>
    <w:autoRedefine/>
    <w:unhideWhenUsed/>
    <w:rsid w:val="0035119D"/>
    <w:pPr>
      <w:suppressAutoHyphens w:val="0"/>
      <w:spacing w:before="0" w:after="100" w:line="259" w:lineRule="auto"/>
      <w:ind w:left="880"/>
    </w:pPr>
    <w:rPr>
      <w:rFonts w:eastAsiaTheme="minorEastAsia"/>
      <w:lang w:eastAsia="en-AU"/>
    </w:rPr>
  </w:style>
  <w:style w:type="paragraph" w:styleId="TOC6">
    <w:name w:val="toc 6"/>
    <w:basedOn w:val="Normal"/>
    <w:next w:val="Normal"/>
    <w:autoRedefine/>
    <w:unhideWhenUsed/>
    <w:rsid w:val="0035119D"/>
    <w:pPr>
      <w:suppressAutoHyphens w:val="0"/>
      <w:spacing w:before="0" w:after="100" w:line="259" w:lineRule="auto"/>
      <w:ind w:left="1100"/>
    </w:pPr>
    <w:rPr>
      <w:rFonts w:eastAsiaTheme="minorEastAsia"/>
      <w:lang w:eastAsia="en-AU"/>
    </w:rPr>
  </w:style>
  <w:style w:type="paragraph" w:styleId="TOC7">
    <w:name w:val="toc 7"/>
    <w:basedOn w:val="Normal"/>
    <w:next w:val="Normal"/>
    <w:autoRedefine/>
    <w:unhideWhenUsed/>
    <w:rsid w:val="0035119D"/>
    <w:pPr>
      <w:suppressAutoHyphens w:val="0"/>
      <w:spacing w:before="0" w:after="100" w:line="259" w:lineRule="auto"/>
      <w:ind w:left="1320"/>
    </w:pPr>
    <w:rPr>
      <w:rFonts w:eastAsiaTheme="minorEastAsia"/>
      <w:lang w:eastAsia="en-AU"/>
    </w:rPr>
  </w:style>
  <w:style w:type="numbering" w:customStyle="1" w:styleId="TableHeadingNumbers">
    <w:name w:val="Table Heading Numbers"/>
    <w:uiPriority w:val="99"/>
    <w:rsid w:val="00FE6D51"/>
    <w:pPr>
      <w:numPr>
        <w:numId w:val="9"/>
      </w:numPr>
    </w:pPr>
  </w:style>
  <w:style w:type="paragraph" w:styleId="TOC8">
    <w:name w:val="toc 8"/>
    <w:basedOn w:val="Normal"/>
    <w:next w:val="Normal"/>
    <w:autoRedefine/>
    <w:unhideWhenUsed/>
    <w:rsid w:val="0035119D"/>
    <w:pPr>
      <w:suppressAutoHyphens w:val="0"/>
      <w:spacing w:before="0" w:after="100" w:line="259" w:lineRule="auto"/>
      <w:ind w:left="1540"/>
    </w:pPr>
    <w:rPr>
      <w:rFonts w:eastAsiaTheme="minorEastAsia"/>
      <w:lang w:eastAsia="en-AU"/>
    </w:rPr>
  </w:style>
  <w:style w:type="paragraph" w:styleId="TOC9">
    <w:name w:val="toc 9"/>
    <w:basedOn w:val="Normal"/>
    <w:next w:val="Normal"/>
    <w:autoRedefine/>
    <w:uiPriority w:val="39"/>
    <w:unhideWhenUsed/>
    <w:rsid w:val="0035119D"/>
    <w:pPr>
      <w:suppressAutoHyphens w:val="0"/>
      <w:spacing w:before="0" w:after="100" w:line="259" w:lineRule="auto"/>
      <w:ind w:left="1760"/>
    </w:pPr>
    <w:rPr>
      <w:rFonts w:eastAsiaTheme="minorEastAsia"/>
      <w:lang w:eastAsia="en-AU"/>
    </w:rPr>
  </w:style>
  <w:style w:type="paragraph" w:styleId="TableofFigures">
    <w:name w:val="table of figures"/>
    <w:basedOn w:val="Normal"/>
    <w:next w:val="Normal"/>
    <w:uiPriority w:val="99"/>
    <w:unhideWhenUsed/>
    <w:rsid w:val="0035119D"/>
    <w:pPr>
      <w:spacing w:after="0"/>
      <w:ind w:left="907" w:hanging="907"/>
    </w:pPr>
  </w:style>
  <w:style w:type="paragraph" w:customStyle="1" w:styleId="IntroPara">
    <w:name w:val="Intro Para"/>
    <w:basedOn w:val="Normal"/>
    <w:qFormat/>
    <w:rsid w:val="001612A4"/>
    <w:pPr>
      <w:pBdr>
        <w:bottom w:val="single" w:sz="4" w:space="6" w:color="9CDBD9" w:themeColor="accent1"/>
      </w:pBdr>
    </w:pPr>
    <w:rPr>
      <w:sz w:val="24"/>
    </w:rPr>
  </w:style>
  <w:style w:type="table" w:styleId="TableGrid">
    <w:name w:val="Table Grid"/>
    <w:basedOn w:val="TableNormal"/>
    <w:uiPriority w:val="39"/>
    <w:rsid w:val="003148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rsid w:val="00DB6D69"/>
    <w:rPr>
      <w:sz w:val="14"/>
    </w:rPr>
  </w:style>
  <w:style w:type="numbering" w:customStyle="1" w:styleId="FigureTitles">
    <w:name w:val="Figure Titles"/>
    <w:uiPriority w:val="99"/>
    <w:rsid w:val="006346BC"/>
    <w:pPr>
      <w:numPr>
        <w:numId w:val="10"/>
      </w:numPr>
    </w:pPr>
  </w:style>
  <w:style w:type="character" w:styleId="Hyperlink">
    <w:name w:val="Hyperlink"/>
    <w:basedOn w:val="DefaultParagraphFont"/>
    <w:uiPriority w:val="99"/>
    <w:rsid w:val="00F729EF"/>
    <w:rPr>
      <w:rFonts w:asciiTheme="minorHAnsi" w:hAnsiTheme="minorHAnsi" w:cs="MuseoSans-500"/>
      <w:color w:val="auto"/>
      <w:u w:val="single" w:color="0070C0"/>
    </w:rPr>
  </w:style>
  <w:style w:type="character" w:styleId="IntenseEmphasis">
    <w:name w:val="Intense Emphasis"/>
    <w:basedOn w:val="DefaultParagraphFont"/>
    <w:uiPriority w:val="21"/>
    <w:qFormat/>
    <w:rsid w:val="00FE6D51"/>
    <w:rPr>
      <w:b/>
      <w:i/>
      <w:iCs/>
      <w:color w:val="auto"/>
    </w:rPr>
  </w:style>
  <w:style w:type="character" w:styleId="Strong">
    <w:name w:val="Strong"/>
    <w:aliases w:val="Bold"/>
    <w:basedOn w:val="DefaultParagraphFont"/>
    <w:qFormat/>
    <w:rsid w:val="00FE6D51"/>
    <w:rPr>
      <w:b/>
      <w:bCs/>
    </w:rPr>
  </w:style>
  <w:style w:type="character" w:styleId="Emphasis">
    <w:name w:val="Emphasis"/>
    <w:aliases w:val="Italics"/>
    <w:basedOn w:val="DefaultParagraphFont"/>
    <w:qFormat/>
    <w:rsid w:val="009D7407"/>
    <w:rPr>
      <w:i/>
      <w:iCs/>
    </w:rPr>
  </w:style>
  <w:style w:type="character" w:customStyle="1" w:styleId="Heading5Char">
    <w:name w:val="Heading 5 Char"/>
    <w:basedOn w:val="DefaultParagraphFont"/>
    <w:link w:val="Heading5"/>
    <w:rsid w:val="00486804"/>
    <w:rPr>
      <w:rFonts w:asciiTheme="majorHAnsi" w:eastAsiaTheme="majorEastAsia" w:hAnsiTheme="majorHAnsi" w:cstheme="majorBidi"/>
      <w:bCs/>
      <w:iCs/>
      <w:color w:val="56C2BE" w:themeColor="accent1" w:themeShade="BF"/>
      <w:szCs w:val="26"/>
    </w:rPr>
  </w:style>
  <w:style w:type="paragraph" w:styleId="Caption">
    <w:name w:val="caption"/>
    <w:basedOn w:val="Normal"/>
    <w:next w:val="Normal"/>
    <w:link w:val="CaptionChar"/>
    <w:unhideWhenUsed/>
    <w:qFormat/>
    <w:rsid w:val="00FB44AA"/>
    <w:pPr>
      <w:spacing w:before="200" w:after="120"/>
    </w:pPr>
    <w:rPr>
      <w:b/>
      <w:iCs/>
      <w:color w:val="000000" w:themeColor="text1"/>
      <w:szCs w:val="18"/>
    </w:rPr>
  </w:style>
  <w:style w:type="paragraph" w:styleId="Footer">
    <w:name w:val="footer"/>
    <w:basedOn w:val="Normal"/>
    <w:link w:val="FooterChar"/>
    <w:uiPriority w:val="99"/>
    <w:unhideWhenUsed/>
    <w:rsid w:val="00FB44AA"/>
    <w:pPr>
      <w:tabs>
        <w:tab w:val="center" w:pos="4513"/>
        <w:tab w:val="center" w:pos="8819"/>
        <w:tab w:val="right" w:pos="9026"/>
      </w:tabs>
      <w:spacing w:before="120" w:after="0" w:line="180" w:lineRule="atLeast"/>
    </w:pPr>
    <w:rPr>
      <w:sz w:val="14"/>
    </w:rPr>
  </w:style>
  <w:style w:type="character" w:customStyle="1" w:styleId="FooterChar">
    <w:name w:val="Footer Char"/>
    <w:basedOn w:val="DefaultParagraphFont"/>
    <w:link w:val="Footer"/>
    <w:uiPriority w:val="99"/>
    <w:rsid w:val="00FB44AA"/>
    <w:rPr>
      <w:sz w:val="14"/>
    </w:rPr>
  </w:style>
  <w:style w:type="character" w:customStyle="1" w:styleId="Heading6Char">
    <w:name w:val="Heading 6 Char"/>
    <w:basedOn w:val="DefaultParagraphFont"/>
    <w:link w:val="Heading6"/>
    <w:rsid w:val="00486804"/>
    <w:rPr>
      <w:rFonts w:asciiTheme="majorHAnsi" w:eastAsiaTheme="majorEastAsia" w:hAnsiTheme="majorHAnsi" w:cstheme="majorBidi"/>
      <w:bCs/>
      <w:iCs/>
      <w:color w:val="318885" w:themeColor="accent1" w:themeShade="7F"/>
      <w:szCs w:val="26"/>
    </w:rPr>
  </w:style>
  <w:style w:type="character" w:customStyle="1" w:styleId="Heading7Char">
    <w:name w:val="Heading 7 Char"/>
    <w:basedOn w:val="DefaultParagraphFont"/>
    <w:link w:val="Heading7"/>
    <w:semiHidden/>
    <w:rsid w:val="00486804"/>
    <w:rPr>
      <w:rFonts w:asciiTheme="majorHAnsi" w:eastAsiaTheme="majorEastAsia" w:hAnsiTheme="majorHAnsi" w:cstheme="majorBidi"/>
      <w:bCs/>
      <w:i/>
      <w:color w:val="318885" w:themeColor="accent1" w:themeShade="7F"/>
      <w:szCs w:val="26"/>
    </w:rPr>
  </w:style>
  <w:style w:type="character" w:customStyle="1" w:styleId="Heading8Char">
    <w:name w:val="Heading 8 Char"/>
    <w:basedOn w:val="DefaultParagraphFont"/>
    <w:link w:val="Heading8"/>
    <w:semiHidden/>
    <w:rsid w:val="00486804"/>
    <w:rPr>
      <w:rFonts w:asciiTheme="majorHAnsi" w:eastAsiaTheme="majorEastAsia" w:hAnsiTheme="majorHAnsi" w:cstheme="majorBidi"/>
      <w:bCs/>
      <w:i/>
      <w:color w:val="272727" w:themeColor="text1" w:themeTint="D8"/>
      <w:sz w:val="21"/>
      <w:szCs w:val="21"/>
    </w:rPr>
  </w:style>
  <w:style w:type="character" w:customStyle="1" w:styleId="Heading9Char">
    <w:name w:val="Heading 9 Char"/>
    <w:basedOn w:val="DefaultParagraphFont"/>
    <w:link w:val="Heading9"/>
    <w:semiHidden/>
    <w:rsid w:val="00486804"/>
    <w:rPr>
      <w:rFonts w:asciiTheme="majorHAnsi" w:eastAsiaTheme="majorEastAsia" w:hAnsiTheme="majorHAnsi" w:cstheme="majorBidi"/>
      <w:bCs/>
      <w:iCs/>
      <w:color w:val="272727" w:themeColor="text1" w:themeTint="D8"/>
      <w:sz w:val="21"/>
      <w:szCs w:val="21"/>
    </w:rPr>
  </w:style>
  <w:style w:type="paragraph" w:customStyle="1" w:styleId="Boxed1Text">
    <w:name w:val="Boxed 1 Text"/>
    <w:basedOn w:val="Normal"/>
    <w:qFormat/>
    <w:rsid w:val="00486804"/>
    <w:pPr>
      <w:pBdr>
        <w:top w:val="single" w:sz="4" w:space="14" w:color="EBF7F7" w:themeColor="accent1" w:themeTint="33"/>
        <w:left w:val="single" w:sz="4" w:space="14" w:color="EBF7F7" w:themeColor="accent1" w:themeTint="33"/>
        <w:bottom w:val="single" w:sz="4" w:space="14" w:color="EBF7F7" w:themeColor="accent1" w:themeTint="33"/>
        <w:right w:val="single" w:sz="4" w:space="14" w:color="EBF7F7" w:themeColor="accent1" w:themeTint="33"/>
      </w:pBdr>
      <w:shd w:val="clear" w:color="auto" w:fill="EBF7F7" w:themeFill="accent1" w:themeFillTint="33"/>
      <w:ind w:left="284" w:right="284"/>
    </w:pPr>
  </w:style>
  <w:style w:type="paragraph" w:customStyle="1" w:styleId="Boxed1Heading">
    <w:name w:val="Boxed 1 Heading"/>
    <w:basedOn w:val="Boxed1Text"/>
    <w:qFormat/>
    <w:rsid w:val="00486804"/>
    <w:rPr>
      <w:b/>
      <w:sz w:val="24"/>
    </w:rPr>
  </w:style>
  <w:style w:type="paragraph" w:customStyle="1" w:styleId="Boxed2Text">
    <w:name w:val="Boxed 2 Text"/>
    <w:basedOn w:val="Boxed1Text"/>
    <w:qFormat/>
    <w:rsid w:val="000C2A48"/>
    <w:pPr>
      <w:pBdr>
        <w:top w:val="single" w:sz="4" w:space="14" w:color="9CDBD9" w:themeColor="accent1"/>
        <w:left w:val="single" w:sz="4" w:space="14" w:color="9CDBD9" w:themeColor="accent1"/>
        <w:bottom w:val="single" w:sz="4" w:space="14" w:color="9CDBD9" w:themeColor="accent1"/>
        <w:right w:val="single" w:sz="4" w:space="14" w:color="9CDBD9" w:themeColor="accent1"/>
      </w:pBdr>
      <w:shd w:val="clear" w:color="auto" w:fill="9CDBD9" w:themeFill="accent1"/>
    </w:pPr>
  </w:style>
  <w:style w:type="paragraph" w:customStyle="1" w:styleId="Boxed2Heading">
    <w:name w:val="Boxed 2 Heading"/>
    <w:basedOn w:val="Boxed2Text"/>
    <w:qFormat/>
    <w:rsid w:val="000C2A48"/>
    <w:rPr>
      <w:b/>
      <w:sz w:val="24"/>
    </w:rPr>
  </w:style>
  <w:style w:type="character" w:styleId="PageNumber">
    <w:name w:val="page number"/>
    <w:basedOn w:val="DefaultParagraphFont"/>
    <w:uiPriority w:val="99"/>
    <w:unhideWhenUsed/>
    <w:qFormat/>
    <w:rsid w:val="00DB6D69"/>
  </w:style>
  <w:style w:type="table" w:styleId="TableGridLight">
    <w:name w:val="Grid Table Light"/>
    <w:basedOn w:val="TableNormal"/>
    <w:uiPriority w:val="40"/>
    <w:rsid w:val="000D60B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Finance1">
    <w:name w:val="Finance 1"/>
    <w:basedOn w:val="TableNormal"/>
    <w:uiPriority w:val="99"/>
    <w:rsid w:val="005C37F0"/>
    <w:pPr>
      <w:spacing w:before="60" w:after="60" w:line="200" w:lineRule="atLeast"/>
    </w:pPr>
    <w:rPr>
      <w:sz w:val="16"/>
    </w:rPr>
    <w:tblPr>
      <w:tblStyleRowBandSize w:val="1"/>
      <w:tblStyleColBandSize w:val="1"/>
      <w:tblBorders>
        <w:top w:val="single" w:sz="4" w:space="0" w:color="1C1C1C" w:themeColor="text2"/>
        <w:bottom w:val="single" w:sz="4" w:space="0" w:color="1C1C1C" w:themeColor="text2"/>
        <w:insideH w:val="single" w:sz="4" w:space="0" w:color="1C1C1C" w:themeColor="text2"/>
      </w:tblBorders>
      <w:tblCellMar>
        <w:left w:w="85" w:type="dxa"/>
        <w:right w:w="85" w:type="dxa"/>
      </w:tblCellMar>
    </w:tblPr>
    <w:trPr>
      <w:cantSplit/>
    </w:trPr>
    <w:tblStylePr w:type="firstRow">
      <w:rPr>
        <w:b/>
      </w:rPr>
      <w:tblPr/>
      <w:trPr>
        <w:tblHeader/>
      </w:trPr>
      <w:tcPr>
        <w:shd w:val="clear" w:color="auto" w:fill="1C1C1C" w:themeFill="text2"/>
      </w:tcPr>
    </w:tblStylePr>
    <w:tblStylePr w:type="lastRow">
      <w:tblPr/>
      <w:tcPr>
        <w:shd w:val="clear" w:color="auto" w:fill="1C1C1C" w:themeFill="text2"/>
      </w:tcPr>
    </w:tblStylePr>
    <w:tblStylePr w:type="firstCol">
      <w:tblPr/>
      <w:tcPr>
        <w:tcBorders>
          <w:insideH w:val="single" w:sz="4" w:space="0" w:color="FFFFFF" w:themeColor="background1"/>
        </w:tcBorders>
        <w:shd w:val="clear" w:color="auto" w:fill="1C1C1C" w:themeFill="text2"/>
      </w:tcPr>
    </w:tblStylePr>
    <w:tblStylePr w:type="lastCol">
      <w:tblPr/>
      <w:tcPr>
        <w:shd w:val="clear" w:color="auto" w:fill="BFBFBF" w:themeFill="background1" w:themeFillShade="BF"/>
      </w:tcPr>
    </w:tblStylePr>
    <w:tblStylePr w:type="band1Vert">
      <w:tblPr/>
      <w:tcPr>
        <w:shd w:val="clear" w:color="auto" w:fill="E2E3E2" w:themeFill="background2"/>
      </w:tcPr>
    </w:tblStylePr>
    <w:tblStylePr w:type="band2Vert">
      <w:tblPr/>
      <w:tcPr>
        <w:shd w:val="clear" w:color="auto" w:fill="FFFFFF" w:themeFill="background1"/>
      </w:tcPr>
    </w:tblStylePr>
    <w:tblStylePr w:type="band1Horz">
      <w:tblPr/>
      <w:tcPr>
        <w:shd w:val="clear" w:color="auto" w:fill="E2E3E2" w:themeFill="background2"/>
      </w:tcPr>
    </w:tblStylePr>
    <w:tblStylePr w:type="band2Horz">
      <w:rPr>
        <w:color w:val="auto"/>
      </w:rPr>
      <w:tblPr/>
      <w:tcPr>
        <w:shd w:val="clear" w:color="auto" w:fill="FFFFFF" w:themeFill="background1"/>
      </w:tcPr>
    </w:tblStylePr>
  </w:style>
  <w:style w:type="paragraph" w:customStyle="1" w:styleId="TableText">
    <w:name w:val="Table Text"/>
    <w:basedOn w:val="Normal"/>
    <w:qFormat/>
    <w:rsid w:val="00FB44AA"/>
    <w:pPr>
      <w:spacing w:before="60"/>
    </w:pPr>
    <w:rPr>
      <w:sz w:val="18"/>
    </w:rPr>
  </w:style>
  <w:style w:type="paragraph" w:customStyle="1" w:styleId="TableSourceNotes">
    <w:name w:val="Table Source Notes"/>
    <w:basedOn w:val="TableText"/>
    <w:qFormat/>
    <w:rsid w:val="00FB44AA"/>
    <w:pPr>
      <w:spacing w:before="120" w:line="240" w:lineRule="atLeast"/>
      <w:ind w:left="284" w:hanging="284"/>
      <w:contextualSpacing/>
    </w:pPr>
  </w:style>
  <w:style w:type="paragraph" w:styleId="FootnoteText">
    <w:name w:val="footnote text"/>
    <w:basedOn w:val="Normal"/>
    <w:link w:val="FootnoteTextChar"/>
    <w:unhideWhenUsed/>
    <w:rsid w:val="00AB19CF"/>
    <w:pPr>
      <w:spacing w:before="0" w:after="0" w:line="200" w:lineRule="atLeast"/>
      <w:ind w:left="284" w:hanging="284"/>
    </w:pPr>
    <w:rPr>
      <w:sz w:val="16"/>
      <w:szCs w:val="20"/>
    </w:rPr>
  </w:style>
  <w:style w:type="character" w:customStyle="1" w:styleId="FootnoteTextChar">
    <w:name w:val="Footnote Text Char"/>
    <w:basedOn w:val="DefaultParagraphFont"/>
    <w:link w:val="FootnoteText"/>
    <w:rsid w:val="00AB19CF"/>
    <w:rPr>
      <w:sz w:val="16"/>
      <w:szCs w:val="20"/>
    </w:rPr>
  </w:style>
  <w:style w:type="character" w:styleId="FootnoteReference">
    <w:name w:val="footnote reference"/>
    <w:basedOn w:val="DefaultParagraphFont"/>
    <w:unhideWhenUsed/>
    <w:rsid w:val="0020122A"/>
    <w:rPr>
      <w:vertAlign w:val="superscript"/>
    </w:rPr>
  </w:style>
  <w:style w:type="paragraph" w:customStyle="1" w:styleId="FootnoteSeparator">
    <w:name w:val="Footnote Separator"/>
    <w:basedOn w:val="Normal"/>
    <w:qFormat/>
    <w:rsid w:val="0020122A"/>
    <w:pPr>
      <w:pBdr>
        <w:top w:val="single" w:sz="2" w:space="1" w:color="auto"/>
      </w:pBdr>
      <w:spacing w:before="0" w:after="0" w:line="240" w:lineRule="auto"/>
    </w:pPr>
  </w:style>
  <w:style w:type="character" w:styleId="PlaceholderText">
    <w:name w:val="Placeholder Text"/>
    <w:basedOn w:val="DefaultParagraphFont"/>
    <w:uiPriority w:val="99"/>
    <w:semiHidden/>
    <w:rsid w:val="000A6A8B"/>
    <w:rPr>
      <w:color w:val="808080"/>
    </w:rPr>
  </w:style>
  <w:style w:type="character" w:customStyle="1" w:styleId="Classification">
    <w:name w:val="Classification"/>
    <w:basedOn w:val="DefaultParagraphFont"/>
    <w:uiPriority w:val="1"/>
    <w:qFormat/>
    <w:rsid w:val="006C4DD1"/>
    <w:rPr>
      <w:b/>
      <w:caps/>
      <w:smallCaps w:val="0"/>
      <w:sz w:val="24"/>
    </w:rPr>
  </w:style>
  <w:style w:type="paragraph" w:styleId="ListParagraph">
    <w:name w:val="List Paragraph"/>
    <w:basedOn w:val="Normal"/>
    <w:uiPriority w:val="34"/>
    <w:qFormat/>
    <w:rsid w:val="0082589D"/>
    <w:pPr>
      <w:ind w:left="720"/>
      <w:contextualSpacing/>
    </w:pPr>
  </w:style>
  <w:style w:type="paragraph" w:styleId="BodyText">
    <w:name w:val="Body Text"/>
    <w:basedOn w:val="Normal"/>
    <w:link w:val="BodyTextChar"/>
    <w:qFormat/>
    <w:rsid w:val="00F62315"/>
    <w:pPr>
      <w:suppressAutoHyphens w:val="0"/>
      <w:spacing w:before="120" w:line="260" w:lineRule="atLeast"/>
    </w:pPr>
    <w:rPr>
      <w:rFonts w:eastAsiaTheme="minorEastAsia"/>
      <w:sz w:val="20"/>
      <w:szCs w:val="20"/>
      <w:lang w:val="en-GB"/>
    </w:rPr>
  </w:style>
  <w:style w:type="character" w:customStyle="1" w:styleId="BodyTextChar">
    <w:name w:val="Body Text Char"/>
    <w:basedOn w:val="DefaultParagraphFont"/>
    <w:link w:val="BodyText"/>
    <w:rsid w:val="00F62315"/>
    <w:rPr>
      <w:rFonts w:eastAsiaTheme="minorEastAsia"/>
      <w:sz w:val="20"/>
      <w:szCs w:val="20"/>
      <w:lang w:val="en-GB"/>
    </w:rPr>
  </w:style>
  <w:style w:type="paragraph" w:styleId="BalloonText">
    <w:name w:val="Balloon Text"/>
    <w:basedOn w:val="Normal"/>
    <w:link w:val="BalloonTextChar"/>
    <w:semiHidden/>
    <w:rsid w:val="007D34A4"/>
    <w:pPr>
      <w:suppressAutoHyphens w:val="0"/>
      <w:spacing w:before="0" w:after="0" w:line="260" w:lineRule="atLeast"/>
    </w:pPr>
    <w:rPr>
      <w:rFonts w:ascii="Tahoma" w:eastAsiaTheme="minorEastAsia" w:hAnsi="Tahoma" w:cs="Tahoma"/>
      <w:sz w:val="16"/>
      <w:szCs w:val="16"/>
      <w:lang w:val="en-GB"/>
    </w:rPr>
  </w:style>
  <w:style w:type="character" w:customStyle="1" w:styleId="BalloonTextChar">
    <w:name w:val="Balloon Text Char"/>
    <w:basedOn w:val="DefaultParagraphFont"/>
    <w:link w:val="BalloonText"/>
    <w:semiHidden/>
    <w:rsid w:val="007D34A4"/>
    <w:rPr>
      <w:rFonts w:ascii="Tahoma" w:eastAsiaTheme="minorEastAsia" w:hAnsi="Tahoma" w:cs="Tahoma"/>
      <w:sz w:val="16"/>
      <w:szCs w:val="16"/>
      <w:lang w:val="en-GB"/>
    </w:rPr>
  </w:style>
  <w:style w:type="character" w:styleId="CommentReference">
    <w:name w:val="annotation reference"/>
    <w:basedOn w:val="DefaultParagraphFont"/>
    <w:semiHidden/>
    <w:rsid w:val="007D34A4"/>
    <w:rPr>
      <w:sz w:val="16"/>
      <w:szCs w:val="16"/>
    </w:rPr>
  </w:style>
  <w:style w:type="paragraph" w:styleId="CommentText">
    <w:name w:val="annotation text"/>
    <w:basedOn w:val="Normal"/>
    <w:link w:val="CommentTextChar"/>
    <w:semiHidden/>
    <w:rsid w:val="007D34A4"/>
    <w:pPr>
      <w:suppressAutoHyphens w:val="0"/>
      <w:spacing w:before="0" w:after="0" w:line="260" w:lineRule="atLeast"/>
    </w:pPr>
    <w:rPr>
      <w:rFonts w:eastAsiaTheme="minorEastAsia"/>
      <w:sz w:val="20"/>
      <w:szCs w:val="20"/>
      <w:lang w:val="en-GB"/>
    </w:rPr>
  </w:style>
  <w:style w:type="character" w:customStyle="1" w:styleId="CommentTextChar">
    <w:name w:val="Comment Text Char"/>
    <w:basedOn w:val="DefaultParagraphFont"/>
    <w:link w:val="CommentText"/>
    <w:semiHidden/>
    <w:rsid w:val="007D34A4"/>
    <w:rPr>
      <w:rFonts w:eastAsiaTheme="minorEastAsia"/>
      <w:sz w:val="20"/>
      <w:szCs w:val="20"/>
      <w:lang w:val="en-GB"/>
    </w:rPr>
  </w:style>
  <w:style w:type="paragraph" w:styleId="CommentSubject">
    <w:name w:val="annotation subject"/>
    <w:basedOn w:val="CommentText"/>
    <w:next w:val="CommentText"/>
    <w:link w:val="CommentSubjectChar"/>
    <w:semiHidden/>
    <w:rsid w:val="007D34A4"/>
    <w:rPr>
      <w:b/>
      <w:bCs/>
    </w:rPr>
  </w:style>
  <w:style w:type="character" w:customStyle="1" w:styleId="CommentSubjectChar">
    <w:name w:val="Comment Subject Char"/>
    <w:basedOn w:val="CommentTextChar"/>
    <w:link w:val="CommentSubject"/>
    <w:semiHidden/>
    <w:rsid w:val="007D34A4"/>
    <w:rPr>
      <w:rFonts w:eastAsiaTheme="minorEastAsia"/>
      <w:b/>
      <w:bCs/>
      <w:sz w:val="20"/>
      <w:szCs w:val="20"/>
      <w:lang w:val="en-GB"/>
    </w:rPr>
  </w:style>
  <w:style w:type="paragraph" w:styleId="DocumentMap">
    <w:name w:val="Document Map"/>
    <w:basedOn w:val="Normal"/>
    <w:link w:val="DocumentMapChar"/>
    <w:semiHidden/>
    <w:rsid w:val="007D34A4"/>
    <w:pPr>
      <w:shd w:val="clear" w:color="auto" w:fill="000080"/>
      <w:suppressAutoHyphens w:val="0"/>
      <w:spacing w:before="0" w:after="0" w:line="260" w:lineRule="atLeast"/>
    </w:pPr>
    <w:rPr>
      <w:rFonts w:ascii="Tahoma" w:eastAsiaTheme="minorEastAsia" w:hAnsi="Tahoma" w:cs="Tahoma"/>
      <w:sz w:val="20"/>
      <w:szCs w:val="20"/>
      <w:lang w:val="en-GB"/>
    </w:rPr>
  </w:style>
  <w:style w:type="character" w:customStyle="1" w:styleId="DocumentMapChar">
    <w:name w:val="Document Map Char"/>
    <w:basedOn w:val="DefaultParagraphFont"/>
    <w:link w:val="DocumentMap"/>
    <w:semiHidden/>
    <w:rsid w:val="007D34A4"/>
    <w:rPr>
      <w:rFonts w:ascii="Tahoma" w:eastAsiaTheme="minorEastAsia" w:hAnsi="Tahoma" w:cs="Tahoma"/>
      <w:sz w:val="20"/>
      <w:szCs w:val="20"/>
      <w:shd w:val="clear" w:color="auto" w:fill="000080"/>
      <w:lang w:val="en-GB"/>
    </w:rPr>
  </w:style>
  <w:style w:type="character" w:styleId="EndnoteReference">
    <w:name w:val="endnote reference"/>
    <w:basedOn w:val="DefaultParagraphFont"/>
    <w:semiHidden/>
    <w:rsid w:val="007D34A4"/>
    <w:rPr>
      <w:vertAlign w:val="superscript"/>
    </w:rPr>
  </w:style>
  <w:style w:type="paragraph" w:styleId="EndnoteText">
    <w:name w:val="endnote text"/>
    <w:basedOn w:val="Normal"/>
    <w:link w:val="EndnoteTextChar"/>
    <w:semiHidden/>
    <w:rsid w:val="007D34A4"/>
    <w:pPr>
      <w:suppressAutoHyphens w:val="0"/>
      <w:spacing w:before="0" w:after="0" w:line="260" w:lineRule="atLeast"/>
    </w:pPr>
    <w:rPr>
      <w:rFonts w:eastAsiaTheme="minorEastAsia"/>
      <w:sz w:val="20"/>
      <w:szCs w:val="20"/>
      <w:lang w:val="en-GB"/>
    </w:rPr>
  </w:style>
  <w:style w:type="character" w:customStyle="1" w:styleId="EndnoteTextChar">
    <w:name w:val="Endnote Text Char"/>
    <w:basedOn w:val="DefaultParagraphFont"/>
    <w:link w:val="EndnoteText"/>
    <w:semiHidden/>
    <w:rsid w:val="007D34A4"/>
    <w:rPr>
      <w:rFonts w:eastAsiaTheme="minorEastAsia"/>
      <w:sz w:val="20"/>
      <w:szCs w:val="20"/>
      <w:lang w:val="en-GB"/>
    </w:rPr>
  </w:style>
  <w:style w:type="paragraph" w:styleId="Index1">
    <w:name w:val="index 1"/>
    <w:basedOn w:val="Normal"/>
    <w:next w:val="Normal"/>
    <w:autoRedefine/>
    <w:semiHidden/>
    <w:rsid w:val="007D34A4"/>
    <w:pPr>
      <w:suppressAutoHyphens w:val="0"/>
      <w:spacing w:before="0" w:after="0" w:line="260" w:lineRule="atLeast"/>
      <w:ind w:left="240" w:hanging="240"/>
    </w:pPr>
    <w:rPr>
      <w:rFonts w:eastAsiaTheme="minorEastAsia"/>
      <w:sz w:val="20"/>
      <w:szCs w:val="20"/>
      <w:lang w:val="en-GB"/>
    </w:rPr>
  </w:style>
  <w:style w:type="paragraph" w:styleId="Index2">
    <w:name w:val="index 2"/>
    <w:basedOn w:val="Normal"/>
    <w:next w:val="Normal"/>
    <w:autoRedefine/>
    <w:semiHidden/>
    <w:rsid w:val="007D34A4"/>
    <w:pPr>
      <w:suppressAutoHyphens w:val="0"/>
      <w:spacing w:before="0" w:after="0" w:line="260" w:lineRule="atLeast"/>
      <w:ind w:left="480" w:hanging="240"/>
    </w:pPr>
    <w:rPr>
      <w:rFonts w:eastAsiaTheme="minorEastAsia"/>
      <w:sz w:val="20"/>
      <w:szCs w:val="20"/>
      <w:lang w:val="en-GB"/>
    </w:rPr>
  </w:style>
  <w:style w:type="paragraph" w:styleId="Index3">
    <w:name w:val="index 3"/>
    <w:basedOn w:val="Normal"/>
    <w:next w:val="Normal"/>
    <w:autoRedefine/>
    <w:semiHidden/>
    <w:rsid w:val="007D34A4"/>
    <w:pPr>
      <w:suppressAutoHyphens w:val="0"/>
      <w:spacing w:before="0" w:after="0" w:line="260" w:lineRule="atLeast"/>
      <w:ind w:left="720" w:hanging="240"/>
    </w:pPr>
    <w:rPr>
      <w:rFonts w:eastAsiaTheme="minorEastAsia"/>
      <w:sz w:val="20"/>
      <w:szCs w:val="20"/>
      <w:lang w:val="en-GB"/>
    </w:rPr>
  </w:style>
  <w:style w:type="paragraph" w:styleId="Index4">
    <w:name w:val="index 4"/>
    <w:basedOn w:val="Normal"/>
    <w:next w:val="Normal"/>
    <w:autoRedefine/>
    <w:semiHidden/>
    <w:rsid w:val="007D34A4"/>
    <w:pPr>
      <w:suppressAutoHyphens w:val="0"/>
      <w:spacing w:before="0" w:after="0" w:line="260" w:lineRule="atLeast"/>
      <w:ind w:left="960" w:hanging="240"/>
    </w:pPr>
    <w:rPr>
      <w:rFonts w:eastAsiaTheme="minorEastAsia"/>
      <w:sz w:val="20"/>
      <w:szCs w:val="20"/>
      <w:lang w:val="en-GB"/>
    </w:rPr>
  </w:style>
  <w:style w:type="paragraph" w:styleId="Index5">
    <w:name w:val="index 5"/>
    <w:basedOn w:val="Normal"/>
    <w:next w:val="Normal"/>
    <w:autoRedefine/>
    <w:semiHidden/>
    <w:rsid w:val="007D34A4"/>
    <w:pPr>
      <w:suppressAutoHyphens w:val="0"/>
      <w:spacing w:before="0" w:after="0" w:line="260" w:lineRule="atLeast"/>
      <w:ind w:left="1200" w:hanging="240"/>
    </w:pPr>
    <w:rPr>
      <w:rFonts w:eastAsiaTheme="minorEastAsia"/>
      <w:sz w:val="20"/>
      <w:szCs w:val="20"/>
      <w:lang w:val="en-GB"/>
    </w:rPr>
  </w:style>
  <w:style w:type="paragraph" w:styleId="Index6">
    <w:name w:val="index 6"/>
    <w:basedOn w:val="Normal"/>
    <w:next w:val="Normal"/>
    <w:autoRedefine/>
    <w:semiHidden/>
    <w:rsid w:val="007D34A4"/>
    <w:pPr>
      <w:suppressAutoHyphens w:val="0"/>
      <w:spacing w:before="0" w:after="0" w:line="260" w:lineRule="atLeast"/>
      <w:ind w:left="1440" w:hanging="240"/>
    </w:pPr>
    <w:rPr>
      <w:rFonts w:eastAsiaTheme="minorEastAsia"/>
      <w:sz w:val="20"/>
      <w:szCs w:val="20"/>
      <w:lang w:val="en-GB"/>
    </w:rPr>
  </w:style>
  <w:style w:type="paragraph" w:styleId="Index7">
    <w:name w:val="index 7"/>
    <w:basedOn w:val="Normal"/>
    <w:next w:val="Normal"/>
    <w:autoRedefine/>
    <w:semiHidden/>
    <w:rsid w:val="007D34A4"/>
    <w:pPr>
      <w:suppressAutoHyphens w:val="0"/>
      <w:spacing w:before="0" w:after="0" w:line="260" w:lineRule="atLeast"/>
      <w:ind w:left="1680" w:hanging="240"/>
    </w:pPr>
    <w:rPr>
      <w:rFonts w:eastAsiaTheme="minorEastAsia"/>
      <w:sz w:val="20"/>
      <w:szCs w:val="20"/>
      <w:lang w:val="en-GB"/>
    </w:rPr>
  </w:style>
  <w:style w:type="paragraph" w:styleId="Index8">
    <w:name w:val="index 8"/>
    <w:basedOn w:val="Normal"/>
    <w:next w:val="Normal"/>
    <w:autoRedefine/>
    <w:semiHidden/>
    <w:rsid w:val="007D34A4"/>
    <w:pPr>
      <w:suppressAutoHyphens w:val="0"/>
      <w:spacing w:before="0" w:after="0" w:line="260" w:lineRule="atLeast"/>
      <w:ind w:left="1920" w:hanging="240"/>
    </w:pPr>
    <w:rPr>
      <w:rFonts w:eastAsiaTheme="minorEastAsia"/>
      <w:sz w:val="20"/>
      <w:szCs w:val="20"/>
      <w:lang w:val="en-GB"/>
    </w:rPr>
  </w:style>
  <w:style w:type="paragraph" w:styleId="Index9">
    <w:name w:val="index 9"/>
    <w:basedOn w:val="Normal"/>
    <w:next w:val="Normal"/>
    <w:autoRedefine/>
    <w:semiHidden/>
    <w:rsid w:val="007D34A4"/>
    <w:pPr>
      <w:suppressAutoHyphens w:val="0"/>
      <w:spacing w:before="0" w:after="0" w:line="260" w:lineRule="atLeast"/>
      <w:ind w:left="2160" w:hanging="240"/>
    </w:pPr>
    <w:rPr>
      <w:rFonts w:eastAsiaTheme="minorEastAsia"/>
      <w:sz w:val="20"/>
      <w:szCs w:val="20"/>
      <w:lang w:val="en-GB"/>
    </w:rPr>
  </w:style>
  <w:style w:type="paragraph" w:styleId="IndexHeading">
    <w:name w:val="index heading"/>
    <w:basedOn w:val="Normal"/>
    <w:next w:val="Index1"/>
    <w:semiHidden/>
    <w:rsid w:val="007D34A4"/>
    <w:pPr>
      <w:suppressAutoHyphens w:val="0"/>
      <w:spacing w:before="0" w:after="0" w:line="260" w:lineRule="atLeast"/>
    </w:pPr>
    <w:rPr>
      <w:rFonts w:eastAsiaTheme="minorEastAsia" w:cs="Arial"/>
      <w:b/>
      <w:bCs/>
      <w:sz w:val="20"/>
      <w:szCs w:val="20"/>
      <w:lang w:val="en-GB"/>
    </w:rPr>
  </w:style>
  <w:style w:type="paragraph" w:styleId="MacroText">
    <w:name w:val="macro"/>
    <w:link w:val="MacroTextChar"/>
    <w:semiHidden/>
    <w:rsid w:val="007D34A4"/>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heme="minorEastAsia" w:hAnsi="Courier New" w:cs="Courier New"/>
      <w:sz w:val="20"/>
      <w:szCs w:val="20"/>
      <w:lang w:val="en-US" w:eastAsia="en-AU"/>
    </w:rPr>
  </w:style>
  <w:style w:type="character" w:customStyle="1" w:styleId="MacroTextChar">
    <w:name w:val="Macro Text Char"/>
    <w:basedOn w:val="DefaultParagraphFont"/>
    <w:link w:val="MacroText"/>
    <w:semiHidden/>
    <w:rsid w:val="007D34A4"/>
    <w:rPr>
      <w:rFonts w:ascii="Courier New" w:eastAsiaTheme="minorEastAsia" w:hAnsi="Courier New" w:cs="Courier New"/>
      <w:sz w:val="20"/>
      <w:szCs w:val="20"/>
      <w:lang w:val="en-US" w:eastAsia="en-AU"/>
    </w:rPr>
  </w:style>
  <w:style w:type="paragraph" w:styleId="TableofAuthorities">
    <w:name w:val="table of authorities"/>
    <w:basedOn w:val="Normal"/>
    <w:next w:val="Normal"/>
    <w:semiHidden/>
    <w:rsid w:val="007D34A4"/>
    <w:pPr>
      <w:suppressAutoHyphens w:val="0"/>
      <w:spacing w:before="0" w:after="0" w:line="260" w:lineRule="atLeast"/>
      <w:ind w:left="240" w:hanging="240"/>
    </w:pPr>
    <w:rPr>
      <w:rFonts w:eastAsiaTheme="minorEastAsia"/>
      <w:sz w:val="20"/>
      <w:szCs w:val="20"/>
      <w:lang w:val="en-GB"/>
    </w:rPr>
  </w:style>
  <w:style w:type="paragraph" w:styleId="TOAHeading">
    <w:name w:val="toa heading"/>
    <w:basedOn w:val="Normal"/>
    <w:next w:val="Normal"/>
    <w:semiHidden/>
    <w:rsid w:val="007D34A4"/>
    <w:pPr>
      <w:suppressAutoHyphens w:val="0"/>
      <w:spacing w:before="120" w:after="0" w:line="260" w:lineRule="atLeast"/>
    </w:pPr>
    <w:rPr>
      <w:rFonts w:eastAsiaTheme="minorEastAsia" w:cs="Arial"/>
      <w:b/>
      <w:bCs/>
      <w:sz w:val="20"/>
      <w:szCs w:val="20"/>
      <w:lang w:val="en-GB"/>
    </w:rPr>
  </w:style>
  <w:style w:type="paragraph" w:customStyle="1" w:styleId="References">
    <w:name w:val="References"/>
    <w:basedOn w:val="BodyText"/>
    <w:rsid w:val="007D34A4"/>
    <w:pPr>
      <w:ind w:left="720" w:hanging="720"/>
    </w:pPr>
  </w:style>
  <w:style w:type="paragraph" w:customStyle="1" w:styleId="TOC-title">
    <w:name w:val="TOC - title"/>
    <w:basedOn w:val="Normal"/>
    <w:next w:val="BodyText"/>
    <w:semiHidden/>
    <w:rsid w:val="007D34A4"/>
    <w:pPr>
      <w:keepNext/>
      <w:suppressAutoHyphens w:val="0"/>
      <w:spacing w:before="0" w:after="360" w:line="260" w:lineRule="atLeast"/>
      <w:jc w:val="center"/>
    </w:pPr>
    <w:rPr>
      <w:rFonts w:eastAsiaTheme="minorEastAsia" w:cs="Arial"/>
      <w:b/>
      <w:bCs/>
      <w:caps/>
      <w:sz w:val="28"/>
      <w:szCs w:val="20"/>
      <w:lang w:val="en-GB"/>
    </w:rPr>
  </w:style>
  <w:style w:type="paragraph" w:customStyle="1" w:styleId="TOC-othertext">
    <w:name w:val="TOC - other text"/>
    <w:basedOn w:val="TOC2"/>
    <w:semiHidden/>
    <w:rsid w:val="007D34A4"/>
    <w:pPr>
      <w:tabs>
        <w:tab w:val="clear" w:pos="454"/>
        <w:tab w:val="right" w:leader="dot" w:pos="9072"/>
      </w:tabs>
      <w:suppressAutoHyphens w:val="0"/>
      <w:spacing w:before="60" w:after="0" w:line="240" w:lineRule="exact"/>
      <w:ind w:left="1276" w:hanging="709"/>
      <w:contextualSpacing/>
    </w:pPr>
    <w:rPr>
      <w:rFonts w:eastAsiaTheme="minorEastAsia" w:cs="Arial"/>
      <w:sz w:val="18"/>
      <w:szCs w:val="20"/>
      <w:lang w:val="en-GB"/>
    </w:rPr>
  </w:style>
  <w:style w:type="paragraph" w:customStyle="1" w:styleId="PrefaceHeading">
    <w:name w:val="Preface Heading"/>
    <w:basedOn w:val="Heading1"/>
    <w:next w:val="BodyText"/>
    <w:semiHidden/>
    <w:rsid w:val="007D34A4"/>
    <w:pPr>
      <w:keepLines w:val="0"/>
      <w:numPr>
        <w:numId w:val="0"/>
      </w:numPr>
      <w:suppressAutoHyphens w:val="0"/>
      <w:spacing w:before="0" w:after="240" w:line="260" w:lineRule="atLeast"/>
      <w:contextualSpacing w:val="0"/>
    </w:pPr>
    <w:rPr>
      <w:rFonts w:asciiTheme="minorHAnsi" w:eastAsiaTheme="minorEastAsia" w:hAnsiTheme="minorHAnsi" w:cs="Arial"/>
      <w:b/>
      <w:caps/>
      <w:sz w:val="24"/>
      <w:szCs w:val="20"/>
      <w:lang w:val="en-GB"/>
    </w:rPr>
  </w:style>
  <w:style w:type="numbering" w:customStyle="1" w:styleId="ERMBulletList">
    <w:name w:val="ERMBulletList"/>
    <w:uiPriority w:val="99"/>
    <w:rsid w:val="007D34A4"/>
    <w:pPr>
      <w:numPr>
        <w:numId w:val="26"/>
      </w:numPr>
    </w:pPr>
  </w:style>
  <w:style w:type="paragraph" w:customStyle="1" w:styleId="TOC-otherhead">
    <w:name w:val="TOC - other head"/>
    <w:basedOn w:val="TOC1"/>
    <w:next w:val="TOC-othertext"/>
    <w:semiHidden/>
    <w:rsid w:val="007D34A4"/>
    <w:pPr>
      <w:tabs>
        <w:tab w:val="clear" w:pos="454"/>
        <w:tab w:val="right" w:leader="dot" w:pos="8280"/>
        <w:tab w:val="right" w:leader="dot" w:pos="9072"/>
      </w:tabs>
      <w:suppressAutoHyphens w:val="0"/>
      <w:spacing w:before="120" w:after="0" w:line="280" w:lineRule="exact"/>
      <w:ind w:left="567" w:hanging="567"/>
    </w:pPr>
    <w:rPr>
      <w:rFonts w:eastAsiaTheme="minorEastAsia" w:cs="Arial"/>
      <w:bCs/>
      <w:caps/>
      <w:color w:val="1C1C1C" w:themeColor="text2"/>
      <w:sz w:val="20"/>
      <w:szCs w:val="20"/>
      <w:u w:val="single"/>
      <w:lang w:val="en-GB"/>
    </w:rPr>
  </w:style>
  <w:style w:type="paragraph" w:customStyle="1" w:styleId="Tab-head">
    <w:name w:val="Tab - head"/>
    <w:basedOn w:val="TOC-title"/>
    <w:semiHidden/>
    <w:rsid w:val="007D34A4"/>
    <w:pPr>
      <w:spacing w:before="1920"/>
    </w:pPr>
  </w:style>
  <w:style w:type="paragraph" w:styleId="PlainText">
    <w:name w:val="Plain Text"/>
    <w:basedOn w:val="Normal"/>
    <w:link w:val="PlainTextChar"/>
    <w:semiHidden/>
    <w:rsid w:val="007D34A4"/>
    <w:pPr>
      <w:suppressAutoHyphens w:val="0"/>
      <w:spacing w:before="0" w:after="0" w:line="260" w:lineRule="atLeast"/>
    </w:pPr>
    <w:rPr>
      <w:rFonts w:ascii="Courier New" w:eastAsiaTheme="minorEastAsia" w:hAnsi="Courier New" w:cs="Courier New"/>
      <w:sz w:val="20"/>
      <w:szCs w:val="20"/>
      <w:lang w:val="en-GB"/>
    </w:rPr>
  </w:style>
  <w:style w:type="character" w:customStyle="1" w:styleId="PlainTextChar">
    <w:name w:val="Plain Text Char"/>
    <w:basedOn w:val="DefaultParagraphFont"/>
    <w:link w:val="PlainText"/>
    <w:semiHidden/>
    <w:rsid w:val="007D34A4"/>
    <w:rPr>
      <w:rFonts w:ascii="Courier New" w:eastAsiaTheme="minorEastAsia" w:hAnsi="Courier New" w:cs="Courier New"/>
      <w:sz w:val="20"/>
      <w:szCs w:val="20"/>
      <w:lang w:val="en-GB"/>
    </w:rPr>
  </w:style>
  <w:style w:type="paragraph" w:styleId="List">
    <w:name w:val="List"/>
    <w:basedOn w:val="BodyText"/>
    <w:semiHidden/>
    <w:rsid w:val="007D34A4"/>
  </w:style>
  <w:style w:type="paragraph" w:styleId="ListBullet">
    <w:name w:val="List Bullet"/>
    <w:basedOn w:val="BodyText"/>
    <w:qFormat/>
    <w:rsid w:val="007D34A4"/>
    <w:pPr>
      <w:ind w:left="397" w:hanging="397"/>
    </w:pPr>
  </w:style>
  <w:style w:type="paragraph" w:customStyle="1" w:styleId="PageLeftBlank">
    <w:name w:val="Page Left Blank"/>
    <w:basedOn w:val="BodyText"/>
    <w:next w:val="BodyText"/>
    <w:rsid w:val="007D34A4"/>
    <w:pPr>
      <w:spacing w:before="1440" w:after="0" w:line="240" w:lineRule="auto"/>
      <w:jc w:val="center"/>
    </w:pPr>
  </w:style>
  <w:style w:type="numbering" w:customStyle="1" w:styleId="ERMNumLIst">
    <w:name w:val="ERMNumLIst"/>
    <w:uiPriority w:val="99"/>
    <w:rsid w:val="007D34A4"/>
    <w:pPr>
      <w:numPr>
        <w:numId w:val="27"/>
      </w:numPr>
    </w:pPr>
  </w:style>
  <w:style w:type="paragraph" w:styleId="BodyTextFirstIndent">
    <w:name w:val="Body Text First Indent"/>
    <w:basedOn w:val="BodyText"/>
    <w:link w:val="BodyTextFirstIndentChar"/>
    <w:semiHidden/>
    <w:rsid w:val="007D34A4"/>
    <w:pPr>
      <w:spacing w:before="0" w:after="120" w:line="240" w:lineRule="auto"/>
      <w:ind w:firstLine="210"/>
    </w:pPr>
  </w:style>
  <w:style w:type="character" w:customStyle="1" w:styleId="BodyTextFirstIndentChar">
    <w:name w:val="Body Text First Indent Char"/>
    <w:basedOn w:val="BodyTextChar"/>
    <w:link w:val="BodyTextFirstIndent"/>
    <w:semiHidden/>
    <w:rsid w:val="007D34A4"/>
    <w:rPr>
      <w:rFonts w:eastAsiaTheme="minorEastAsia"/>
      <w:sz w:val="20"/>
      <w:szCs w:val="20"/>
      <w:lang w:val="en-GB"/>
    </w:rPr>
  </w:style>
  <w:style w:type="numbering" w:styleId="111111">
    <w:name w:val="Outline List 2"/>
    <w:basedOn w:val="NoList"/>
    <w:semiHidden/>
    <w:rsid w:val="007D34A4"/>
    <w:pPr>
      <w:numPr>
        <w:numId w:val="22"/>
      </w:numPr>
    </w:pPr>
  </w:style>
  <w:style w:type="numbering" w:styleId="1ai">
    <w:name w:val="Outline List 1"/>
    <w:basedOn w:val="NoList"/>
    <w:semiHidden/>
    <w:rsid w:val="007D34A4"/>
    <w:pPr>
      <w:numPr>
        <w:numId w:val="23"/>
      </w:numPr>
    </w:pPr>
  </w:style>
  <w:style w:type="numbering" w:styleId="ArticleSection">
    <w:name w:val="Outline List 3"/>
    <w:basedOn w:val="NoList"/>
    <w:semiHidden/>
    <w:rsid w:val="007D34A4"/>
    <w:pPr>
      <w:numPr>
        <w:numId w:val="24"/>
      </w:numPr>
    </w:pPr>
  </w:style>
  <w:style w:type="paragraph" w:styleId="BlockText">
    <w:name w:val="Block Text"/>
    <w:aliases w:val="Block Quote"/>
    <w:basedOn w:val="Normal"/>
    <w:next w:val="BodyText"/>
    <w:link w:val="BlockTextChar"/>
    <w:qFormat/>
    <w:rsid w:val="007D34A4"/>
    <w:pPr>
      <w:suppressAutoHyphens w:val="0"/>
      <w:spacing w:before="120" w:line="260" w:lineRule="atLeast"/>
      <w:ind w:left="794" w:right="1440"/>
    </w:pPr>
    <w:rPr>
      <w:rFonts w:eastAsiaTheme="minorEastAsia" w:cs="Arial"/>
      <w:sz w:val="20"/>
      <w:szCs w:val="20"/>
      <w:lang w:val="en-GB"/>
    </w:rPr>
  </w:style>
  <w:style w:type="paragraph" w:styleId="BodyText2">
    <w:name w:val="Body Text 2"/>
    <w:basedOn w:val="Normal"/>
    <w:link w:val="BodyText2Char"/>
    <w:semiHidden/>
    <w:rsid w:val="007D34A4"/>
    <w:pPr>
      <w:suppressAutoHyphens w:val="0"/>
      <w:spacing w:before="0" w:after="120" w:line="480" w:lineRule="auto"/>
    </w:pPr>
    <w:rPr>
      <w:rFonts w:eastAsiaTheme="minorEastAsia"/>
      <w:sz w:val="20"/>
      <w:szCs w:val="20"/>
      <w:lang w:val="en-GB"/>
    </w:rPr>
  </w:style>
  <w:style w:type="character" w:customStyle="1" w:styleId="BodyText2Char">
    <w:name w:val="Body Text 2 Char"/>
    <w:basedOn w:val="DefaultParagraphFont"/>
    <w:link w:val="BodyText2"/>
    <w:semiHidden/>
    <w:rsid w:val="007D34A4"/>
    <w:rPr>
      <w:rFonts w:eastAsiaTheme="minorEastAsia"/>
      <w:sz w:val="20"/>
      <w:szCs w:val="20"/>
      <w:lang w:val="en-GB"/>
    </w:rPr>
  </w:style>
  <w:style w:type="paragraph" w:styleId="BodyText3">
    <w:name w:val="Body Text 3"/>
    <w:basedOn w:val="Normal"/>
    <w:link w:val="BodyText3Char"/>
    <w:semiHidden/>
    <w:rsid w:val="007D34A4"/>
    <w:pPr>
      <w:suppressAutoHyphens w:val="0"/>
      <w:spacing w:before="0" w:after="120" w:line="260" w:lineRule="atLeast"/>
    </w:pPr>
    <w:rPr>
      <w:rFonts w:eastAsiaTheme="minorEastAsia"/>
      <w:sz w:val="16"/>
      <w:szCs w:val="16"/>
      <w:lang w:val="en-GB"/>
    </w:rPr>
  </w:style>
  <w:style w:type="character" w:customStyle="1" w:styleId="BodyText3Char">
    <w:name w:val="Body Text 3 Char"/>
    <w:basedOn w:val="DefaultParagraphFont"/>
    <w:link w:val="BodyText3"/>
    <w:semiHidden/>
    <w:rsid w:val="007D34A4"/>
    <w:rPr>
      <w:rFonts w:eastAsiaTheme="minorEastAsia"/>
      <w:sz w:val="16"/>
      <w:szCs w:val="16"/>
      <w:lang w:val="en-GB"/>
    </w:rPr>
  </w:style>
  <w:style w:type="paragraph" w:styleId="BodyTextIndent">
    <w:name w:val="Body Text Indent"/>
    <w:basedOn w:val="Normal"/>
    <w:link w:val="BodyTextIndentChar"/>
    <w:semiHidden/>
    <w:rsid w:val="007D34A4"/>
    <w:pPr>
      <w:suppressAutoHyphens w:val="0"/>
      <w:spacing w:before="0" w:after="120" w:line="260" w:lineRule="atLeast"/>
      <w:ind w:left="360"/>
    </w:pPr>
    <w:rPr>
      <w:rFonts w:eastAsiaTheme="minorEastAsia"/>
      <w:sz w:val="20"/>
      <w:szCs w:val="20"/>
      <w:lang w:val="en-GB"/>
    </w:rPr>
  </w:style>
  <w:style w:type="character" w:customStyle="1" w:styleId="BodyTextIndentChar">
    <w:name w:val="Body Text Indent Char"/>
    <w:basedOn w:val="DefaultParagraphFont"/>
    <w:link w:val="BodyTextIndent"/>
    <w:semiHidden/>
    <w:rsid w:val="007D34A4"/>
    <w:rPr>
      <w:rFonts w:eastAsiaTheme="minorEastAsia"/>
      <w:sz w:val="20"/>
      <w:szCs w:val="20"/>
      <w:lang w:val="en-GB"/>
    </w:rPr>
  </w:style>
  <w:style w:type="paragraph" w:styleId="BodyTextFirstIndent2">
    <w:name w:val="Body Text First Indent 2"/>
    <w:basedOn w:val="BodyTextIndent"/>
    <w:link w:val="BodyTextFirstIndent2Char"/>
    <w:semiHidden/>
    <w:rsid w:val="007D34A4"/>
    <w:pPr>
      <w:ind w:firstLine="210"/>
    </w:pPr>
  </w:style>
  <w:style w:type="character" w:customStyle="1" w:styleId="BodyTextFirstIndent2Char">
    <w:name w:val="Body Text First Indent 2 Char"/>
    <w:basedOn w:val="BodyTextIndentChar"/>
    <w:link w:val="BodyTextFirstIndent2"/>
    <w:semiHidden/>
    <w:rsid w:val="007D34A4"/>
    <w:rPr>
      <w:rFonts w:eastAsiaTheme="minorEastAsia"/>
      <w:sz w:val="20"/>
      <w:szCs w:val="20"/>
      <w:lang w:val="en-GB"/>
    </w:rPr>
  </w:style>
  <w:style w:type="paragraph" w:styleId="BodyTextIndent2">
    <w:name w:val="Body Text Indent 2"/>
    <w:basedOn w:val="Normal"/>
    <w:link w:val="BodyTextIndent2Char"/>
    <w:semiHidden/>
    <w:rsid w:val="007D34A4"/>
    <w:pPr>
      <w:suppressAutoHyphens w:val="0"/>
      <w:spacing w:before="0" w:after="120" w:line="480" w:lineRule="auto"/>
      <w:ind w:left="360"/>
    </w:pPr>
    <w:rPr>
      <w:rFonts w:eastAsiaTheme="minorEastAsia"/>
      <w:sz w:val="20"/>
      <w:szCs w:val="20"/>
      <w:lang w:val="en-GB"/>
    </w:rPr>
  </w:style>
  <w:style w:type="character" w:customStyle="1" w:styleId="BodyTextIndent2Char">
    <w:name w:val="Body Text Indent 2 Char"/>
    <w:basedOn w:val="DefaultParagraphFont"/>
    <w:link w:val="BodyTextIndent2"/>
    <w:semiHidden/>
    <w:rsid w:val="007D34A4"/>
    <w:rPr>
      <w:rFonts w:eastAsiaTheme="minorEastAsia"/>
      <w:sz w:val="20"/>
      <w:szCs w:val="20"/>
      <w:lang w:val="en-GB"/>
    </w:rPr>
  </w:style>
  <w:style w:type="paragraph" w:styleId="BodyTextIndent3">
    <w:name w:val="Body Text Indent 3"/>
    <w:basedOn w:val="Normal"/>
    <w:link w:val="BodyTextIndent3Char"/>
    <w:semiHidden/>
    <w:rsid w:val="007D34A4"/>
    <w:pPr>
      <w:suppressAutoHyphens w:val="0"/>
      <w:spacing w:before="0" w:after="120" w:line="260" w:lineRule="atLeast"/>
      <w:ind w:left="360"/>
    </w:pPr>
    <w:rPr>
      <w:rFonts w:eastAsiaTheme="minorEastAsia"/>
      <w:sz w:val="16"/>
      <w:szCs w:val="16"/>
      <w:lang w:val="en-GB"/>
    </w:rPr>
  </w:style>
  <w:style w:type="character" w:customStyle="1" w:styleId="BodyTextIndent3Char">
    <w:name w:val="Body Text Indent 3 Char"/>
    <w:basedOn w:val="DefaultParagraphFont"/>
    <w:link w:val="BodyTextIndent3"/>
    <w:semiHidden/>
    <w:rsid w:val="007D34A4"/>
    <w:rPr>
      <w:rFonts w:eastAsiaTheme="minorEastAsia"/>
      <w:sz w:val="16"/>
      <w:szCs w:val="16"/>
      <w:lang w:val="en-GB"/>
    </w:rPr>
  </w:style>
  <w:style w:type="paragraph" w:styleId="Closing">
    <w:name w:val="Closing"/>
    <w:basedOn w:val="Normal"/>
    <w:link w:val="ClosingChar"/>
    <w:semiHidden/>
    <w:rsid w:val="007D34A4"/>
    <w:pPr>
      <w:suppressAutoHyphens w:val="0"/>
      <w:spacing w:before="0" w:after="0" w:line="260" w:lineRule="atLeast"/>
      <w:ind w:left="4320"/>
    </w:pPr>
    <w:rPr>
      <w:rFonts w:eastAsiaTheme="minorEastAsia"/>
      <w:sz w:val="20"/>
      <w:szCs w:val="20"/>
      <w:lang w:val="en-GB"/>
    </w:rPr>
  </w:style>
  <w:style w:type="character" w:customStyle="1" w:styleId="ClosingChar">
    <w:name w:val="Closing Char"/>
    <w:basedOn w:val="DefaultParagraphFont"/>
    <w:link w:val="Closing"/>
    <w:semiHidden/>
    <w:rsid w:val="007D34A4"/>
    <w:rPr>
      <w:rFonts w:eastAsiaTheme="minorEastAsia"/>
      <w:sz w:val="20"/>
      <w:szCs w:val="20"/>
      <w:lang w:val="en-GB"/>
    </w:rPr>
  </w:style>
  <w:style w:type="paragraph" w:styleId="Date">
    <w:name w:val="Date"/>
    <w:basedOn w:val="Normal"/>
    <w:next w:val="Normal"/>
    <w:link w:val="DateChar"/>
    <w:semiHidden/>
    <w:rsid w:val="007D34A4"/>
    <w:pPr>
      <w:suppressAutoHyphens w:val="0"/>
      <w:spacing w:before="0" w:after="0" w:line="260" w:lineRule="atLeast"/>
    </w:pPr>
    <w:rPr>
      <w:rFonts w:eastAsiaTheme="minorEastAsia"/>
      <w:sz w:val="20"/>
      <w:szCs w:val="20"/>
      <w:lang w:val="en-GB"/>
    </w:rPr>
  </w:style>
  <w:style w:type="character" w:customStyle="1" w:styleId="DateChar">
    <w:name w:val="Date Char"/>
    <w:basedOn w:val="DefaultParagraphFont"/>
    <w:link w:val="Date"/>
    <w:semiHidden/>
    <w:rsid w:val="007D34A4"/>
    <w:rPr>
      <w:rFonts w:eastAsiaTheme="minorEastAsia"/>
      <w:sz w:val="20"/>
      <w:szCs w:val="20"/>
      <w:lang w:val="en-GB"/>
    </w:rPr>
  </w:style>
  <w:style w:type="paragraph" w:styleId="E-mailSignature">
    <w:name w:val="E-mail Signature"/>
    <w:basedOn w:val="Normal"/>
    <w:link w:val="E-mailSignatureChar"/>
    <w:semiHidden/>
    <w:rsid w:val="007D34A4"/>
    <w:pPr>
      <w:suppressAutoHyphens w:val="0"/>
      <w:spacing w:before="0" w:after="0" w:line="260" w:lineRule="atLeast"/>
    </w:pPr>
    <w:rPr>
      <w:rFonts w:eastAsiaTheme="minorEastAsia"/>
      <w:sz w:val="20"/>
      <w:szCs w:val="20"/>
      <w:lang w:val="en-GB"/>
    </w:rPr>
  </w:style>
  <w:style w:type="character" w:customStyle="1" w:styleId="E-mailSignatureChar">
    <w:name w:val="E-mail Signature Char"/>
    <w:basedOn w:val="DefaultParagraphFont"/>
    <w:link w:val="E-mailSignature"/>
    <w:semiHidden/>
    <w:rsid w:val="007D34A4"/>
    <w:rPr>
      <w:rFonts w:eastAsiaTheme="minorEastAsia"/>
      <w:sz w:val="20"/>
      <w:szCs w:val="20"/>
      <w:lang w:val="en-GB"/>
    </w:rPr>
  </w:style>
  <w:style w:type="paragraph" w:styleId="EnvelopeAddress">
    <w:name w:val="envelope address"/>
    <w:basedOn w:val="Normal"/>
    <w:semiHidden/>
    <w:rsid w:val="007D34A4"/>
    <w:pPr>
      <w:framePr w:w="7920" w:h="1980" w:hRule="exact" w:hSpace="180" w:wrap="auto" w:hAnchor="page" w:xAlign="center" w:yAlign="bottom"/>
      <w:suppressAutoHyphens w:val="0"/>
      <w:spacing w:before="0" w:after="0" w:line="260" w:lineRule="atLeast"/>
      <w:ind w:left="2880"/>
    </w:pPr>
    <w:rPr>
      <w:rFonts w:eastAsiaTheme="minorEastAsia" w:cs="Arial"/>
      <w:sz w:val="20"/>
      <w:szCs w:val="20"/>
      <w:lang w:val="en-GB"/>
    </w:rPr>
  </w:style>
  <w:style w:type="paragraph" w:styleId="EnvelopeReturn">
    <w:name w:val="envelope return"/>
    <w:basedOn w:val="Normal"/>
    <w:semiHidden/>
    <w:rsid w:val="007D34A4"/>
    <w:pPr>
      <w:suppressAutoHyphens w:val="0"/>
      <w:spacing w:before="0" w:after="0" w:line="260" w:lineRule="atLeast"/>
    </w:pPr>
    <w:rPr>
      <w:rFonts w:eastAsiaTheme="minorEastAsia" w:cs="Arial"/>
      <w:sz w:val="20"/>
      <w:szCs w:val="20"/>
      <w:lang w:val="en-GB"/>
    </w:rPr>
  </w:style>
  <w:style w:type="character" w:styleId="FollowedHyperlink">
    <w:name w:val="FollowedHyperlink"/>
    <w:basedOn w:val="DefaultParagraphFont"/>
    <w:semiHidden/>
    <w:rsid w:val="007D34A4"/>
    <w:rPr>
      <w:color w:val="800080"/>
      <w:u w:val="single"/>
    </w:rPr>
  </w:style>
  <w:style w:type="character" w:styleId="HTMLAcronym">
    <w:name w:val="HTML Acronym"/>
    <w:basedOn w:val="DefaultParagraphFont"/>
    <w:semiHidden/>
    <w:rsid w:val="007D34A4"/>
  </w:style>
  <w:style w:type="paragraph" w:styleId="HTMLAddress">
    <w:name w:val="HTML Address"/>
    <w:basedOn w:val="Normal"/>
    <w:link w:val="HTMLAddressChar"/>
    <w:semiHidden/>
    <w:rsid w:val="007D34A4"/>
    <w:pPr>
      <w:suppressAutoHyphens w:val="0"/>
      <w:spacing w:before="0" w:after="0" w:line="260" w:lineRule="atLeast"/>
    </w:pPr>
    <w:rPr>
      <w:rFonts w:eastAsiaTheme="minorEastAsia"/>
      <w:i/>
      <w:iCs/>
      <w:sz w:val="20"/>
      <w:szCs w:val="20"/>
      <w:lang w:val="en-GB"/>
    </w:rPr>
  </w:style>
  <w:style w:type="character" w:customStyle="1" w:styleId="HTMLAddressChar">
    <w:name w:val="HTML Address Char"/>
    <w:basedOn w:val="DefaultParagraphFont"/>
    <w:link w:val="HTMLAddress"/>
    <w:semiHidden/>
    <w:rsid w:val="007D34A4"/>
    <w:rPr>
      <w:rFonts w:eastAsiaTheme="minorEastAsia"/>
      <w:i/>
      <w:iCs/>
      <w:sz w:val="20"/>
      <w:szCs w:val="20"/>
      <w:lang w:val="en-GB"/>
    </w:rPr>
  </w:style>
  <w:style w:type="character" w:styleId="HTMLCite">
    <w:name w:val="HTML Cite"/>
    <w:basedOn w:val="DefaultParagraphFont"/>
    <w:semiHidden/>
    <w:rsid w:val="007D34A4"/>
    <w:rPr>
      <w:i/>
      <w:iCs/>
    </w:rPr>
  </w:style>
  <w:style w:type="character" w:styleId="HTMLCode">
    <w:name w:val="HTML Code"/>
    <w:basedOn w:val="DefaultParagraphFont"/>
    <w:semiHidden/>
    <w:rsid w:val="007D34A4"/>
    <w:rPr>
      <w:rFonts w:ascii="Courier New" w:hAnsi="Courier New" w:cs="Courier New"/>
      <w:sz w:val="20"/>
      <w:szCs w:val="20"/>
    </w:rPr>
  </w:style>
  <w:style w:type="character" w:styleId="HTMLDefinition">
    <w:name w:val="HTML Definition"/>
    <w:basedOn w:val="DefaultParagraphFont"/>
    <w:semiHidden/>
    <w:rsid w:val="007D34A4"/>
    <w:rPr>
      <w:i/>
      <w:iCs/>
    </w:rPr>
  </w:style>
  <w:style w:type="character" w:styleId="HTMLKeyboard">
    <w:name w:val="HTML Keyboard"/>
    <w:basedOn w:val="DefaultParagraphFont"/>
    <w:semiHidden/>
    <w:rsid w:val="007D34A4"/>
    <w:rPr>
      <w:rFonts w:ascii="Courier New" w:hAnsi="Courier New" w:cs="Courier New"/>
      <w:sz w:val="20"/>
      <w:szCs w:val="20"/>
    </w:rPr>
  </w:style>
  <w:style w:type="paragraph" w:styleId="HTMLPreformatted">
    <w:name w:val="HTML Preformatted"/>
    <w:basedOn w:val="Normal"/>
    <w:link w:val="HTMLPreformattedChar"/>
    <w:semiHidden/>
    <w:rsid w:val="007D34A4"/>
    <w:pPr>
      <w:suppressAutoHyphens w:val="0"/>
      <w:spacing w:before="0" w:after="0" w:line="260" w:lineRule="atLeast"/>
    </w:pPr>
    <w:rPr>
      <w:rFonts w:ascii="Courier New" w:eastAsiaTheme="minorEastAsia" w:hAnsi="Courier New" w:cs="Courier New"/>
      <w:sz w:val="20"/>
      <w:szCs w:val="20"/>
      <w:lang w:val="en-GB"/>
    </w:rPr>
  </w:style>
  <w:style w:type="character" w:customStyle="1" w:styleId="HTMLPreformattedChar">
    <w:name w:val="HTML Preformatted Char"/>
    <w:basedOn w:val="DefaultParagraphFont"/>
    <w:link w:val="HTMLPreformatted"/>
    <w:semiHidden/>
    <w:rsid w:val="007D34A4"/>
    <w:rPr>
      <w:rFonts w:ascii="Courier New" w:eastAsiaTheme="minorEastAsia" w:hAnsi="Courier New" w:cs="Courier New"/>
      <w:sz w:val="20"/>
      <w:szCs w:val="20"/>
      <w:lang w:val="en-GB"/>
    </w:rPr>
  </w:style>
  <w:style w:type="character" w:styleId="HTMLSample">
    <w:name w:val="HTML Sample"/>
    <w:basedOn w:val="DefaultParagraphFont"/>
    <w:semiHidden/>
    <w:rsid w:val="007D34A4"/>
    <w:rPr>
      <w:rFonts w:ascii="Courier New" w:hAnsi="Courier New" w:cs="Courier New"/>
    </w:rPr>
  </w:style>
  <w:style w:type="character" w:styleId="HTMLTypewriter">
    <w:name w:val="HTML Typewriter"/>
    <w:basedOn w:val="DefaultParagraphFont"/>
    <w:semiHidden/>
    <w:rsid w:val="007D34A4"/>
    <w:rPr>
      <w:rFonts w:ascii="Courier New" w:hAnsi="Courier New" w:cs="Courier New"/>
      <w:sz w:val="20"/>
      <w:szCs w:val="20"/>
    </w:rPr>
  </w:style>
  <w:style w:type="character" w:styleId="HTMLVariable">
    <w:name w:val="HTML Variable"/>
    <w:basedOn w:val="DefaultParagraphFont"/>
    <w:semiHidden/>
    <w:rsid w:val="007D34A4"/>
    <w:rPr>
      <w:i/>
      <w:iCs/>
    </w:rPr>
  </w:style>
  <w:style w:type="character" w:styleId="LineNumber">
    <w:name w:val="line number"/>
    <w:basedOn w:val="DefaultParagraphFont"/>
    <w:semiHidden/>
    <w:rsid w:val="007D34A4"/>
    <w:rPr>
      <w:rFonts w:ascii="Book Antiqua" w:hAnsi="Book Antiqua"/>
    </w:rPr>
  </w:style>
  <w:style w:type="paragraph" w:styleId="List2">
    <w:name w:val="List 2"/>
    <w:basedOn w:val="Normal"/>
    <w:semiHidden/>
    <w:rsid w:val="007D34A4"/>
    <w:pPr>
      <w:suppressAutoHyphens w:val="0"/>
      <w:spacing w:before="0" w:after="0" w:line="260" w:lineRule="atLeast"/>
      <w:ind w:left="720" w:hanging="360"/>
    </w:pPr>
    <w:rPr>
      <w:rFonts w:eastAsiaTheme="minorEastAsia"/>
      <w:sz w:val="20"/>
      <w:szCs w:val="20"/>
      <w:lang w:val="en-GB"/>
    </w:rPr>
  </w:style>
  <w:style w:type="paragraph" w:styleId="List3">
    <w:name w:val="List 3"/>
    <w:basedOn w:val="Normal"/>
    <w:semiHidden/>
    <w:rsid w:val="007D34A4"/>
    <w:pPr>
      <w:suppressAutoHyphens w:val="0"/>
      <w:spacing w:before="0" w:after="0" w:line="260" w:lineRule="atLeast"/>
      <w:ind w:left="1080" w:hanging="360"/>
    </w:pPr>
    <w:rPr>
      <w:rFonts w:eastAsiaTheme="minorEastAsia"/>
      <w:sz w:val="20"/>
      <w:szCs w:val="20"/>
      <w:lang w:val="en-GB"/>
    </w:rPr>
  </w:style>
  <w:style w:type="paragraph" w:styleId="List4">
    <w:name w:val="List 4"/>
    <w:basedOn w:val="Normal"/>
    <w:semiHidden/>
    <w:rsid w:val="007D34A4"/>
    <w:pPr>
      <w:suppressAutoHyphens w:val="0"/>
      <w:spacing w:before="0" w:after="0" w:line="260" w:lineRule="atLeast"/>
      <w:ind w:left="1440" w:hanging="360"/>
    </w:pPr>
    <w:rPr>
      <w:rFonts w:eastAsiaTheme="minorEastAsia"/>
      <w:sz w:val="20"/>
      <w:szCs w:val="20"/>
      <w:lang w:val="en-GB"/>
    </w:rPr>
  </w:style>
  <w:style w:type="paragraph" w:styleId="List5">
    <w:name w:val="List 5"/>
    <w:basedOn w:val="Normal"/>
    <w:semiHidden/>
    <w:rsid w:val="007D34A4"/>
    <w:pPr>
      <w:suppressAutoHyphens w:val="0"/>
      <w:spacing w:before="0" w:after="0" w:line="260" w:lineRule="atLeast"/>
      <w:ind w:left="1800" w:hanging="360"/>
    </w:pPr>
    <w:rPr>
      <w:rFonts w:eastAsiaTheme="minorEastAsia"/>
      <w:sz w:val="20"/>
      <w:szCs w:val="20"/>
      <w:lang w:val="en-GB"/>
    </w:rPr>
  </w:style>
  <w:style w:type="paragraph" w:styleId="ListBullet2">
    <w:name w:val="List Bullet 2"/>
    <w:basedOn w:val="Normal"/>
    <w:rsid w:val="007D34A4"/>
    <w:pPr>
      <w:numPr>
        <w:ilvl w:val="1"/>
        <w:numId w:val="30"/>
      </w:numPr>
      <w:suppressAutoHyphens w:val="0"/>
      <w:spacing w:before="120" w:line="260" w:lineRule="atLeast"/>
      <w:ind w:left="806" w:hanging="403"/>
    </w:pPr>
    <w:rPr>
      <w:rFonts w:eastAsiaTheme="minorEastAsia"/>
      <w:sz w:val="20"/>
      <w:szCs w:val="20"/>
      <w:lang w:val="en-GB"/>
    </w:rPr>
  </w:style>
  <w:style w:type="paragraph" w:styleId="ListBullet3">
    <w:name w:val="List Bullet 3"/>
    <w:basedOn w:val="Normal"/>
    <w:rsid w:val="007D34A4"/>
    <w:pPr>
      <w:numPr>
        <w:ilvl w:val="2"/>
        <w:numId w:val="30"/>
      </w:numPr>
      <w:suppressAutoHyphens w:val="0"/>
      <w:spacing w:before="120" w:line="260" w:lineRule="atLeast"/>
    </w:pPr>
    <w:rPr>
      <w:rFonts w:eastAsiaTheme="minorEastAsia"/>
      <w:sz w:val="20"/>
      <w:szCs w:val="20"/>
      <w:lang w:val="en-GB"/>
    </w:rPr>
  </w:style>
  <w:style w:type="paragraph" w:styleId="ListBullet4">
    <w:name w:val="List Bullet 4"/>
    <w:basedOn w:val="Normal"/>
    <w:rsid w:val="007D34A4"/>
    <w:pPr>
      <w:numPr>
        <w:ilvl w:val="3"/>
        <w:numId w:val="30"/>
      </w:numPr>
      <w:suppressAutoHyphens w:val="0"/>
      <w:spacing w:before="120" w:line="260" w:lineRule="atLeast"/>
    </w:pPr>
    <w:rPr>
      <w:rFonts w:eastAsiaTheme="minorEastAsia"/>
      <w:sz w:val="20"/>
      <w:szCs w:val="20"/>
      <w:lang w:val="en-GB"/>
    </w:rPr>
  </w:style>
  <w:style w:type="paragraph" w:styleId="ListBullet5">
    <w:name w:val="List Bullet 5"/>
    <w:basedOn w:val="Normal"/>
    <w:semiHidden/>
    <w:rsid w:val="007D34A4"/>
    <w:pPr>
      <w:tabs>
        <w:tab w:val="num" w:pos="1800"/>
      </w:tabs>
      <w:suppressAutoHyphens w:val="0"/>
      <w:spacing w:before="0" w:after="0" w:line="260" w:lineRule="atLeast"/>
      <w:ind w:left="1800" w:hanging="360"/>
    </w:pPr>
    <w:rPr>
      <w:rFonts w:eastAsiaTheme="minorEastAsia"/>
      <w:sz w:val="20"/>
      <w:szCs w:val="20"/>
      <w:lang w:val="en-GB"/>
    </w:rPr>
  </w:style>
  <w:style w:type="paragraph" w:styleId="ListContinue">
    <w:name w:val="List Continue"/>
    <w:basedOn w:val="Normal"/>
    <w:semiHidden/>
    <w:rsid w:val="007D34A4"/>
    <w:pPr>
      <w:suppressAutoHyphens w:val="0"/>
      <w:spacing w:before="0" w:after="120" w:line="260" w:lineRule="atLeast"/>
      <w:ind w:left="360"/>
    </w:pPr>
    <w:rPr>
      <w:rFonts w:eastAsiaTheme="minorEastAsia"/>
      <w:sz w:val="20"/>
      <w:szCs w:val="20"/>
      <w:lang w:val="en-GB"/>
    </w:rPr>
  </w:style>
  <w:style w:type="paragraph" w:styleId="ListContinue2">
    <w:name w:val="List Continue 2"/>
    <w:basedOn w:val="Normal"/>
    <w:semiHidden/>
    <w:rsid w:val="007D34A4"/>
    <w:pPr>
      <w:suppressAutoHyphens w:val="0"/>
      <w:spacing w:before="0" w:after="120" w:line="260" w:lineRule="atLeast"/>
      <w:ind w:left="720"/>
    </w:pPr>
    <w:rPr>
      <w:rFonts w:eastAsiaTheme="minorEastAsia"/>
      <w:sz w:val="20"/>
      <w:szCs w:val="20"/>
      <w:lang w:val="en-GB"/>
    </w:rPr>
  </w:style>
  <w:style w:type="paragraph" w:styleId="ListContinue3">
    <w:name w:val="List Continue 3"/>
    <w:basedOn w:val="Normal"/>
    <w:semiHidden/>
    <w:rsid w:val="007D34A4"/>
    <w:pPr>
      <w:suppressAutoHyphens w:val="0"/>
      <w:spacing w:before="0" w:after="120" w:line="260" w:lineRule="atLeast"/>
      <w:ind w:left="1080"/>
    </w:pPr>
    <w:rPr>
      <w:rFonts w:eastAsiaTheme="minorEastAsia"/>
      <w:sz w:val="20"/>
      <w:szCs w:val="20"/>
      <w:lang w:val="en-GB"/>
    </w:rPr>
  </w:style>
  <w:style w:type="paragraph" w:styleId="ListContinue4">
    <w:name w:val="List Continue 4"/>
    <w:basedOn w:val="Normal"/>
    <w:semiHidden/>
    <w:rsid w:val="007D34A4"/>
    <w:pPr>
      <w:suppressAutoHyphens w:val="0"/>
      <w:spacing w:before="0" w:after="120" w:line="260" w:lineRule="atLeast"/>
      <w:ind w:left="1440"/>
    </w:pPr>
    <w:rPr>
      <w:rFonts w:eastAsiaTheme="minorEastAsia"/>
      <w:sz w:val="20"/>
      <w:szCs w:val="20"/>
      <w:lang w:val="en-GB"/>
    </w:rPr>
  </w:style>
  <w:style w:type="paragraph" w:styleId="ListContinue5">
    <w:name w:val="List Continue 5"/>
    <w:basedOn w:val="Normal"/>
    <w:semiHidden/>
    <w:rsid w:val="007D34A4"/>
    <w:pPr>
      <w:suppressAutoHyphens w:val="0"/>
      <w:spacing w:before="0" w:after="120" w:line="260" w:lineRule="atLeast"/>
      <w:ind w:left="1800"/>
    </w:pPr>
    <w:rPr>
      <w:rFonts w:eastAsiaTheme="minorEastAsia"/>
      <w:sz w:val="20"/>
      <w:szCs w:val="20"/>
      <w:lang w:val="en-GB"/>
    </w:rPr>
  </w:style>
  <w:style w:type="paragraph" w:styleId="ListNumber">
    <w:name w:val="List Number"/>
    <w:basedOn w:val="BodyText"/>
    <w:qFormat/>
    <w:rsid w:val="007D34A4"/>
    <w:pPr>
      <w:ind w:left="397" w:hanging="397"/>
    </w:pPr>
  </w:style>
  <w:style w:type="paragraph" w:styleId="ListNumber2">
    <w:name w:val="List Number 2"/>
    <w:basedOn w:val="Normal"/>
    <w:semiHidden/>
    <w:rsid w:val="007D34A4"/>
    <w:pPr>
      <w:suppressAutoHyphens w:val="0"/>
      <w:spacing w:before="120" w:line="260" w:lineRule="atLeast"/>
    </w:pPr>
    <w:rPr>
      <w:rFonts w:eastAsiaTheme="minorEastAsia"/>
      <w:sz w:val="20"/>
      <w:szCs w:val="20"/>
      <w:lang w:val="en-GB"/>
    </w:rPr>
  </w:style>
  <w:style w:type="paragraph" w:styleId="ListNumber3">
    <w:name w:val="List Number 3"/>
    <w:basedOn w:val="Normal"/>
    <w:semiHidden/>
    <w:rsid w:val="007D34A4"/>
    <w:pPr>
      <w:tabs>
        <w:tab w:val="num" w:pos="1080"/>
      </w:tabs>
      <w:suppressAutoHyphens w:val="0"/>
      <w:spacing w:before="0" w:after="0" w:line="260" w:lineRule="atLeast"/>
      <w:ind w:left="1361" w:hanging="340"/>
    </w:pPr>
    <w:rPr>
      <w:rFonts w:eastAsiaTheme="minorEastAsia"/>
      <w:sz w:val="20"/>
      <w:szCs w:val="20"/>
      <w:lang w:val="en-GB"/>
    </w:rPr>
  </w:style>
  <w:style w:type="paragraph" w:styleId="ListNumber4">
    <w:name w:val="List Number 4"/>
    <w:basedOn w:val="Normal"/>
    <w:semiHidden/>
    <w:rsid w:val="007D34A4"/>
    <w:pPr>
      <w:tabs>
        <w:tab w:val="num" w:pos="1440"/>
      </w:tabs>
      <w:suppressAutoHyphens w:val="0"/>
      <w:spacing w:before="0" w:after="0" w:line="260" w:lineRule="atLeast"/>
      <w:ind w:left="1440" w:hanging="360"/>
    </w:pPr>
    <w:rPr>
      <w:rFonts w:eastAsiaTheme="minorEastAsia"/>
      <w:sz w:val="20"/>
      <w:szCs w:val="20"/>
      <w:lang w:val="en-GB"/>
    </w:rPr>
  </w:style>
  <w:style w:type="paragraph" w:styleId="ListNumber5">
    <w:name w:val="List Number 5"/>
    <w:basedOn w:val="Normal"/>
    <w:semiHidden/>
    <w:rsid w:val="007D34A4"/>
    <w:pPr>
      <w:tabs>
        <w:tab w:val="num" w:pos="1800"/>
      </w:tabs>
      <w:suppressAutoHyphens w:val="0"/>
      <w:spacing w:before="0" w:after="0" w:line="260" w:lineRule="atLeast"/>
      <w:ind w:left="1800" w:hanging="360"/>
    </w:pPr>
    <w:rPr>
      <w:rFonts w:eastAsiaTheme="minorEastAsia"/>
      <w:sz w:val="20"/>
      <w:szCs w:val="20"/>
      <w:lang w:val="en-GB"/>
    </w:rPr>
  </w:style>
  <w:style w:type="paragraph" w:styleId="Signature">
    <w:name w:val="Signature"/>
    <w:basedOn w:val="Normal"/>
    <w:link w:val="SignatureChar"/>
    <w:semiHidden/>
    <w:rsid w:val="007D34A4"/>
    <w:pPr>
      <w:suppressAutoHyphens w:val="0"/>
      <w:spacing w:before="0" w:after="0" w:line="260" w:lineRule="atLeast"/>
      <w:ind w:left="4320"/>
    </w:pPr>
    <w:rPr>
      <w:rFonts w:eastAsiaTheme="minorEastAsia"/>
      <w:sz w:val="20"/>
      <w:szCs w:val="20"/>
      <w:lang w:val="en-GB"/>
    </w:rPr>
  </w:style>
  <w:style w:type="character" w:customStyle="1" w:styleId="SignatureChar">
    <w:name w:val="Signature Char"/>
    <w:basedOn w:val="DefaultParagraphFont"/>
    <w:link w:val="Signature"/>
    <w:semiHidden/>
    <w:rsid w:val="007D34A4"/>
    <w:rPr>
      <w:rFonts w:eastAsiaTheme="minorEastAsia"/>
      <w:sz w:val="20"/>
      <w:szCs w:val="20"/>
      <w:lang w:val="en-GB"/>
    </w:rPr>
  </w:style>
  <w:style w:type="table" w:styleId="Table3Deffects1">
    <w:name w:val="Table 3D effects 1"/>
    <w:basedOn w:val="TableNormal"/>
    <w:semiHidden/>
    <w:rsid w:val="007D34A4"/>
    <w:pPr>
      <w:spacing w:after="0" w:line="240" w:lineRule="auto"/>
    </w:pPr>
    <w:rPr>
      <w:rFonts w:eastAsiaTheme="minorEastAsia"/>
      <w:sz w:val="20"/>
      <w:szCs w:val="20"/>
      <w:lang w:val="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7D34A4"/>
    <w:pPr>
      <w:spacing w:after="0" w:line="240" w:lineRule="auto"/>
    </w:pPr>
    <w:rPr>
      <w:rFonts w:eastAsiaTheme="minorEastAsia"/>
      <w:sz w:val="20"/>
      <w:szCs w:val="20"/>
      <w:lang w:val="en-US"/>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7D34A4"/>
    <w:pPr>
      <w:spacing w:after="0" w:line="240" w:lineRule="auto"/>
    </w:pPr>
    <w:rPr>
      <w:rFonts w:eastAsiaTheme="minorEastAsia"/>
      <w:sz w:val="20"/>
      <w:szCs w:val="20"/>
      <w:lang w:val="en-US"/>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7D34A4"/>
    <w:pPr>
      <w:spacing w:after="0" w:line="240" w:lineRule="auto"/>
    </w:pPr>
    <w:rPr>
      <w:rFonts w:eastAsiaTheme="minorEastAsia"/>
      <w:sz w:val="20"/>
      <w:szCs w:val="20"/>
      <w:lang w:val="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7D34A4"/>
    <w:pPr>
      <w:spacing w:after="0" w:line="240" w:lineRule="auto"/>
    </w:pPr>
    <w:rPr>
      <w:rFonts w:eastAsiaTheme="minorEastAsia"/>
      <w:sz w:val="20"/>
      <w:szCs w:val="20"/>
      <w:lang w:val="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7D34A4"/>
    <w:pPr>
      <w:spacing w:after="0" w:line="240" w:lineRule="auto"/>
    </w:pPr>
    <w:rPr>
      <w:rFonts w:eastAsiaTheme="minorEastAsia"/>
      <w:color w:val="000080"/>
      <w:sz w:val="20"/>
      <w:szCs w:val="20"/>
      <w:lang w:val="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7D34A4"/>
    <w:pPr>
      <w:spacing w:after="0" w:line="240" w:lineRule="auto"/>
    </w:pPr>
    <w:rPr>
      <w:rFonts w:eastAsiaTheme="minorEastAsia"/>
      <w:sz w:val="20"/>
      <w:szCs w:val="20"/>
      <w:lang w:val="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7D34A4"/>
    <w:pPr>
      <w:spacing w:after="0" w:line="240" w:lineRule="auto"/>
    </w:pPr>
    <w:rPr>
      <w:rFonts w:eastAsiaTheme="minorEastAsia"/>
      <w:color w:val="FFFFFF"/>
      <w:sz w:val="20"/>
      <w:szCs w:val="20"/>
      <w:lang w:val="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7D34A4"/>
    <w:pPr>
      <w:spacing w:after="0" w:line="240" w:lineRule="auto"/>
    </w:pPr>
    <w:rPr>
      <w:rFonts w:eastAsiaTheme="minorEastAsia"/>
      <w:sz w:val="20"/>
      <w:szCs w:val="20"/>
      <w:lang w:val="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7D34A4"/>
    <w:pPr>
      <w:spacing w:after="0" w:line="240" w:lineRule="auto"/>
    </w:pPr>
    <w:rPr>
      <w:rFonts w:eastAsiaTheme="minorEastAsia"/>
      <w:sz w:val="20"/>
      <w:szCs w:val="20"/>
      <w:lang w:val="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7D34A4"/>
    <w:pPr>
      <w:spacing w:after="0" w:line="240" w:lineRule="auto"/>
    </w:pPr>
    <w:rPr>
      <w:rFonts w:eastAsiaTheme="minorEastAsia"/>
      <w:b/>
      <w:bCs/>
      <w:sz w:val="20"/>
      <w:szCs w:val="20"/>
      <w:lang w:val="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7D34A4"/>
    <w:pPr>
      <w:spacing w:after="0" w:line="240" w:lineRule="auto"/>
    </w:pPr>
    <w:rPr>
      <w:rFonts w:eastAsiaTheme="minorEastAsia"/>
      <w:b/>
      <w:bCs/>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7D34A4"/>
    <w:pPr>
      <w:spacing w:after="0" w:line="240" w:lineRule="auto"/>
    </w:pPr>
    <w:rPr>
      <w:rFonts w:eastAsiaTheme="minorEastAsia"/>
      <w:b/>
      <w:bCs/>
      <w:sz w:val="20"/>
      <w:szCs w:val="20"/>
      <w:lang w:val="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7D34A4"/>
    <w:pPr>
      <w:spacing w:after="0" w:line="240" w:lineRule="auto"/>
    </w:pPr>
    <w:rPr>
      <w:rFonts w:eastAsiaTheme="minorEastAsia"/>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7D34A4"/>
    <w:pPr>
      <w:spacing w:after="0" w:line="240" w:lineRule="auto"/>
    </w:pPr>
    <w:rPr>
      <w:rFonts w:eastAsiaTheme="minorEastAsia"/>
      <w:sz w:val="20"/>
      <w:szCs w:val="20"/>
      <w:lang w:val="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7D34A4"/>
    <w:pPr>
      <w:spacing w:after="0" w:line="240" w:lineRule="auto"/>
    </w:pPr>
    <w:rPr>
      <w:rFonts w:eastAsiaTheme="minorEastAsia"/>
      <w:sz w:val="20"/>
      <w:szCs w:val="20"/>
      <w:lang w:val="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7D34A4"/>
    <w:pPr>
      <w:spacing w:after="0" w:line="240" w:lineRule="auto"/>
    </w:pPr>
    <w:rPr>
      <w:rFonts w:eastAsiaTheme="minorEastAsia"/>
      <w:sz w:val="20"/>
      <w:szCs w:val="20"/>
      <w:lang w:val="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7D34A4"/>
    <w:pPr>
      <w:spacing w:after="0" w:line="240" w:lineRule="auto"/>
    </w:pPr>
    <w:rPr>
      <w:rFonts w:eastAsiaTheme="minorEastAsia"/>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7D34A4"/>
    <w:pPr>
      <w:spacing w:after="0" w:line="240" w:lineRule="auto"/>
    </w:pPr>
    <w:rPr>
      <w:rFonts w:eastAsiaTheme="minorEastAsia"/>
      <w:sz w:val="20"/>
      <w:szCs w:val="20"/>
      <w:lang w:val="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7D34A4"/>
    <w:pPr>
      <w:spacing w:after="0" w:line="240" w:lineRule="auto"/>
    </w:pPr>
    <w:rPr>
      <w:rFonts w:eastAsiaTheme="minorEastAsia"/>
      <w:sz w:val="20"/>
      <w:szCs w:val="20"/>
      <w:lang w:val="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7D34A4"/>
    <w:pPr>
      <w:spacing w:after="0" w:line="240" w:lineRule="auto"/>
    </w:pPr>
    <w:rPr>
      <w:rFonts w:eastAsiaTheme="minorEastAsia"/>
      <w:sz w:val="20"/>
      <w:szCs w:val="20"/>
      <w:lang w:val="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7D34A4"/>
    <w:pPr>
      <w:spacing w:after="0" w:line="240" w:lineRule="auto"/>
    </w:pPr>
    <w:rPr>
      <w:rFonts w:eastAsiaTheme="minorEastAsia"/>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7D34A4"/>
    <w:pPr>
      <w:spacing w:after="0" w:line="240" w:lineRule="auto"/>
    </w:pPr>
    <w:rPr>
      <w:rFonts w:eastAsiaTheme="minorEastAsia"/>
      <w:sz w:val="20"/>
      <w:szCs w:val="20"/>
      <w:lang w:val="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7D34A4"/>
    <w:pPr>
      <w:spacing w:after="0" w:line="240" w:lineRule="auto"/>
    </w:pPr>
    <w:rPr>
      <w:rFonts w:eastAsiaTheme="minorEastAsia"/>
      <w:b/>
      <w:bCs/>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7D34A4"/>
    <w:pPr>
      <w:spacing w:after="0" w:line="240" w:lineRule="auto"/>
    </w:pPr>
    <w:rPr>
      <w:rFonts w:eastAsiaTheme="minorEastAsia"/>
      <w:sz w:val="20"/>
      <w:szCs w:val="20"/>
      <w:lang w:val="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7D34A4"/>
    <w:pPr>
      <w:spacing w:after="0" w:line="240" w:lineRule="auto"/>
    </w:pPr>
    <w:rPr>
      <w:rFonts w:eastAsiaTheme="minorEastAsia"/>
      <w:sz w:val="20"/>
      <w:szCs w:val="20"/>
      <w:lang w:val="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7D34A4"/>
    <w:pPr>
      <w:spacing w:after="0" w:line="240" w:lineRule="auto"/>
    </w:pPr>
    <w:rPr>
      <w:rFonts w:eastAsiaTheme="minorEastAsia"/>
      <w:sz w:val="20"/>
      <w:szCs w:val="20"/>
      <w:lang w:val="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7D34A4"/>
    <w:pPr>
      <w:spacing w:after="0" w:line="240" w:lineRule="auto"/>
    </w:pPr>
    <w:rPr>
      <w:rFonts w:eastAsiaTheme="minorEastAsia"/>
      <w:sz w:val="20"/>
      <w:szCs w:val="20"/>
      <w:lang w:val="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7D34A4"/>
    <w:pPr>
      <w:spacing w:after="0" w:line="240" w:lineRule="auto"/>
    </w:pPr>
    <w:rPr>
      <w:rFonts w:eastAsiaTheme="minorEastAsia"/>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7D34A4"/>
    <w:pPr>
      <w:spacing w:after="0" w:line="240" w:lineRule="auto"/>
    </w:pPr>
    <w:rPr>
      <w:rFonts w:eastAsiaTheme="minorEastAsia"/>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7D34A4"/>
    <w:pPr>
      <w:spacing w:after="0" w:line="240" w:lineRule="auto"/>
    </w:pPr>
    <w:rPr>
      <w:rFonts w:eastAsiaTheme="minorEastAsia"/>
      <w:sz w:val="20"/>
      <w:szCs w:val="20"/>
      <w:lang w:val="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7D34A4"/>
    <w:pPr>
      <w:spacing w:after="0" w:line="240" w:lineRule="auto"/>
    </w:pPr>
    <w:rPr>
      <w:rFonts w:eastAsiaTheme="minorEastAsia"/>
      <w:sz w:val="20"/>
      <w:szCs w:val="20"/>
      <w:lang w:val="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7D34A4"/>
    <w:pPr>
      <w:spacing w:after="0" w:line="240" w:lineRule="auto"/>
    </w:pPr>
    <w:rPr>
      <w:rFonts w:eastAsiaTheme="minorEastAsia"/>
      <w:sz w:val="20"/>
      <w:szCs w:val="20"/>
      <w:lang w:val="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7D34A4"/>
    <w:pPr>
      <w:spacing w:after="0" w:line="240" w:lineRule="auto"/>
    </w:pPr>
    <w:rPr>
      <w:rFonts w:eastAsiaTheme="minorEastAsia"/>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7D34A4"/>
    <w:pPr>
      <w:spacing w:after="0" w:line="240" w:lineRule="auto"/>
    </w:pPr>
    <w:rPr>
      <w:rFonts w:eastAsiaTheme="minorEastAsia"/>
      <w:sz w:val="20"/>
      <w:szCs w:val="20"/>
      <w:lang w:val="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7D34A4"/>
    <w:pPr>
      <w:spacing w:after="0" w:line="240" w:lineRule="auto"/>
    </w:pPr>
    <w:rPr>
      <w:rFonts w:eastAsiaTheme="minorEastAsia"/>
      <w:sz w:val="20"/>
      <w:szCs w:val="20"/>
      <w:lang w:val="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7D34A4"/>
    <w:pPr>
      <w:spacing w:after="0" w:line="240" w:lineRule="auto"/>
    </w:pPr>
    <w:rPr>
      <w:rFonts w:eastAsiaTheme="minorEastAsia"/>
      <w:sz w:val="20"/>
      <w:szCs w:val="20"/>
      <w:lang w:val="en-US"/>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7D34A4"/>
    <w:pPr>
      <w:spacing w:after="0" w:line="240" w:lineRule="auto"/>
    </w:pPr>
    <w:rPr>
      <w:rFonts w:eastAsiaTheme="minorEastAsia"/>
      <w:sz w:val="20"/>
      <w:szCs w:val="20"/>
      <w:lang w:val="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7D34A4"/>
    <w:pPr>
      <w:spacing w:after="0" w:line="240" w:lineRule="auto"/>
    </w:pPr>
    <w:rPr>
      <w:rFonts w:eastAsiaTheme="minorEastAsia"/>
      <w:sz w:val="20"/>
      <w:szCs w:val="20"/>
      <w:lang w:val="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7D34A4"/>
    <w:pPr>
      <w:spacing w:after="0" w:line="240" w:lineRule="auto"/>
    </w:pPr>
    <w:rPr>
      <w:rFonts w:eastAsiaTheme="minorEastAsia"/>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7D34A4"/>
    <w:pPr>
      <w:spacing w:after="0" w:line="240" w:lineRule="auto"/>
    </w:pPr>
    <w:rPr>
      <w:rFonts w:eastAsiaTheme="minorEastAsia"/>
      <w:sz w:val="20"/>
      <w:szCs w:val="20"/>
      <w:lang w:val="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7D34A4"/>
    <w:pPr>
      <w:spacing w:after="0" w:line="240" w:lineRule="auto"/>
    </w:pPr>
    <w:rPr>
      <w:rFonts w:eastAsiaTheme="minorEastAsia"/>
      <w:sz w:val="20"/>
      <w:szCs w:val="20"/>
      <w:lang w:val="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7D34A4"/>
    <w:pPr>
      <w:spacing w:after="0" w:line="240" w:lineRule="auto"/>
    </w:pPr>
    <w:rPr>
      <w:rFonts w:eastAsiaTheme="minorEastAsia"/>
      <w:sz w:val="20"/>
      <w:szCs w:val="20"/>
      <w:lang w:val="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ab-title">
    <w:name w:val="Tab - title"/>
    <w:basedOn w:val="Tab-head"/>
    <w:semiHidden/>
    <w:rsid w:val="007D34A4"/>
    <w:pPr>
      <w:spacing w:before="240" w:after="0"/>
    </w:pPr>
    <w:rPr>
      <w:caps w:val="0"/>
      <w:sz w:val="24"/>
    </w:rPr>
  </w:style>
  <w:style w:type="paragraph" w:customStyle="1" w:styleId="Appendixheading1">
    <w:name w:val="Appendix heading 1"/>
    <w:basedOn w:val="BodyText"/>
    <w:next w:val="BodyText"/>
    <w:uiPriority w:val="99"/>
    <w:rsid w:val="007D34A4"/>
    <w:pPr>
      <w:numPr>
        <w:numId w:val="28"/>
      </w:numPr>
      <w:spacing w:before="3800" w:after="240" w:line="240" w:lineRule="auto"/>
      <w:outlineLvl w:val="0"/>
    </w:pPr>
    <w:rPr>
      <w:b/>
      <w:caps/>
      <w:color w:val="1C1C1C" w:themeColor="text2"/>
      <w:sz w:val="24"/>
    </w:rPr>
  </w:style>
  <w:style w:type="paragraph" w:customStyle="1" w:styleId="Tablebullet">
    <w:name w:val="Table bullet"/>
    <w:basedOn w:val="ListBullet"/>
    <w:rsid w:val="007D34A4"/>
    <w:pPr>
      <w:numPr>
        <w:numId w:val="25"/>
      </w:numPr>
      <w:tabs>
        <w:tab w:val="num" w:pos="360"/>
      </w:tabs>
      <w:spacing w:before="40" w:after="0" w:line="240" w:lineRule="auto"/>
      <w:ind w:left="230" w:hanging="230"/>
    </w:pPr>
    <w:rPr>
      <w:sz w:val="18"/>
    </w:rPr>
  </w:style>
  <w:style w:type="paragraph" w:customStyle="1" w:styleId="Tableheadingcentered">
    <w:name w:val="Table heading centered"/>
    <w:basedOn w:val="Normal"/>
    <w:qFormat/>
    <w:rsid w:val="007D34A4"/>
    <w:pPr>
      <w:suppressAutoHyphens w:val="0"/>
      <w:overflowPunct w:val="0"/>
      <w:autoSpaceDE w:val="0"/>
      <w:autoSpaceDN w:val="0"/>
      <w:adjustRightInd w:val="0"/>
      <w:spacing w:before="40" w:after="0" w:line="240" w:lineRule="auto"/>
      <w:jc w:val="center"/>
      <w:textAlignment w:val="baseline"/>
    </w:pPr>
    <w:rPr>
      <w:rFonts w:eastAsiaTheme="minorEastAsia" w:cs="Arial"/>
      <w:b/>
      <w:sz w:val="18"/>
      <w:szCs w:val="20"/>
      <w:lang w:val="en-GB"/>
    </w:rPr>
  </w:style>
  <w:style w:type="paragraph" w:customStyle="1" w:styleId="Tableheadingleft">
    <w:name w:val="Table heading left"/>
    <w:basedOn w:val="Tableheadingcentered"/>
    <w:qFormat/>
    <w:rsid w:val="007D34A4"/>
    <w:pPr>
      <w:jc w:val="left"/>
    </w:pPr>
  </w:style>
  <w:style w:type="paragraph" w:customStyle="1" w:styleId="Tabletextcentered">
    <w:name w:val="Table text centered"/>
    <w:basedOn w:val="Normal"/>
    <w:qFormat/>
    <w:rsid w:val="007D34A4"/>
    <w:pPr>
      <w:suppressAutoHyphens w:val="0"/>
      <w:spacing w:before="40" w:after="0" w:line="240" w:lineRule="auto"/>
      <w:jc w:val="center"/>
    </w:pPr>
    <w:rPr>
      <w:rFonts w:eastAsiaTheme="minorEastAsia" w:cs="Arial"/>
      <w:sz w:val="18"/>
      <w:szCs w:val="20"/>
      <w:lang w:val="en-GB"/>
    </w:rPr>
  </w:style>
  <w:style w:type="paragraph" w:customStyle="1" w:styleId="Tabletextleft">
    <w:name w:val="Table text left"/>
    <w:basedOn w:val="Tabletextcentered"/>
    <w:qFormat/>
    <w:rsid w:val="007D34A4"/>
    <w:pPr>
      <w:jc w:val="left"/>
    </w:pPr>
  </w:style>
  <w:style w:type="paragraph" w:customStyle="1" w:styleId="Tableheadingright">
    <w:name w:val="Table heading right"/>
    <w:basedOn w:val="Tableheadingcentered"/>
    <w:qFormat/>
    <w:rsid w:val="007D34A4"/>
    <w:pPr>
      <w:jc w:val="right"/>
    </w:pPr>
  </w:style>
  <w:style w:type="paragraph" w:customStyle="1" w:styleId="Tabletextright">
    <w:name w:val="Table text right"/>
    <w:basedOn w:val="Tabletextcentered"/>
    <w:qFormat/>
    <w:rsid w:val="007D34A4"/>
    <w:pPr>
      <w:jc w:val="right"/>
    </w:pPr>
  </w:style>
  <w:style w:type="paragraph" w:customStyle="1" w:styleId="GraphicElementtable">
    <w:name w:val="Graphic Element (table)"/>
    <w:basedOn w:val="Normal"/>
    <w:next w:val="BodyText"/>
    <w:semiHidden/>
    <w:rsid w:val="007D34A4"/>
    <w:pPr>
      <w:suppressAutoHyphens w:val="0"/>
      <w:spacing w:before="0" w:after="0" w:line="260" w:lineRule="atLeast"/>
    </w:pPr>
    <w:rPr>
      <w:rFonts w:eastAsiaTheme="minorEastAsia" w:cs="Arial"/>
      <w:sz w:val="20"/>
      <w:szCs w:val="20"/>
      <w:lang w:val="en-GB"/>
    </w:rPr>
  </w:style>
  <w:style w:type="paragraph" w:customStyle="1" w:styleId="Figureplacement">
    <w:name w:val="Figure placement"/>
    <w:basedOn w:val="Normal"/>
    <w:next w:val="BodyText"/>
    <w:rsid w:val="007D34A4"/>
    <w:pPr>
      <w:keepNext/>
      <w:suppressAutoHyphens w:val="0"/>
      <w:spacing w:before="240" w:after="120" w:line="260" w:lineRule="atLeast"/>
      <w:jc w:val="center"/>
    </w:pPr>
    <w:rPr>
      <w:rFonts w:eastAsiaTheme="minorEastAsia" w:cs="Arial"/>
      <w:sz w:val="24"/>
      <w:szCs w:val="20"/>
      <w:lang w:val="en-GB"/>
    </w:rPr>
  </w:style>
  <w:style w:type="paragraph" w:customStyle="1" w:styleId="PhotoPlacement">
    <w:name w:val="Photo Placement"/>
    <w:basedOn w:val="Normal"/>
    <w:next w:val="Cutlinephoto"/>
    <w:rsid w:val="007D34A4"/>
    <w:pPr>
      <w:keepNext/>
      <w:suppressAutoHyphens w:val="0"/>
      <w:spacing w:before="120" w:after="120" w:line="260" w:lineRule="atLeast"/>
      <w:jc w:val="center"/>
    </w:pPr>
    <w:rPr>
      <w:rFonts w:eastAsiaTheme="minorEastAsia" w:cs="Arial"/>
      <w:sz w:val="24"/>
      <w:szCs w:val="20"/>
      <w:lang w:val="en-GB"/>
    </w:rPr>
  </w:style>
  <w:style w:type="paragraph" w:customStyle="1" w:styleId="Cutlinephoto">
    <w:name w:val="Cutline (photo)"/>
    <w:basedOn w:val="Normal"/>
    <w:next w:val="BodyText"/>
    <w:uiPriority w:val="99"/>
    <w:semiHidden/>
    <w:rsid w:val="007D34A4"/>
    <w:pPr>
      <w:tabs>
        <w:tab w:val="left" w:pos="1440"/>
      </w:tabs>
      <w:suppressAutoHyphens w:val="0"/>
      <w:spacing w:before="120" w:after="240" w:line="260" w:lineRule="atLeast"/>
      <w:contextualSpacing/>
      <w:jc w:val="center"/>
    </w:pPr>
    <w:rPr>
      <w:rFonts w:eastAsiaTheme="minorEastAsia" w:cs="Arial"/>
      <w:b/>
      <w:caps/>
      <w:sz w:val="20"/>
      <w:szCs w:val="20"/>
      <w:lang w:val="en-GB"/>
    </w:rPr>
  </w:style>
  <w:style w:type="paragraph" w:customStyle="1" w:styleId="ERMStrapline">
    <w:name w:val="ERM Strapline"/>
    <w:semiHidden/>
    <w:rsid w:val="007D34A4"/>
    <w:pPr>
      <w:spacing w:after="0" w:line="240" w:lineRule="auto"/>
    </w:pPr>
    <w:rPr>
      <w:rFonts w:ascii="Arial" w:eastAsiaTheme="minorEastAsia" w:hAnsi="Arial"/>
      <w:i/>
      <w:noProof/>
      <w:color w:val="999999"/>
      <w:szCs w:val="20"/>
      <w:lang w:val="en-US"/>
    </w:rPr>
  </w:style>
  <w:style w:type="paragraph" w:customStyle="1" w:styleId="SigPg-title">
    <w:name w:val="Sig Pg - title"/>
    <w:basedOn w:val="Normal"/>
    <w:uiPriority w:val="99"/>
    <w:semiHidden/>
    <w:rsid w:val="007D34A4"/>
    <w:pPr>
      <w:suppressAutoHyphens w:val="0"/>
      <w:spacing w:before="600" w:after="0" w:line="360" w:lineRule="auto"/>
      <w:contextualSpacing/>
      <w:jc w:val="center"/>
    </w:pPr>
    <w:rPr>
      <w:rFonts w:eastAsiaTheme="minorEastAsia" w:cs="Arial"/>
      <w:b/>
      <w:sz w:val="32"/>
      <w:szCs w:val="20"/>
      <w:lang w:val="en-GB"/>
    </w:rPr>
  </w:style>
  <w:style w:type="paragraph" w:customStyle="1" w:styleId="SigPg-subtitle">
    <w:name w:val="Sig Pg - subtitle"/>
    <w:basedOn w:val="Normal"/>
    <w:uiPriority w:val="99"/>
    <w:semiHidden/>
    <w:rsid w:val="007D34A4"/>
    <w:pPr>
      <w:suppressAutoHyphens w:val="0"/>
      <w:spacing w:before="360" w:after="0" w:line="360" w:lineRule="auto"/>
      <w:contextualSpacing/>
      <w:jc w:val="center"/>
    </w:pPr>
    <w:rPr>
      <w:rFonts w:eastAsiaTheme="minorEastAsia" w:cs="Arial"/>
      <w:b/>
      <w:sz w:val="26"/>
      <w:szCs w:val="20"/>
      <w:lang w:val="en-GB"/>
    </w:rPr>
  </w:style>
  <w:style w:type="paragraph" w:customStyle="1" w:styleId="SigPg-date">
    <w:name w:val="Sig Pg - date"/>
    <w:basedOn w:val="Normal"/>
    <w:next w:val="Normal"/>
    <w:uiPriority w:val="99"/>
    <w:semiHidden/>
    <w:rsid w:val="007D34A4"/>
    <w:pPr>
      <w:suppressAutoHyphens w:val="0"/>
      <w:spacing w:before="360" w:after="0" w:line="260" w:lineRule="atLeast"/>
      <w:jc w:val="center"/>
    </w:pPr>
    <w:rPr>
      <w:rFonts w:eastAsiaTheme="minorEastAsia" w:cs="Arial"/>
      <w:b/>
      <w:sz w:val="24"/>
      <w:szCs w:val="20"/>
      <w:lang w:val="en-GB"/>
    </w:rPr>
  </w:style>
  <w:style w:type="paragraph" w:customStyle="1" w:styleId="SigPg-project">
    <w:name w:val="Sig Pg - project #"/>
    <w:basedOn w:val="Normal"/>
    <w:next w:val="SigPg-preparedreviewedby"/>
    <w:uiPriority w:val="99"/>
    <w:semiHidden/>
    <w:rsid w:val="007D34A4"/>
    <w:pPr>
      <w:suppressAutoHyphens w:val="0"/>
      <w:spacing w:before="360" w:after="1920" w:line="260" w:lineRule="atLeast"/>
      <w:jc w:val="center"/>
    </w:pPr>
    <w:rPr>
      <w:rFonts w:eastAsiaTheme="minorEastAsia" w:cs="Arial"/>
      <w:b/>
      <w:sz w:val="24"/>
      <w:szCs w:val="20"/>
      <w:lang w:val="en-GB"/>
    </w:rPr>
  </w:style>
  <w:style w:type="paragraph" w:customStyle="1" w:styleId="SigPg-ERMaddress">
    <w:name w:val="Sig Pg - ERM address"/>
    <w:basedOn w:val="Normal"/>
    <w:uiPriority w:val="99"/>
    <w:semiHidden/>
    <w:rsid w:val="007D34A4"/>
    <w:pPr>
      <w:suppressAutoHyphens w:val="0"/>
      <w:spacing w:before="960" w:after="0" w:line="260" w:lineRule="atLeast"/>
      <w:contextualSpacing/>
      <w:jc w:val="center"/>
    </w:pPr>
    <w:rPr>
      <w:rFonts w:eastAsiaTheme="minorEastAsia" w:cs="Arial"/>
      <w:sz w:val="24"/>
      <w:szCs w:val="20"/>
      <w:lang w:val="en-GB"/>
    </w:rPr>
  </w:style>
  <w:style w:type="paragraph" w:customStyle="1" w:styleId="SigPg-preparedreviewedby">
    <w:name w:val="Sig Pg - prepared &amp; reviewed by"/>
    <w:basedOn w:val="Normal"/>
    <w:uiPriority w:val="99"/>
    <w:semiHidden/>
    <w:rsid w:val="007D34A4"/>
    <w:pPr>
      <w:suppressAutoHyphens w:val="0"/>
      <w:spacing w:before="720" w:after="0" w:line="260" w:lineRule="atLeast"/>
      <w:ind w:left="1800"/>
    </w:pPr>
    <w:rPr>
      <w:rFonts w:eastAsiaTheme="minorEastAsia" w:cs="Arial"/>
      <w:sz w:val="24"/>
      <w:szCs w:val="20"/>
      <w:lang w:val="en-GB"/>
    </w:rPr>
  </w:style>
  <w:style w:type="paragraph" w:customStyle="1" w:styleId="SigPg-sigblock">
    <w:name w:val="Sig Pg - sig block"/>
    <w:basedOn w:val="Normal"/>
    <w:uiPriority w:val="99"/>
    <w:semiHidden/>
    <w:rsid w:val="007D34A4"/>
    <w:pPr>
      <w:suppressAutoHyphens w:val="0"/>
      <w:spacing w:before="0" w:after="0" w:line="260" w:lineRule="atLeast"/>
      <w:ind w:left="3240"/>
    </w:pPr>
    <w:rPr>
      <w:rFonts w:eastAsiaTheme="minorEastAsia" w:cs="Arial"/>
      <w:sz w:val="24"/>
      <w:szCs w:val="20"/>
      <w:lang w:val="en-GB"/>
    </w:rPr>
  </w:style>
  <w:style w:type="paragraph" w:customStyle="1" w:styleId="TableSource">
    <w:name w:val="Table Source"/>
    <w:basedOn w:val="BodyText"/>
    <w:next w:val="BodyText"/>
    <w:link w:val="TableSourceChar"/>
    <w:rsid w:val="007D34A4"/>
    <w:pPr>
      <w:spacing w:after="120" w:line="240" w:lineRule="auto"/>
    </w:pPr>
    <w:rPr>
      <w:sz w:val="18"/>
    </w:rPr>
  </w:style>
  <w:style w:type="paragraph" w:customStyle="1" w:styleId="TableNote">
    <w:name w:val="Table Note"/>
    <w:basedOn w:val="TableSource"/>
    <w:next w:val="BodyText"/>
    <w:link w:val="TableNoteChar"/>
    <w:rsid w:val="007D34A4"/>
    <w:pPr>
      <w:spacing w:before="60" w:after="0"/>
    </w:pPr>
    <w:rPr>
      <w:i/>
    </w:rPr>
  </w:style>
  <w:style w:type="paragraph" w:customStyle="1" w:styleId="FigureSource">
    <w:name w:val="Figure Source"/>
    <w:basedOn w:val="TableSource"/>
    <w:rsid w:val="007D34A4"/>
    <w:pPr>
      <w:keepNext/>
    </w:pPr>
  </w:style>
  <w:style w:type="character" w:customStyle="1" w:styleId="TableSourceChar">
    <w:name w:val="Table Source Char"/>
    <w:basedOn w:val="BodyTextChar"/>
    <w:link w:val="TableSource"/>
    <w:rsid w:val="007D34A4"/>
    <w:rPr>
      <w:rFonts w:eastAsiaTheme="minorEastAsia"/>
      <w:sz w:val="18"/>
      <w:szCs w:val="20"/>
      <w:lang w:val="en-GB"/>
    </w:rPr>
  </w:style>
  <w:style w:type="character" w:customStyle="1" w:styleId="TableNoteChar">
    <w:name w:val="Table Note Char"/>
    <w:basedOn w:val="TableSourceChar"/>
    <w:link w:val="TableNote"/>
    <w:rsid w:val="007D34A4"/>
    <w:rPr>
      <w:rFonts w:eastAsiaTheme="minorEastAsia"/>
      <w:i/>
      <w:sz w:val="18"/>
      <w:szCs w:val="20"/>
      <w:lang w:val="en-GB"/>
    </w:rPr>
  </w:style>
  <w:style w:type="character" w:customStyle="1" w:styleId="BlockTextChar">
    <w:name w:val="Block Text Char"/>
    <w:aliases w:val="Block Quote Char"/>
    <w:basedOn w:val="DefaultParagraphFont"/>
    <w:link w:val="BlockText"/>
    <w:rsid w:val="007D34A4"/>
    <w:rPr>
      <w:rFonts w:eastAsiaTheme="minorEastAsia" w:cs="Arial"/>
      <w:sz w:val="20"/>
      <w:szCs w:val="20"/>
      <w:lang w:val="en-GB"/>
    </w:rPr>
  </w:style>
  <w:style w:type="character" w:styleId="SubtleEmphasis">
    <w:name w:val="Subtle Emphasis"/>
    <w:basedOn w:val="DefaultParagraphFont"/>
    <w:uiPriority w:val="19"/>
    <w:qFormat/>
    <w:rsid w:val="007D34A4"/>
    <w:rPr>
      <w:i/>
      <w:iCs/>
      <w:color w:val="7F7F7F" w:themeColor="text1" w:themeTint="80"/>
    </w:rPr>
  </w:style>
  <w:style w:type="table" w:styleId="LightShading-Accent1">
    <w:name w:val="Light Shading Accent 1"/>
    <w:basedOn w:val="TableNormal"/>
    <w:uiPriority w:val="60"/>
    <w:rsid w:val="007D34A4"/>
    <w:pPr>
      <w:spacing w:after="0" w:line="240" w:lineRule="auto"/>
    </w:pPr>
    <w:rPr>
      <w:rFonts w:eastAsiaTheme="minorEastAsia"/>
      <w:color w:val="56C2BE" w:themeColor="accent1" w:themeShade="BF"/>
      <w:lang w:val="en-US" w:eastAsia="ja-JP"/>
    </w:rPr>
    <w:tblPr>
      <w:tblStyleRowBandSize w:val="1"/>
      <w:tblStyleColBandSize w:val="1"/>
      <w:tblBorders>
        <w:top w:val="single" w:sz="8" w:space="0" w:color="9CDBD9" w:themeColor="accent1"/>
        <w:bottom w:val="single" w:sz="8" w:space="0" w:color="9CDBD9" w:themeColor="accent1"/>
      </w:tblBorders>
    </w:tblPr>
    <w:tblStylePr w:type="firstRow">
      <w:pPr>
        <w:spacing w:before="0" w:after="0" w:line="240" w:lineRule="auto"/>
      </w:pPr>
      <w:rPr>
        <w:b/>
        <w:bCs/>
        <w:color w:val="56C2BE" w:themeColor="accent1" w:themeShade="BF"/>
      </w:rPr>
      <w:tblPr/>
      <w:tcPr>
        <w:tcBorders>
          <w:top w:val="single" w:sz="8" w:space="0" w:color="9CDBD9" w:themeColor="accent1"/>
          <w:left w:val="nil"/>
          <w:bottom w:val="single" w:sz="8" w:space="0" w:color="9CDBD9" w:themeColor="accent1"/>
          <w:right w:val="nil"/>
          <w:insideH w:val="nil"/>
          <w:insideV w:val="nil"/>
        </w:tcBorders>
      </w:tcPr>
    </w:tblStylePr>
    <w:tblStylePr w:type="lastRow">
      <w:pPr>
        <w:spacing w:before="0" w:after="0" w:line="240" w:lineRule="auto"/>
      </w:pPr>
      <w:rPr>
        <w:b/>
        <w:bCs/>
        <w:color w:val="56C2BE" w:themeColor="accent1" w:themeShade="BF"/>
      </w:rPr>
      <w:tblPr/>
      <w:tcPr>
        <w:tcBorders>
          <w:top w:val="single" w:sz="8" w:space="0" w:color="9CDBD9" w:themeColor="accent1"/>
          <w:left w:val="nil"/>
          <w:bottom w:val="single" w:sz="8" w:space="0" w:color="9CDBD9" w:themeColor="accent1"/>
          <w:right w:val="nil"/>
          <w:insideH w:val="nil"/>
          <w:insideV w:val="nil"/>
        </w:tcBorders>
      </w:tcPr>
    </w:tblStylePr>
    <w:tblStylePr w:type="firstCol">
      <w:rPr>
        <w:b/>
        <w:bCs/>
        <w:color w:val="56C2BE" w:themeColor="accent1" w:themeShade="BF"/>
      </w:rPr>
    </w:tblStylePr>
    <w:tblStylePr w:type="lastCol">
      <w:rPr>
        <w:b/>
        <w:bCs/>
        <w:color w:val="56C2BE" w:themeColor="accent1" w:themeShade="BF"/>
      </w:rPr>
    </w:tblStylePr>
    <w:tblStylePr w:type="band1Vert">
      <w:tblPr/>
      <w:tcPr>
        <w:tcBorders>
          <w:left w:val="nil"/>
          <w:right w:val="nil"/>
          <w:insideH w:val="nil"/>
          <w:insideV w:val="nil"/>
        </w:tcBorders>
        <w:shd w:val="clear" w:color="auto" w:fill="E6F6F5" w:themeFill="accent1" w:themeFillTint="3F"/>
      </w:tcPr>
    </w:tblStylePr>
    <w:tblStylePr w:type="band1Horz">
      <w:tblPr/>
      <w:tcPr>
        <w:tcBorders>
          <w:left w:val="nil"/>
          <w:right w:val="nil"/>
          <w:insideH w:val="nil"/>
          <w:insideV w:val="nil"/>
        </w:tcBorders>
        <w:shd w:val="clear" w:color="auto" w:fill="E6F6F5" w:themeFill="accent1" w:themeFillTint="3F"/>
      </w:tcPr>
    </w:tblStylePr>
  </w:style>
  <w:style w:type="character" w:customStyle="1" w:styleId="CaptionChar">
    <w:name w:val="Caption Char"/>
    <w:basedOn w:val="DefaultParagraphFont"/>
    <w:link w:val="Caption"/>
    <w:rsid w:val="007D34A4"/>
    <w:rPr>
      <w:b/>
      <w:iCs/>
      <w:color w:val="000000" w:themeColor="text1"/>
      <w:szCs w:val="18"/>
    </w:rPr>
  </w:style>
  <w:style w:type="paragraph" w:customStyle="1" w:styleId="FigureNote">
    <w:name w:val="Figure Note"/>
    <w:basedOn w:val="TableNote"/>
    <w:next w:val="BodyText"/>
    <w:rsid w:val="007D34A4"/>
    <w:pPr>
      <w:keepNext/>
    </w:pPr>
  </w:style>
  <w:style w:type="paragraph" w:customStyle="1" w:styleId="Documenttitle">
    <w:name w:val="Document title"/>
    <w:basedOn w:val="Normal"/>
    <w:next w:val="Documentsubtitle"/>
    <w:rsid w:val="007D34A4"/>
    <w:pPr>
      <w:suppressAutoHyphens w:val="0"/>
      <w:spacing w:before="0" w:after="0" w:line="216" w:lineRule="auto"/>
    </w:pPr>
    <w:rPr>
      <w:rFonts w:eastAsiaTheme="minorEastAsia"/>
      <w:b/>
      <w:color w:val="1C1C1C" w:themeColor="text2"/>
      <w:spacing w:val="-2"/>
      <w:kern w:val="18"/>
      <w:sz w:val="42"/>
      <w:lang w:val="en-GB" w:eastAsia="zh-CN"/>
    </w:rPr>
  </w:style>
  <w:style w:type="paragraph" w:customStyle="1" w:styleId="Documentsubtitle">
    <w:name w:val="Document subtitle"/>
    <w:basedOn w:val="Normal"/>
    <w:next w:val="Normal"/>
    <w:rsid w:val="007D34A4"/>
    <w:pPr>
      <w:suppressAutoHyphens w:val="0"/>
      <w:spacing w:before="360" w:after="0" w:line="320" w:lineRule="atLeast"/>
    </w:pPr>
    <w:rPr>
      <w:rFonts w:eastAsiaTheme="minorEastAsia"/>
      <w:spacing w:val="-2"/>
      <w:kern w:val="18"/>
      <w:sz w:val="28"/>
      <w:lang w:val="en-GB" w:eastAsia="zh-CN"/>
    </w:rPr>
  </w:style>
  <w:style w:type="paragraph" w:customStyle="1" w:styleId="DocumentDate">
    <w:name w:val="Document Date"/>
    <w:basedOn w:val="Normal"/>
    <w:next w:val="Normal"/>
    <w:semiHidden/>
    <w:rsid w:val="007D34A4"/>
    <w:pPr>
      <w:suppressAutoHyphens w:val="0"/>
      <w:spacing w:before="0" w:after="0" w:line="360" w:lineRule="atLeast"/>
    </w:pPr>
    <w:rPr>
      <w:rFonts w:eastAsiaTheme="minorEastAsia"/>
      <w:spacing w:val="-2"/>
      <w:kern w:val="18"/>
      <w:sz w:val="20"/>
      <w:lang w:val="en-GB" w:eastAsia="zh-CN"/>
    </w:rPr>
  </w:style>
  <w:style w:type="paragraph" w:customStyle="1" w:styleId="DocumentProjectNo">
    <w:name w:val="Document Project No"/>
    <w:basedOn w:val="Normal"/>
    <w:next w:val="Normal"/>
    <w:semiHidden/>
    <w:rsid w:val="007D34A4"/>
    <w:pPr>
      <w:suppressAutoHyphens w:val="0"/>
      <w:spacing w:before="0" w:after="0" w:line="360" w:lineRule="atLeast"/>
    </w:pPr>
    <w:rPr>
      <w:rFonts w:eastAsiaTheme="minorEastAsia"/>
      <w:spacing w:val="-2"/>
      <w:kern w:val="18"/>
      <w:sz w:val="20"/>
      <w:lang w:val="en-GB" w:eastAsia="zh-CN"/>
    </w:rPr>
  </w:style>
  <w:style w:type="table" w:customStyle="1" w:styleId="ERMTablestyle">
    <w:name w:val="ERM Table style"/>
    <w:basedOn w:val="TableNormal"/>
    <w:uiPriority w:val="99"/>
    <w:rsid w:val="007D34A4"/>
    <w:pPr>
      <w:spacing w:after="0" w:line="240" w:lineRule="auto"/>
    </w:pPr>
    <w:rPr>
      <w:rFonts w:eastAsiaTheme="minorEastAsia"/>
      <w:sz w:val="18"/>
      <w:szCs w:val="18"/>
      <w:lang w:val="en-GB" w:eastAsia="zh-CN"/>
    </w:rPr>
    <w:tblPr>
      <w:tblBorders>
        <w:top w:val="single" w:sz="2" w:space="0" w:color="E2E3E2" w:themeColor="background2"/>
        <w:bottom w:val="single" w:sz="2" w:space="0" w:color="E2E3E2" w:themeColor="background2"/>
        <w:insideH w:val="single" w:sz="2" w:space="0" w:color="E2E3E2" w:themeColor="background2"/>
        <w:insideV w:val="single" w:sz="2" w:space="0" w:color="E2E3E2" w:themeColor="background2"/>
      </w:tblBorders>
      <w:tblCellMar>
        <w:top w:w="28" w:type="dxa"/>
        <w:left w:w="113" w:type="dxa"/>
        <w:bottom w:w="57" w:type="dxa"/>
        <w:right w:w="113" w:type="dxa"/>
      </w:tblCellMar>
    </w:tblPr>
    <w:tblStylePr w:type="firstRow">
      <w:rPr>
        <w:b w:val="0"/>
        <w:color w:val="1C1C1C" w:themeColor="text2"/>
      </w:rPr>
      <w:tblPr/>
      <w:tcPr>
        <w:tcBorders>
          <w:top w:val="single" w:sz="8" w:space="0" w:color="1C1C1C" w:themeColor="text2"/>
          <w:bottom w:val="single" w:sz="8" w:space="0" w:color="1C1C1C" w:themeColor="text2"/>
        </w:tcBorders>
      </w:tcPr>
    </w:tblStylePr>
  </w:style>
  <w:style w:type="paragraph" w:customStyle="1" w:styleId="DocDate">
    <w:name w:val="DocDate"/>
    <w:basedOn w:val="Normal"/>
    <w:next w:val="Normal"/>
    <w:semiHidden/>
    <w:rsid w:val="007D34A4"/>
    <w:pPr>
      <w:suppressAutoHyphens w:val="0"/>
      <w:spacing w:before="0" w:after="0" w:line="220" w:lineRule="atLeast"/>
    </w:pPr>
    <w:rPr>
      <w:rFonts w:eastAsiaTheme="minorEastAsia"/>
      <w:spacing w:val="-2"/>
      <w:kern w:val="18"/>
      <w:sz w:val="18"/>
      <w:lang w:val="en-GB" w:eastAsia="zh-CN"/>
    </w:rPr>
  </w:style>
  <w:style w:type="paragraph" w:customStyle="1" w:styleId="DocRef">
    <w:name w:val="DocRef"/>
    <w:basedOn w:val="Normal"/>
    <w:next w:val="Normal"/>
    <w:semiHidden/>
    <w:rsid w:val="007D34A4"/>
    <w:pPr>
      <w:suppressAutoHyphens w:val="0"/>
      <w:spacing w:before="0" w:after="0" w:line="220" w:lineRule="atLeast"/>
    </w:pPr>
    <w:rPr>
      <w:rFonts w:eastAsiaTheme="minorEastAsia"/>
      <w:spacing w:val="-2"/>
      <w:kern w:val="18"/>
      <w:sz w:val="18"/>
      <w:lang w:val="en-GB" w:eastAsia="zh-CN"/>
    </w:rPr>
  </w:style>
  <w:style w:type="paragraph" w:customStyle="1" w:styleId="DocVers">
    <w:name w:val="DocVers"/>
    <w:basedOn w:val="Normal"/>
    <w:next w:val="Normal"/>
    <w:semiHidden/>
    <w:rsid w:val="007D34A4"/>
    <w:pPr>
      <w:suppressAutoHyphens w:val="0"/>
      <w:spacing w:before="0" w:after="0" w:line="220" w:lineRule="atLeast"/>
    </w:pPr>
    <w:rPr>
      <w:rFonts w:eastAsiaTheme="minorEastAsia"/>
      <w:spacing w:val="-2"/>
      <w:kern w:val="18"/>
      <w:sz w:val="18"/>
      <w:szCs w:val="18"/>
      <w:lang w:val="en-GB" w:eastAsia="zh-CN"/>
    </w:rPr>
  </w:style>
  <w:style w:type="paragraph" w:customStyle="1" w:styleId="DocAuthor">
    <w:name w:val="DocAuthor"/>
    <w:basedOn w:val="Normal"/>
    <w:next w:val="Normal"/>
    <w:semiHidden/>
    <w:rsid w:val="007D34A4"/>
    <w:pPr>
      <w:suppressAutoHyphens w:val="0"/>
      <w:spacing w:before="0" w:after="0" w:line="220" w:lineRule="atLeast"/>
    </w:pPr>
    <w:rPr>
      <w:rFonts w:eastAsiaTheme="minorEastAsia"/>
      <w:spacing w:val="-2"/>
      <w:kern w:val="18"/>
      <w:sz w:val="18"/>
      <w:szCs w:val="18"/>
      <w:lang w:val="en-GB" w:eastAsia="zh-CN"/>
    </w:rPr>
  </w:style>
  <w:style w:type="paragraph" w:customStyle="1" w:styleId="DocClient">
    <w:name w:val="DocClient"/>
    <w:basedOn w:val="Normal"/>
    <w:next w:val="Normal"/>
    <w:semiHidden/>
    <w:rsid w:val="007D34A4"/>
    <w:pPr>
      <w:suppressAutoHyphens w:val="0"/>
      <w:spacing w:before="0" w:after="0" w:line="220" w:lineRule="atLeast"/>
    </w:pPr>
    <w:rPr>
      <w:rFonts w:eastAsiaTheme="minorEastAsia"/>
      <w:spacing w:val="-2"/>
      <w:kern w:val="18"/>
      <w:sz w:val="18"/>
      <w:szCs w:val="18"/>
      <w:lang w:val="en-GB" w:eastAsia="zh-CN"/>
    </w:rPr>
  </w:style>
  <w:style w:type="character" w:customStyle="1" w:styleId="UnresolvedMention">
    <w:name w:val="Unresolved Mention"/>
    <w:basedOn w:val="DefaultParagraphFont"/>
    <w:uiPriority w:val="99"/>
    <w:semiHidden/>
    <w:rsid w:val="007D34A4"/>
    <w:rPr>
      <w:color w:val="808080"/>
      <w:shd w:val="clear" w:color="auto" w:fill="E6E6E6"/>
    </w:rPr>
  </w:style>
  <w:style w:type="paragraph" w:customStyle="1" w:styleId="Section1heading">
    <w:name w:val="Section 1 heading"/>
    <w:basedOn w:val="BodyText"/>
    <w:next w:val="BodyText"/>
    <w:uiPriority w:val="99"/>
    <w:semiHidden/>
    <w:rsid w:val="007D34A4"/>
    <w:pPr>
      <w:spacing w:before="0" w:after="240" w:line="240" w:lineRule="auto"/>
    </w:pPr>
    <w:rPr>
      <w:b/>
      <w:color w:val="1C1C1C" w:themeColor="text2"/>
    </w:rPr>
  </w:style>
  <w:style w:type="paragraph" w:customStyle="1" w:styleId="DocTitle">
    <w:name w:val="DocTitle"/>
    <w:basedOn w:val="Normal"/>
    <w:uiPriority w:val="99"/>
    <w:semiHidden/>
    <w:rsid w:val="007D34A4"/>
    <w:pPr>
      <w:suppressAutoHyphens w:val="0"/>
      <w:spacing w:before="0" w:after="0" w:line="220" w:lineRule="atLeast"/>
    </w:pPr>
    <w:rPr>
      <w:rFonts w:eastAsiaTheme="minorEastAsia"/>
      <w:color w:val="1C1C1C" w:themeColor="text2"/>
      <w:sz w:val="18"/>
      <w:szCs w:val="20"/>
      <w:lang w:val="en-GB"/>
    </w:rPr>
  </w:style>
  <w:style w:type="paragraph" w:customStyle="1" w:styleId="DocSubtitle">
    <w:name w:val="DocSubtitle"/>
    <w:basedOn w:val="Normal"/>
    <w:uiPriority w:val="99"/>
    <w:semiHidden/>
    <w:rsid w:val="007D34A4"/>
    <w:pPr>
      <w:suppressAutoHyphens w:val="0"/>
      <w:spacing w:before="0" w:after="0" w:line="220" w:lineRule="atLeast"/>
    </w:pPr>
    <w:rPr>
      <w:rFonts w:eastAsiaTheme="minorEastAsia"/>
      <w:color w:val="1C1C1C" w:themeColor="text2"/>
      <w:sz w:val="18"/>
      <w:szCs w:val="20"/>
      <w:lang w:val="en-GB"/>
    </w:rPr>
  </w:style>
  <w:style w:type="paragraph" w:customStyle="1" w:styleId="TOCListheadings">
    <w:name w:val="TOC List headings"/>
    <w:basedOn w:val="BodyText"/>
    <w:next w:val="BodyText"/>
    <w:uiPriority w:val="99"/>
    <w:rsid w:val="007D34A4"/>
    <w:pPr>
      <w:spacing w:after="120"/>
      <w:outlineLvl w:val="1"/>
    </w:pPr>
    <w:rPr>
      <w:b/>
      <w:noProof/>
      <w:color w:val="1C1C1C" w:themeColor="text2"/>
    </w:rPr>
  </w:style>
  <w:style w:type="paragraph" w:customStyle="1" w:styleId="AppendixHeading2">
    <w:name w:val="Appendix Heading 2"/>
    <w:basedOn w:val="BodyText"/>
    <w:next w:val="BodyText"/>
    <w:uiPriority w:val="99"/>
    <w:rsid w:val="007D34A4"/>
    <w:pPr>
      <w:spacing w:before="240" w:line="240" w:lineRule="auto"/>
    </w:pPr>
    <w:rPr>
      <w:color w:val="1C1C1C" w:themeColor="text2"/>
      <w:sz w:val="24"/>
    </w:rPr>
  </w:style>
  <w:style w:type="paragraph" w:customStyle="1" w:styleId="ListNumberalpha">
    <w:name w:val="List Number alpha"/>
    <w:basedOn w:val="BodyText"/>
    <w:uiPriority w:val="99"/>
    <w:rsid w:val="007D34A4"/>
    <w:pPr>
      <w:ind w:left="806" w:hanging="403"/>
    </w:pPr>
    <w:rPr>
      <w:lang w:val="en-US"/>
    </w:rPr>
  </w:style>
  <w:style w:type="paragraph" w:customStyle="1" w:styleId="ListNumberroman">
    <w:name w:val="List Number roman"/>
    <w:basedOn w:val="BodyText"/>
    <w:uiPriority w:val="99"/>
    <w:rsid w:val="007D34A4"/>
    <w:pPr>
      <w:ind w:left="1209" w:hanging="403"/>
    </w:pPr>
  </w:style>
  <w:style w:type="paragraph" w:customStyle="1" w:styleId="Tablenumber">
    <w:name w:val="Table number"/>
    <w:basedOn w:val="ListNumber"/>
    <w:uiPriority w:val="99"/>
    <w:rsid w:val="007D34A4"/>
    <w:pPr>
      <w:spacing w:before="40" w:after="0" w:line="240" w:lineRule="auto"/>
      <w:ind w:left="230" w:hanging="230"/>
    </w:pPr>
    <w:rPr>
      <w:sz w:val="18"/>
      <w:szCs w:val="18"/>
      <w:lang w:eastAsia="zh-CN"/>
    </w:rPr>
  </w:style>
  <w:style w:type="paragraph" w:customStyle="1" w:styleId="TableTitle">
    <w:name w:val="Table Title"/>
    <w:basedOn w:val="Caption"/>
    <w:uiPriority w:val="99"/>
    <w:rsid w:val="007D34A4"/>
    <w:pPr>
      <w:keepNext/>
      <w:suppressAutoHyphens w:val="0"/>
      <w:spacing w:before="240" w:line="260" w:lineRule="atLeast"/>
      <w:contextualSpacing/>
    </w:pPr>
    <w:rPr>
      <w:rFonts w:eastAsiaTheme="minorEastAsia" w:cs="Arial"/>
      <w:iCs w:val="0"/>
      <w:color w:val="auto"/>
      <w:sz w:val="24"/>
      <w:szCs w:val="20"/>
      <w:lang w:val="en-GB"/>
    </w:rPr>
  </w:style>
  <w:style w:type="paragraph" w:customStyle="1" w:styleId="FigureTitle">
    <w:name w:val="Figure Title"/>
    <w:basedOn w:val="Caption"/>
    <w:uiPriority w:val="99"/>
    <w:rsid w:val="007D34A4"/>
    <w:pPr>
      <w:suppressAutoHyphens w:val="0"/>
      <w:spacing w:before="240" w:line="260" w:lineRule="atLeast"/>
      <w:contextualSpacing/>
      <w:jc w:val="center"/>
    </w:pPr>
    <w:rPr>
      <w:rFonts w:eastAsiaTheme="minorEastAsia" w:cs="Arial"/>
      <w:iCs w:val="0"/>
      <w:color w:val="auto"/>
      <w:sz w:val="24"/>
      <w:szCs w:val="20"/>
      <w:lang w:val="en-GB"/>
    </w:rPr>
  </w:style>
  <w:style w:type="paragraph" w:customStyle="1" w:styleId="Tablecolumnheading">
    <w:name w:val="Table column heading"/>
    <w:basedOn w:val="Normal"/>
    <w:qFormat/>
    <w:rsid w:val="007D34A4"/>
    <w:pPr>
      <w:keepNext/>
      <w:suppressAutoHyphens w:val="0"/>
      <w:spacing w:before="57" w:after="57" w:line="240" w:lineRule="auto"/>
      <w:ind w:left="96" w:right="96"/>
    </w:pPr>
    <w:rPr>
      <w:rFonts w:ascii="Arial" w:eastAsia="Times New Roman" w:hAnsi="Arial" w:cs="Times New Roman"/>
      <w:b/>
      <w:sz w:val="18"/>
      <w:szCs w:val="18"/>
    </w:rPr>
  </w:style>
  <w:style w:type="paragraph" w:customStyle="1" w:styleId="BodyText1">
    <w:name w:val="Body Text1"/>
    <w:link w:val="BodyText1Char"/>
    <w:qFormat/>
    <w:rsid w:val="007D34A4"/>
    <w:pPr>
      <w:spacing w:after="113" w:line="260" w:lineRule="atLeast"/>
    </w:pPr>
    <w:rPr>
      <w:rFonts w:ascii="Cambria" w:eastAsia="Times New Roman" w:hAnsi="Cambria" w:cs="Times New Roman"/>
      <w:szCs w:val="24"/>
    </w:rPr>
  </w:style>
  <w:style w:type="character" w:customStyle="1" w:styleId="BodyText1Char">
    <w:name w:val="Body Text1 Char"/>
    <w:link w:val="BodyText1"/>
    <w:rsid w:val="007D34A4"/>
    <w:rPr>
      <w:rFonts w:ascii="Cambria" w:eastAsia="Times New Roman" w:hAnsi="Cambria" w:cs="Times New Roman"/>
      <w:szCs w:val="24"/>
    </w:rPr>
  </w:style>
  <w:style w:type="paragraph" w:customStyle="1" w:styleId="Style2">
    <w:name w:val="Style 2"/>
    <w:basedOn w:val="Normal"/>
    <w:rsid w:val="007D34A4"/>
    <w:pPr>
      <w:widowControl w:val="0"/>
      <w:suppressAutoHyphens w:val="0"/>
      <w:spacing w:before="0" w:after="0" w:line="240" w:lineRule="auto"/>
    </w:pPr>
    <w:rPr>
      <w:rFonts w:ascii="Times New Roman" w:eastAsia="Times New Roman" w:hAnsi="Times New Roman" w:cs="Times New Roman"/>
      <w:noProof/>
      <w:color w:val="000000"/>
      <w:sz w:val="20"/>
      <w:szCs w:val="20"/>
    </w:rPr>
  </w:style>
  <w:style w:type="table" w:customStyle="1" w:styleId="ERMTablestyle1">
    <w:name w:val="ERM Table style1"/>
    <w:basedOn w:val="TableNormal"/>
    <w:uiPriority w:val="99"/>
    <w:rsid w:val="007D34A4"/>
    <w:pPr>
      <w:spacing w:after="0" w:line="240" w:lineRule="auto"/>
    </w:pPr>
    <w:rPr>
      <w:rFonts w:eastAsiaTheme="minorEastAsia"/>
      <w:sz w:val="18"/>
      <w:szCs w:val="18"/>
      <w:lang w:val="en-GB" w:eastAsia="zh-CN"/>
    </w:rPr>
    <w:tblPr>
      <w:tblBorders>
        <w:top w:val="single" w:sz="2" w:space="0" w:color="E2E3E2" w:themeColor="background2"/>
        <w:bottom w:val="single" w:sz="2" w:space="0" w:color="E2E3E2" w:themeColor="background2"/>
        <w:insideH w:val="single" w:sz="2" w:space="0" w:color="E2E3E2" w:themeColor="background2"/>
        <w:insideV w:val="single" w:sz="2" w:space="0" w:color="E2E3E2" w:themeColor="background2"/>
      </w:tblBorders>
      <w:tblCellMar>
        <w:top w:w="28" w:type="dxa"/>
        <w:left w:w="113" w:type="dxa"/>
        <w:bottom w:w="57" w:type="dxa"/>
        <w:right w:w="113" w:type="dxa"/>
      </w:tblCellMar>
    </w:tblPr>
    <w:tblStylePr w:type="firstRow">
      <w:rPr>
        <w:b w:val="0"/>
        <w:color w:val="1C1C1C" w:themeColor="text2"/>
      </w:rPr>
      <w:tblPr/>
      <w:tcPr>
        <w:tcBorders>
          <w:top w:val="single" w:sz="8" w:space="0" w:color="1C1C1C" w:themeColor="text2"/>
          <w:bottom w:val="single" w:sz="8" w:space="0" w:color="1C1C1C" w:themeColor="text2"/>
        </w:tcBorders>
      </w:tcPr>
    </w:tblStylePr>
  </w:style>
  <w:style w:type="table" w:customStyle="1" w:styleId="ERMTablestyle11">
    <w:name w:val="ERM Table style11"/>
    <w:basedOn w:val="TableNormal"/>
    <w:uiPriority w:val="99"/>
    <w:rsid w:val="007D34A4"/>
    <w:pPr>
      <w:spacing w:after="0" w:line="240" w:lineRule="auto"/>
    </w:pPr>
    <w:rPr>
      <w:rFonts w:eastAsiaTheme="minorEastAsia"/>
      <w:sz w:val="18"/>
      <w:szCs w:val="18"/>
      <w:lang w:val="en-GB" w:eastAsia="zh-CN"/>
    </w:rPr>
    <w:tblPr>
      <w:tblBorders>
        <w:top w:val="single" w:sz="2" w:space="0" w:color="E2E3E2" w:themeColor="background2"/>
        <w:bottom w:val="single" w:sz="2" w:space="0" w:color="E2E3E2" w:themeColor="background2"/>
        <w:insideH w:val="single" w:sz="2" w:space="0" w:color="E2E3E2" w:themeColor="background2"/>
        <w:insideV w:val="single" w:sz="2" w:space="0" w:color="E2E3E2" w:themeColor="background2"/>
      </w:tblBorders>
      <w:tblCellMar>
        <w:top w:w="28" w:type="dxa"/>
        <w:left w:w="113" w:type="dxa"/>
        <w:bottom w:w="57" w:type="dxa"/>
        <w:right w:w="113" w:type="dxa"/>
      </w:tblCellMar>
    </w:tblPr>
    <w:tblStylePr w:type="firstRow">
      <w:rPr>
        <w:b w:val="0"/>
        <w:color w:val="1C1C1C" w:themeColor="text2"/>
      </w:rPr>
      <w:tblPr/>
      <w:tcPr>
        <w:tcBorders>
          <w:top w:val="single" w:sz="8" w:space="0" w:color="1C1C1C" w:themeColor="text2"/>
          <w:bottom w:val="single" w:sz="8" w:space="0" w:color="1C1C1C" w:themeColor="text2"/>
        </w:tcBorders>
      </w:tcPr>
    </w:tblStylePr>
  </w:style>
  <w:style w:type="character" w:customStyle="1" w:styleId="Mention">
    <w:name w:val="Mention"/>
    <w:basedOn w:val="DefaultParagraphFont"/>
    <w:uiPriority w:val="99"/>
    <w:unhideWhenUsed/>
    <w:rsid w:val="007D34A4"/>
    <w:rPr>
      <w:color w:val="2B579A"/>
      <w:shd w:val="clear" w:color="auto" w:fill="E6E6E6"/>
    </w:rPr>
  </w:style>
  <w:style w:type="paragraph" w:customStyle="1" w:styleId="Default">
    <w:name w:val="Default"/>
    <w:basedOn w:val="Normal"/>
    <w:rsid w:val="00806A91"/>
    <w:pPr>
      <w:suppressAutoHyphens w:val="0"/>
      <w:autoSpaceDE w:val="0"/>
      <w:autoSpaceDN w:val="0"/>
      <w:spacing w:before="0" w:after="0" w:line="240" w:lineRule="auto"/>
    </w:pPr>
    <w:rPr>
      <w:rFonts w:ascii="Arial" w:hAnsi="Arial" w:cs="Arial"/>
      <w:color w:val="000000"/>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6160751">
      <w:bodyDiv w:val="1"/>
      <w:marLeft w:val="0"/>
      <w:marRight w:val="0"/>
      <w:marTop w:val="0"/>
      <w:marBottom w:val="0"/>
      <w:divBdr>
        <w:top w:val="none" w:sz="0" w:space="0" w:color="auto"/>
        <w:left w:val="none" w:sz="0" w:space="0" w:color="auto"/>
        <w:bottom w:val="none" w:sz="0" w:space="0" w:color="auto"/>
        <w:right w:val="none" w:sz="0" w:space="0" w:color="auto"/>
      </w:divBdr>
    </w:div>
    <w:div w:id="449052994">
      <w:bodyDiv w:val="1"/>
      <w:marLeft w:val="0"/>
      <w:marRight w:val="0"/>
      <w:marTop w:val="0"/>
      <w:marBottom w:val="0"/>
      <w:divBdr>
        <w:top w:val="none" w:sz="0" w:space="0" w:color="auto"/>
        <w:left w:val="none" w:sz="0" w:space="0" w:color="auto"/>
        <w:bottom w:val="none" w:sz="0" w:space="0" w:color="auto"/>
        <w:right w:val="none" w:sz="0" w:space="0" w:color="auto"/>
      </w:divBdr>
    </w:div>
    <w:div w:id="598560348">
      <w:bodyDiv w:val="1"/>
      <w:marLeft w:val="0"/>
      <w:marRight w:val="0"/>
      <w:marTop w:val="0"/>
      <w:marBottom w:val="0"/>
      <w:divBdr>
        <w:top w:val="none" w:sz="0" w:space="0" w:color="auto"/>
        <w:left w:val="none" w:sz="0" w:space="0" w:color="auto"/>
        <w:bottom w:val="none" w:sz="0" w:space="0" w:color="auto"/>
        <w:right w:val="none" w:sz="0" w:space="0" w:color="auto"/>
      </w:divBdr>
    </w:div>
    <w:div w:id="833571768">
      <w:bodyDiv w:val="1"/>
      <w:marLeft w:val="0"/>
      <w:marRight w:val="0"/>
      <w:marTop w:val="0"/>
      <w:marBottom w:val="0"/>
      <w:divBdr>
        <w:top w:val="none" w:sz="0" w:space="0" w:color="auto"/>
        <w:left w:val="none" w:sz="0" w:space="0" w:color="auto"/>
        <w:bottom w:val="none" w:sz="0" w:space="0" w:color="auto"/>
        <w:right w:val="none" w:sz="0" w:space="0" w:color="auto"/>
      </w:divBdr>
    </w:div>
    <w:div w:id="957762078">
      <w:bodyDiv w:val="1"/>
      <w:marLeft w:val="0"/>
      <w:marRight w:val="0"/>
      <w:marTop w:val="0"/>
      <w:marBottom w:val="0"/>
      <w:divBdr>
        <w:top w:val="none" w:sz="0" w:space="0" w:color="auto"/>
        <w:left w:val="none" w:sz="0" w:space="0" w:color="auto"/>
        <w:bottom w:val="none" w:sz="0" w:space="0" w:color="auto"/>
        <w:right w:val="none" w:sz="0" w:space="0" w:color="auto"/>
      </w:divBdr>
    </w:div>
    <w:div w:id="1047797253">
      <w:bodyDiv w:val="1"/>
      <w:marLeft w:val="0"/>
      <w:marRight w:val="0"/>
      <w:marTop w:val="0"/>
      <w:marBottom w:val="0"/>
      <w:divBdr>
        <w:top w:val="none" w:sz="0" w:space="0" w:color="auto"/>
        <w:left w:val="none" w:sz="0" w:space="0" w:color="auto"/>
        <w:bottom w:val="none" w:sz="0" w:space="0" w:color="auto"/>
        <w:right w:val="none" w:sz="0" w:space="0" w:color="auto"/>
      </w:divBdr>
    </w:div>
    <w:div w:id="1128400890">
      <w:bodyDiv w:val="1"/>
      <w:marLeft w:val="0"/>
      <w:marRight w:val="0"/>
      <w:marTop w:val="0"/>
      <w:marBottom w:val="0"/>
      <w:divBdr>
        <w:top w:val="none" w:sz="0" w:space="0" w:color="auto"/>
        <w:left w:val="none" w:sz="0" w:space="0" w:color="auto"/>
        <w:bottom w:val="none" w:sz="0" w:space="0" w:color="auto"/>
        <w:right w:val="none" w:sz="0" w:space="0" w:color="auto"/>
      </w:divBdr>
    </w:div>
    <w:div w:id="1750038900">
      <w:bodyDiv w:val="1"/>
      <w:marLeft w:val="0"/>
      <w:marRight w:val="0"/>
      <w:marTop w:val="0"/>
      <w:marBottom w:val="0"/>
      <w:divBdr>
        <w:top w:val="none" w:sz="0" w:space="0" w:color="auto"/>
        <w:left w:val="none" w:sz="0" w:space="0" w:color="auto"/>
        <w:bottom w:val="none" w:sz="0" w:space="0" w:color="auto"/>
        <w:right w:val="none" w:sz="0" w:space="0" w:color="auto"/>
      </w:divBdr>
    </w:div>
    <w:div w:id="1906254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microsoft.com/office/2007/relationships/hdphoto" Target="media/hdphoto1.wdp"/><Relationship Id="rId18" Type="http://schemas.openxmlformats.org/officeDocument/2006/relationships/image" Target="media/image8.png"/><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jpeg"/><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3.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eader" Target="header4.xml"/><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yperlink" Target="https://www.environment.gov.au/heritage/management/commonwealth"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9.jpg"/><Relationship Id="rId27" Type="http://schemas.openxmlformats.org/officeDocument/2006/relationships/footer" Target="footer5.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Finance 1 Blue">
  <a:themeElements>
    <a:clrScheme name="Custom 4">
      <a:dk1>
        <a:sysClr val="windowText" lastClr="000000"/>
      </a:dk1>
      <a:lt1>
        <a:sysClr val="window" lastClr="FFFFFF"/>
      </a:lt1>
      <a:dk2>
        <a:srgbClr val="1C1C1C"/>
      </a:dk2>
      <a:lt2>
        <a:srgbClr val="E2E3E2"/>
      </a:lt2>
      <a:accent1>
        <a:srgbClr val="9CDBD9"/>
      </a:accent1>
      <a:accent2>
        <a:srgbClr val="B4B5DF"/>
      </a:accent2>
      <a:accent3>
        <a:srgbClr val="ECBAA8"/>
      </a:accent3>
      <a:accent4>
        <a:srgbClr val="F6EB61"/>
      </a:accent4>
      <a:accent5>
        <a:srgbClr val="64CCC9"/>
      </a:accent5>
      <a:accent6>
        <a:srgbClr val="9595D2"/>
      </a:accent6>
      <a:hlink>
        <a:srgbClr val="E8927C"/>
      </a:hlink>
      <a:folHlink>
        <a:srgbClr val="FFD1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Finance 1 Blue" id="{F0E8012F-52C4-4285-8588-15EF98A0938A}" vid="{1F551BCA-87CD-4010-B1B7-2E689DDB7D12}"/>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65A969-A833-4A6E-9531-87B7F0295A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8131</Words>
  <Characters>46353</Characters>
  <Application>Microsoft Office Word</Application>
  <DocSecurity>0</DocSecurity>
  <Lines>386</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Department of Finance Heritage Strategy 2021–2024</dc:title>
  <dc:subject/>
  <dc:creator/>
  <cp:keywords/>
  <dc:description/>
  <cp:lastModifiedBy/>
  <cp:revision>1</cp:revision>
  <dcterms:created xsi:type="dcterms:W3CDTF">2022-01-17T21:48:00Z</dcterms:created>
  <dcterms:modified xsi:type="dcterms:W3CDTF">2022-01-19T02:26:00Z</dcterms:modified>
  <cp:contentStatus/>
</cp:coreProperties>
</file>