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41" w:rsidRDefault="00E20A2B">
      <w:pPr>
        <w:pStyle w:val="Title"/>
      </w:pPr>
      <w:bookmarkStart w:id="0" w:name="_GoBack"/>
      <w:bookmarkEnd w:id="0"/>
      <w:r>
        <w:rPr>
          <w:sz w:val="34"/>
        </w:rPr>
        <w:t>P</w:t>
      </w:r>
      <w:r>
        <w:t>REFACE</w:t>
      </w:r>
    </w:p>
    <w:p w:rsidR="009A4441" w:rsidRDefault="00E20A2B">
      <w:pPr>
        <w:pStyle w:val="BodyText"/>
        <w:spacing w:before="206"/>
        <w:ind w:right="127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pleased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Government’s</w:t>
      </w:r>
      <w:r>
        <w:rPr>
          <w:spacing w:val="1"/>
        </w:rPr>
        <w:t xml:space="preserve"> </w:t>
      </w:r>
      <w:r>
        <w:t>Consolidated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 (CFS) for the financial year ended 30 June 2021. The CFS presents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(GGS)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audited</w:t>
      </w:r>
      <w:r>
        <w:rPr>
          <w:spacing w:val="11"/>
        </w:rPr>
        <w:t xml:space="preserve"> </w:t>
      </w:r>
      <w:r>
        <w:t>accounts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190</w:t>
      </w:r>
      <w:r>
        <w:rPr>
          <w:spacing w:val="14"/>
        </w:rPr>
        <w:t xml:space="preserve"> </w:t>
      </w:r>
      <w:r>
        <w:t>entities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sector.</w:t>
      </w:r>
    </w:p>
    <w:p w:rsidR="009A4441" w:rsidRDefault="00E20A2B">
      <w:pPr>
        <w:spacing w:before="201"/>
        <w:ind w:left="1118" w:right="11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CFS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prepared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Performance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Accountability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2013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(PGPA</w:t>
      </w:r>
      <w:r>
        <w:rPr>
          <w:spacing w:val="1"/>
          <w:sz w:val="20"/>
        </w:rPr>
        <w:t xml:space="preserve"> </w:t>
      </w:r>
      <w:r>
        <w:rPr>
          <w:sz w:val="20"/>
        </w:rPr>
        <w:t>Act)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Australian</w:t>
      </w:r>
      <w:r>
        <w:rPr>
          <w:spacing w:val="51"/>
          <w:sz w:val="20"/>
        </w:rPr>
        <w:t xml:space="preserve"> </w:t>
      </w:r>
      <w:r>
        <w:rPr>
          <w:sz w:val="20"/>
        </w:rPr>
        <w:t>Accounting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Standards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(AAS),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including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requirements  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AASB 1049 </w:t>
      </w:r>
      <w:r>
        <w:rPr>
          <w:i/>
          <w:sz w:val="20"/>
        </w:rPr>
        <w:t>Whole of Government and General Government Sector Financial Reporting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(AASB 1049). The CFS shows the results of the Australian Government’s financial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and cash flows for the year ended 30 June 2021 a</w:t>
      </w:r>
      <w:r>
        <w:rPr>
          <w:sz w:val="20"/>
        </w:rPr>
        <w:t>nd the Australian</w:t>
      </w:r>
      <w:r>
        <w:rPr>
          <w:spacing w:val="1"/>
          <w:sz w:val="20"/>
        </w:rPr>
        <w:t xml:space="preserve"> </w:t>
      </w:r>
      <w:r>
        <w:rPr>
          <w:sz w:val="20"/>
        </w:rPr>
        <w:t>Government’s</w:t>
      </w:r>
      <w:r>
        <w:rPr>
          <w:spacing w:val="8"/>
          <w:sz w:val="20"/>
        </w:rPr>
        <w:t xml:space="preserve"> </w:t>
      </w:r>
      <w:r>
        <w:rPr>
          <w:sz w:val="20"/>
        </w:rPr>
        <w:t>financial</w:t>
      </w:r>
      <w:r>
        <w:rPr>
          <w:spacing w:val="8"/>
          <w:sz w:val="20"/>
        </w:rPr>
        <w:t xml:space="preserve"> </w:t>
      </w:r>
      <w:r>
        <w:rPr>
          <w:sz w:val="20"/>
        </w:rPr>
        <w:t>position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sz w:val="20"/>
        </w:rPr>
        <w:t>30</w:t>
      </w:r>
      <w:r>
        <w:rPr>
          <w:spacing w:val="17"/>
          <w:sz w:val="20"/>
        </w:rPr>
        <w:t xml:space="preserve"> </w:t>
      </w:r>
      <w:r>
        <w:rPr>
          <w:sz w:val="20"/>
        </w:rPr>
        <w:t>June</w:t>
      </w:r>
      <w:r>
        <w:rPr>
          <w:spacing w:val="12"/>
          <w:sz w:val="20"/>
        </w:rPr>
        <w:t xml:space="preserve"> </w:t>
      </w:r>
      <w:r>
        <w:rPr>
          <w:sz w:val="20"/>
        </w:rPr>
        <w:t>2021.</w:t>
      </w:r>
    </w:p>
    <w:p w:rsidR="009A4441" w:rsidRDefault="00E20A2B">
      <w:pPr>
        <w:pStyle w:val="BodyText"/>
        <w:ind w:right="117"/>
      </w:pPr>
      <w:r>
        <w:t>The COVID-19 pandemic has continued to have a profound impact on Australia’s</w:t>
      </w:r>
      <w:r>
        <w:rPr>
          <w:spacing w:val="1"/>
        </w:rPr>
        <w:t xml:space="preserve"> </w:t>
      </w:r>
      <w:r>
        <w:t>economy across the financial year to 30 June 2021. In response, the Australian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households,</w:t>
      </w:r>
      <w:r>
        <w:rPr>
          <w:spacing w:val="1"/>
        </w:rPr>
        <w:t xml:space="preserve"> </w:t>
      </w:r>
      <w:r>
        <w:t>businesses and industries. The financial impact of the Australian Government’s</w:t>
      </w:r>
      <w:r>
        <w:rPr>
          <w:spacing w:val="1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response</w:t>
      </w:r>
      <w:r>
        <w:rPr>
          <w:spacing w:val="11"/>
        </w:rPr>
        <w:t xml:space="preserve"> </w:t>
      </w:r>
      <w:proofErr w:type="gramStart"/>
      <w:r>
        <w:t>is</w:t>
      </w:r>
      <w:r>
        <w:rPr>
          <w:spacing w:val="8"/>
        </w:rPr>
        <w:t xml:space="preserve"> </w:t>
      </w:r>
      <w:r>
        <w:t>reflected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CFS.</w:t>
      </w:r>
    </w:p>
    <w:p w:rsidR="009A4441" w:rsidRDefault="00E20A2B">
      <w:pPr>
        <w:pStyle w:val="BodyText"/>
        <w:ind w:right="132"/>
      </w:pPr>
      <w:r>
        <w:t xml:space="preserve">The Preface and the Commentary </w:t>
      </w:r>
      <w:proofErr w:type="gramStart"/>
      <w:r>
        <w:t>should be read</w:t>
      </w:r>
      <w:proofErr w:type="gramEnd"/>
      <w:r>
        <w:t xml:space="preserve"> in light of the information and</w:t>
      </w:r>
      <w:r>
        <w:rPr>
          <w:spacing w:val="1"/>
        </w:rPr>
        <w:t xml:space="preserve"> </w:t>
      </w:r>
      <w:r>
        <w:t>exp</w:t>
      </w:r>
      <w:r>
        <w:t>lanations</w:t>
      </w:r>
      <w:r>
        <w:rPr>
          <w:spacing w:val="6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CFS.</w:t>
      </w:r>
    </w:p>
    <w:p w:rsidR="009A4441" w:rsidRDefault="00E20A2B">
      <w:pPr>
        <w:pStyle w:val="Heading1"/>
        <w:ind w:left="1118"/>
        <w:jc w:val="both"/>
      </w:pPr>
      <w:r>
        <w:t>Operating</w:t>
      </w:r>
      <w:r>
        <w:rPr>
          <w:spacing w:val="-8"/>
        </w:rPr>
        <w:t xml:space="preserve"> </w:t>
      </w:r>
      <w:r>
        <w:t>statement</w:t>
      </w:r>
    </w:p>
    <w:p w:rsidR="009A4441" w:rsidRDefault="00E20A2B">
      <w:pPr>
        <w:pStyle w:val="BodyText"/>
        <w:spacing w:before="199"/>
        <w:ind w:right="114"/>
      </w:pPr>
      <w:r>
        <w:t xml:space="preserve">The  </w:t>
      </w:r>
      <w:r>
        <w:rPr>
          <w:spacing w:val="1"/>
        </w:rPr>
        <w:t xml:space="preserve"> </w:t>
      </w:r>
      <w:r>
        <w:t xml:space="preserve">Australian   Government’s  </w:t>
      </w:r>
      <w:r>
        <w:rPr>
          <w:spacing w:val="1"/>
        </w:rPr>
        <w:t xml:space="preserve"> </w:t>
      </w:r>
      <w:r>
        <w:t xml:space="preserve">net   operating   balance  </w:t>
      </w:r>
      <w:r>
        <w:rPr>
          <w:spacing w:val="1"/>
        </w:rPr>
        <w:t xml:space="preserve"> </w:t>
      </w:r>
      <w:r>
        <w:t>for    the    year   ended</w:t>
      </w:r>
      <w:r>
        <w:rPr>
          <w:spacing w:val="-47"/>
        </w:rPr>
        <w:t xml:space="preserve"> </w:t>
      </w:r>
      <w:r>
        <w:t>30 June 2021 was a deficit of $130.5 billion. For the year ended 30 June 2020, the</w:t>
      </w:r>
      <w:r>
        <w:rPr>
          <w:spacing w:val="1"/>
        </w:rPr>
        <w:t xml:space="preserve"> </w:t>
      </w:r>
      <w:r>
        <w:rPr>
          <w:w w:val="95"/>
        </w:rPr>
        <w:t>Australian</w:t>
      </w:r>
      <w:r>
        <w:rPr>
          <w:spacing w:val="5"/>
          <w:w w:val="95"/>
        </w:rPr>
        <w:t xml:space="preserve"> </w:t>
      </w:r>
      <w:r>
        <w:rPr>
          <w:w w:val="95"/>
        </w:rPr>
        <w:t>Government</w:t>
      </w:r>
      <w:r>
        <w:rPr>
          <w:spacing w:val="1"/>
          <w:w w:val="95"/>
        </w:rPr>
        <w:t xml:space="preserve"> </w:t>
      </w:r>
      <w:r>
        <w:rPr>
          <w:w w:val="95"/>
        </w:rPr>
        <w:t>reported</w:t>
      </w:r>
      <w:r>
        <w:rPr>
          <w:spacing w:val="46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net</w:t>
      </w:r>
      <w:r>
        <w:rPr>
          <w:spacing w:val="6"/>
          <w:w w:val="95"/>
        </w:rPr>
        <w:t xml:space="preserve"> </w:t>
      </w:r>
      <w:r>
        <w:rPr>
          <w:w w:val="95"/>
        </w:rPr>
        <w:t>operating</w:t>
      </w:r>
      <w:r>
        <w:rPr>
          <w:spacing w:val="6"/>
          <w:w w:val="95"/>
        </w:rPr>
        <w:t xml:space="preserve"> </w:t>
      </w:r>
      <w:r>
        <w:rPr>
          <w:w w:val="95"/>
        </w:rPr>
        <w:t>balance</w:t>
      </w:r>
      <w:r>
        <w:rPr>
          <w:spacing w:val="3"/>
          <w:w w:val="95"/>
        </w:rPr>
        <w:t xml:space="preserve"> </w:t>
      </w:r>
      <w:r>
        <w:rPr>
          <w:w w:val="95"/>
        </w:rPr>
        <w:t>deficit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$98.</w:t>
      </w:r>
      <w:r>
        <w:rPr>
          <w:spacing w:val="-10"/>
          <w:w w:val="95"/>
        </w:rPr>
        <w:t xml:space="preserve"> </w:t>
      </w:r>
      <w:r>
        <w:rPr>
          <w:w w:val="95"/>
        </w:rPr>
        <w:t>8</w:t>
      </w:r>
      <w:r>
        <w:rPr>
          <w:spacing w:val="5"/>
          <w:w w:val="95"/>
        </w:rPr>
        <w:t xml:space="preserve"> </w:t>
      </w:r>
      <w:r>
        <w:rPr>
          <w:w w:val="95"/>
        </w:rPr>
        <w:t>billion.</w:t>
      </w:r>
    </w:p>
    <w:p w:rsidR="009A4441" w:rsidRDefault="00E20A2B">
      <w:pPr>
        <w:pStyle w:val="BodyText"/>
        <w:ind w:right="117"/>
      </w:pPr>
      <w:r>
        <w:t xml:space="preserve">While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Australian   Government’s  </w:t>
      </w:r>
      <w:r>
        <w:rPr>
          <w:spacing w:val="1"/>
        </w:rPr>
        <w:t xml:space="preserve"> </w:t>
      </w:r>
      <w:r>
        <w:t xml:space="preserve">revenue  </w:t>
      </w:r>
      <w:r>
        <w:rPr>
          <w:spacing w:val="1"/>
        </w:rPr>
        <w:t xml:space="preserve"> </w:t>
      </w:r>
      <w:r>
        <w:t>increased    by    $40.7    billion</w:t>
      </w:r>
      <w:r>
        <w:rPr>
          <w:spacing w:val="1"/>
        </w:rPr>
        <w:t xml:space="preserve"> </w:t>
      </w:r>
      <w:r>
        <w:t>(8.1</w:t>
      </w:r>
      <w:r>
        <w:rPr>
          <w:spacing w:val="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cent), there was an increase</w:t>
      </w:r>
      <w:r>
        <w:rPr>
          <w:spacing w:val="50"/>
        </w:rPr>
        <w:t xml:space="preserve"> </w:t>
      </w:r>
      <w:r>
        <w:t>in expenditure of $72.3</w:t>
      </w:r>
      <w:r>
        <w:rPr>
          <w:spacing w:val="50"/>
        </w:rPr>
        <w:t xml:space="preserve"> </w:t>
      </w:r>
      <w:r>
        <w:t>billion (12.1 per cent)</w:t>
      </w:r>
      <w:r>
        <w:rPr>
          <w:spacing w:val="1"/>
        </w:rPr>
        <w:t xml:space="preserve"> </w:t>
      </w:r>
      <w:r>
        <w:t xml:space="preserve">in 2020-21, primarily </w:t>
      </w:r>
      <w:proofErr w:type="gramStart"/>
      <w:r>
        <w:t>as a result</w:t>
      </w:r>
      <w:proofErr w:type="gramEnd"/>
      <w:r>
        <w:t xml:space="preserve"> of the Government’s economic response to the</w:t>
      </w:r>
      <w:r>
        <w:rPr>
          <w:spacing w:val="1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pandemic.</w:t>
      </w:r>
    </w:p>
    <w:p w:rsidR="009A4441" w:rsidRDefault="00E20A2B">
      <w:pPr>
        <w:pStyle w:val="BodyText"/>
        <w:spacing w:before="199"/>
        <w:ind w:right="120"/>
      </w:pP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2"/>
        </w:rPr>
        <w:t xml:space="preserve"> </w:t>
      </w:r>
      <w:r>
        <w:t>pandemic,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Commentary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CFS.</w:t>
      </w:r>
    </w:p>
    <w:p w:rsidR="009A4441" w:rsidRDefault="00E20A2B">
      <w:pPr>
        <w:pStyle w:val="Heading1"/>
        <w:spacing w:before="196"/>
        <w:ind w:left="1118"/>
        <w:jc w:val="both"/>
      </w:pPr>
      <w:r>
        <w:t>Balance</w:t>
      </w:r>
      <w:r>
        <w:rPr>
          <w:spacing w:val="-3"/>
        </w:rPr>
        <w:t xml:space="preserve"> </w:t>
      </w:r>
      <w:r>
        <w:t>sheet</w:t>
      </w:r>
    </w:p>
    <w:p w:rsidR="009A4441" w:rsidRDefault="00E20A2B">
      <w:pPr>
        <w:pStyle w:val="BodyText"/>
        <w:spacing w:before="199"/>
        <w:ind w:right="114"/>
      </w:pPr>
      <w:r>
        <w:t>The</w:t>
      </w:r>
      <w:r>
        <w:rPr>
          <w:spacing w:val="51"/>
        </w:rPr>
        <w:t xml:space="preserve"> </w:t>
      </w:r>
      <w:r>
        <w:t>Australian</w:t>
      </w:r>
      <w:r>
        <w:rPr>
          <w:spacing w:val="51"/>
        </w:rPr>
        <w:t xml:space="preserve"> </w:t>
      </w:r>
      <w:r>
        <w:t>Government’s</w:t>
      </w:r>
      <w:r>
        <w:rPr>
          <w:spacing w:val="51"/>
        </w:rPr>
        <w:t xml:space="preserve"> </w:t>
      </w:r>
      <w:r>
        <w:t>net   worth   was   negative   $743.2   billion   as   at</w:t>
      </w:r>
      <w:r>
        <w:rPr>
          <w:spacing w:val="-47"/>
        </w:rPr>
        <w:t xml:space="preserve"> </w:t>
      </w:r>
      <w:r>
        <w:t>30 June 2021.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proofErr w:type="gramStart"/>
      <w:r>
        <w:t>Government’s</w:t>
      </w:r>
      <w:proofErr w:type="gramEnd"/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worth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negative</w:t>
      </w:r>
      <w:r>
        <w:rPr>
          <w:spacing w:val="7"/>
        </w:rPr>
        <w:t xml:space="preserve"> </w:t>
      </w:r>
      <w:r>
        <w:t>$679.9</w:t>
      </w:r>
      <w:r>
        <w:rPr>
          <w:spacing w:val="12"/>
        </w:rPr>
        <w:t xml:space="preserve"> </w:t>
      </w:r>
      <w:r>
        <w:t>billion.</w:t>
      </w:r>
    </w:p>
    <w:p w:rsidR="009A4441" w:rsidRDefault="00E20A2B">
      <w:pPr>
        <w:pStyle w:val="BodyText"/>
        <w:ind w:right="114"/>
      </w:pPr>
      <w:r>
        <w:t>The</w:t>
      </w:r>
      <w:r>
        <w:rPr>
          <w:spacing w:val="51"/>
        </w:rPr>
        <w:t xml:space="preserve"> </w:t>
      </w:r>
      <w:r>
        <w:t>Australian</w:t>
      </w:r>
      <w:r>
        <w:rPr>
          <w:spacing w:val="51"/>
        </w:rPr>
        <w:t xml:space="preserve"> </w:t>
      </w:r>
      <w:r>
        <w:t>Government’s</w:t>
      </w:r>
      <w:r>
        <w:rPr>
          <w:spacing w:val="51"/>
        </w:rPr>
        <w:t xml:space="preserve"> </w:t>
      </w:r>
      <w:r>
        <w:t xml:space="preserve">financial   assets   increased   by   $155.0 </w:t>
      </w:r>
      <w:r>
        <w:t xml:space="preserve">  billion</w:t>
      </w:r>
      <w:r>
        <w:rPr>
          <w:spacing w:val="1"/>
        </w:rPr>
        <w:t xml:space="preserve"> </w:t>
      </w:r>
      <w:r>
        <w:t>(26.0 per cent)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ended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June</w:t>
      </w:r>
      <w:r>
        <w:rPr>
          <w:spacing w:val="50"/>
        </w:rPr>
        <w:t xml:space="preserve"> </w:t>
      </w:r>
      <w:r>
        <w:t>2021.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non-financial</w:t>
      </w:r>
      <w:r>
        <w:rPr>
          <w:spacing w:val="50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$6.2</w:t>
      </w:r>
      <w:r>
        <w:rPr>
          <w:spacing w:val="10"/>
        </w:rPr>
        <w:t xml:space="preserve"> </w:t>
      </w:r>
      <w:r>
        <w:t>billion</w:t>
      </w:r>
      <w:r>
        <w:rPr>
          <w:spacing w:val="7"/>
        </w:rPr>
        <w:t xml:space="preserve"> </w:t>
      </w:r>
      <w:r>
        <w:t>(2.6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cent).</w:t>
      </w:r>
    </w:p>
    <w:p w:rsidR="009A4441" w:rsidRDefault="009A4441">
      <w:pPr>
        <w:sectPr w:rsidR="009A4441">
          <w:type w:val="continuous"/>
          <w:pgSz w:w="9980" w:h="14180"/>
          <w:pgMar w:top="1260" w:right="1020" w:bottom="280" w:left="300" w:header="720" w:footer="720" w:gutter="0"/>
          <w:cols w:space="720"/>
        </w:sectPr>
      </w:pPr>
    </w:p>
    <w:p w:rsidR="009A4441" w:rsidRDefault="00E20A2B">
      <w:pPr>
        <w:spacing w:before="75"/>
        <w:ind w:left="833"/>
        <w:rPr>
          <w:i/>
          <w:sz w:val="20"/>
        </w:rPr>
      </w:pPr>
      <w:r>
        <w:rPr>
          <w:i/>
          <w:sz w:val="20"/>
        </w:rPr>
        <w:lastRenderedPageBreak/>
        <w:t>Preface</w:t>
      </w:r>
    </w:p>
    <w:p w:rsidR="009A4441" w:rsidRDefault="009A4441">
      <w:pPr>
        <w:pStyle w:val="BodyText"/>
        <w:spacing w:before="0"/>
        <w:ind w:left="0"/>
        <w:jc w:val="left"/>
        <w:rPr>
          <w:i/>
        </w:rPr>
      </w:pPr>
    </w:p>
    <w:p w:rsidR="009A4441" w:rsidRDefault="009A4441">
      <w:pPr>
        <w:pStyle w:val="BodyText"/>
        <w:spacing w:before="1"/>
        <w:ind w:left="0"/>
        <w:jc w:val="left"/>
        <w:rPr>
          <w:i/>
          <w:sz w:val="29"/>
        </w:rPr>
      </w:pPr>
    </w:p>
    <w:p w:rsidR="009A4441" w:rsidRDefault="00E20A2B">
      <w:pPr>
        <w:pStyle w:val="BodyText"/>
        <w:spacing w:before="92"/>
        <w:ind w:left="833" w:right="403"/>
      </w:pP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Government’s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$224.5</w:t>
      </w:r>
      <w:r>
        <w:rPr>
          <w:spacing w:val="1"/>
        </w:rPr>
        <w:t xml:space="preserve"> </w:t>
      </w:r>
      <w:r>
        <w:t>billion,</w:t>
      </w:r>
      <w:r>
        <w:rPr>
          <w:spacing w:val="50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driven by an increase</w:t>
      </w:r>
      <w:r>
        <w:rPr>
          <w:spacing w:val="1"/>
        </w:rPr>
        <w:t xml:space="preserve"> </w:t>
      </w:r>
      <w:r>
        <w:t>in deposit liabilities of $277.0 billion,</w:t>
      </w:r>
      <w:r>
        <w:rPr>
          <w:spacing w:val="50"/>
        </w:rPr>
        <w:t xml:space="preserve"> </w:t>
      </w:r>
      <w:r>
        <w:t>reflecting the</w:t>
      </w:r>
      <w:r>
        <w:rPr>
          <w:spacing w:val="50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 exchange settlement funds from the Government’s economic response to the</w:t>
      </w:r>
      <w:r>
        <w:rPr>
          <w:spacing w:val="1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pandemic.</w:t>
      </w:r>
    </w:p>
    <w:p w:rsidR="009A4441" w:rsidRDefault="00E20A2B">
      <w:pPr>
        <w:pStyle w:val="Heading1"/>
      </w:pPr>
      <w:r>
        <w:t>Cash</w:t>
      </w:r>
      <w:r>
        <w:rPr>
          <w:spacing w:val="-2"/>
        </w:rPr>
        <w:t xml:space="preserve"> </w:t>
      </w:r>
      <w:r>
        <w:t>flows</w:t>
      </w:r>
    </w:p>
    <w:p w:rsidR="009A4441" w:rsidRDefault="00E20A2B">
      <w:pPr>
        <w:pStyle w:val="BodyText"/>
        <w:spacing w:before="199"/>
        <w:ind w:left="833" w:right="415"/>
      </w:pPr>
      <w:r>
        <w:t>The Australian Government recorded a cash deficit of $135.7 billion for the year</w:t>
      </w:r>
      <w:r>
        <w:rPr>
          <w:spacing w:val="1"/>
        </w:rPr>
        <w:t xml:space="preserve"> </w:t>
      </w:r>
      <w:r>
        <w:t>end</w:t>
      </w:r>
      <w:r>
        <w:t>ed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non-financial</w:t>
      </w:r>
      <w:r>
        <w:rPr>
          <w:spacing w:val="15"/>
        </w:rPr>
        <w:t xml:space="preserve"> </w:t>
      </w:r>
      <w:r>
        <w:t>assets.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cash</w:t>
      </w:r>
      <w:r>
        <w:rPr>
          <w:spacing w:val="19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end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$7.7</w:t>
      </w:r>
      <w:r>
        <w:rPr>
          <w:spacing w:val="18"/>
        </w:rPr>
        <w:t xml:space="preserve"> </w:t>
      </w:r>
      <w:r>
        <w:t>billion.</w:t>
      </w:r>
    </w:p>
    <w:p w:rsidR="009A4441" w:rsidRDefault="00E20A2B">
      <w:pPr>
        <w:pStyle w:val="Heading1"/>
        <w:spacing w:before="194"/>
      </w:pPr>
      <w:r>
        <w:t>Contingent</w:t>
      </w:r>
      <w:r>
        <w:rPr>
          <w:spacing w:val="-3"/>
        </w:rPr>
        <w:t xml:space="preserve"> </w:t>
      </w:r>
      <w:r>
        <w:t>liabilities,</w:t>
      </w:r>
      <w:r>
        <w:rPr>
          <w:spacing w:val="-3"/>
        </w:rPr>
        <w:t xml:space="preserve"> </w:t>
      </w:r>
      <w:r>
        <w:t>contingent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risks</w:t>
      </w:r>
    </w:p>
    <w:p w:rsidR="009A4441" w:rsidRDefault="00E20A2B">
      <w:pPr>
        <w:pStyle w:val="BodyText"/>
        <w:ind w:left="833" w:right="407"/>
      </w:pPr>
      <w:r>
        <w:t>Contingent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contingent</w:t>
      </w:r>
      <w:r>
        <w:rPr>
          <w:spacing w:val="50"/>
        </w:rPr>
        <w:t xml:space="preserve"> </w:t>
      </w:r>
      <w:r>
        <w:t>assets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Australian</w:t>
      </w:r>
      <w:r>
        <w:rPr>
          <w:spacing w:val="50"/>
        </w:rPr>
        <w:t xml:space="preserve"> </w:t>
      </w:r>
      <w:r>
        <w:t xml:space="preserve">Government </w:t>
      </w:r>
      <w:proofErr w:type="gramStart"/>
      <w:r>
        <w:t>are</w:t>
      </w:r>
      <w:r>
        <w:rPr>
          <w:spacing w:val="1"/>
        </w:rPr>
        <w:t xml:space="preserve"> </w:t>
      </w:r>
      <w:r>
        <w:t>not disclosed</w:t>
      </w:r>
      <w:proofErr w:type="gramEnd"/>
      <w:r>
        <w:t xml:space="preserve"> in the balance sheet but are set out in detail in Note 9A of the CFS.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proofErr w:type="gramStart"/>
      <w:r>
        <w:t>impact</w:t>
      </w:r>
      <w:r>
        <w:rPr>
          <w:spacing w:val="1"/>
        </w:rPr>
        <w:t xml:space="preserve"> </w:t>
      </w:r>
      <w:r>
        <w:t>on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Government’s</w:t>
      </w:r>
      <w:r>
        <w:rPr>
          <w:spacing w:val="11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9B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9C.</w:t>
      </w:r>
    </w:p>
    <w:p w:rsidR="009A4441" w:rsidRDefault="00E20A2B">
      <w:pPr>
        <w:pStyle w:val="Heading1"/>
      </w:pPr>
      <w:r>
        <w:t>Fi</w:t>
      </w:r>
      <w:r>
        <w:t>nal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Outcome</w:t>
      </w:r>
    </w:p>
    <w:p w:rsidR="009A4441" w:rsidRDefault="00E20A2B">
      <w:pPr>
        <w:pStyle w:val="BodyText"/>
        <w:spacing w:before="199"/>
        <w:ind w:left="833" w:right="401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Charter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Budget</w:t>
      </w:r>
      <w:r>
        <w:rPr>
          <w:i/>
          <w:spacing w:val="1"/>
        </w:rPr>
        <w:t xml:space="preserve"> </w:t>
      </w:r>
      <w:r>
        <w:rPr>
          <w:i/>
        </w:rPr>
        <w:t>Honesty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1"/>
        </w:rPr>
        <w:t xml:space="preserve"> </w:t>
      </w:r>
      <w:r>
        <w:rPr>
          <w:i/>
        </w:rPr>
        <w:t>1998</w:t>
      </w:r>
      <w:r>
        <w:rPr>
          <w:i/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Charter),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publicly</w:t>
      </w:r>
      <w:r>
        <w:rPr>
          <w:spacing w:val="1"/>
        </w:rPr>
        <w:t xml:space="preserve"> </w:t>
      </w:r>
      <w:r>
        <w:t>release and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</w:t>
      </w:r>
      <w:r>
        <w:rPr>
          <w:spacing w:val="50"/>
        </w:rPr>
        <w:t xml:space="preserve"> </w:t>
      </w:r>
      <w:r>
        <w:t>Budget</w:t>
      </w:r>
      <w:r>
        <w:rPr>
          <w:spacing w:val="50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(FBO) report no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months 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 financial year.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FBO for the 2020-21 financial year </w:t>
      </w:r>
      <w:proofErr w:type="gramStart"/>
      <w:r>
        <w:t>was released</w:t>
      </w:r>
      <w:proofErr w:type="gramEnd"/>
      <w:r>
        <w:t xml:space="preserve"> on 30 September 2021, presenting</w:t>
      </w:r>
      <w:r>
        <w:rPr>
          <w:spacing w:val="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fiscal</w:t>
      </w:r>
      <w:r>
        <w:rPr>
          <w:spacing w:val="25"/>
        </w:rPr>
        <w:t xml:space="preserve"> </w:t>
      </w:r>
      <w:r>
        <w:t>outcomes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Australian</w:t>
      </w:r>
      <w:r>
        <w:rPr>
          <w:spacing w:val="23"/>
        </w:rPr>
        <w:t xml:space="preserve"> </w:t>
      </w:r>
      <w:r>
        <w:t>Government</w:t>
      </w:r>
      <w:r>
        <w:rPr>
          <w:spacing w:val="22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government</w:t>
      </w:r>
      <w:r>
        <w:rPr>
          <w:spacing w:val="21"/>
        </w:rPr>
        <w:t xml:space="preserve"> </w:t>
      </w:r>
      <w:r>
        <w:t>sector.</w:t>
      </w:r>
    </w:p>
    <w:p w:rsidR="009A4441" w:rsidRDefault="00E20A2B">
      <w:pPr>
        <w:pStyle w:val="BodyText"/>
        <w:ind w:left="833" w:right="412"/>
      </w:pP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Charter,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FBO</w:t>
      </w:r>
      <w:r>
        <w:rPr>
          <w:spacing w:val="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prepared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accrual basis that complies with both the Australian Bureau of Statistics’ (ABS)</w:t>
      </w:r>
      <w:r>
        <w:rPr>
          <w:spacing w:val="1"/>
        </w:rPr>
        <w:t xml:space="preserve"> </w:t>
      </w:r>
      <w:r>
        <w:t>accrual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(GFS)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departures</w:t>
      </w:r>
      <w:r>
        <w:rPr>
          <w:spacing w:val="1"/>
        </w:rPr>
        <w:t xml:space="preserve"> </w:t>
      </w:r>
      <w:r>
        <w:t>disclosed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FBO.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differen</w:t>
      </w:r>
      <w:r>
        <w:t>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fiscal</w:t>
      </w:r>
      <w:r>
        <w:rPr>
          <w:spacing w:val="50"/>
        </w:rPr>
        <w:t xml:space="preserve"> </w:t>
      </w:r>
      <w:r>
        <w:t>aggregates reported</w:t>
      </w:r>
      <w:r>
        <w:rPr>
          <w:spacing w:val="50"/>
        </w:rPr>
        <w:t xml:space="preserve"> </w:t>
      </w:r>
      <w:r>
        <w:t>in the</w:t>
      </w:r>
      <w:r>
        <w:rPr>
          <w:spacing w:val="-47"/>
        </w:rPr>
        <w:t xml:space="preserve"> </w:t>
      </w:r>
      <w:r>
        <w:t>CFS</w:t>
      </w:r>
      <w:r>
        <w:rPr>
          <w:spacing w:val="50"/>
        </w:rPr>
        <w:t xml:space="preserve"> </w:t>
      </w:r>
      <w:r>
        <w:t>under AASB</w:t>
      </w:r>
      <w:r>
        <w:rPr>
          <w:spacing w:val="50"/>
        </w:rPr>
        <w:t xml:space="preserve"> </w:t>
      </w:r>
      <w:r>
        <w:t>1049 and</w:t>
      </w:r>
      <w:r>
        <w:rPr>
          <w:spacing w:val="50"/>
        </w:rPr>
        <w:t xml:space="preserve"> </w:t>
      </w:r>
      <w:r>
        <w:t>the corresponding fiscal aggregates reported</w:t>
      </w:r>
      <w:r>
        <w:rPr>
          <w:spacing w:val="50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</w:t>
      </w:r>
      <w:r>
        <w:rPr>
          <w:spacing w:val="10"/>
        </w:rPr>
        <w:t xml:space="preserve"> </w:t>
      </w:r>
      <w:r>
        <w:t>GFS</w:t>
      </w:r>
      <w:r>
        <w:rPr>
          <w:spacing w:val="10"/>
        </w:rPr>
        <w:t xml:space="preserve"> </w:t>
      </w:r>
      <w:r>
        <w:t>publication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Note</w:t>
      </w:r>
      <w:r>
        <w:rPr>
          <w:spacing w:val="8"/>
        </w:rPr>
        <w:t xml:space="preserve"> </w:t>
      </w:r>
      <w:r>
        <w:t>12A.</w:t>
      </w:r>
    </w:p>
    <w:p w:rsidR="009A4441" w:rsidRDefault="00E20A2B">
      <w:pPr>
        <w:pStyle w:val="BodyText"/>
        <w:ind w:left="833" w:right="417"/>
      </w:pPr>
      <w:r>
        <w:rPr>
          <w:noProof/>
          <w:lang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254634</wp:posOffset>
            </wp:positionH>
            <wp:positionV relativeFrom="paragraph">
              <wp:posOffset>456621</wp:posOffset>
            </wp:positionV>
            <wp:extent cx="3073998" cy="9256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998" cy="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would like to thank the many Australian Government employees whose efforts</w:t>
      </w:r>
      <w:r>
        <w:rPr>
          <w:spacing w:val="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contributed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2020-21</w:t>
      </w:r>
      <w:r>
        <w:rPr>
          <w:spacing w:val="11"/>
        </w:rPr>
        <w:t xml:space="preserve"> </w:t>
      </w:r>
      <w:r>
        <w:t>CFS.</w:t>
      </w:r>
    </w:p>
    <w:p w:rsidR="009A4441" w:rsidRDefault="00E20A2B">
      <w:pPr>
        <w:pStyle w:val="BodyText"/>
        <w:spacing w:before="8"/>
        <w:ind w:left="833" w:right="4604"/>
        <w:jc w:val="left"/>
      </w:pPr>
      <w:r>
        <w:t>Senator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Hon</w:t>
      </w:r>
      <w:r>
        <w:rPr>
          <w:spacing w:val="-5"/>
        </w:rPr>
        <w:t xml:space="preserve"> </w:t>
      </w:r>
      <w:r>
        <w:t>Simon</w:t>
      </w:r>
      <w:r>
        <w:rPr>
          <w:spacing w:val="-5"/>
        </w:rPr>
        <w:t xml:space="preserve"> </w:t>
      </w:r>
      <w:r>
        <w:t>Birmingham</w:t>
      </w:r>
      <w:r>
        <w:rPr>
          <w:spacing w:val="-47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for Finance</w:t>
      </w:r>
    </w:p>
    <w:p w:rsidR="009A4441" w:rsidRDefault="009A4441">
      <w:pPr>
        <w:pStyle w:val="BodyText"/>
        <w:spacing w:before="0"/>
        <w:ind w:left="0"/>
        <w:jc w:val="left"/>
      </w:pPr>
    </w:p>
    <w:p w:rsidR="009A4441" w:rsidRDefault="009A4441">
      <w:pPr>
        <w:pStyle w:val="BodyText"/>
        <w:spacing w:before="0"/>
        <w:ind w:left="0"/>
        <w:jc w:val="left"/>
      </w:pPr>
    </w:p>
    <w:p w:rsidR="009A4441" w:rsidRDefault="009A4441">
      <w:pPr>
        <w:pStyle w:val="BodyText"/>
        <w:spacing w:before="0"/>
        <w:ind w:left="0"/>
        <w:jc w:val="left"/>
      </w:pPr>
    </w:p>
    <w:p w:rsidR="009A4441" w:rsidRDefault="009A4441">
      <w:pPr>
        <w:pStyle w:val="BodyText"/>
        <w:spacing w:before="2"/>
        <w:ind w:left="0"/>
        <w:jc w:val="left"/>
        <w:rPr>
          <w:sz w:val="25"/>
        </w:rPr>
      </w:pPr>
    </w:p>
    <w:p w:rsidR="009A4441" w:rsidRDefault="00E20A2B">
      <w:pPr>
        <w:spacing w:before="95"/>
        <w:ind w:left="432"/>
        <w:jc w:val="center"/>
        <w:rPr>
          <w:rFonts w:ascii="Arial"/>
          <w:sz w:val="16"/>
        </w:rPr>
      </w:pPr>
      <w:r>
        <w:rPr>
          <w:rFonts w:ascii="Arial"/>
          <w:sz w:val="16"/>
        </w:rPr>
        <w:t>2</w:t>
      </w:r>
    </w:p>
    <w:sectPr w:rsidR="009A4441">
      <w:pgSz w:w="9980" w:h="14180"/>
      <w:pgMar w:top="620" w:right="10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4441"/>
    <w:rsid w:val="009A4441"/>
    <w:rsid w:val="00E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5B221-F738-4F86-8BFE-094580C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n-AU"/>
    </w:rPr>
  </w:style>
  <w:style w:type="paragraph" w:styleId="Heading1">
    <w:name w:val="heading 1"/>
    <w:basedOn w:val="Normal"/>
    <w:uiPriority w:val="1"/>
    <w:qFormat/>
    <w:pPr>
      <w:spacing w:before="195"/>
      <w:ind w:left="833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118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4144" w:right="3139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Department of Finance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 - Preface</dc:title>
  <dc:creator>Department of Finance</dc:creator>
  <cp:lastModifiedBy>Truong, Minh</cp:lastModifiedBy>
  <cp:revision>2</cp:revision>
  <dcterms:created xsi:type="dcterms:W3CDTF">2021-12-08T00:22:00Z</dcterms:created>
  <dcterms:modified xsi:type="dcterms:W3CDTF">2021-12-08T01:42:00Z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