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C86D6" w14:textId="059A72F7" w:rsidR="007514FA" w:rsidRPr="007514FA" w:rsidRDefault="007514FA" w:rsidP="00491FB4">
      <w:pPr>
        <w:pStyle w:val="Heading1"/>
        <w:shd w:val="clear" w:color="auto" w:fill="BDDCDF" w:themeFill="accent1"/>
        <w:rPr>
          <w:b/>
        </w:rPr>
      </w:pPr>
      <w:bookmarkStart w:id="0" w:name="_Toc81818574"/>
      <w:r w:rsidRPr="007514FA">
        <w:rPr>
          <w:b/>
        </w:rPr>
        <w:t>RMG-110 Accounting for Leases</w:t>
      </w:r>
    </w:p>
    <w:p w14:paraId="0E13F785" w14:textId="4C5AFA98" w:rsidR="00491FB4" w:rsidRPr="00610A3C" w:rsidRDefault="00491FB4" w:rsidP="00491FB4">
      <w:pPr>
        <w:pStyle w:val="Heading1"/>
        <w:shd w:val="clear" w:color="auto" w:fill="BDDCDF" w:themeFill="accent1"/>
        <w:rPr>
          <w:u w:val="single"/>
        </w:rPr>
      </w:pPr>
      <w:r>
        <w:rPr>
          <w:u w:val="single"/>
        </w:rPr>
        <w:t>Appendix B</w:t>
      </w:r>
      <w:r w:rsidRPr="00610A3C">
        <w:rPr>
          <w:u w:val="single"/>
        </w:rPr>
        <w:t xml:space="preserve">: </w:t>
      </w:r>
      <w:r>
        <w:rPr>
          <w:u w:val="single"/>
        </w:rPr>
        <w:t>AASB 16 Implementation on Transition Date</w:t>
      </w:r>
      <w:bookmarkEnd w:id="0"/>
    </w:p>
    <w:p w14:paraId="17C4D3C4" w14:textId="0370FDF9" w:rsidR="00491FB4" w:rsidRDefault="007427A8" w:rsidP="00251199">
      <w:pPr>
        <w:pStyle w:val="Heading2Numbered"/>
        <w:numPr>
          <w:ilvl w:val="0"/>
          <w:numId w:val="0"/>
        </w:numPr>
      </w:pPr>
      <w:bookmarkStart w:id="1" w:name="_Toc81818575"/>
      <w:r>
        <w:t>B</w:t>
      </w:r>
      <w:r w:rsidR="00491FB4">
        <w:t>1.</w:t>
      </w:r>
      <w:r w:rsidR="00491FB4">
        <w:tab/>
        <w:t>Retrospective a</w:t>
      </w:r>
      <w:r w:rsidR="00491FB4" w:rsidRPr="00680342">
        <w:t>pplication of AASB 16</w:t>
      </w:r>
      <w:bookmarkEnd w:id="1"/>
    </w:p>
    <w:p w14:paraId="74FCBA80" w14:textId="77777777" w:rsidR="00491FB4" w:rsidRPr="00C557D4" w:rsidRDefault="00491FB4" w:rsidP="00491FB4">
      <w:pPr>
        <w:pStyle w:val="Extractheading"/>
      </w:pPr>
      <w:r w:rsidRPr="00C557D4">
        <w:t xml:space="preserve">AASB 16 </w:t>
      </w:r>
      <w:r w:rsidRPr="0048653F">
        <w:t>extract</w:t>
      </w:r>
      <w:r w:rsidRPr="00C557D4">
        <w:t>:</w:t>
      </w:r>
    </w:p>
    <w:p w14:paraId="1E8BB876" w14:textId="77777777" w:rsidR="00491FB4" w:rsidRDefault="00491FB4" w:rsidP="00491FB4">
      <w:pPr>
        <w:pStyle w:val="AASBextract"/>
      </w:pPr>
      <w:r>
        <w:rPr>
          <w:b/>
        </w:rPr>
        <w:t>P</w:t>
      </w:r>
      <w:r w:rsidRPr="00E27675">
        <w:rPr>
          <w:b/>
        </w:rPr>
        <w:t>aragraph C5:</w:t>
      </w:r>
      <w:r>
        <w:t xml:space="preserve"> </w:t>
      </w:r>
      <w:r w:rsidRPr="00951622">
        <w:t xml:space="preserve">A lessee shall apply this Standard to its leases either: </w:t>
      </w:r>
    </w:p>
    <w:p w14:paraId="7130595C" w14:textId="77777777" w:rsidR="00491FB4" w:rsidRDefault="00491FB4" w:rsidP="00491FB4">
      <w:pPr>
        <w:pStyle w:val="AASBextract"/>
        <w:ind w:left="709" w:hanging="425"/>
      </w:pPr>
      <w:r>
        <w:t>(a)</w:t>
      </w:r>
      <w:r>
        <w:tab/>
      </w:r>
      <w:r w:rsidRPr="00951622">
        <w:t xml:space="preserve">retrospectively to each prior reporting period presented applying </w:t>
      </w:r>
      <w:r w:rsidRPr="00E27675">
        <w:rPr>
          <w:i/>
        </w:rPr>
        <w:t>AASB 108 Accounting Policies, Changes in Accounting Estimates and Errors</w:t>
      </w:r>
      <w:r w:rsidRPr="00951622">
        <w:t xml:space="preserve">; or </w:t>
      </w:r>
    </w:p>
    <w:p w14:paraId="66E11E19" w14:textId="6DC4D023" w:rsidR="00491FB4" w:rsidRDefault="00491FB4" w:rsidP="00491FB4">
      <w:pPr>
        <w:pStyle w:val="AASBextract"/>
        <w:ind w:left="709" w:hanging="425"/>
      </w:pPr>
      <w:r w:rsidRPr="00951622">
        <w:t xml:space="preserve">(b) </w:t>
      </w:r>
      <w:r>
        <w:tab/>
      </w:r>
      <w:proofErr w:type="gramStart"/>
      <w:r w:rsidRPr="00951622">
        <w:t>retrospectively</w:t>
      </w:r>
      <w:proofErr w:type="gramEnd"/>
      <w:r w:rsidRPr="00951622">
        <w:t xml:space="preserve"> with the cumulative effect of initially applying the Standard recognised at the date of initial application in accordance with paragraphs </w:t>
      </w:r>
      <w:r w:rsidR="001C2079">
        <w:t xml:space="preserve">        </w:t>
      </w:r>
      <w:r w:rsidRPr="00951622">
        <w:t>C7–C13.</w:t>
      </w:r>
    </w:p>
    <w:p w14:paraId="654C92B3" w14:textId="77777777" w:rsidR="00491FB4" w:rsidRPr="00EC3996" w:rsidRDefault="00491FB4" w:rsidP="00491FB4">
      <w:pPr>
        <w:pStyle w:val="AASBextract"/>
      </w:pPr>
      <w:r>
        <w:rPr>
          <w:b/>
        </w:rPr>
        <w:t>P</w:t>
      </w:r>
      <w:r w:rsidRPr="00254BCE">
        <w:rPr>
          <w:b/>
        </w:rPr>
        <w:t>aragraph C</w:t>
      </w:r>
      <w:r>
        <w:rPr>
          <w:b/>
        </w:rPr>
        <w:t xml:space="preserve">7: </w:t>
      </w:r>
      <w:r w:rsidRPr="00E27675">
        <w:t xml:space="preserve">If a lessee elects to apply this Standard in accordance with paragraph </w:t>
      </w:r>
      <w:proofErr w:type="gramStart"/>
      <w:r w:rsidRPr="00E27675">
        <w:t>C5(</w:t>
      </w:r>
      <w:proofErr w:type="gramEnd"/>
      <w:r w:rsidRPr="00E27675">
        <w:t>b), the lessee shall not restate comparative information. Instead, the lessee shall recognise the cumulative effect of initially applying this Standard as an adjustment to the opening balance of retained earnings (or other component of equity, as appropriate) at the date of initial application.</w:t>
      </w:r>
    </w:p>
    <w:p w14:paraId="45A4D344" w14:textId="77777777" w:rsidR="00491FB4" w:rsidRPr="00EC3996" w:rsidRDefault="00491FB4" w:rsidP="00251199">
      <w:pPr>
        <w:pStyle w:val="NumberedList1"/>
        <w:numPr>
          <w:ilvl w:val="0"/>
          <w:numId w:val="0"/>
        </w:numPr>
      </w:pPr>
      <w:r>
        <w:t xml:space="preserve">Under </w:t>
      </w:r>
      <w:r w:rsidRPr="00EC3996">
        <w:t xml:space="preserve">paragraph C6 of </w:t>
      </w:r>
      <w:hyperlink r:id="rId8" w:history="1">
        <w:r w:rsidRPr="003D74F7">
          <w:rPr>
            <w:rStyle w:val="Hyperlink"/>
            <w:i w:val="0"/>
          </w:rPr>
          <w:t>AASB 16</w:t>
        </w:r>
      </w:hyperlink>
      <w:r w:rsidRPr="00EC3996">
        <w:t>, a</w:t>
      </w:r>
      <w:r w:rsidRPr="00EF287B">
        <w:t xml:space="preserve"> lessee is required to apply its selected option under paragraph C5 consistently to all its leases</w:t>
      </w:r>
      <w:r w:rsidRPr="00EC3996">
        <w:t>.</w:t>
      </w:r>
    </w:p>
    <w:p w14:paraId="5F49A34E" w14:textId="3E187BC1" w:rsidR="00491FB4" w:rsidRPr="0087794D" w:rsidRDefault="00491FB4" w:rsidP="00251199">
      <w:pPr>
        <w:pStyle w:val="NumberedList1"/>
        <w:numPr>
          <w:ilvl w:val="0"/>
          <w:numId w:val="0"/>
        </w:numPr>
      </w:pPr>
      <w:r w:rsidRPr="0087794D">
        <w:t xml:space="preserve">To facilitate implementation of AASB 16, Finance requires that Commonwealth </w:t>
      </w:r>
      <w:r>
        <w:t xml:space="preserve">entities apply </w:t>
      </w:r>
      <w:r w:rsidRPr="0087794D">
        <w:t xml:space="preserve">the ‘modified model’ at paragraphs </w:t>
      </w:r>
      <w:proofErr w:type="gramStart"/>
      <w:r w:rsidRPr="0087794D">
        <w:t>C5(</w:t>
      </w:r>
      <w:proofErr w:type="gramEnd"/>
      <w:r w:rsidRPr="0087794D">
        <w:t>b) and C7.</w:t>
      </w:r>
    </w:p>
    <w:p w14:paraId="270ACBBE" w14:textId="77777777" w:rsidR="00491FB4" w:rsidRPr="00044698" w:rsidRDefault="00491FB4" w:rsidP="00251199">
      <w:pPr>
        <w:pStyle w:val="Notetitle"/>
        <w:numPr>
          <w:ilvl w:val="0"/>
          <w:numId w:val="0"/>
        </w:numPr>
      </w:pPr>
      <w:r>
        <w:t>Retrospective a</w:t>
      </w:r>
      <w:r w:rsidRPr="00680342">
        <w:t>pplication of AASB 16</w:t>
      </w:r>
    </w:p>
    <w:p w14:paraId="6436FAC8" w14:textId="77777777" w:rsidR="00491FB4" w:rsidRPr="00680342" w:rsidRDefault="00491FB4" w:rsidP="00491FB4">
      <w:pPr>
        <w:pStyle w:val="Boxed2Text"/>
      </w:pPr>
      <w:r>
        <w:t>Commonwealth e</w:t>
      </w:r>
      <w:r w:rsidRPr="00680342">
        <w:t xml:space="preserve">ntities are required to apply the </w:t>
      </w:r>
      <w:r w:rsidRPr="00A57056">
        <w:rPr>
          <w:u w:color="0070C0"/>
        </w:rPr>
        <w:t>modified model</w:t>
      </w:r>
      <w:r>
        <w:t xml:space="preserve"> </w:t>
      </w:r>
      <w:r w:rsidRPr="00EF287B">
        <w:t>(</w:t>
      </w:r>
      <w:r>
        <w:t xml:space="preserve">at </w:t>
      </w:r>
      <w:r w:rsidRPr="00EF287B">
        <w:t xml:space="preserve">paragraphs </w:t>
      </w:r>
      <w:proofErr w:type="gramStart"/>
      <w:r w:rsidRPr="00EF287B">
        <w:t>C5(</w:t>
      </w:r>
      <w:proofErr w:type="gramEnd"/>
      <w:r w:rsidRPr="00EF287B">
        <w:t>b) and C7)</w:t>
      </w:r>
      <w:r>
        <w:t xml:space="preserve"> </w:t>
      </w:r>
      <w:r w:rsidRPr="00680342">
        <w:t>on initial application of AASB 16.</w:t>
      </w:r>
    </w:p>
    <w:p w14:paraId="2C3FC4CA" w14:textId="6D011A4B" w:rsidR="00491FB4" w:rsidRDefault="007427A8" w:rsidP="00251199">
      <w:pPr>
        <w:pStyle w:val="Heading2Numbered"/>
        <w:numPr>
          <w:ilvl w:val="0"/>
          <w:numId w:val="0"/>
        </w:numPr>
      </w:pPr>
      <w:bookmarkStart w:id="2" w:name="_Toc81818576"/>
      <w:r>
        <w:t>B2.</w:t>
      </w:r>
      <w:r>
        <w:tab/>
      </w:r>
      <w:r w:rsidR="00491FB4">
        <w:t>Identification of leases</w:t>
      </w:r>
      <w:bookmarkEnd w:id="2"/>
    </w:p>
    <w:p w14:paraId="256D5612" w14:textId="77777777" w:rsidR="00491FB4" w:rsidRPr="00E27675" w:rsidRDefault="00491FB4" w:rsidP="00491FB4">
      <w:pPr>
        <w:rPr>
          <w:rFonts w:eastAsia="Cambria" w:cstheme="minorHAnsi"/>
          <w:b/>
          <w:bCs/>
          <w:sz w:val="20"/>
          <w:szCs w:val="20"/>
        </w:rPr>
      </w:pPr>
      <w:r w:rsidRPr="00E27675">
        <w:rPr>
          <w:rFonts w:eastAsia="Cambria" w:cstheme="minorHAnsi"/>
          <w:b/>
          <w:sz w:val="20"/>
          <w:szCs w:val="20"/>
        </w:rPr>
        <w:t xml:space="preserve">AASB 16 </w:t>
      </w:r>
      <w:r w:rsidRPr="00E27675">
        <w:rPr>
          <w:rStyle w:val="ExtractheadingChar"/>
        </w:rPr>
        <w:t>extract</w:t>
      </w:r>
      <w:r w:rsidRPr="00E27675">
        <w:rPr>
          <w:rFonts w:eastAsia="Cambria" w:cstheme="minorHAnsi"/>
          <w:b/>
          <w:sz w:val="20"/>
          <w:szCs w:val="20"/>
        </w:rPr>
        <w:t>:</w:t>
      </w:r>
    </w:p>
    <w:p w14:paraId="6E8BBE76" w14:textId="10112C6A" w:rsidR="00491FB4" w:rsidRPr="00EF287B" w:rsidRDefault="00491FB4" w:rsidP="00491FB4">
      <w:pPr>
        <w:pStyle w:val="AASBextract"/>
      </w:pPr>
      <w:r w:rsidRPr="00EC3996">
        <w:rPr>
          <w:b/>
        </w:rPr>
        <w:t>Paragraph C3</w:t>
      </w:r>
      <w:r w:rsidRPr="00EF287B">
        <w:rPr>
          <w:b/>
        </w:rPr>
        <w:t>:</w:t>
      </w:r>
      <w:r w:rsidRPr="00EF287B">
        <w:t xml:space="preserve"> As a practical expedient, an entity is not required to re</w:t>
      </w:r>
      <w:r w:rsidR="00B4598F">
        <w:t>-</w:t>
      </w:r>
      <w:r w:rsidRPr="00EF287B">
        <w:t xml:space="preserve">assess whether a contract is, or contains, a lease at the date of initial application. Instead, the entity is permitted: </w:t>
      </w:r>
    </w:p>
    <w:p w14:paraId="0216B17A" w14:textId="77777777" w:rsidR="00491FB4" w:rsidRPr="00EF287B" w:rsidRDefault="00491FB4" w:rsidP="00491FB4">
      <w:pPr>
        <w:pStyle w:val="AASBextract"/>
        <w:ind w:left="709" w:hanging="425"/>
      </w:pPr>
      <w:r>
        <w:t>(a)</w:t>
      </w:r>
      <w:r>
        <w:tab/>
      </w:r>
      <w:proofErr w:type="gramStart"/>
      <w:r w:rsidRPr="00EC3996">
        <w:t>to</w:t>
      </w:r>
      <w:proofErr w:type="gramEnd"/>
      <w:r w:rsidRPr="00EC3996">
        <w:t xml:space="preserve"> apply this Standard to contracts that were previously identified as leases applying AASB 117 Leases and Interpretation 4 Determining whether an Arrangement contains a Lease. The entity shall apply the transition requirements in paragraphs C5–C18 to those leases. </w:t>
      </w:r>
    </w:p>
    <w:p w14:paraId="3BA34B7E" w14:textId="77777777" w:rsidR="00491FB4" w:rsidRPr="00EC3996" w:rsidRDefault="00491FB4" w:rsidP="00491FB4">
      <w:pPr>
        <w:pStyle w:val="AASBextract"/>
        <w:ind w:left="709" w:hanging="425"/>
      </w:pPr>
      <w:r>
        <w:lastRenderedPageBreak/>
        <w:t>(b)</w:t>
      </w:r>
      <w:r>
        <w:tab/>
      </w:r>
      <w:proofErr w:type="gramStart"/>
      <w:r w:rsidRPr="00EF287B">
        <w:t>not</w:t>
      </w:r>
      <w:proofErr w:type="gramEnd"/>
      <w:r w:rsidRPr="00EF287B">
        <w:t xml:space="preserve"> to apply this Standard to contracts that were not previously identified as containing a lease applying AASB 117 and Interpretation 4.</w:t>
      </w:r>
    </w:p>
    <w:p w14:paraId="02940722" w14:textId="507BC971" w:rsidR="00491FB4" w:rsidRDefault="00491FB4" w:rsidP="00251199">
      <w:pPr>
        <w:pStyle w:val="NumberedList1"/>
        <w:numPr>
          <w:ilvl w:val="0"/>
          <w:numId w:val="0"/>
        </w:numPr>
      </w:pPr>
      <w:r w:rsidRPr="00C557D4">
        <w:t>Commonwealth entities</w:t>
      </w:r>
      <w:r w:rsidRPr="00C557D4">
        <w:rPr>
          <w:i/>
        </w:rPr>
        <w:t xml:space="preserve"> </w:t>
      </w:r>
      <w:r w:rsidR="001C2079">
        <w:t>must</w:t>
      </w:r>
      <w:r w:rsidRPr="00C557D4">
        <w:t xml:space="preserve"> not re</w:t>
      </w:r>
      <w:r w:rsidR="00B4598F">
        <w:t>-</w:t>
      </w:r>
      <w:r w:rsidRPr="00C557D4">
        <w:t xml:space="preserve">assess previous contracts on transition to </w:t>
      </w:r>
      <w:r w:rsidRPr="00C557D4">
        <w:br/>
        <w:t>AASB 16</w:t>
      </w:r>
      <w:r>
        <w:t xml:space="preserve"> – t</w:t>
      </w:r>
      <w:r w:rsidRPr="0048653F">
        <w:t>hi</w:t>
      </w:r>
      <w:r>
        <w:t>s</w:t>
      </w:r>
      <w:r w:rsidRPr="0048653F">
        <w:t xml:space="preserve"> must be applied to all contracts and disclosed</w:t>
      </w:r>
      <w:r w:rsidRPr="00893A31">
        <w:t xml:space="preserve">. </w:t>
      </w:r>
      <w:r>
        <w:t>However, in accordance with paragraph 11 of AASB 16, e</w:t>
      </w:r>
      <w:r w:rsidRPr="00893A31">
        <w:t>ntities will be required to re</w:t>
      </w:r>
      <w:r w:rsidR="00B4598F">
        <w:t>-</w:t>
      </w:r>
      <w:r w:rsidRPr="00893A31">
        <w:t>assess whether a contract contains a lease where contractual terms subsequently change.</w:t>
      </w:r>
    </w:p>
    <w:p w14:paraId="03E24C1E" w14:textId="77777777" w:rsidR="00491FB4" w:rsidRPr="00893A31" w:rsidRDefault="00491FB4" w:rsidP="00251199">
      <w:pPr>
        <w:pStyle w:val="Notetitle"/>
        <w:numPr>
          <w:ilvl w:val="0"/>
          <w:numId w:val="0"/>
        </w:numPr>
      </w:pPr>
      <w:r>
        <w:t>Identification of leases</w:t>
      </w:r>
    </w:p>
    <w:p w14:paraId="1B8EC730" w14:textId="6A6CA9A8" w:rsidR="00491FB4" w:rsidRPr="00893A31" w:rsidRDefault="00491FB4" w:rsidP="00491FB4">
      <w:pPr>
        <w:pStyle w:val="Boxed2Text"/>
      </w:pPr>
      <w:r>
        <w:t>Commonwealth e</w:t>
      </w:r>
      <w:r w:rsidRPr="00893A31">
        <w:t xml:space="preserve">ntities are required to </w:t>
      </w:r>
      <w:r>
        <w:t xml:space="preserve">apply </w:t>
      </w:r>
      <w:r w:rsidRPr="00893A31">
        <w:t>the ‘no re</w:t>
      </w:r>
      <w:r w:rsidR="00B4598F">
        <w:t>-</w:t>
      </w:r>
      <w:r w:rsidRPr="00893A31">
        <w:t xml:space="preserve">assessment of previous leases’ option </w:t>
      </w:r>
      <w:r>
        <w:t xml:space="preserve">as </w:t>
      </w:r>
      <w:r w:rsidRPr="00893A31">
        <w:t>provided in paragraph C3 of AASB 16.</w:t>
      </w:r>
    </w:p>
    <w:p w14:paraId="4F7C2DF5" w14:textId="2B12C88F" w:rsidR="00491FB4" w:rsidRDefault="007427A8" w:rsidP="00251199">
      <w:pPr>
        <w:pStyle w:val="Heading2Numbered"/>
        <w:numPr>
          <w:ilvl w:val="0"/>
          <w:numId w:val="0"/>
        </w:numPr>
      </w:pPr>
      <w:bookmarkStart w:id="3" w:name="_Toc81818577"/>
      <w:r>
        <w:t>B3.</w:t>
      </w:r>
      <w:r>
        <w:tab/>
      </w:r>
      <w:r w:rsidR="00491FB4" w:rsidRPr="00893A31">
        <w:t>R</w:t>
      </w:r>
      <w:r w:rsidR="00491FB4">
        <w:t>ight-of-use</w:t>
      </w:r>
      <w:r w:rsidR="00491FB4" w:rsidRPr="00893A31">
        <w:t xml:space="preserve"> </w:t>
      </w:r>
      <w:r w:rsidR="00491FB4">
        <w:t>a</w:t>
      </w:r>
      <w:r w:rsidR="00491FB4" w:rsidRPr="00893A31">
        <w:t xml:space="preserve">ssets </w:t>
      </w:r>
      <w:r w:rsidR="00491FB4">
        <w:t>p</w:t>
      </w:r>
      <w:r w:rsidR="00491FB4" w:rsidRPr="00893A31">
        <w:t xml:space="preserve">reviously </w:t>
      </w:r>
      <w:r w:rsidR="00491FB4">
        <w:t>a</w:t>
      </w:r>
      <w:r w:rsidR="00491FB4" w:rsidRPr="00893A31">
        <w:t xml:space="preserve">ccounted for as </w:t>
      </w:r>
      <w:r w:rsidR="00491FB4">
        <w:t>o</w:t>
      </w:r>
      <w:r w:rsidR="00491FB4" w:rsidRPr="00893A31">
        <w:t xml:space="preserve">perating </w:t>
      </w:r>
      <w:r w:rsidR="00491FB4">
        <w:t>l</w:t>
      </w:r>
      <w:r w:rsidR="00491FB4" w:rsidRPr="00893A31">
        <w:t>eases</w:t>
      </w:r>
      <w:bookmarkEnd w:id="3"/>
    </w:p>
    <w:p w14:paraId="69FBDD11" w14:textId="77777777" w:rsidR="00491FB4" w:rsidRPr="0002443B" w:rsidRDefault="00491FB4" w:rsidP="00491FB4">
      <w:pPr>
        <w:pStyle w:val="Extractheading"/>
      </w:pPr>
      <w:r w:rsidRPr="00EB761A">
        <w:t xml:space="preserve">AASB 16 </w:t>
      </w:r>
      <w:r w:rsidRPr="00E27675">
        <w:rPr>
          <w:rStyle w:val="ExtractheadingChar"/>
          <w:b/>
        </w:rPr>
        <w:t>extract</w:t>
      </w:r>
      <w:r w:rsidRPr="00EB761A">
        <w:t>:</w:t>
      </w:r>
    </w:p>
    <w:p w14:paraId="7E5CBB3A" w14:textId="77777777" w:rsidR="00491FB4" w:rsidRDefault="00491FB4" w:rsidP="00491FB4">
      <w:pPr>
        <w:pStyle w:val="AASBextract"/>
      </w:pPr>
      <w:r w:rsidRPr="00E27675">
        <w:rPr>
          <w:b/>
        </w:rPr>
        <w:t xml:space="preserve">Paragraph </w:t>
      </w:r>
      <w:proofErr w:type="gramStart"/>
      <w:r w:rsidRPr="00E27675">
        <w:rPr>
          <w:b/>
        </w:rPr>
        <w:t>C8</w:t>
      </w:r>
      <w:r>
        <w:rPr>
          <w:b/>
        </w:rPr>
        <w:t>(</w:t>
      </w:r>
      <w:proofErr w:type="gramEnd"/>
      <w:r>
        <w:rPr>
          <w:b/>
        </w:rPr>
        <w:t>b)</w:t>
      </w:r>
      <w:r w:rsidRPr="00E27675">
        <w:rPr>
          <w:b/>
        </w:rPr>
        <w:t>:</w:t>
      </w:r>
      <w:r>
        <w:t xml:space="preserve"> </w:t>
      </w:r>
      <w:r w:rsidRPr="000F1B71">
        <w:t>If a lessee elects to apply t</w:t>
      </w:r>
      <w:r>
        <w:t xml:space="preserve">his Standard in accordance with </w:t>
      </w:r>
      <w:r w:rsidRPr="000F1B71">
        <w:t>paragraph C5(b), the lessee shall:</w:t>
      </w:r>
    </w:p>
    <w:p w14:paraId="4687890B" w14:textId="77777777" w:rsidR="00491FB4" w:rsidRDefault="00491FB4" w:rsidP="00491FB4">
      <w:pPr>
        <w:pStyle w:val="AASBextract"/>
        <w:ind w:left="709" w:hanging="425"/>
      </w:pPr>
      <w:r>
        <w:t>(b)</w:t>
      </w:r>
      <w:r>
        <w:tab/>
      </w:r>
      <w:proofErr w:type="gramStart"/>
      <w:r w:rsidRPr="000F1B71">
        <w:t>recognise</w:t>
      </w:r>
      <w:proofErr w:type="gramEnd"/>
      <w:r w:rsidRPr="000F1B71">
        <w:t xml:space="preserve"> a right-of-use asset at the date of initial application for leases previously classified as an operating lease applying AASB 117</w:t>
      </w:r>
      <w:r>
        <w:t xml:space="preserve">. The lessee shall choose, on a </w:t>
      </w:r>
      <w:r w:rsidRPr="000F1B71">
        <w:t>lease-by-lease basis, to measure tha</w:t>
      </w:r>
      <w:r>
        <w:t>t right-of-use asset at either:</w:t>
      </w:r>
    </w:p>
    <w:p w14:paraId="58A15744" w14:textId="77777777" w:rsidR="00491FB4" w:rsidRDefault="00491FB4" w:rsidP="00491FB4">
      <w:pPr>
        <w:pStyle w:val="AASBextract"/>
        <w:ind w:left="709" w:hanging="425"/>
      </w:pPr>
      <w:r>
        <w:tab/>
        <w:t>(</w:t>
      </w:r>
      <w:proofErr w:type="spellStart"/>
      <w:r>
        <w:t>i</w:t>
      </w:r>
      <w:proofErr w:type="spellEnd"/>
      <w:r>
        <w:t xml:space="preserve">) </w:t>
      </w:r>
      <w:r w:rsidRPr="000F1B71">
        <w:t xml:space="preserve">its carrying amount as if the Standard had been applied since the commencement date, but discounted using the lessee’s incremental borrowing rate at the date of initial application; or </w:t>
      </w:r>
    </w:p>
    <w:p w14:paraId="409DB79A" w14:textId="77777777" w:rsidR="00491FB4" w:rsidRDefault="00491FB4" w:rsidP="00491FB4">
      <w:pPr>
        <w:pStyle w:val="AASBextract"/>
        <w:ind w:left="709" w:hanging="425"/>
      </w:pPr>
      <w:r>
        <w:tab/>
        <w:t xml:space="preserve">(ii) </w:t>
      </w:r>
      <w:proofErr w:type="gramStart"/>
      <w:r w:rsidRPr="000F1B71">
        <w:t>an</w:t>
      </w:r>
      <w:proofErr w:type="gramEnd"/>
      <w:r w:rsidRPr="000F1B71">
        <w:t xml:space="preserve"> amount equal to the lease liability, adjusted by the amount of any prepaid or accrued lease payments relating to that lease recognised in the statement of financial position immediately before the date of initial application. </w:t>
      </w:r>
    </w:p>
    <w:p w14:paraId="7D9957FF" w14:textId="7F035D53" w:rsidR="00491FB4" w:rsidRPr="00601785" w:rsidRDefault="00491FB4" w:rsidP="00251199">
      <w:pPr>
        <w:pStyle w:val="NumberedList1"/>
        <w:numPr>
          <w:ilvl w:val="0"/>
          <w:numId w:val="0"/>
        </w:numPr>
      </w:pPr>
      <w:r w:rsidRPr="00601785">
        <w:t xml:space="preserve">When AASB 16 is applied retrospectively under </w:t>
      </w:r>
      <w:r w:rsidRPr="00A57056">
        <w:rPr>
          <w:u w:color="0070C0"/>
        </w:rPr>
        <w:t xml:space="preserve">paragraph </w:t>
      </w:r>
      <w:proofErr w:type="gramStart"/>
      <w:r w:rsidRPr="00A57056">
        <w:rPr>
          <w:u w:color="0070C0"/>
        </w:rPr>
        <w:t>C5(</w:t>
      </w:r>
      <w:proofErr w:type="gramEnd"/>
      <w:r w:rsidRPr="00A57056">
        <w:rPr>
          <w:u w:color="0070C0"/>
        </w:rPr>
        <w:t>b)</w:t>
      </w:r>
      <w:r w:rsidRPr="00601785">
        <w:t xml:space="preserve"> on </w:t>
      </w:r>
      <w:r>
        <w:t xml:space="preserve">the </w:t>
      </w:r>
      <w:r w:rsidRPr="00601785">
        <w:t xml:space="preserve">transition date, lessees can initially recognise ROU assets under </w:t>
      </w:r>
      <w:r>
        <w:t>paragraph</w:t>
      </w:r>
      <w:r w:rsidR="001C2079">
        <w:t xml:space="preserve"> </w:t>
      </w:r>
      <w:r w:rsidRPr="00601785">
        <w:t xml:space="preserve">C8(b) on a lease-by-lease basis. However, paragraph 2 of AASB 16 requires the standard to be applied consistently to contracts with similar characteristics and </w:t>
      </w:r>
      <w:r>
        <w:t xml:space="preserve">in </w:t>
      </w:r>
      <w:r w:rsidRPr="00601785">
        <w:t>similar circumstances.</w:t>
      </w:r>
      <w:r>
        <w:t xml:space="preserve"> </w:t>
      </w:r>
      <w:r w:rsidRPr="00601785">
        <w:t>Therefore</w:t>
      </w:r>
      <w:r>
        <w:t>, l</w:t>
      </w:r>
      <w:r w:rsidRPr="00601785">
        <w:t>essees</w:t>
      </w:r>
      <w:r>
        <w:t xml:space="preserve"> will </w:t>
      </w:r>
      <w:r w:rsidRPr="00601785">
        <w:t xml:space="preserve">need to justify to their audit team where the implementation options under </w:t>
      </w:r>
      <w:r w:rsidRPr="00A57056">
        <w:rPr>
          <w:u w:color="0070C0"/>
        </w:rPr>
        <w:t xml:space="preserve">paragraph </w:t>
      </w:r>
      <w:proofErr w:type="gramStart"/>
      <w:r w:rsidRPr="00A57056">
        <w:rPr>
          <w:u w:color="0070C0"/>
        </w:rPr>
        <w:t>C8(</w:t>
      </w:r>
      <w:proofErr w:type="gramEnd"/>
      <w:r w:rsidRPr="00A57056">
        <w:rPr>
          <w:u w:color="0070C0"/>
        </w:rPr>
        <w:t>b) of AASB 16</w:t>
      </w:r>
      <w:r w:rsidRPr="00601785">
        <w:t xml:space="preserve"> </w:t>
      </w:r>
      <w:r>
        <w:t xml:space="preserve">are not </w:t>
      </w:r>
      <w:r w:rsidRPr="00601785">
        <w:t xml:space="preserve">consistently </w:t>
      </w:r>
      <w:r>
        <w:t xml:space="preserve">applied </w:t>
      </w:r>
      <w:r w:rsidRPr="00601785">
        <w:t>to all leases.</w:t>
      </w:r>
    </w:p>
    <w:p w14:paraId="7ED1D5A8" w14:textId="77777777" w:rsidR="00491FB4" w:rsidRDefault="00491FB4" w:rsidP="00251199">
      <w:pPr>
        <w:pStyle w:val="NumberedList1"/>
        <w:numPr>
          <w:ilvl w:val="0"/>
          <w:numId w:val="0"/>
        </w:numPr>
      </w:pPr>
      <w:r w:rsidRPr="00601785">
        <w:t xml:space="preserve">Finance recommends </w:t>
      </w:r>
      <w:r>
        <w:t xml:space="preserve">the </w:t>
      </w:r>
      <w:r w:rsidRPr="00601785">
        <w:t xml:space="preserve">implementation option </w:t>
      </w:r>
      <w:r>
        <w:t xml:space="preserve">at paragraph </w:t>
      </w:r>
      <w:proofErr w:type="gramStart"/>
      <w:r w:rsidRPr="00601785">
        <w:t>C8(</w:t>
      </w:r>
      <w:proofErr w:type="gramEnd"/>
      <w:r w:rsidRPr="00601785">
        <w:t>b)(ii)</w:t>
      </w:r>
      <w:r>
        <w:t xml:space="preserve"> of AASB 16 as i</w:t>
      </w:r>
      <w:r w:rsidRPr="00601785">
        <w:t>t is likely to be a simpler method of calculating the ROU asset on transition.</w:t>
      </w:r>
      <w:r>
        <w:t xml:space="preserve"> </w:t>
      </w:r>
      <w:r w:rsidRPr="00601785">
        <w:t xml:space="preserve">Where </w:t>
      </w:r>
      <w:r>
        <w:t xml:space="preserve">the </w:t>
      </w:r>
      <w:r w:rsidRPr="00601785">
        <w:t xml:space="preserve">implementation option </w:t>
      </w:r>
      <w:r>
        <w:t xml:space="preserve">at paragraph </w:t>
      </w:r>
      <w:r w:rsidRPr="00601785">
        <w:t>C8(b)(</w:t>
      </w:r>
      <w:proofErr w:type="spellStart"/>
      <w:r w:rsidRPr="00601785">
        <w:t>i</w:t>
      </w:r>
      <w:proofErr w:type="spellEnd"/>
      <w:r w:rsidRPr="00601785">
        <w:t xml:space="preserve">) is applied, the impact on </w:t>
      </w:r>
      <w:r>
        <w:t xml:space="preserve">the </w:t>
      </w:r>
      <w:r w:rsidRPr="00601785">
        <w:t xml:space="preserve">opening equity as at transition date will need to be included in the 2019-20 Supplementary Reporting Pack (SRP), so Finance can report all leases under option C8(b)(ii) in the </w:t>
      </w:r>
      <w:r>
        <w:t>CFS.</w:t>
      </w:r>
    </w:p>
    <w:p w14:paraId="52FE9055" w14:textId="77777777" w:rsidR="00491FB4" w:rsidRPr="00893A31" w:rsidRDefault="00491FB4" w:rsidP="00251199">
      <w:pPr>
        <w:pStyle w:val="Notetitle"/>
        <w:numPr>
          <w:ilvl w:val="0"/>
          <w:numId w:val="0"/>
        </w:numPr>
      </w:pPr>
      <w:r w:rsidRPr="00893A31">
        <w:lastRenderedPageBreak/>
        <w:t>R</w:t>
      </w:r>
      <w:r>
        <w:t>ight-of-use</w:t>
      </w:r>
      <w:r w:rsidRPr="00893A31">
        <w:t xml:space="preserve"> </w:t>
      </w:r>
      <w:r>
        <w:t>a</w:t>
      </w:r>
      <w:r w:rsidRPr="00893A31">
        <w:t xml:space="preserve">ssets </w:t>
      </w:r>
      <w:r>
        <w:t>p</w:t>
      </w:r>
      <w:r w:rsidRPr="00893A31">
        <w:t xml:space="preserve">reviously </w:t>
      </w:r>
      <w:r>
        <w:t>a</w:t>
      </w:r>
      <w:r w:rsidRPr="00893A31">
        <w:t xml:space="preserve">ccounted for as </w:t>
      </w:r>
      <w:r>
        <w:t>o</w:t>
      </w:r>
      <w:r w:rsidRPr="00893A31">
        <w:t xml:space="preserve">perating </w:t>
      </w:r>
      <w:r>
        <w:t>l</w:t>
      </w:r>
      <w:r w:rsidRPr="00893A31">
        <w:t>eases</w:t>
      </w:r>
    </w:p>
    <w:p w14:paraId="0AF3E1ED" w14:textId="77777777" w:rsidR="00491FB4" w:rsidRDefault="00491FB4" w:rsidP="00491FB4">
      <w:pPr>
        <w:pStyle w:val="Boxed2Text"/>
      </w:pPr>
      <w:r>
        <w:t xml:space="preserve">Where the implementation at option </w:t>
      </w:r>
      <w:proofErr w:type="gramStart"/>
      <w:r w:rsidRPr="00A57056">
        <w:rPr>
          <w:u w:color="0070C0"/>
        </w:rPr>
        <w:t>C8(</w:t>
      </w:r>
      <w:proofErr w:type="gramEnd"/>
      <w:r w:rsidRPr="00A57056">
        <w:rPr>
          <w:u w:color="0070C0"/>
        </w:rPr>
        <w:t>b)(ii) of AASB 16</w:t>
      </w:r>
      <w:r>
        <w:t xml:space="preserve"> is not applied to all leases on transition, entities will need to:</w:t>
      </w:r>
    </w:p>
    <w:p w14:paraId="492EFACB" w14:textId="37EBDD1A" w:rsidR="00491FB4" w:rsidRDefault="00491FB4" w:rsidP="00491FB4">
      <w:pPr>
        <w:pStyle w:val="Boxed2Text"/>
        <w:numPr>
          <w:ilvl w:val="0"/>
          <w:numId w:val="66"/>
        </w:numPr>
      </w:pPr>
      <w:r>
        <w:t>justify to their audit team how their approach remains consistent with AASB 16(2)</w:t>
      </w:r>
    </w:p>
    <w:p w14:paraId="2A581257" w14:textId="77777777" w:rsidR="00491FB4" w:rsidRPr="00EF287B" w:rsidRDefault="00491FB4" w:rsidP="00491FB4">
      <w:pPr>
        <w:pStyle w:val="Boxed2Text"/>
        <w:numPr>
          <w:ilvl w:val="0"/>
          <w:numId w:val="66"/>
        </w:numPr>
      </w:pPr>
      <w:proofErr w:type="gramStart"/>
      <w:r>
        <w:t>include</w:t>
      </w:r>
      <w:proofErr w:type="gramEnd"/>
      <w:r>
        <w:t xml:space="preserve"> details of the adjustments to opening equity on transition date in the SRP, to allow consistency in preparing consolidated financial statements.</w:t>
      </w:r>
    </w:p>
    <w:p w14:paraId="0FC47038" w14:textId="6804386F" w:rsidR="00491FB4" w:rsidRPr="005234BE" w:rsidRDefault="007427A8" w:rsidP="00251199">
      <w:pPr>
        <w:pStyle w:val="Heading2Numbered"/>
        <w:numPr>
          <w:ilvl w:val="0"/>
          <w:numId w:val="0"/>
        </w:numPr>
      </w:pPr>
      <w:bookmarkStart w:id="4" w:name="_Toc81818578"/>
      <w:r>
        <w:t>B4.</w:t>
      </w:r>
      <w:r>
        <w:tab/>
      </w:r>
      <w:r w:rsidR="00491FB4" w:rsidRPr="005234BE">
        <w:t>R</w:t>
      </w:r>
      <w:r w:rsidR="00491FB4">
        <w:t>ight-of-use</w:t>
      </w:r>
      <w:r w:rsidR="00491FB4" w:rsidRPr="005234BE">
        <w:t xml:space="preserve"> </w:t>
      </w:r>
      <w:r w:rsidR="00491FB4">
        <w:t>a</w:t>
      </w:r>
      <w:r w:rsidR="00491FB4" w:rsidRPr="005234BE">
        <w:t xml:space="preserve">ssets </w:t>
      </w:r>
      <w:r w:rsidR="00491FB4">
        <w:t>p</w:t>
      </w:r>
      <w:r w:rsidR="00491FB4" w:rsidRPr="005234BE">
        <w:t xml:space="preserve">reviously </w:t>
      </w:r>
      <w:r w:rsidR="00491FB4">
        <w:t>a</w:t>
      </w:r>
      <w:r w:rsidR="00491FB4" w:rsidRPr="005234BE">
        <w:t xml:space="preserve">ccounted for as </w:t>
      </w:r>
      <w:r w:rsidR="00491FB4">
        <w:t>finance</w:t>
      </w:r>
      <w:r w:rsidR="00491FB4" w:rsidRPr="005234BE">
        <w:t xml:space="preserve"> </w:t>
      </w:r>
      <w:r w:rsidR="00491FB4">
        <w:t>l</w:t>
      </w:r>
      <w:r w:rsidR="00491FB4" w:rsidRPr="005234BE">
        <w:t>eases</w:t>
      </w:r>
      <w:bookmarkEnd w:id="4"/>
    </w:p>
    <w:p w14:paraId="7E11DB4C" w14:textId="77777777" w:rsidR="00491FB4" w:rsidRDefault="00491FB4" w:rsidP="00251199">
      <w:pPr>
        <w:pStyle w:val="NumberedList1"/>
        <w:numPr>
          <w:ilvl w:val="0"/>
          <w:numId w:val="0"/>
        </w:numPr>
      </w:pPr>
      <w:r>
        <w:t xml:space="preserve">ROU asset classes may include some leases that were previously accounted for as finance leases under </w:t>
      </w:r>
      <w:hyperlink r:id="rId9" w:history="1">
        <w:r w:rsidRPr="00601785">
          <w:rPr>
            <w:rStyle w:val="Hyperlink"/>
            <w:i w:val="0"/>
          </w:rPr>
          <w:t>AASB 117</w:t>
        </w:r>
      </w:hyperlink>
      <w:r w:rsidRPr="00601785">
        <w:rPr>
          <w:rStyle w:val="Hyperlink"/>
          <w:i w:val="0"/>
        </w:rPr>
        <w:t>.</w:t>
      </w:r>
      <w:r>
        <w:t xml:space="preserve"> Prior to 2019-20, these ROU assets were included in non-financial asset classes measured at fair value, under clause 17 of the </w:t>
      </w:r>
      <w:hyperlink r:id="rId10" w:history="1">
        <w:r w:rsidRPr="00601785">
          <w:rPr>
            <w:rStyle w:val="Hyperlink"/>
            <w:i w:val="0"/>
          </w:rPr>
          <w:t>FRR</w:t>
        </w:r>
      </w:hyperlink>
      <w:r>
        <w:t>.</w:t>
      </w:r>
    </w:p>
    <w:p w14:paraId="0E16F357" w14:textId="77777777" w:rsidR="00491FB4" w:rsidRDefault="00491FB4" w:rsidP="00251199">
      <w:pPr>
        <w:pStyle w:val="NumberedList1"/>
        <w:numPr>
          <w:ilvl w:val="0"/>
          <w:numId w:val="0"/>
        </w:numPr>
      </w:pPr>
      <w:r w:rsidRPr="00601785">
        <w:t xml:space="preserve">Reclassifying those ROU assets into separate ROU specific asset classes held at cost under AASB 16 is a change in accounting policy under </w:t>
      </w:r>
      <w:hyperlink r:id="rId11" w:history="1">
        <w:r w:rsidRPr="00601785">
          <w:rPr>
            <w:rStyle w:val="Hyperlink"/>
          </w:rPr>
          <w:t>AASB 108 Accounting Policies, Changes in Accounting Estimates and Errors</w:t>
        </w:r>
      </w:hyperlink>
      <w:r w:rsidRPr="00601785">
        <w:t xml:space="preserve"> (AASB 108).</w:t>
      </w:r>
    </w:p>
    <w:p w14:paraId="2182067B" w14:textId="7F4A000C" w:rsidR="00491FB4" w:rsidRDefault="00491FB4" w:rsidP="00251199">
      <w:pPr>
        <w:pStyle w:val="NumberedList1"/>
        <w:numPr>
          <w:ilvl w:val="0"/>
          <w:numId w:val="0"/>
        </w:numPr>
      </w:pPr>
      <w:r w:rsidRPr="00601785">
        <w:t xml:space="preserve">Under paragraph 19 of AASB 108, changes in accounting policy resulting from the initial application of an </w:t>
      </w:r>
      <w:r w:rsidRPr="00A57056">
        <w:rPr>
          <w:u w:color="0070C0"/>
        </w:rPr>
        <w:t>Australian accounting standard</w:t>
      </w:r>
      <w:r w:rsidRPr="00601785">
        <w:t xml:space="preserve"> should be applied in accordance with the transitional provisions in th</w:t>
      </w:r>
      <w:r>
        <w:t>at s</w:t>
      </w:r>
      <w:r w:rsidRPr="00601785">
        <w:t xml:space="preserve">tandard. </w:t>
      </w:r>
      <w:r>
        <w:t>T</w:t>
      </w:r>
      <w:r w:rsidRPr="001A11F5">
        <w:t xml:space="preserve">he </w:t>
      </w:r>
      <w:r w:rsidR="00601257" w:rsidRPr="004A5DDF">
        <w:t>Australian Government is applying AASB 16 retrospectively</w:t>
      </w:r>
      <w:r w:rsidRPr="001A11F5">
        <w:t xml:space="preserve"> with the cumulative ef</w:t>
      </w:r>
      <w:r>
        <w:t>fect of initially applying the s</w:t>
      </w:r>
      <w:r w:rsidRPr="001A11F5">
        <w:t xml:space="preserve">tandard recognised at the date of initial application, under </w:t>
      </w:r>
      <w:r w:rsidR="00601257" w:rsidRPr="004A5DDF">
        <w:t>paragraphs C5 and C7 of AASB 16.</w:t>
      </w:r>
    </w:p>
    <w:p w14:paraId="143F672A" w14:textId="77777777" w:rsidR="00491FB4" w:rsidRPr="001505A9" w:rsidRDefault="00491FB4" w:rsidP="00251199">
      <w:pPr>
        <w:pStyle w:val="NumberedList1"/>
        <w:numPr>
          <w:ilvl w:val="0"/>
          <w:numId w:val="0"/>
        </w:numPr>
      </w:pPr>
      <w:r w:rsidRPr="00601785">
        <w:t>Under paragraph C11 of AASB 16, ROU assets previously recognised by lessees as finance leases under AASB 117 are to be initially recognised, on AASB 16 transition date, at the carrying amount of those lease assets under AASB 117 immediately prior to transition. These amounts reflect deemed cost</w:t>
      </w:r>
      <w:r>
        <w:t xml:space="preserve"> of</w:t>
      </w:r>
      <w:r w:rsidRPr="00601785">
        <w:t xml:space="preserve"> </w:t>
      </w:r>
      <w:r>
        <w:t>the ROU asset</w:t>
      </w:r>
      <w:r w:rsidRPr="001A11F5">
        <w:t xml:space="preserve"> </w:t>
      </w:r>
      <w:r w:rsidRPr="00601785">
        <w:t>on the transition</w:t>
      </w:r>
      <w:r w:rsidRPr="001505A9">
        <w:t xml:space="preserve"> date under AASB 16.</w:t>
      </w:r>
    </w:p>
    <w:p w14:paraId="5F657EDD" w14:textId="77777777" w:rsidR="00491FB4" w:rsidRDefault="00491FB4" w:rsidP="00251199">
      <w:pPr>
        <w:pStyle w:val="Notetitle"/>
        <w:numPr>
          <w:ilvl w:val="0"/>
          <w:numId w:val="0"/>
        </w:numPr>
      </w:pPr>
      <w:r w:rsidRPr="005234BE">
        <w:t>R</w:t>
      </w:r>
      <w:r>
        <w:t>ight-of-use</w:t>
      </w:r>
      <w:r w:rsidRPr="005234BE">
        <w:t xml:space="preserve"> </w:t>
      </w:r>
      <w:r>
        <w:t>a</w:t>
      </w:r>
      <w:r w:rsidRPr="005234BE">
        <w:t xml:space="preserve">ssets </w:t>
      </w:r>
      <w:r>
        <w:t>p</w:t>
      </w:r>
      <w:r w:rsidRPr="005234BE">
        <w:t xml:space="preserve">reviously </w:t>
      </w:r>
      <w:r>
        <w:t>a</w:t>
      </w:r>
      <w:r w:rsidRPr="005234BE">
        <w:t xml:space="preserve">ccounted for as </w:t>
      </w:r>
      <w:r>
        <w:t>finance</w:t>
      </w:r>
      <w:r w:rsidRPr="005234BE">
        <w:t xml:space="preserve"> </w:t>
      </w:r>
      <w:r>
        <w:t>l</w:t>
      </w:r>
      <w:r w:rsidRPr="005234BE">
        <w:t>eases</w:t>
      </w:r>
    </w:p>
    <w:p w14:paraId="53C0BE7F" w14:textId="21CD9DE2" w:rsidR="00491FB4" w:rsidRPr="00235767" w:rsidRDefault="00491FB4" w:rsidP="00491FB4">
      <w:pPr>
        <w:pStyle w:val="Boxed2Text"/>
      </w:pPr>
      <w:r>
        <w:t>ROU assets</w:t>
      </w:r>
      <w:r w:rsidRPr="000B7B84">
        <w:t xml:space="preserve"> previously recognised by Commonwealth lessees as finance lease</w:t>
      </w:r>
      <w:r>
        <w:t>s</w:t>
      </w:r>
      <w:r w:rsidRPr="000B7B84">
        <w:t xml:space="preserve"> under AASB 117</w:t>
      </w:r>
      <w:r>
        <w:t xml:space="preserve"> </w:t>
      </w:r>
      <w:r w:rsidR="00D26FF5">
        <w:t>must</w:t>
      </w:r>
      <w:r>
        <w:t xml:space="preserve"> be reclassified </w:t>
      </w:r>
      <w:r w:rsidRPr="000B7B84">
        <w:t xml:space="preserve">into </w:t>
      </w:r>
      <w:r>
        <w:t xml:space="preserve">the </w:t>
      </w:r>
      <w:r w:rsidRPr="000B7B84">
        <w:t xml:space="preserve">separate </w:t>
      </w:r>
      <w:r>
        <w:t xml:space="preserve">ROU </w:t>
      </w:r>
      <w:r w:rsidRPr="000B7B84">
        <w:t xml:space="preserve">asset classes </w:t>
      </w:r>
      <w:r>
        <w:t xml:space="preserve">created under AASB 16 at their existing carrying values. The reclassification </w:t>
      </w:r>
      <w:r w:rsidR="00891E2F">
        <w:t>must</w:t>
      </w:r>
      <w:r>
        <w:t xml:space="preserve"> occur on the </w:t>
      </w:r>
      <w:r w:rsidR="00021E3C">
        <w:t xml:space="preserve">   </w:t>
      </w:r>
      <w:r>
        <w:t xml:space="preserve">AASB 16 transition date of 1 July 2019. </w:t>
      </w:r>
      <w:r w:rsidRPr="002F3705">
        <w:t xml:space="preserve">Disclosure of the accounting policy change </w:t>
      </w:r>
      <w:r w:rsidR="00D26FF5">
        <w:t>must</w:t>
      </w:r>
      <w:r w:rsidRPr="002F3705">
        <w:t xml:space="preserve"> be made</w:t>
      </w:r>
      <w:r>
        <w:t>,</w:t>
      </w:r>
      <w:r w:rsidRPr="002F3705">
        <w:t xml:space="preserve"> as required by </w:t>
      </w:r>
      <w:r>
        <w:t xml:space="preserve">paragraph 28 of </w:t>
      </w:r>
      <w:r w:rsidRPr="002F3705">
        <w:t>AASB 108.</w:t>
      </w:r>
    </w:p>
    <w:p w14:paraId="245902A7" w14:textId="6F9A9CF1" w:rsidR="00491FB4" w:rsidRDefault="007427A8" w:rsidP="00251199">
      <w:pPr>
        <w:pStyle w:val="Heading2Numbered"/>
        <w:numPr>
          <w:ilvl w:val="0"/>
          <w:numId w:val="0"/>
        </w:numPr>
      </w:pPr>
      <w:bookmarkStart w:id="5" w:name="_Toc81818579"/>
      <w:r>
        <w:t>B5.</w:t>
      </w:r>
      <w:r>
        <w:tab/>
      </w:r>
      <w:r w:rsidR="00491FB4">
        <w:t>Lease incentive provisions</w:t>
      </w:r>
      <w:bookmarkEnd w:id="5"/>
    </w:p>
    <w:p w14:paraId="05C78575" w14:textId="7B8C24A8" w:rsidR="00491FB4" w:rsidRDefault="00491FB4" w:rsidP="00251199">
      <w:pPr>
        <w:pStyle w:val="NumberedList1"/>
        <w:numPr>
          <w:ilvl w:val="0"/>
          <w:numId w:val="0"/>
        </w:numPr>
      </w:pPr>
      <w:r>
        <w:t xml:space="preserve">Where </w:t>
      </w:r>
      <w:r w:rsidR="00601257" w:rsidRPr="004A5DDF">
        <w:t>AASB 16 transitional option C8(b)(ii)</w:t>
      </w:r>
      <w:r>
        <w:t xml:space="preserve"> is applied in initially recognising ROU assets, Commonwealth entities have sought clarification on whether outstanding lease incentive and straight-lining provisions on transition date carried over from AASB 117 and </w:t>
      </w:r>
      <w:hyperlink r:id="rId12" w:history="1">
        <w:r w:rsidRPr="00F60D13">
          <w:rPr>
            <w:rStyle w:val="Hyperlink"/>
          </w:rPr>
          <w:t xml:space="preserve">Interpretation 115 </w:t>
        </w:r>
        <w:r w:rsidRPr="00E27675">
          <w:rPr>
            <w:rStyle w:val="Hyperlink"/>
          </w:rPr>
          <w:t>Operating Leases – Incentives</w:t>
        </w:r>
      </w:hyperlink>
      <w:r w:rsidRPr="00663039">
        <w:t xml:space="preserve"> </w:t>
      </w:r>
      <w:r>
        <w:t>should be:</w:t>
      </w:r>
    </w:p>
    <w:p w14:paraId="5257833D" w14:textId="6E8DFB3F" w:rsidR="00491FB4" w:rsidRDefault="00491FB4" w:rsidP="00491FB4">
      <w:pPr>
        <w:pStyle w:val="Bullet1"/>
      </w:pPr>
      <w:r>
        <w:t>offset against the relevant ROU asset balances</w:t>
      </w:r>
    </w:p>
    <w:p w14:paraId="02529BAC" w14:textId="77777777" w:rsidR="00491FB4" w:rsidRDefault="00491FB4" w:rsidP="00491FB4">
      <w:pPr>
        <w:pStyle w:val="Bullet1"/>
      </w:pPr>
      <w:proofErr w:type="gramStart"/>
      <w:r>
        <w:t>cleared</w:t>
      </w:r>
      <w:proofErr w:type="gramEnd"/>
      <w:r>
        <w:t xml:space="preserve"> to opening retained earnings.</w:t>
      </w:r>
    </w:p>
    <w:p w14:paraId="362AC72A" w14:textId="3C2B3957" w:rsidR="00491FB4" w:rsidRDefault="00491FB4" w:rsidP="00251199">
      <w:pPr>
        <w:pStyle w:val="NumberedList1"/>
        <w:numPr>
          <w:ilvl w:val="0"/>
          <w:numId w:val="0"/>
        </w:numPr>
      </w:pPr>
      <w:r>
        <w:lastRenderedPageBreak/>
        <w:t xml:space="preserve">The election by Finance to apply the </w:t>
      </w:r>
      <w:r w:rsidR="00601257" w:rsidRPr="004A5DDF">
        <w:t>modified model</w:t>
      </w:r>
      <w:r>
        <w:t xml:space="preserve"> on initial application of AASB 16, requires lessees to recognise the cumulative effect of initially applying AASB 16 as an adjustment to the opening balance of retained earnings at the date of initial application.</w:t>
      </w:r>
    </w:p>
    <w:p w14:paraId="22275A26" w14:textId="77777777" w:rsidR="00491FB4" w:rsidRDefault="00491FB4" w:rsidP="00251199">
      <w:pPr>
        <w:pStyle w:val="NumberedList1"/>
        <w:numPr>
          <w:ilvl w:val="0"/>
          <w:numId w:val="0"/>
        </w:numPr>
      </w:pPr>
      <w:r>
        <w:t xml:space="preserve">Lease incentive and lease straight-lining provisions that are outstanding on transition date are not assessed to be accrued lease payments for the purposes of </w:t>
      </w:r>
      <w:r w:rsidRPr="004A5DDF">
        <w:t xml:space="preserve">paragraph </w:t>
      </w:r>
      <w:proofErr w:type="gramStart"/>
      <w:r w:rsidRPr="004A5DDF">
        <w:t>C8(</w:t>
      </w:r>
      <w:proofErr w:type="gramEnd"/>
      <w:r w:rsidRPr="004A5DDF">
        <w:t>b)(ii)</w:t>
      </w:r>
      <w:r>
        <w:t xml:space="preserve"> of AASB 16. Therefore, these balances should be cleared to retained earnings on transition.</w:t>
      </w:r>
    </w:p>
    <w:p w14:paraId="5ABA1DA6" w14:textId="234FE468" w:rsidR="00491FB4" w:rsidRPr="00E17090" w:rsidRDefault="00491FB4" w:rsidP="00251199">
      <w:pPr>
        <w:pStyle w:val="NumberedList1"/>
        <w:numPr>
          <w:ilvl w:val="0"/>
          <w:numId w:val="0"/>
        </w:numPr>
      </w:pPr>
      <w:r w:rsidRPr="00E17090">
        <w:t xml:space="preserve">Worksheet A in the </w:t>
      </w:r>
      <w:hyperlink r:id="rId13" w:history="1">
        <w:r w:rsidRPr="00E17090">
          <w:rPr>
            <w:rStyle w:val="Hyperlink"/>
            <w:i w:val="0"/>
          </w:rPr>
          <w:t>Example lease journals</w:t>
        </w:r>
      </w:hyperlink>
      <w:r w:rsidRPr="00E17090">
        <w:t xml:space="preserve"> illustrates accounting for lease incentive provisions on transition date.</w:t>
      </w:r>
    </w:p>
    <w:p w14:paraId="31104BD6" w14:textId="77777777" w:rsidR="00491FB4" w:rsidRPr="00E17090" w:rsidRDefault="00491FB4" w:rsidP="00491FB4">
      <w:pPr>
        <w:pStyle w:val="Notetitle"/>
      </w:pPr>
      <w:r w:rsidRPr="00E17090">
        <w:t>Lease incentive provisions</w:t>
      </w:r>
    </w:p>
    <w:p w14:paraId="593A251C" w14:textId="1DE64CDA" w:rsidR="00491FB4" w:rsidRDefault="00491FB4" w:rsidP="00491FB4">
      <w:pPr>
        <w:pStyle w:val="Boxed2Text"/>
      </w:pPr>
      <w:r>
        <w:t xml:space="preserve">Where the AASB 16 transitional option at paragraph </w:t>
      </w:r>
      <w:proofErr w:type="gramStart"/>
      <w:r w:rsidR="00601257" w:rsidRPr="004A5DDF">
        <w:t>C8(</w:t>
      </w:r>
      <w:proofErr w:type="gramEnd"/>
      <w:r w:rsidR="00601257" w:rsidRPr="004A5DDF">
        <w:t>b)(ii)</w:t>
      </w:r>
      <w:r>
        <w:t xml:space="preserve"> is applied, </w:t>
      </w:r>
      <w:r w:rsidRPr="00AF73CD">
        <w:t>lessees are to adjust retained earnings for the de</w:t>
      </w:r>
      <w:r w:rsidRPr="008019B3">
        <w:t>-</w:t>
      </w:r>
      <w:r w:rsidRPr="00AF73CD">
        <w:t xml:space="preserve">recognition of </w:t>
      </w:r>
      <w:r w:rsidRPr="008019B3">
        <w:t xml:space="preserve">lease incentive </w:t>
      </w:r>
      <w:r>
        <w:t xml:space="preserve">and straight-lining </w:t>
      </w:r>
      <w:r w:rsidRPr="008019B3">
        <w:t xml:space="preserve">provisions previously recognised under AASB 117 and </w:t>
      </w:r>
      <w:r>
        <w:t>Interpretation</w:t>
      </w:r>
      <w:r w:rsidRPr="00AF73CD">
        <w:t xml:space="preserve"> 115.</w:t>
      </w:r>
    </w:p>
    <w:p w14:paraId="26AE913E" w14:textId="63FF0F98" w:rsidR="00491FB4" w:rsidRDefault="007427A8" w:rsidP="00251199">
      <w:pPr>
        <w:pStyle w:val="Heading2Numbered"/>
        <w:numPr>
          <w:ilvl w:val="0"/>
          <w:numId w:val="0"/>
        </w:numPr>
      </w:pPr>
      <w:bookmarkStart w:id="6" w:name="_Toc81818580"/>
      <w:r>
        <w:t>B6.</w:t>
      </w:r>
      <w:r>
        <w:tab/>
      </w:r>
      <w:r w:rsidR="00491FB4" w:rsidRPr="001E34C6">
        <w:t xml:space="preserve">Impairment on AASB 16 </w:t>
      </w:r>
      <w:r w:rsidR="00491FB4">
        <w:t>t</w:t>
      </w:r>
      <w:r w:rsidR="00491FB4" w:rsidRPr="001E34C6">
        <w:t>ransition</w:t>
      </w:r>
      <w:bookmarkEnd w:id="6"/>
    </w:p>
    <w:p w14:paraId="1206CAD9" w14:textId="77777777" w:rsidR="00491FB4" w:rsidRPr="00E27675" w:rsidRDefault="00491FB4" w:rsidP="00491FB4">
      <w:pPr>
        <w:rPr>
          <w:rFonts w:eastAsia="Cambria" w:cstheme="minorHAnsi"/>
          <w:b/>
          <w:sz w:val="20"/>
          <w:szCs w:val="20"/>
        </w:rPr>
      </w:pPr>
      <w:r w:rsidRPr="00E27675">
        <w:rPr>
          <w:rFonts w:eastAsia="Cambria" w:cstheme="minorHAnsi"/>
          <w:b/>
          <w:sz w:val="20"/>
          <w:szCs w:val="20"/>
        </w:rPr>
        <w:t>AASB 16 extract:</w:t>
      </w:r>
    </w:p>
    <w:p w14:paraId="29A099B6" w14:textId="77777777" w:rsidR="00491FB4" w:rsidRPr="00EF287B" w:rsidRDefault="00491FB4" w:rsidP="00491FB4">
      <w:pPr>
        <w:pStyle w:val="AASBextract"/>
      </w:pPr>
      <w:r w:rsidRPr="00E27675">
        <w:rPr>
          <w:b/>
        </w:rPr>
        <w:t>Paragraph 33:</w:t>
      </w:r>
      <w:r>
        <w:t xml:space="preserve"> </w:t>
      </w:r>
      <w:r w:rsidRPr="001041B8">
        <w:t xml:space="preserve">A lessee shall apply </w:t>
      </w:r>
      <w:r w:rsidRPr="00E27675">
        <w:rPr>
          <w:i/>
        </w:rPr>
        <w:t>AASB 136 Impairment of A</w:t>
      </w:r>
      <w:r w:rsidRPr="001041B8">
        <w:t>ssets to determine whether the right-of-use asset is impaired and to account for any impairment loss identified.</w:t>
      </w:r>
    </w:p>
    <w:p w14:paraId="11359B69" w14:textId="2C52B51B" w:rsidR="00491FB4" w:rsidRDefault="00491FB4" w:rsidP="00251199">
      <w:pPr>
        <w:pStyle w:val="NumberedList1"/>
        <w:numPr>
          <w:ilvl w:val="0"/>
          <w:numId w:val="0"/>
        </w:numPr>
      </w:pPr>
      <w:r>
        <w:t xml:space="preserve">Paragraph 33 of AASB 16 requires </w:t>
      </w:r>
      <w:r w:rsidRPr="00044698">
        <w:t xml:space="preserve">a lessee to apply </w:t>
      </w:r>
      <w:r w:rsidRPr="0048653F">
        <w:t>AASB 136</w:t>
      </w:r>
      <w:r w:rsidRPr="00044698">
        <w:t xml:space="preserve"> </w:t>
      </w:r>
      <w:r>
        <w:t>for</w:t>
      </w:r>
      <w:r w:rsidRPr="00044698">
        <w:t xml:space="preserve"> determin</w:t>
      </w:r>
      <w:r>
        <w:t xml:space="preserve">ing if the ROU </w:t>
      </w:r>
      <w:r w:rsidRPr="00044698">
        <w:t>asset</w:t>
      </w:r>
      <w:r>
        <w:t xml:space="preserve"> held at cost </w:t>
      </w:r>
      <w:r w:rsidRPr="00044698">
        <w:t>is impair</w:t>
      </w:r>
      <w:r>
        <w:t xml:space="preserve">ed. However, paragraph C10 of AASB 16 provides options for </w:t>
      </w:r>
      <w:r w:rsidRPr="00833F4F">
        <w:t xml:space="preserve">retrospectively </w:t>
      </w:r>
      <w:r>
        <w:t xml:space="preserve">applying the standard </w:t>
      </w:r>
      <w:r w:rsidRPr="00833F4F">
        <w:t xml:space="preserve">in accordance with </w:t>
      </w:r>
      <w:r w:rsidR="00601257" w:rsidRPr="004A5DDF">
        <w:t>paragraph C5(b) of AASB 16</w:t>
      </w:r>
      <w:r>
        <w:t xml:space="preserve"> </w:t>
      </w:r>
      <w:r w:rsidRPr="00833F4F">
        <w:t>to leases previously classified as operating leases applying AASB 117</w:t>
      </w:r>
      <w:r>
        <w:t>.</w:t>
      </w:r>
    </w:p>
    <w:p w14:paraId="5097B8C6" w14:textId="77777777" w:rsidR="00491FB4" w:rsidRPr="005F02C4" w:rsidRDefault="00491FB4" w:rsidP="00491FB4">
      <w:pPr>
        <w:suppressAutoHyphens w:val="0"/>
        <w:spacing w:before="0" w:after="120" w:line="440" w:lineRule="atLeast"/>
        <w:rPr>
          <w:rFonts w:eastAsia="Cambria" w:cstheme="minorHAnsi"/>
          <w:b/>
          <w:sz w:val="20"/>
          <w:szCs w:val="20"/>
        </w:rPr>
      </w:pPr>
      <w:r w:rsidRPr="005F02C4">
        <w:rPr>
          <w:rFonts w:eastAsia="Cambria" w:cstheme="minorHAnsi"/>
          <w:b/>
          <w:sz w:val="20"/>
          <w:szCs w:val="20"/>
        </w:rPr>
        <w:t>AASB 16 extract:</w:t>
      </w:r>
    </w:p>
    <w:p w14:paraId="67987585" w14:textId="77777777" w:rsidR="00491FB4" w:rsidRDefault="00491FB4" w:rsidP="00491FB4">
      <w:pPr>
        <w:pStyle w:val="AASBextract"/>
      </w:pPr>
      <w:r w:rsidRPr="00953C21">
        <w:rPr>
          <w:b/>
        </w:rPr>
        <w:t>Paragraph C10(b):</w:t>
      </w:r>
      <w:r>
        <w:t xml:space="preserve"> </w:t>
      </w:r>
      <w:r w:rsidRPr="00833F4F">
        <w:t xml:space="preserve">a lessee may rely on its assessment of whether leases are onerous applying </w:t>
      </w:r>
      <w:r w:rsidRPr="00E27675">
        <w:rPr>
          <w:i/>
        </w:rPr>
        <w:t>AASB 137 Provisions, Contingent Liabilities and Contingent Assets</w:t>
      </w:r>
      <w:r w:rsidRPr="00833F4F">
        <w:t xml:space="preserve"> immediately before the date of initial application as an alternative to performing an impairment review. If a lessee chooses this practical expedient, the lessee shall adjust the right-of-use asset at the date of initial application by the amount of any provision for onerous leases recognised in the statement of financial position immediately before the date of initial application.</w:t>
      </w:r>
    </w:p>
    <w:p w14:paraId="5EE1573E" w14:textId="77777777" w:rsidR="00491FB4" w:rsidRPr="00090E8C" w:rsidRDefault="00491FB4" w:rsidP="00491FB4">
      <w:pPr>
        <w:pStyle w:val="Boxed2Text"/>
        <w:shd w:val="clear" w:color="auto" w:fill="F2F2F2" w:themeFill="background1" w:themeFillShade="F2"/>
        <w:rPr>
          <w:sz w:val="20"/>
          <w:szCs w:val="20"/>
        </w:rPr>
      </w:pPr>
      <w:r w:rsidRPr="00F43DB8">
        <w:rPr>
          <w:sz w:val="20"/>
          <w:szCs w:val="20"/>
        </w:rPr>
        <w:t>Note: For all the practical expedients in this paragraph, see</w:t>
      </w:r>
      <w:r w:rsidRPr="00F43DB8">
        <w:rPr>
          <w:rStyle w:val="Hyperlink"/>
          <w:i w:val="0"/>
          <w:sz w:val="20"/>
          <w:szCs w:val="20"/>
          <w:u w:val="none"/>
        </w:rPr>
        <w:t xml:space="preserve"> </w:t>
      </w:r>
      <w:hyperlink r:id="rId14" w:history="1">
        <w:r w:rsidRPr="00F43DB8">
          <w:rPr>
            <w:rStyle w:val="Hyperlink"/>
            <w:i w:val="0"/>
            <w:sz w:val="20"/>
            <w:szCs w:val="20"/>
          </w:rPr>
          <w:t>paragraph C10 of AASB 16</w:t>
        </w:r>
      </w:hyperlink>
      <w:r w:rsidRPr="00090E8C">
        <w:rPr>
          <w:sz w:val="20"/>
          <w:szCs w:val="20"/>
        </w:rPr>
        <w:t>.</w:t>
      </w:r>
    </w:p>
    <w:p w14:paraId="05DCBCE5" w14:textId="57EC80B1" w:rsidR="00491FB4" w:rsidRDefault="00491FB4" w:rsidP="00251199">
      <w:pPr>
        <w:pStyle w:val="NumberedList1"/>
        <w:numPr>
          <w:ilvl w:val="0"/>
          <w:numId w:val="0"/>
        </w:numPr>
      </w:pPr>
      <w:r w:rsidRPr="00254BCE">
        <w:t>If the lessee elects to use the AASB 137 assessment, they must adjust the ROU asset at the date of initial application by the amount of any provision for onerous leases recognised in the statement of financial position immediately before the date of initial application.</w:t>
      </w:r>
      <w:r>
        <w:t xml:space="preserve"> Entities </w:t>
      </w:r>
      <w:r w:rsidR="0062451B">
        <w:t xml:space="preserve">must document </w:t>
      </w:r>
      <w:r>
        <w:t xml:space="preserve">how the standard has been applied consistently under paragraph 2 of AASB 16 </w:t>
      </w:r>
      <w:r>
        <w:lastRenderedPageBreak/>
        <w:t xml:space="preserve">where the implementation option at paragraph </w:t>
      </w:r>
      <w:proofErr w:type="gramStart"/>
      <w:r>
        <w:t>C10(</w:t>
      </w:r>
      <w:proofErr w:type="gramEnd"/>
      <w:r>
        <w:t>b) of AASB 16 has not always been applied.</w:t>
      </w:r>
    </w:p>
    <w:p w14:paraId="004748BB" w14:textId="2D07065F" w:rsidR="00491FB4" w:rsidRDefault="00491FB4" w:rsidP="00251199">
      <w:pPr>
        <w:pStyle w:val="NumberedList1"/>
        <w:numPr>
          <w:ilvl w:val="0"/>
          <w:numId w:val="0"/>
        </w:numPr>
      </w:pPr>
      <w:r>
        <w:t xml:space="preserve">Worksheet A in the </w:t>
      </w:r>
      <w:hyperlink r:id="rId15" w:history="1">
        <w:r w:rsidRPr="001A11F5">
          <w:rPr>
            <w:rStyle w:val="Hyperlink"/>
            <w:i w:val="0"/>
          </w:rPr>
          <w:t>Example lease jour</w:t>
        </w:r>
        <w:bookmarkStart w:id="7" w:name="_GoBack"/>
        <w:bookmarkEnd w:id="7"/>
        <w:r w:rsidRPr="001A11F5">
          <w:rPr>
            <w:rStyle w:val="Hyperlink"/>
            <w:i w:val="0"/>
          </w:rPr>
          <w:t>n</w:t>
        </w:r>
        <w:r w:rsidRPr="001A11F5">
          <w:rPr>
            <w:rStyle w:val="Hyperlink"/>
            <w:i w:val="0"/>
          </w:rPr>
          <w:t>als</w:t>
        </w:r>
      </w:hyperlink>
      <w:r w:rsidRPr="00324531">
        <w:rPr>
          <w:rStyle w:val="Hyperlink"/>
          <w:rFonts w:ascii="Arial" w:hAnsi="Arial" w:cs="Arial"/>
          <w:i w:val="0"/>
          <w:u w:val="none"/>
        </w:rPr>
        <w:t xml:space="preserve"> </w:t>
      </w:r>
      <w:r>
        <w:t>illustrates accounting for impairment of ROU assets on transition date.</w:t>
      </w:r>
    </w:p>
    <w:p w14:paraId="49BDCF80" w14:textId="77777777" w:rsidR="00491FB4" w:rsidRPr="007704A1" w:rsidRDefault="00491FB4" w:rsidP="00251199">
      <w:pPr>
        <w:pStyle w:val="Notetitle"/>
        <w:numPr>
          <w:ilvl w:val="0"/>
          <w:numId w:val="0"/>
        </w:numPr>
      </w:pPr>
      <w:r w:rsidRPr="001E34C6">
        <w:t xml:space="preserve">Impairment on AASB 16 </w:t>
      </w:r>
      <w:r>
        <w:t>t</w:t>
      </w:r>
      <w:r w:rsidRPr="001E34C6">
        <w:t>ransition</w:t>
      </w:r>
    </w:p>
    <w:p w14:paraId="11CE49BB" w14:textId="47484A61" w:rsidR="00491FB4" w:rsidRPr="001E34C6" w:rsidRDefault="00491FB4" w:rsidP="00491FB4">
      <w:pPr>
        <w:pStyle w:val="Boxed2Text"/>
      </w:pPr>
      <w:r>
        <w:t>On AASB 16 transition date, e</w:t>
      </w:r>
      <w:r w:rsidRPr="001E34C6">
        <w:t>ntities may rely on their previous assessment on whether a lease is onerous, rather than performing an impairment review.</w:t>
      </w:r>
      <w:r>
        <w:t xml:space="preserve"> Commonwealth entities </w:t>
      </w:r>
      <w:r w:rsidR="00C04D51">
        <w:t>must</w:t>
      </w:r>
      <w:r>
        <w:t xml:space="preserve"> disclose where they have not always applied the implementation option at paragraph </w:t>
      </w:r>
      <w:proofErr w:type="gramStart"/>
      <w:r>
        <w:t>C10(</w:t>
      </w:r>
      <w:proofErr w:type="gramEnd"/>
      <w:r>
        <w:t>b) of AASB 16 when available.</w:t>
      </w:r>
    </w:p>
    <w:p w14:paraId="31EF3FD6" w14:textId="5503B4A0" w:rsidR="00491FB4" w:rsidRDefault="00491FB4" w:rsidP="00491FB4">
      <w:pPr>
        <w:suppressAutoHyphens w:val="0"/>
        <w:spacing w:before="0" w:after="120" w:line="440" w:lineRule="atLeast"/>
        <w:rPr>
          <w:rFonts w:asciiTheme="majorHAnsi" w:eastAsiaTheme="majorEastAsia" w:hAnsiTheme="majorHAnsi" w:cstheme="majorBidi"/>
          <w:bCs/>
          <w:color w:val="1C1C1C" w:themeColor="text2"/>
          <w:sz w:val="40"/>
          <w:szCs w:val="28"/>
          <w:u w:val="single"/>
        </w:rPr>
      </w:pPr>
    </w:p>
    <w:p w14:paraId="5C96BE59" w14:textId="3D33A76A" w:rsidR="00491FB4" w:rsidRDefault="002E5C55">
      <w:pPr>
        <w:suppressAutoHyphens w:val="0"/>
        <w:spacing w:before="120" w:after="0"/>
      </w:pPr>
      <w:r>
        <w:tab/>
      </w:r>
    </w:p>
    <w:sectPr w:rsidR="00491FB4" w:rsidSect="007514FA">
      <w:headerReference w:type="default" r:id="rId16"/>
      <w:footerReference w:type="default" r:id="rId17"/>
      <w:headerReference w:type="first" r:id="rId18"/>
      <w:footerReference w:type="first" r:id="rId19"/>
      <w:type w:val="continuous"/>
      <w:pgSz w:w="11906" w:h="16838" w:code="9"/>
      <w:pgMar w:top="1560"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649D9" w14:textId="77777777" w:rsidR="00702669" w:rsidRDefault="00702669" w:rsidP="00EF4574">
      <w:pPr>
        <w:spacing w:before="0" w:after="0" w:line="240" w:lineRule="auto"/>
      </w:pPr>
      <w:r>
        <w:separator/>
      </w:r>
    </w:p>
    <w:p w14:paraId="3A3BCB8B" w14:textId="77777777" w:rsidR="00702669" w:rsidRDefault="00702669"/>
  </w:endnote>
  <w:endnote w:type="continuationSeparator" w:id="0">
    <w:p w14:paraId="4AB31A20" w14:textId="77777777" w:rsidR="00702669" w:rsidRDefault="00702669" w:rsidP="00EF4574">
      <w:pPr>
        <w:spacing w:before="0" w:after="0" w:line="240" w:lineRule="auto"/>
      </w:pPr>
      <w:r>
        <w:continuationSeparator/>
      </w:r>
    </w:p>
    <w:p w14:paraId="53FE2CAB" w14:textId="77777777" w:rsidR="00702669" w:rsidRDefault="00702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DC52" w14:textId="0109B1B8" w:rsidR="00225EB0" w:rsidRDefault="00225EB0" w:rsidP="005B696C">
    <w:pPr>
      <w:pStyle w:val="Footer"/>
    </w:pPr>
    <w:r>
      <w:rPr>
        <w:noProof/>
        <w:lang w:eastAsia="en-AU"/>
      </w:rPr>
      <mc:AlternateContent>
        <mc:Choice Requires="wps">
          <w:drawing>
            <wp:anchor distT="0" distB="0" distL="114300" distR="114300" simplePos="0" relativeHeight="251655168" behindDoc="1" locked="0" layoutInCell="1" allowOverlap="1" wp14:anchorId="4B0178D1" wp14:editId="1284D154">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1DD6E" w14:textId="77777777" w:rsidR="00225EB0" w:rsidRDefault="00225EB0"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178D1" id="Oval 5" o:spid="_x0000_s1028" style="position:absolute;margin-left:499.35pt;margin-top:793.45pt;width:25.5pt;height: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" fillcolor="#bddcdf [3204]" strokecolor="#1c1c1c [3215]" strokeweight=".5pt">
              <v:stroke joinstyle="miter"/>
              <v:textbox>
                <w:txbxContent>
                  <w:p w14:paraId="4801DD6E" w14:textId="77777777" w:rsidR="00225EB0" w:rsidRDefault="00225EB0"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206610">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3FCA" w14:textId="77777777" w:rsidR="00225EB0" w:rsidRDefault="00225EB0">
    <w:pPr>
      <w:pStyle w:val="Footer"/>
    </w:pPr>
  </w:p>
  <w:p w14:paraId="6B380AE9" w14:textId="7D9BC0AF" w:rsidR="00225EB0" w:rsidRDefault="00225EB0" w:rsidP="000A6A8B">
    <w:pPr>
      <w:pStyle w:val="Footer"/>
      <w:jc w:val="center"/>
      <w:rPr>
        <w:rStyle w:val="Classification"/>
      </w:rPr>
    </w:pPr>
  </w:p>
  <w:p w14:paraId="60078760" w14:textId="77777777" w:rsidR="00225EB0" w:rsidRPr="000A6A8B" w:rsidRDefault="00225EB0"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D47E" w14:textId="77777777" w:rsidR="00702669" w:rsidRDefault="00702669" w:rsidP="0020122A">
      <w:pPr>
        <w:pStyle w:val="FootnoteSeparator"/>
      </w:pPr>
    </w:p>
  </w:footnote>
  <w:footnote w:type="continuationSeparator" w:id="0">
    <w:p w14:paraId="44026DF1" w14:textId="77777777" w:rsidR="00702669" w:rsidRDefault="00702669" w:rsidP="00EF4574">
      <w:pPr>
        <w:spacing w:before="0" w:after="0" w:line="240" w:lineRule="auto"/>
      </w:pPr>
      <w:r>
        <w:continuationSeparator/>
      </w:r>
    </w:p>
    <w:p w14:paraId="2C409590" w14:textId="77777777" w:rsidR="00702669" w:rsidRDefault="007026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8896" w14:textId="591BE081" w:rsidR="00225EB0" w:rsidRPr="00DB6D69" w:rsidRDefault="00225EB0">
    <w:pPr>
      <w:pStyle w:val="Header"/>
      <w:rPr>
        <w:b/>
      </w:rPr>
    </w:pPr>
    <w:r>
      <w:rPr>
        <w:b/>
        <w:noProof/>
        <w:lang w:eastAsia="en-AU"/>
      </w:rPr>
      <mc:AlternateContent>
        <mc:Choice Requires="wps">
          <w:drawing>
            <wp:anchor distT="0" distB="0" distL="114300" distR="114300" simplePos="0" relativeHeight="251662336" behindDoc="0" locked="1" layoutInCell="0" allowOverlap="1" wp14:anchorId="1D80A901" wp14:editId="6F279F93">
              <wp:simplePos x="0" y="0"/>
              <wp:positionH relativeFrom="margin">
                <wp:align>center</wp:align>
              </wp:positionH>
              <wp:positionV relativeFrom="bottomMargin">
                <wp:align>center</wp:align>
              </wp:positionV>
              <wp:extent cx="1654175" cy="427990"/>
              <wp:effectExtent l="0" t="0" r="0" b="0"/>
              <wp:wrapNone/>
              <wp:docPr id="7" name="janusSEAL SC Footer"/>
              <wp:cNvGraphicFramePr/>
              <a:graphic xmlns:a="http://schemas.openxmlformats.org/drawingml/2006/main">
                <a:graphicData uri="http://schemas.microsoft.com/office/word/2010/wordprocessingShape">
                  <wps:wsp>
                    <wps:cNvSpPr txBox="1"/>
                    <wps:spPr>
                      <a:xfrm>
                        <a:off x="0" y="0"/>
                        <a:ext cx="1654175" cy="427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E833B6" w14:textId="2420D273" w:rsidR="00225EB0" w:rsidRPr="006C3024" w:rsidRDefault="00225EB0" w:rsidP="006C302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80A901" id="_x0000_t202" coordsize="21600,21600" o:spt="202" path="m,l,21600r21600,l21600,xe">
              <v:stroke joinstyle="miter"/>
              <v:path gradientshapeok="t" o:connecttype="rect"/>
            </v:shapetype>
            <v:shape id="janusSEAL SC Footer" o:spid="_x0000_s1026" type="#_x0000_t202" style="position:absolute;left:0;text-align:left;margin-left:0;margin-top:0;width:130.25pt;height:33.7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" o:allowincell="f" filled="f" stroked="f" strokeweight=".5pt">
              <v:textbox style="mso-fit-shape-to-text:t">
                <w:txbxContent>
                  <w:p w14:paraId="6DE833B6" w14:textId="2420D273" w:rsidR="00225EB0" w:rsidRPr="006C3024" w:rsidRDefault="00225EB0" w:rsidP="006C3024">
                    <w:pPr>
                      <w:jc w:val="center"/>
                      <w:rPr>
                        <w:rFonts w:ascii="Arial" w:hAnsi="Arial" w:cs="Arial"/>
                        <w:b/>
                        <w:color w:val="FF0000"/>
                        <w:sz w:val="24"/>
                      </w:rPr>
                    </w:pPr>
                  </w:p>
                </w:txbxContent>
              </v:textbox>
              <w10:wrap anchorx="margin" anchory="margin"/>
              <w10:anchorlock/>
            </v:shape>
          </w:pict>
        </mc:Fallback>
      </mc:AlternateContent>
    </w:r>
    <w:r>
      <w:rPr>
        <w:b/>
        <w:noProof/>
        <w:lang w:eastAsia="en-AU"/>
      </w:rPr>
      <mc:AlternateContent>
        <mc:Choice Requires="wps">
          <w:drawing>
            <wp:anchor distT="0" distB="0" distL="114300" distR="114300" simplePos="0" relativeHeight="251660288" behindDoc="0" locked="1" layoutInCell="0" allowOverlap="1" wp14:anchorId="37267A43" wp14:editId="6CBB3332">
              <wp:simplePos x="0" y="0"/>
              <wp:positionH relativeFrom="margin">
                <wp:align>center</wp:align>
              </wp:positionH>
              <wp:positionV relativeFrom="topMargin">
                <wp:align>center</wp:align>
              </wp:positionV>
              <wp:extent cx="1654175" cy="4279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1654175" cy="427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B918F7" w14:textId="1A364C70" w:rsidR="00225EB0" w:rsidRPr="006C3024" w:rsidRDefault="00225EB0" w:rsidP="006C302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267A43" id="janusSEAL SC Header" o:spid="_x0000_s1027" type="#_x0000_t202" style="position:absolute;left:0;text-align:left;margin-left:0;margin-top:0;width:130.25pt;height:33.7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" o:allowincell="f" filled="f" stroked="f" strokeweight=".5pt">
              <v:textbox style="mso-fit-shape-to-text:t">
                <w:txbxContent>
                  <w:p w14:paraId="07B918F7" w14:textId="1A364C70" w:rsidR="00225EB0" w:rsidRPr="006C3024" w:rsidRDefault="00225EB0" w:rsidP="006C3024">
                    <w:pPr>
                      <w:jc w:val="center"/>
                      <w:rPr>
                        <w:rFonts w:ascii="Arial" w:hAnsi="Arial" w:cs="Arial"/>
                        <w:b/>
                        <w:color w:val="FF0000"/>
                        <w:sz w:val="24"/>
                      </w:rPr>
                    </w:pPr>
                  </w:p>
                </w:txbxContent>
              </v:textbox>
              <w10:wrap anchorx="margin" anchory="margin"/>
              <w10:anchorlock/>
            </v:shape>
          </w:pict>
        </mc:Fallback>
      </mc:AlternateContent>
    </w:r>
    <w:r>
      <w:rPr>
        <w:b/>
      </w:rPr>
      <w:t xml:space="preserve"> </w:t>
    </w:r>
    <w:r w:rsidRPr="00DB6D69">
      <w:rPr>
        <w:b/>
      </w:rPr>
      <w:t>Department of Finance</w:t>
    </w:r>
  </w:p>
  <w:p w14:paraId="264DBDE8" w14:textId="116E51D5" w:rsidR="00225EB0" w:rsidRDefault="00225EB0" w:rsidP="009E19A3">
    <w:pPr>
      <w:pStyle w:val="Header"/>
    </w:pPr>
    <w:r>
      <w:t>Accounting for</w:t>
    </w:r>
    <w:r w:rsidRPr="005741CA">
      <w:t xml:space="preserve"> Leases</w:t>
    </w:r>
    <w:r>
      <w:t xml:space="preserve"> (RMG 110)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2EDD7" w14:textId="51C24012" w:rsidR="00225EB0" w:rsidRDefault="00225EB0" w:rsidP="000A6A8B">
    <w:pPr>
      <w:pStyle w:val="Header"/>
      <w:jc w:val="center"/>
    </w:pPr>
    <w:r>
      <w:rPr>
        <w:noProof/>
        <w:lang w:eastAsia="en-AU"/>
      </w:rPr>
      <mc:AlternateContent>
        <mc:Choice Requires="wps">
          <w:drawing>
            <wp:anchor distT="0" distB="0" distL="114300" distR="114300" simplePos="0" relativeHeight="251661312" behindDoc="0" locked="1" layoutInCell="0" allowOverlap="1" wp14:anchorId="0A003F48" wp14:editId="0F29CC43">
              <wp:simplePos x="0" y="0"/>
              <wp:positionH relativeFrom="margin">
                <wp:align>center</wp:align>
              </wp:positionH>
              <wp:positionV relativeFrom="topMargin">
                <wp:align>center</wp:align>
              </wp:positionV>
              <wp:extent cx="1654175" cy="427990"/>
              <wp:effectExtent l="0" t="0" r="0" b="0"/>
              <wp:wrapNone/>
              <wp:docPr id="6" name="janusSEAL SC H_FirstPage"/>
              <wp:cNvGraphicFramePr/>
              <a:graphic xmlns:a="http://schemas.openxmlformats.org/drawingml/2006/main">
                <a:graphicData uri="http://schemas.microsoft.com/office/word/2010/wordprocessingShape">
                  <wps:wsp>
                    <wps:cNvSpPr txBox="1"/>
                    <wps:spPr>
                      <a:xfrm>
                        <a:off x="0" y="0"/>
                        <a:ext cx="1654175" cy="427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010E0" w14:textId="301F232E" w:rsidR="00225EB0" w:rsidRPr="006C3024" w:rsidRDefault="00225EB0" w:rsidP="006C302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003F48" id="_x0000_t202" coordsize="21600,21600" o:spt="202" path="m,l,21600r21600,l21600,xe">
              <v:stroke joinstyle="miter"/>
              <v:path gradientshapeok="t" o:connecttype="rect"/>
            </v:shapetype>
            <v:shape id="janusSEAL SC H_FirstPage" o:spid="_x0000_s1029" type="#_x0000_t202" style="position:absolute;left:0;text-align:left;margin-left:0;margin-top:0;width:130.25pt;height:33.7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" o:allowincell="f" filled="f" stroked="f" strokeweight=".5pt">
              <v:textbox style="mso-fit-shape-to-text:t">
                <w:txbxContent>
                  <w:p w14:paraId="2CD010E0" w14:textId="301F232E" w:rsidR="00225EB0" w:rsidRPr="006C3024" w:rsidRDefault="00225EB0" w:rsidP="006C3024">
                    <w:pPr>
                      <w:jc w:val="center"/>
                      <w:rPr>
                        <w:rFonts w:ascii="Arial" w:hAnsi="Arial" w:cs="Arial"/>
                        <w:b/>
                        <w:color w:val="FF0000"/>
                        <w:sz w:val="24"/>
                      </w:rPr>
                    </w:pP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0C5F5078" wp14:editId="0FA359BB">
          <wp:simplePos x="0" y="0"/>
          <wp:positionH relativeFrom="page">
            <wp:posOffset>0</wp:posOffset>
          </wp:positionH>
          <wp:positionV relativeFrom="page">
            <wp:posOffset>0</wp:posOffset>
          </wp:positionV>
          <wp:extent cx="7559640" cy="10694160"/>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7216" behindDoc="1" locked="0" layoutInCell="1" allowOverlap="1" wp14:anchorId="4B36E321" wp14:editId="13B44381">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97AD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" adj="21600" fillcolor="#92c5c5 [3205]" stroked="f" strokeweight="1pt"/>
          </w:pict>
        </mc:Fallback>
      </mc:AlternateContent>
    </w:r>
    <w:r>
      <w:rPr>
        <w:noProof/>
        <w:lang w:eastAsia="en-AU"/>
      </w:rPr>
      <mc:AlternateContent>
        <mc:Choice Requires="wps">
          <w:drawing>
            <wp:anchor distT="0" distB="0" distL="114300" distR="114300" simplePos="0" relativeHeight="251656192" behindDoc="1" locked="0" layoutInCell="1" allowOverlap="1" wp14:anchorId="058E6F87" wp14:editId="44594258">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 xmlns:a="http://schemas.openxmlformats.org/drawingml/2006/main">
                <a:graphicData uri="http://schemas.microsoft.com/office/word/2010/wordprocessingShape">
                  <wps:wsp>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86B19" id="Rectangle 2" o:spid="_x0000_s1026" style="position:absolute;margin-left:-49.9pt;margin-top:206.65pt;width:558pt;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" fillcolor="#bddcdf [3204]" stroked="f" strokeweight="1pt"/>
          </w:pict>
        </mc:Fallback>
      </mc:AlternateContent>
    </w:r>
    <w:r>
      <w:rPr>
        <w:noProof/>
        <w:lang w:eastAsia="en-AU"/>
      </w:rPr>
      <w:drawing>
        <wp:anchor distT="0" distB="0" distL="114300" distR="114300" simplePos="0" relativeHeight="251659264" behindDoc="0" locked="0" layoutInCell="1" allowOverlap="1" wp14:anchorId="2F52FB91" wp14:editId="1D89BC19">
          <wp:simplePos x="0" y="0"/>
          <wp:positionH relativeFrom="page">
            <wp:posOffset>900430</wp:posOffset>
          </wp:positionH>
          <wp:positionV relativeFrom="page">
            <wp:posOffset>900430</wp:posOffset>
          </wp:positionV>
          <wp:extent cx="2350800" cy="5749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B6F"/>
    <w:multiLevelType w:val="hybridMultilevel"/>
    <w:tmpl w:val="26FC11CA"/>
    <w:lvl w:ilvl="0" w:tplc="0C090001">
      <w:start w:val="1"/>
      <w:numFmt w:val="bullet"/>
      <w:lvlText w:val=""/>
      <w:lvlJc w:val="left"/>
      <w:pPr>
        <w:ind w:left="1349" w:hanging="360"/>
      </w:pPr>
      <w:rPr>
        <w:rFonts w:ascii="Symbol" w:hAnsi="Symbol" w:hint="default"/>
      </w:rPr>
    </w:lvl>
    <w:lvl w:ilvl="1" w:tplc="0C090003" w:tentative="1">
      <w:start w:val="1"/>
      <w:numFmt w:val="bullet"/>
      <w:lvlText w:val="o"/>
      <w:lvlJc w:val="left"/>
      <w:pPr>
        <w:ind w:left="2069" w:hanging="360"/>
      </w:pPr>
      <w:rPr>
        <w:rFonts w:ascii="Courier New" w:hAnsi="Courier New" w:cs="Courier New" w:hint="default"/>
      </w:rPr>
    </w:lvl>
    <w:lvl w:ilvl="2" w:tplc="0C090005" w:tentative="1">
      <w:start w:val="1"/>
      <w:numFmt w:val="bullet"/>
      <w:lvlText w:val=""/>
      <w:lvlJc w:val="left"/>
      <w:pPr>
        <w:ind w:left="2789" w:hanging="360"/>
      </w:pPr>
      <w:rPr>
        <w:rFonts w:ascii="Wingdings" w:hAnsi="Wingdings" w:hint="default"/>
      </w:rPr>
    </w:lvl>
    <w:lvl w:ilvl="3" w:tplc="0C090001" w:tentative="1">
      <w:start w:val="1"/>
      <w:numFmt w:val="bullet"/>
      <w:lvlText w:val=""/>
      <w:lvlJc w:val="left"/>
      <w:pPr>
        <w:ind w:left="3509" w:hanging="360"/>
      </w:pPr>
      <w:rPr>
        <w:rFonts w:ascii="Symbol" w:hAnsi="Symbol" w:hint="default"/>
      </w:rPr>
    </w:lvl>
    <w:lvl w:ilvl="4" w:tplc="0C090003" w:tentative="1">
      <w:start w:val="1"/>
      <w:numFmt w:val="bullet"/>
      <w:lvlText w:val="o"/>
      <w:lvlJc w:val="left"/>
      <w:pPr>
        <w:ind w:left="4229" w:hanging="360"/>
      </w:pPr>
      <w:rPr>
        <w:rFonts w:ascii="Courier New" w:hAnsi="Courier New" w:cs="Courier New" w:hint="default"/>
      </w:rPr>
    </w:lvl>
    <w:lvl w:ilvl="5" w:tplc="0C090005" w:tentative="1">
      <w:start w:val="1"/>
      <w:numFmt w:val="bullet"/>
      <w:lvlText w:val=""/>
      <w:lvlJc w:val="left"/>
      <w:pPr>
        <w:ind w:left="4949" w:hanging="360"/>
      </w:pPr>
      <w:rPr>
        <w:rFonts w:ascii="Wingdings" w:hAnsi="Wingdings" w:hint="default"/>
      </w:rPr>
    </w:lvl>
    <w:lvl w:ilvl="6" w:tplc="0C090001" w:tentative="1">
      <w:start w:val="1"/>
      <w:numFmt w:val="bullet"/>
      <w:lvlText w:val=""/>
      <w:lvlJc w:val="left"/>
      <w:pPr>
        <w:ind w:left="5669" w:hanging="360"/>
      </w:pPr>
      <w:rPr>
        <w:rFonts w:ascii="Symbol" w:hAnsi="Symbol" w:hint="default"/>
      </w:rPr>
    </w:lvl>
    <w:lvl w:ilvl="7" w:tplc="0C090003" w:tentative="1">
      <w:start w:val="1"/>
      <w:numFmt w:val="bullet"/>
      <w:lvlText w:val="o"/>
      <w:lvlJc w:val="left"/>
      <w:pPr>
        <w:ind w:left="6389" w:hanging="360"/>
      </w:pPr>
      <w:rPr>
        <w:rFonts w:ascii="Courier New" w:hAnsi="Courier New" w:cs="Courier New" w:hint="default"/>
      </w:rPr>
    </w:lvl>
    <w:lvl w:ilvl="8" w:tplc="0C090005" w:tentative="1">
      <w:start w:val="1"/>
      <w:numFmt w:val="bullet"/>
      <w:lvlText w:val=""/>
      <w:lvlJc w:val="left"/>
      <w:pPr>
        <w:ind w:left="7109" w:hanging="360"/>
      </w:pPr>
      <w:rPr>
        <w:rFonts w:ascii="Wingdings" w:hAnsi="Wingdings" w:hint="default"/>
      </w:rPr>
    </w:lvl>
  </w:abstractNum>
  <w:abstractNum w:abstractNumId="1" w15:restartNumberingAfterBreak="0">
    <w:nsid w:val="030D3541"/>
    <w:multiLevelType w:val="hybridMultilevel"/>
    <w:tmpl w:val="93A0DB2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07A31901"/>
    <w:multiLevelType w:val="hybridMultilevel"/>
    <w:tmpl w:val="E40E96E6"/>
    <w:lvl w:ilvl="0" w:tplc="E9F26F26">
      <w:start w:val="1"/>
      <w:numFmt w:val="lowerLetter"/>
      <w:lvlText w:val="(%1)"/>
      <w:lvlJc w:val="left"/>
      <w:pPr>
        <w:ind w:left="1004" w:hanging="360"/>
      </w:pPr>
      <w:rPr>
        <w:rFonts w:asciiTheme="minorHAnsi" w:eastAsiaTheme="minorHAnsi" w:hAnsiTheme="minorHAnsi" w:cstheme="minorBidi"/>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87F233B"/>
    <w:multiLevelType w:val="hybridMultilevel"/>
    <w:tmpl w:val="906ABD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A2F6B80"/>
    <w:multiLevelType w:val="multilevel"/>
    <w:tmpl w:val="D40C73B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07A3A04"/>
    <w:multiLevelType w:val="hybridMultilevel"/>
    <w:tmpl w:val="A90CB13C"/>
    <w:lvl w:ilvl="0" w:tplc="DEC23AA2">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BD4530"/>
    <w:multiLevelType w:val="multilevel"/>
    <w:tmpl w:val="E1EEE818"/>
    <w:lvl w:ilvl="0">
      <w:start w:val="1"/>
      <w:numFmt w:val="bullet"/>
      <w:pStyle w:val="Bullet2"/>
      <w:lvlText w:val="o"/>
      <w:lvlJc w:val="left"/>
      <w:pPr>
        <w:ind w:left="1277" w:hanging="284"/>
      </w:pPr>
      <w:rPr>
        <w:rFonts w:ascii="Courier New" w:hAnsi="Courier New" w:cs="Courier New" w:hint="default"/>
      </w:rPr>
    </w:lvl>
    <w:lvl w:ilvl="1">
      <w:start w:val="1"/>
      <w:numFmt w:val="bullet"/>
      <w:lvlText w:val="–"/>
      <w:lvlJc w:val="left"/>
      <w:pPr>
        <w:ind w:left="1561" w:hanging="284"/>
      </w:pPr>
      <w:rPr>
        <w:rFonts w:ascii="Arial" w:hAnsi="Arial" w:hint="default"/>
      </w:rPr>
    </w:lvl>
    <w:lvl w:ilvl="2">
      <w:start w:val="1"/>
      <w:numFmt w:val="bullet"/>
      <w:lvlText w:val=""/>
      <w:lvlJc w:val="left"/>
      <w:pPr>
        <w:ind w:left="1845" w:hanging="284"/>
      </w:pPr>
      <w:rPr>
        <w:rFonts w:ascii="Symbol" w:hAnsi="Symbol" w:hint="default"/>
      </w:rPr>
    </w:lvl>
    <w:lvl w:ilvl="3">
      <w:start w:val="1"/>
      <w:numFmt w:val="decimal"/>
      <w:lvlText w:val="(%4)"/>
      <w:lvlJc w:val="left"/>
      <w:pPr>
        <w:ind w:left="2129" w:hanging="284"/>
      </w:pPr>
      <w:rPr>
        <w:rFonts w:hint="default"/>
      </w:rPr>
    </w:lvl>
    <w:lvl w:ilvl="4">
      <w:start w:val="1"/>
      <w:numFmt w:val="lowerLetter"/>
      <w:lvlText w:val="(%5)"/>
      <w:lvlJc w:val="left"/>
      <w:pPr>
        <w:ind w:left="2413" w:hanging="284"/>
      </w:pPr>
      <w:rPr>
        <w:rFonts w:hint="default"/>
      </w:rPr>
    </w:lvl>
    <w:lvl w:ilvl="5">
      <w:start w:val="1"/>
      <w:numFmt w:val="lowerRoman"/>
      <w:lvlText w:val="(%6)"/>
      <w:lvlJc w:val="left"/>
      <w:pPr>
        <w:ind w:left="2697" w:hanging="284"/>
      </w:pPr>
      <w:rPr>
        <w:rFonts w:hint="default"/>
      </w:rPr>
    </w:lvl>
    <w:lvl w:ilvl="6">
      <w:start w:val="1"/>
      <w:numFmt w:val="decimal"/>
      <w:lvlText w:val="%7."/>
      <w:lvlJc w:val="left"/>
      <w:pPr>
        <w:ind w:left="2981" w:hanging="284"/>
      </w:pPr>
      <w:rPr>
        <w:rFonts w:hint="default"/>
      </w:rPr>
    </w:lvl>
    <w:lvl w:ilvl="7">
      <w:start w:val="1"/>
      <w:numFmt w:val="lowerLetter"/>
      <w:lvlText w:val="%8."/>
      <w:lvlJc w:val="left"/>
      <w:pPr>
        <w:ind w:left="3265" w:hanging="284"/>
      </w:pPr>
      <w:rPr>
        <w:rFonts w:hint="default"/>
      </w:rPr>
    </w:lvl>
    <w:lvl w:ilvl="8">
      <w:start w:val="1"/>
      <w:numFmt w:val="lowerRoman"/>
      <w:lvlText w:val="%9."/>
      <w:lvlJc w:val="left"/>
      <w:pPr>
        <w:ind w:left="3549" w:hanging="284"/>
      </w:pPr>
      <w:rPr>
        <w:rFonts w:hint="default"/>
      </w:rPr>
    </w:lvl>
  </w:abstractNum>
  <w:abstractNum w:abstractNumId="7" w15:restartNumberingAfterBreak="0">
    <w:nsid w:val="11C55ABC"/>
    <w:multiLevelType w:val="hybridMultilevel"/>
    <w:tmpl w:val="6EDEC1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497278A"/>
    <w:multiLevelType w:val="hybridMultilevel"/>
    <w:tmpl w:val="8B7EE77C"/>
    <w:lvl w:ilvl="0" w:tplc="474238B8">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CE0B0A"/>
    <w:multiLevelType w:val="hybridMultilevel"/>
    <w:tmpl w:val="14988D5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1E2B1AED"/>
    <w:multiLevelType w:val="hybridMultilevel"/>
    <w:tmpl w:val="4EF0BB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1137BBA"/>
    <w:multiLevelType w:val="hybridMultilevel"/>
    <w:tmpl w:val="3098AE4A"/>
    <w:lvl w:ilvl="0" w:tplc="E9F26F26">
      <w:start w:val="1"/>
      <w:numFmt w:val="lowerLetter"/>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141E75"/>
    <w:multiLevelType w:val="multilevel"/>
    <w:tmpl w:val="759A2D64"/>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252A6CB8"/>
    <w:multiLevelType w:val="hybridMultilevel"/>
    <w:tmpl w:val="AFF26806"/>
    <w:lvl w:ilvl="0" w:tplc="9ED62312">
      <w:start w:val="8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96C5491"/>
    <w:multiLevelType w:val="hybridMultilevel"/>
    <w:tmpl w:val="FD2AF4D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A5240C9"/>
    <w:multiLevelType w:val="hybridMultilevel"/>
    <w:tmpl w:val="F98AD356"/>
    <w:lvl w:ilvl="0" w:tplc="4380EABE">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8" w15:restartNumberingAfterBreak="0">
    <w:nsid w:val="2AFC4D5D"/>
    <w:multiLevelType w:val="multilevel"/>
    <w:tmpl w:val="F91A247C"/>
    <w:lvl w:ilvl="0">
      <w:start w:val="1"/>
      <w:numFmt w:val="bullet"/>
      <w:lvlText w:val=""/>
      <w:lvlJc w:val="left"/>
      <w:pPr>
        <w:ind w:left="1136" w:hanging="284"/>
      </w:pPr>
      <w:rPr>
        <w:rFonts w:ascii="Symbol" w:hAnsi="Symbol" w:hint="default"/>
      </w:rPr>
    </w:lvl>
    <w:lvl w:ilvl="1">
      <w:start w:val="1"/>
      <w:numFmt w:val="bullet"/>
      <w:lvlText w:val="–"/>
      <w:lvlJc w:val="left"/>
      <w:pPr>
        <w:ind w:left="1420" w:hanging="284"/>
      </w:pPr>
      <w:rPr>
        <w:rFonts w:ascii="Arial" w:hAnsi="Arial" w:hint="default"/>
      </w:rPr>
    </w:lvl>
    <w:lvl w:ilvl="2">
      <w:start w:val="1"/>
      <w:numFmt w:val="bullet"/>
      <w:lvlText w:val=""/>
      <w:lvlJc w:val="left"/>
      <w:pPr>
        <w:ind w:left="1704" w:hanging="284"/>
      </w:pPr>
      <w:rPr>
        <w:rFonts w:ascii="Symbol" w:hAnsi="Symbol" w:hint="default"/>
      </w:rPr>
    </w:lvl>
    <w:lvl w:ilvl="3">
      <w:start w:val="1"/>
      <w:numFmt w:val="decimal"/>
      <w:lvlText w:val="(%4)"/>
      <w:lvlJc w:val="left"/>
      <w:pPr>
        <w:ind w:left="1988" w:hanging="284"/>
      </w:pPr>
      <w:rPr>
        <w:rFonts w:hint="default"/>
      </w:rPr>
    </w:lvl>
    <w:lvl w:ilvl="4">
      <w:start w:val="1"/>
      <w:numFmt w:val="lowerLetter"/>
      <w:lvlText w:val="(%5)"/>
      <w:lvlJc w:val="left"/>
      <w:pPr>
        <w:ind w:left="2272" w:hanging="284"/>
      </w:pPr>
      <w:rPr>
        <w:rFonts w:hint="default"/>
      </w:rPr>
    </w:lvl>
    <w:lvl w:ilvl="5">
      <w:start w:val="1"/>
      <w:numFmt w:val="lowerRoman"/>
      <w:lvlText w:val="(%6)"/>
      <w:lvlJc w:val="left"/>
      <w:pPr>
        <w:ind w:left="2556" w:hanging="284"/>
      </w:pPr>
      <w:rPr>
        <w:rFonts w:hint="default"/>
      </w:rPr>
    </w:lvl>
    <w:lvl w:ilvl="6">
      <w:start w:val="1"/>
      <w:numFmt w:val="decimal"/>
      <w:lvlText w:val="%7."/>
      <w:lvlJc w:val="left"/>
      <w:pPr>
        <w:ind w:left="2840" w:hanging="284"/>
      </w:pPr>
      <w:rPr>
        <w:rFonts w:hint="default"/>
      </w:rPr>
    </w:lvl>
    <w:lvl w:ilvl="7">
      <w:start w:val="1"/>
      <w:numFmt w:val="lowerLetter"/>
      <w:lvlText w:val="%8."/>
      <w:lvlJc w:val="left"/>
      <w:pPr>
        <w:ind w:left="3124" w:hanging="284"/>
      </w:pPr>
      <w:rPr>
        <w:rFonts w:hint="default"/>
      </w:rPr>
    </w:lvl>
    <w:lvl w:ilvl="8">
      <w:start w:val="1"/>
      <w:numFmt w:val="lowerRoman"/>
      <w:lvlText w:val="%9."/>
      <w:lvlJc w:val="left"/>
      <w:pPr>
        <w:ind w:left="3408" w:hanging="284"/>
      </w:pPr>
      <w:rPr>
        <w:rFonts w:hint="default"/>
      </w:rPr>
    </w:lvl>
  </w:abstractNum>
  <w:abstractNum w:abstractNumId="19" w15:restartNumberingAfterBreak="0">
    <w:nsid w:val="2B0A638C"/>
    <w:multiLevelType w:val="hybridMultilevel"/>
    <w:tmpl w:val="86749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EEC5C46"/>
    <w:multiLevelType w:val="hybridMultilevel"/>
    <w:tmpl w:val="D0106D0A"/>
    <w:lvl w:ilvl="0" w:tplc="8AC2B692">
      <w:start w:val="1"/>
      <w:numFmt w:val="bullet"/>
      <w:pStyle w:val="Bullet1"/>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2" w15:restartNumberingAfterBreak="0">
    <w:nsid w:val="2F2C6173"/>
    <w:multiLevelType w:val="hybridMultilevel"/>
    <w:tmpl w:val="7A2A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860DF5"/>
    <w:multiLevelType w:val="hybridMultilevel"/>
    <w:tmpl w:val="4F5A87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337E15AB"/>
    <w:multiLevelType w:val="hybridMultilevel"/>
    <w:tmpl w:val="CFCAE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3BD92686"/>
    <w:multiLevelType w:val="hybridMultilevel"/>
    <w:tmpl w:val="D08AF98E"/>
    <w:lvl w:ilvl="0" w:tplc="C0CE529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4073447B"/>
    <w:multiLevelType w:val="hybridMultilevel"/>
    <w:tmpl w:val="17B86090"/>
    <w:lvl w:ilvl="0" w:tplc="474238B8">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409302B9"/>
    <w:multiLevelType w:val="hybridMultilevel"/>
    <w:tmpl w:val="38D0D8A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29" w15:restartNumberingAfterBreak="0">
    <w:nsid w:val="472056DE"/>
    <w:multiLevelType w:val="hybridMultilevel"/>
    <w:tmpl w:val="BE042276"/>
    <w:lvl w:ilvl="0" w:tplc="5D1EC9B0">
      <w:start w:val="1"/>
      <w:numFmt w:val="bullet"/>
      <w:lvlText w:val=""/>
      <w:lvlJc w:val="left"/>
      <w:pPr>
        <w:ind w:left="-3272" w:hanging="360"/>
      </w:pPr>
      <w:rPr>
        <w:rFonts w:ascii="Symbol" w:hAnsi="Symbol" w:hint="default"/>
      </w:rPr>
    </w:lvl>
    <w:lvl w:ilvl="1" w:tplc="0C090003">
      <w:start w:val="1"/>
      <w:numFmt w:val="bullet"/>
      <w:lvlText w:val="o"/>
      <w:lvlJc w:val="left"/>
      <w:pPr>
        <w:ind w:left="-255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1112" w:hanging="360"/>
      </w:pPr>
      <w:rPr>
        <w:rFonts w:ascii="Symbol" w:hAnsi="Symbol" w:hint="default"/>
      </w:rPr>
    </w:lvl>
    <w:lvl w:ilvl="4" w:tplc="0C090003" w:tentative="1">
      <w:start w:val="1"/>
      <w:numFmt w:val="bullet"/>
      <w:lvlText w:val="o"/>
      <w:lvlJc w:val="left"/>
      <w:pPr>
        <w:ind w:left="-392" w:hanging="360"/>
      </w:pPr>
      <w:rPr>
        <w:rFonts w:ascii="Courier New" w:hAnsi="Courier New" w:cs="Courier New" w:hint="default"/>
      </w:rPr>
    </w:lvl>
    <w:lvl w:ilvl="5" w:tplc="0C090005" w:tentative="1">
      <w:start w:val="1"/>
      <w:numFmt w:val="bullet"/>
      <w:lvlText w:val=""/>
      <w:lvlJc w:val="left"/>
      <w:pPr>
        <w:ind w:left="328" w:hanging="360"/>
      </w:pPr>
      <w:rPr>
        <w:rFonts w:ascii="Wingdings" w:hAnsi="Wingdings" w:hint="default"/>
      </w:rPr>
    </w:lvl>
    <w:lvl w:ilvl="6" w:tplc="0C090001" w:tentative="1">
      <w:start w:val="1"/>
      <w:numFmt w:val="bullet"/>
      <w:lvlText w:val=""/>
      <w:lvlJc w:val="left"/>
      <w:pPr>
        <w:ind w:left="1048" w:hanging="360"/>
      </w:pPr>
      <w:rPr>
        <w:rFonts w:ascii="Symbol" w:hAnsi="Symbol" w:hint="default"/>
      </w:rPr>
    </w:lvl>
    <w:lvl w:ilvl="7" w:tplc="0C090003" w:tentative="1">
      <w:start w:val="1"/>
      <w:numFmt w:val="bullet"/>
      <w:lvlText w:val="o"/>
      <w:lvlJc w:val="left"/>
      <w:pPr>
        <w:ind w:left="1768" w:hanging="360"/>
      </w:pPr>
      <w:rPr>
        <w:rFonts w:ascii="Courier New" w:hAnsi="Courier New" w:cs="Courier New" w:hint="default"/>
      </w:rPr>
    </w:lvl>
    <w:lvl w:ilvl="8" w:tplc="0C090005" w:tentative="1">
      <w:start w:val="1"/>
      <w:numFmt w:val="bullet"/>
      <w:lvlText w:val=""/>
      <w:lvlJc w:val="left"/>
      <w:pPr>
        <w:ind w:left="2488" w:hanging="360"/>
      </w:pPr>
      <w:rPr>
        <w:rFonts w:ascii="Wingdings" w:hAnsi="Wingdings" w:hint="default"/>
      </w:rPr>
    </w:lvl>
  </w:abstractNum>
  <w:abstractNum w:abstractNumId="30"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1"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CD247F6"/>
    <w:multiLevelType w:val="hybridMultilevel"/>
    <w:tmpl w:val="47ACE00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4F1523F7"/>
    <w:multiLevelType w:val="multilevel"/>
    <w:tmpl w:val="547A5396"/>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34"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D67F03"/>
    <w:multiLevelType w:val="hybridMultilevel"/>
    <w:tmpl w:val="EDC685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7"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60CD6609"/>
    <w:multiLevelType w:val="hybridMultilevel"/>
    <w:tmpl w:val="EAEC200E"/>
    <w:lvl w:ilvl="0" w:tplc="4134CAD0">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DA34FB3"/>
    <w:multiLevelType w:val="hybridMultilevel"/>
    <w:tmpl w:val="AE742AE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41" w15:restartNumberingAfterBreak="0">
    <w:nsid w:val="6E434445"/>
    <w:multiLevelType w:val="hybridMultilevel"/>
    <w:tmpl w:val="78AA92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6EE50393"/>
    <w:multiLevelType w:val="hybridMultilevel"/>
    <w:tmpl w:val="88409C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147117B"/>
    <w:multiLevelType w:val="multilevel"/>
    <w:tmpl w:val="95BCBDF8"/>
    <w:lvl w:ilvl="0">
      <w:start w:val="1"/>
      <w:numFmt w:val="bullet"/>
      <w:lvlText w:val=""/>
      <w:lvlJc w:val="left"/>
      <w:pPr>
        <w:ind w:left="284" w:hanging="284"/>
      </w:pPr>
      <w:rPr>
        <w:rFonts w:ascii="Symbol" w:hAnsi="Symbol"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5"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6" w15:restartNumberingAfterBreak="0">
    <w:nsid w:val="76D80105"/>
    <w:multiLevelType w:val="hybridMultilevel"/>
    <w:tmpl w:val="795A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DF6872"/>
    <w:multiLevelType w:val="hybridMultilevel"/>
    <w:tmpl w:val="85F450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45"/>
  </w:num>
  <w:num w:numId="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abstractNumId w:val="20"/>
  </w:num>
  <w:num w:numId="4">
    <w:abstractNumId w:val="36"/>
  </w:num>
  <w:num w:numId="5">
    <w:abstractNumId w:val="38"/>
  </w:num>
  <w:num w:numId="6">
    <w:abstractNumId w:val="33"/>
    <w:lvlOverride w:ilvl="7">
      <w:lvl w:ilvl="7">
        <w:start w:val="1"/>
        <w:numFmt w:val="decimal"/>
        <w:lvlRestart w:val="0"/>
        <w:pStyle w:val="Notetitle"/>
        <w:suff w:val="space"/>
        <w:lvlText w:val="Not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15"/>
  </w:num>
  <w:num w:numId="8">
    <w:abstractNumId w:val="44"/>
  </w:num>
  <w:num w:numId="9">
    <w:abstractNumId w:val="30"/>
  </w:num>
  <w:num w:numId="10">
    <w:abstractNumId w:val="9"/>
  </w:num>
  <w:num w:numId="11">
    <w:abstractNumId w:val="34"/>
  </w:num>
  <w:num w:numId="12">
    <w:abstractNumId w:val="37"/>
  </w:num>
  <w:num w:numId="13">
    <w:abstractNumId w:val="4"/>
  </w:num>
  <w:num w:numId="14">
    <w:abstractNumId w:val="4"/>
    <w:lvlOverride w:ilvl="0">
      <w:lvl w:ilvl="0">
        <w:start w:val="1"/>
        <w:numFmt w:val="decimal"/>
        <w:pStyle w:val="NumberedList1"/>
        <w:lvlText w:val="%1."/>
        <w:lvlJc w:val="left"/>
        <w:pPr>
          <w:ind w:left="3687"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abstractNumId w:val="25"/>
  </w:num>
  <w:num w:numId="16">
    <w:abstractNumId w:val="6"/>
  </w:num>
  <w:num w:numId="17">
    <w:abstractNumId w:val="31"/>
  </w:num>
  <w:num w:numId="18">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
    <w:abstractNumId w:val="26"/>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4"/>
    <w:lvlOverride w:ilvl="0">
      <w:startOverride w:val="18"/>
      <w:lvl w:ilvl="0">
        <w:start w:val="18"/>
        <w:numFmt w:val="decimal"/>
        <w:pStyle w:val="NumberedList1"/>
        <w:lvlText w:val="%1."/>
        <w:lvlJc w:val="left"/>
        <w:pPr>
          <w:ind w:left="284" w:hanging="284"/>
        </w:pPr>
        <w:rPr>
          <w:rFonts w:hint="default"/>
        </w:rPr>
      </w:lvl>
    </w:lvlOverride>
  </w:num>
  <w:num w:numId="27">
    <w:abstractNumId w:val="4"/>
    <w:lvlOverride w:ilvl="0">
      <w:startOverride w:val="79"/>
      <w:lvl w:ilvl="0">
        <w:start w:val="79"/>
        <w:numFmt w:val="decimal"/>
        <w:pStyle w:val="NumberedList1"/>
        <w:lvlText w:val="%1."/>
        <w:lvlJc w:val="left"/>
        <w:pPr>
          <w:ind w:left="284" w:hanging="284"/>
        </w:pPr>
        <w:rPr>
          <w:rFonts w:hint="default"/>
        </w:rPr>
      </w:lvl>
    </w:lvlOverride>
  </w:num>
  <w:num w:numId="28">
    <w:abstractNumId w:val="46"/>
  </w:num>
  <w:num w:numId="29">
    <w:abstractNumId w:val="24"/>
  </w:num>
  <w:num w:numId="30">
    <w:abstractNumId w:val="22"/>
  </w:num>
  <w:num w:numId="31">
    <w:abstractNumId w:val="4"/>
    <w:lvlOverride w:ilvl="0">
      <w:startOverride w:val="83"/>
      <w:lvl w:ilvl="0">
        <w:start w:val="83"/>
        <w:numFmt w:val="decimal"/>
        <w:pStyle w:val="NumberedList1"/>
        <w:lvlText w:val="%1."/>
        <w:lvlJc w:val="left"/>
        <w:pPr>
          <w:ind w:left="284" w:hanging="284"/>
        </w:pPr>
        <w:rPr>
          <w:rFonts w:hint="default"/>
        </w:rPr>
      </w:lvl>
    </w:lvlOverride>
  </w:num>
  <w:num w:numId="3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
    <w:abstractNumId w:val="5"/>
  </w:num>
  <w:num w:numId="34">
    <w:abstractNumId w:val="4"/>
    <w:lvlOverride w:ilvl="0">
      <w:startOverride w:val="19"/>
      <w:lvl w:ilvl="0">
        <w:start w:val="19"/>
        <w:numFmt w:val="decimal"/>
        <w:pStyle w:val="NumberedList1"/>
        <w:lvlText w:val="%1."/>
        <w:lvlJc w:val="left"/>
        <w:pPr>
          <w:ind w:left="284" w:hanging="284"/>
        </w:pPr>
        <w:rPr>
          <w:rFonts w:hint="default"/>
        </w:rPr>
      </w:lvl>
    </w:lvlOverride>
  </w:num>
  <w:num w:numId="35">
    <w:abstractNumId w:val="4"/>
    <w:lvlOverride w:ilvl="0">
      <w:startOverride w:val="85"/>
      <w:lvl w:ilvl="0">
        <w:start w:val="85"/>
        <w:numFmt w:val="decimal"/>
        <w:pStyle w:val="NumberedList1"/>
        <w:lvlText w:val="%1."/>
        <w:lvlJc w:val="left"/>
        <w:pPr>
          <w:ind w:left="284" w:hanging="284"/>
        </w:pPr>
        <w:rPr>
          <w:rFonts w:hint="default"/>
        </w:rPr>
      </w:lvl>
    </w:lvlOverride>
  </w:num>
  <w:num w:numId="36">
    <w:abstractNumId w:val="42"/>
  </w:num>
  <w:num w:numId="37">
    <w:abstractNumId w:val="23"/>
  </w:num>
  <w:num w:numId="38">
    <w:abstractNumId w:val="14"/>
  </w:num>
  <w:num w:numId="39">
    <w:abstractNumId w:val="4"/>
    <w:lvlOverride w:ilvl="0">
      <w:startOverride w:val="86"/>
      <w:lvl w:ilvl="0">
        <w:start w:val="86"/>
        <w:numFmt w:val="decimal"/>
        <w:pStyle w:val="NumberedList1"/>
        <w:lvlText w:val="%1."/>
        <w:lvlJc w:val="left"/>
        <w:pPr>
          <w:ind w:left="284" w:hanging="284"/>
        </w:pPr>
        <w:rPr>
          <w:rFonts w:hint="default"/>
        </w:rPr>
      </w:lvl>
    </w:lvlOverride>
  </w:num>
  <w:num w:numId="40">
    <w:abstractNumId w:val="29"/>
  </w:num>
  <w:num w:numId="41">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
    <w:abstractNumId w:val="21"/>
  </w:num>
  <w:num w:numId="43">
    <w:abstractNumId w:val="8"/>
  </w:num>
  <w:num w:numId="44">
    <w:abstractNumId w:val="27"/>
  </w:num>
  <w:num w:numId="45">
    <w:abstractNumId w:val="13"/>
  </w:num>
  <w:num w:numId="46">
    <w:abstractNumId w:val="40"/>
  </w:num>
  <w:num w:numId="47">
    <w:abstractNumId w:val="1"/>
  </w:num>
  <w:num w:numId="48">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9">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0">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1">
    <w:abstractNumId w:val="39"/>
  </w:num>
  <w:num w:numId="52">
    <w:abstractNumId w:val="43"/>
  </w:num>
  <w:num w:numId="53">
    <w:abstractNumId w:val="47"/>
  </w:num>
  <w:num w:numId="54">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55">
    <w:abstractNumId w:val="32"/>
  </w:num>
  <w:num w:numId="56">
    <w:abstractNumId w:val="19"/>
  </w:num>
  <w:num w:numId="57">
    <w:abstractNumId w:val="7"/>
  </w:num>
  <w:num w:numId="58">
    <w:abstractNumId w:val="41"/>
  </w:num>
  <w:num w:numId="59">
    <w:abstractNumId w:val="11"/>
  </w:num>
  <w:num w:numId="60">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1">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62">
    <w:abstractNumId w:val="2"/>
  </w:num>
  <w:num w:numId="63">
    <w:abstractNumId w:val="28"/>
  </w:num>
  <w:num w:numId="64">
    <w:abstractNumId w:val="0"/>
  </w:num>
  <w:num w:numId="65">
    <w:abstractNumId w:val="35"/>
  </w:num>
  <w:num w:numId="66">
    <w:abstractNumId w:val="10"/>
  </w:num>
  <w:num w:numId="67">
    <w:abstractNumId w:val="20"/>
  </w:num>
  <w:num w:numId="68">
    <w:abstractNumId w:val="33"/>
    <w:lvlOverride w:ilvl="7">
      <w:lvl w:ilvl="7">
        <w:start w:val="1"/>
        <w:numFmt w:val="decimal"/>
        <w:lvlRestart w:val="0"/>
        <w:pStyle w:val="Notetitle"/>
        <w:suff w:val="space"/>
        <w:lvlText w:val="Not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9">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0">
    <w:abstractNumId w:val="20"/>
  </w:num>
  <w:num w:numId="71">
    <w:abstractNumId w:val="33"/>
    <w:lvlOverride w:ilvl="7">
      <w:lvl w:ilvl="7">
        <w:start w:val="1"/>
        <w:numFmt w:val="decimal"/>
        <w:lvlRestart w:val="0"/>
        <w:pStyle w:val="Notetitle"/>
        <w:suff w:val="space"/>
        <w:lvlText w:val="Note %8:"/>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2">
    <w:abstractNumId w:val="33"/>
  </w:num>
  <w:num w:numId="73">
    <w:abstractNumId w:val="16"/>
  </w:num>
  <w:num w:numId="74">
    <w:abstractNumId w:val="18"/>
  </w:num>
  <w:num w:numId="75">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6">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7">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8">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9">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0">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1">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2">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3">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4">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5">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6">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7">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8">
    <w:abstractNumId w:val="4"/>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9">
    <w:abstractNumId w:val="3"/>
  </w:num>
  <w:num w:numId="90">
    <w:abstractNumId w:val="1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719"/>
    <w:rsid w:val="00002851"/>
    <w:rsid w:val="00003F3C"/>
    <w:rsid w:val="0000644A"/>
    <w:rsid w:val="000072FB"/>
    <w:rsid w:val="00010234"/>
    <w:rsid w:val="00010FCF"/>
    <w:rsid w:val="00012596"/>
    <w:rsid w:val="000134B0"/>
    <w:rsid w:val="000205B7"/>
    <w:rsid w:val="00021E3C"/>
    <w:rsid w:val="0002443B"/>
    <w:rsid w:val="000251AE"/>
    <w:rsid w:val="000273AD"/>
    <w:rsid w:val="0002782F"/>
    <w:rsid w:val="000279F5"/>
    <w:rsid w:val="00031098"/>
    <w:rsid w:val="0003233F"/>
    <w:rsid w:val="000328E5"/>
    <w:rsid w:val="0003320C"/>
    <w:rsid w:val="0003642D"/>
    <w:rsid w:val="00036DD0"/>
    <w:rsid w:val="000379DC"/>
    <w:rsid w:val="000401E0"/>
    <w:rsid w:val="000426D0"/>
    <w:rsid w:val="00044698"/>
    <w:rsid w:val="00046D1A"/>
    <w:rsid w:val="00046FBC"/>
    <w:rsid w:val="00047FFA"/>
    <w:rsid w:val="000509FC"/>
    <w:rsid w:val="000545AA"/>
    <w:rsid w:val="00054E4D"/>
    <w:rsid w:val="00060073"/>
    <w:rsid w:val="000603C7"/>
    <w:rsid w:val="00070A43"/>
    <w:rsid w:val="00072586"/>
    <w:rsid w:val="00072F8E"/>
    <w:rsid w:val="00074576"/>
    <w:rsid w:val="00076DA8"/>
    <w:rsid w:val="00077480"/>
    <w:rsid w:val="000800B5"/>
    <w:rsid w:val="00081E6C"/>
    <w:rsid w:val="000829F4"/>
    <w:rsid w:val="00083BB1"/>
    <w:rsid w:val="00085BCF"/>
    <w:rsid w:val="00090E8C"/>
    <w:rsid w:val="0009512C"/>
    <w:rsid w:val="000965F4"/>
    <w:rsid w:val="000A4172"/>
    <w:rsid w:val="000A4B30"/>
    <w:rsid w:val="000A6A8B"/>
    <w:rsid w:val="000B33A2"/>
    <w:rsid w:val="000B3898"/>
    <w:rsid w:val="000B5FE8"/>
    <w:rsid w:val="000B6708"/>
    <w:rsid w:val="000B6C0A"/>
    <w:rsid w:val="000B716A"/>
    <w:rsid w:val="000B7C10"/>
    <w:rsid w:val="000C2A48"/>
    <w:rsid w:val="000C37F2"/>
    <w:rsid w:val="000C3C9B"/>
    <w:rsid w:val="000C5F75"/>
    <w:rsid w:val="000C7CC3"/>
    <w:rsid w:val="000D55A4"/>
    <w:rsid w:val="000D60B1"/>
    <w:rsid w:val="000E0F54"/>
    <w:rsid w:val="000E1F71"/>
    <w:rsid w:val="000E2246"/>
    <w:rsid w:val="000E509B"/>
    <w:rsid w:val="000E5C0F"/>
    <w:rsid w:val="000E7891"/>
    <w:rsid w:val="000F1B71"/>
    <w:rsid w:val="000F3A5C"/>
    <w:rsid w:val="000F4B59"/>
    <w:rsid w:val="000F4FD9"/>
    <w:rsid w:val="000F63A2"/>
    <w:rsid w:val="00101011"/>
    <w:rsid w:val="0010277B"/>
    <w:rsid w:val="001041B8"/>
    <w:rsid w:val="00107A89"/>
    <w:rsid w:val="00112616"/>
    <w:rsid w:val="001130B9"/>
    <w:rsid w:val="001157A1"/>
    <w:rsid w:val="0011761C"/>
    <w:rsid w:val="0012052D"/>
    <w:rsid w:val="00122DC1"/>
    <w:rsid w:val="00132249"/>
    <w:rsid w:val="001350E9"/>
    <w:rsid w:val="00136530"/>
    <w:rsid w:val="00144BE4"/>
    <w:rsid w:val="001478A8"/>
    <w:rsid w:val="001505A9"/>
    <w:rsid w:val="0015074D"/>
    <w:rsid w:val="001540F3"/>
    <w:rsid w:val="001541EA"/>
    <w:rsid w:val="00157F22"/>
    <w:rsid w:val="001612A4"/>
    <w:rsid w:val="00161852"/>
    <w:rsid w:val="00163F30"/>
    <w:rsid w:val="001661EB"/>
    <w:rsid w:val="00167F33"/>
    <w:rsid w:val="00173D04"/>
    <w:rsid w:val="00174938"/>
    <w:rsid w:val="00174A33"/>
    <w:rsid w:val="00175E3B"/>
    <w:rsid w:val="00184AB3"/>
    <w:rsid w:val="00187A9B"/>
    <w:rsid w:val="001908D4"/>
    <w:rsid w:val="00192EF0"/>
    <w:rsid w:val="001935DA"/>
    <w:rsid w:val="0019380D"/>
    <w:rsid w:val="001945FA"/>
    <w:rsid w:val="00194A8A"/>
    <w:rsid w:val="00197F48"/>
    <w:rsid w:val="001A7368"/>
    <w:rsid w:val="001B3C32"/>
    <w:rsid w:val="001B772C"/>
    <w:rsid w:val="001C2079"/>
    <w:rsid w:val="001C6EA7"/>
    <w:rsid w:val="001C7759"/>
    <w:rsid w:val="001D2149"/>
    <w:rsid w:val="001D2D5F"/>
    <w:rsid w:val="001D425D"/>
    <w:rsid w:val="001D67EC"/>
    <w:rsid w:val="001D7EB4"/>
    <w:rsid w:val="001E1200"/>
    <w:rsid w:val="001E1DC0"/>
    <w:rsid w:val="001E2069"/>
    <w:rsid w:val="001E34C6"/>
    <w:rsid w:val="001E4540"/>
    <w:rsid w:val="001E678C"/>
    <w:rsid w:val="001E6E8C"/>
    <w:rsid w:val="001F0CB3"/>
    <w:rsid w:val="001F1CF6"/>
    <w:rsid w:val="001F316F"/>
    <w:rsid w:val="002009A3"/>
    <w:rsid w:val="0020122A"/>
    <w:rsid w:val="00204856"/>
    <w:rsid w:val="002064EA"/>
    <w:rsid w:val="00206610"/>
    <w:rsid w:val="00206F71"/>
    <w:rsid w:val="00210381"/>
    <w:rsid w:val="0021444C"/>
    <w:rsid w:val="002152B4"/>
    <w:rsid w:val="00215BD2"/>
    <w:rsid w:val="002168AA"/>
    <w:rsid w:val="00216F13"/>
    <w:rsid w:val="00220476"/>
    <w:rsid w:val="00221AED"/>
    <w:rsid w:val="002253BD"/>
    <w:rsid w:val="00225EB0"/>
    <w:rsid w:val="002345EE"/>
    <w:rsid w:val="00235767"/>
    <w:rsid w:val="0024085C"/>
    <w:rsid w:val="002416AC"/>
    <w:rsid w:val="0024252A"/>
    <w:rsid w:val="00242D30"/>
    <w:rsid w:val="002464AA"/>
    <w:rsid w:val="0025096C"/>
    <w:rsid w:val="00251199"/>
    <w:rsid w:val="002524EF"/>
    <w:rsid w:val="0026055E"/>
    <w:rsid w:val="002614E4"/>
    <w:rsid w:val="0026181C"/>
    <w:rsid w:val="00261F81"/>
    <w:rsid w:val="00266157"/>
    <w:rsid w:val="00266240"/>
    <w:rsid w:val="00266253"/>
    <w:rsid w:val="00266EBF"/>
    <w:rsid w:val="002676C9"/>
    <w:rsid w:val="00267BF3"/>
    <w:rsid w:val="00274B4B"/>
    <w:rsid w:val="00275E01"/>
    <w:rsid w:val="00275FBC"/>
    <w:rsid w:val="002776D9"/>
    <w:rsid w:val="002809A5"/>
    <w:rsid w:val="00282E07"/>
    <w:rsid w:val="00285A8E"/>
    <w:rsid w:val="0028602A"/>
    <w:rsid w:val="002919A5"/>
    <w:rsid w:val="002921AF"/>
    <w:rsid w:val="002941CC"/>
    <w:rsid w:val="00294EB2"/>
    <w:rsid w:val="0029652D"/>
    <w:rsid w:val="002A2BC4"/>
    <w:rsid w:val="002A32D6"/>
    <w:rsid w:val="002A554E"/>
    <w:rsid w:val="002A6312"/>
    <w:rsid w:val="002A7452"/>
    <w:rsid w:val="002B1AC6"/>
    <w:rsid w:val="002B28FE"/>
    <w:rsid w:val="002B79A6"/>
    <w:rsid w:val="002C3C21"/>
    <w:rsid w:val="002C447C"/>
    <w:rsid w:val="002C6290"/>
    <w:rsid w:val="002C6EFB"/>
    <w:rsid w:val="002C7719"/>
    <w:rsid w:val="002D113E"/>
    <w:rsid w:val="002D7560"/>
    <w:rsid w:val="002E4987"/>
    <w:rsid w:val="002E5C55"/>
    <w:rsid w:val="002E6110"/>
    <w:rsid w:val="002F3705"/>
    <w:rsid w:val="002F64D4"/>
    <w:rsid w:val="00301144"/>
    <w:rsid w:val="00302B94"/>
    <w:rsid w:val="00302C29"/>
    <w:rsid w:val="003036ED"/>
    <w:rsid w:val="00303F74"/>
    <w:rsid w:val="00304B2A"/>
    <w:rsid w:val="0030758B"/>
    <w:rsid w:val="003109AB"/>
    <w:rsid w:val="00311601"/>
    <w:rsid w:val="003123EB"/>
    <w:rsid w:val="003140C3"/>
    <w:rsid w:val="003148B7"/>
    <w:rsid w:val="003158C3"/>
    <w:rsid w:val="003164C5"/>
    <w:rsid w:val="003173BF"/>
    <w:rsid w:val="00322FAA"/>
    <w:rsid w:val="0032399F"/>
    <w:rsid w:val="00324531"/>
    <w:rsid w:val="00325110"/>
    <w:rsid w:val="00325A76"/>
    <w:rsid w:val="00326633"/>
    <w:rsid w:val="003274CD"/>
    <w:rsid w:val="003277FF"/>
    <w:rsid w:val="00336BED"/>
    <w:rsid w:val="00340709"/>
    <w:rsid w:val="003435BB"/>
    <w:rsid w:val="00343E0B"/>
    <w:rsid w:val="00344994"/>
    <w:rsid w:val="0035119D"/>
    <w:rsid w:val="00353926"/>
    <w:rsid w:val="003555FA"/>
    <w:rsid w:val="0035645A"/>
    <w:rsid w:val="00357490"/>
    <w:rsid w:val="00357B69"/>
    <w:rsid w:val="00360E00"/>
    <w:rsid w:val="00361596"/>
    <w:rsid w:val="00362D50"/>
    <w:rsid w:val="00363380"/>
    <w:rsid w:val="00363894"/>
    <w:rsid w:val="0036560E"/>
    <w:rsid w:val="00365851"/>
    <w:rsid w:val="00365C5B"/>
    <w:rsid w:val="00373420"/>
    <w:rsid w:val="00373761"/>
    <w:rsid w:val="00374F84"/>
    <w:rsid w:val="00380F99"/>
    <w:rsid w:val="003825CC"/>
    <w:rsid w:val="003829A2"/>
    <w:rsid w:val="003840AF"/>
    <w:rsid w:val="00384270"/>
    <w:rsid w:val="0038462F"/>
    <w:rsid w:val="00390B07"/>
    <w:rsid w:val="00394455"/>
    <w:rsid w:val="00394DE8"/>
    <w:rsid w:val="00396BD3"/>
    <w:rsid w:val="00396E11"/>
    <w:rsid w:val="003976E4"/>
    <w:rsid w:val="003A0300"/>
    <w:rsid w:val="003A08AD"/>
    <w:rsid w:val="003A0B1D"/>
    <w:rsid w:val="003A2157"/>
    <w:rsid w:val="003A3053"/>
    <w:rsid w:val="003A322A"/>
    <w:rsid w:val="003A71C5"/>
    <w:rsid w:val="003B00B8"/>
    <w:rsid w:val="003B058F"/>
    <w:rsid w:val="003B0B3A"/>
    <w:rsid w:val="003B0D24"/>
    <w:rsid w:val="003B297F"/>
    <w:rsid w:val="003B3CF6"/>
    <w:rsid w:val="003B4F12"/>
    <w:rsid w:val="003B6458"/>
    <w:rsid w:val="003B74DA"/>
    <w:rsid w:val="003C0E5E"/>
    <w:rsid w:val="003C4115"/>
    <w:rsid w:val="003C7CC1"/>
    <w:rsid w:val="003D1378"/>
    <w:rsid w:val="003D24C5"/>
    <w:rsid w:val="003D27CF"/>
    <w:rsid w:val="003D295A"/>
    <w:rsid w:val="003D4335"/>
    <w:rsid w:val="003E48B9"/>
    <w:rsid w:val="003E6026"/>
    <w:rsid w:val="003F3ECF"/>
    <w:rsid w:val="003F7BAF"/>
    <w:rsid w:val="003F7C5E"/>
    <w:rsid w:val="00401883"/>
    <w:rsid w:val="00401A0F"/>
    <w:rsid w:val="00401CE2"/>
    <w:rsid w:val="0040336D"/>
    <w:rsid w:val="00410906"/>
    <w:rsid w:val="004159B9"/>
    <w:rsid w:val="00421C9C"/>
    <w:rsid w:val="00423F31"/>
    <w:rsid w:val="00431899"/>
    <w:rsid w:val="00432BBD"/>
    <w:rsid w:val="00440E1C"/>
    <w:rsid w:val="004425D6"/>
    <w:rsid w:val="0044292A"/>
    <w:rsid w:val="0044304B"/>
    <w:rsid w:val="004439A6"/>
    <w:rsid w:val="0044444A"/>
    <w:rsid w:val="00446519"/>
    <w:rsid w:val="0045251B"/>
    <w:rsid w:val="00452CF8"/>
    <w:rsid w:val="004540AD"/>
    <w:rsid w:val="0046056E"/>
    <w:rsid w:val="00462171"/>
    <w:rsid w:val="00462267"/>
    <w:rsid w:val="00462CC3"/>
    <w:rsid w:val="00464997"/>
    <w:rsid w:val="00464EA4"/>
    <w:rsid w:val="0046714E"/>
    <w:rsid w:val="00467404"/>
    <w:rsid w:val="00470545"/>
    <w:rsid w:val="00472A7B"/>
    <w:rsid w:val="0047380F"/>
    <w:rsid w:val="00473F4C"/>
    <w:rsid w:val="0047480B"/>
    <w:rsid w:val="004753A7"/>
    <w:rsid w:val="0048297B"/>
    <w:rsid w:val="00483713"/>
    <w:rsid w:val="00483DE1"/>
    <w:rsid w:val="004852D7"/>
    <w:rsid w:val="00485FEA"/>
    <w:rsid w:val="0048653F"/>
    <w:rsid w:val="00486804"/>
    <w:rsid w:val="00491B08"/>
    <w:rsid w:val="00491EBF"/>
    <w:rsid w:val="00491FB4"/>
    <w:rsid w:val="00492043"/>
    <w:rsid w:val="0049208A"/>
    <w:rsid w:val="00492CC7"/>
    <w:rsid w:val="004946A0"/>
    <w:rsid w:val="00494BC4"/>
    <w:rsid w:val="004A1395"/>
    <w:rsid w:val="004A3107"/>
    <w:rsid w:val="004A5DDF"/>
    <w:rsid w:val="004A6BBC"/>
    <w:rsid w:val="004A741A"/>
    <w:rsid w:val="004B016D"/>
    <w:rsid w:val="004B02F3"/>
    <w:rsid w:val="004B05FD"/>
    <w:rsid w:val="004B277A"/>
    <w:rsid w:val="004B35D7"/>
    <w:rsid w:val="004B3775"/>
    <w:rsid w:val="004B3961"/>
    <w:rsid w:val="004B757E"/>
    <w:rsid w:val="004C12F1"/>
    <w:rsid w:val="004C181B"/>
    <w:rsid w:val="004C27B8"/>
    <w:rsid w:val="004C2A06"/>
    <w:rsid w:val="004C3D75"/>
    <w:rsid w:val="004C5E5E"/>
    <w:rsid w:val="004C68B2"/>
    <w:rsid w:val="004C7199"/>
    <w:rsid w:val="004C76ED"/>
    <w:rsid w:val="004D4559"/>
    <w:rsid w:val="004D66BA"/>
    <w:rsid w:val="004E058F"/>
    <w:rsid w:val="004E3B87"/>
    <w:rsid w:val="004E3DD4"/>
    <w:rsid w:val="004E6E3E"/>
    <w:rsid w:val="004E71F5"/>
    <w:rsid w:val="004F073B"/>
    <w:rsid w:val="004F1226"/>
    <w:rsid w:val="004F1436"/>
    <w:rsid w:val="004F62DC"/>
    <w:rsid w:val="004F68A6"/>
    <w:rsid w:val="004F79EB"/>
    <w:rsid w:val="005015F5"/>
    <w:rsid w:val="0050572B"/>
    <w:rsid w:val="005104FD"/>
    <w:rsid w:val="005106EC"/>
    <w:rsid w:val="00510921"/>
    <w:rsid w:val="00510AD3"/>
    <w:rsid w:val="0051199A"/>
    <w:rsid w:val="00513348"/>
    <w:rsid w:val="0052234E"/>
    <w:rsid w:val="005234BE"/>
    <w:rsid w:val="0052464B"/>
    <w:rsid w:val="00524690"/>
    <w:rsid w:val="005335A9"/>
    <w:rsid w:val="00533B5D"/>
    <w:rsid w:val="00534AB7"/>
    <w:rsid w:val="00540FAE"/>
    <w:rsid w:val="00541552"/>
    <w:rsid w:val="00543E1B"/>
    <w:rsid w:val="0055012A"/>
    <w:rsid w:val="00550FDA"/>
    <w:rsid w:val="0055288B"/>
    <w:rsid w:val="00554876"/>
    <w:rsid w:val="00555A84"/>
    <w:rsid w:val="005570E8"/>
    <w:rsid w:val="00563006"/>
    <w:rsid w:val="005647F8"/>
    <w:rsid w:val="00564B68"/>
    <w:rsid w:val="00566CF9"/>
    <w:rsid w:val="00567A0F"/>
    <w:rsid w:val="00570B7C"/>
    <w:rsid w:val="005741CA"/>
    <w:rsid w:val="00574EF8"/>
    <w:rsid w:val="00576187"/>
    <w:rsid w:val="00576A57"/>
    <w:rsid w:val="00582D93"/>
    <w:rsid w:val="00592B72"/>
    <w:rsid w:val="005970EA"/>
    <w:rsid w:val="005A1FFA"/>
    <w:rsid w:val="005A4A5C"/>
    <w:rsid w:val="005A5429"/>
    <w:rsid w:val="005B08DE"/>
    <w:rsid w:val="005B338C"/>
    <w:rsid w:val="005B46CB"/>
    <w:rsid w:val="005B4B60"/>
    <w:rsid w:val="005B4CA3"/>
    <w:rsid w:val="005B6233"/>
    <w:rsid w:val="005B696C"/>
    <w:rsid w:val="005B7DA0"/>
    <w:rsid w:val="005C37F0"/>
    <w:rsid w:val="005C4457"/>
    <w:rsid w:val="005C716F"/>
    <w:rsid w:val="005D04E1"/>
    <w:rsid w:val="005D2D36"/>
    <w:rsid w:val="005D521F"/>
    <w:rsid w:val="005D5A57"/>
    <w:rsid w:val="005E0771"/>
    <w:rsid w:val="005E342F"/>
    <w:rsid w:val="005E5CB9"/>
    <w:rsid w:val="005F02C4"/>
    <w:rsid w:val="005F63FB"/>
    <w:rsid w:val="00601257"/>
    <w:rsid w:val="00601785"/>
    <w:rsid w:val="00604DF8"/>
    <w:rsid w:val="006059F2"/>
    <w:rsid w:val="00605E6F"/>
    <w:rsid w:val="00610A3C"/>
    <w:rsid w:val="00611CC4"/>
    <w:rsid w:val="00611DC6"/>
    <w:rsid w:val="006122E0"/>
    <w:rsid w:val="0061672C"/>
    <w:rsid w:val="00621EE4"/>
    <w:rsid w:val="00622A59"/>
    <w:rsid w:val="00622F30"/>
    <w:rsid w:val="00623BA1"/>
    <w:rsid w:val="0062451B"/>
    <w:rsid w:val="006318DE"/>
    <w:rsid w:val="00632578"/>
    <w:rsid w:val="00634269"/>
    <w:rsid w:val="006346BC"/>
    <w:rsid w:val="00640C13"/>
    <w:rsid w:val="0064120D"/>
    <w:rsid w:val="00641CE1"/>
    <w:rsid w:val="0064352F"/>
    <w:rsid w:val="006439B2"/>
    <w:rsid w:val="00644B43"/>
    <w:rsid w:val="00651AFD"/>
    <w:rsid w:val="006536D5"/>
    <w:rsid w:val="00657683"/>
    <w:rsid w:val="0066050C"/>
    <w:rsid w:val="00662B8D"/>
    <w:rsid w:val="00663039"/>
    <w:rsid w:val="00666291"/>
    <w:rsid w:val="00666378"/>
    <w:rsid w:val="0066652A"/>
    <w:rsid w:val="00666613"/>
    <w:rsid w:val="00667D41"/>
    <w:rsid w:val="00670172"/>
    <w:rsid w:val="00670866"/>
    <w:rsid w:val="0067162C"/>
    <w:rsid w:val="00674E88"/>
    <w:rsid w:val="006776D7"/>
    <w:rsid w:val="00680342"/>
    <w:rsid w:val="00682167"/>
    <w:rsid w:val="006900C2"/>
    <w:rsid w:val="006977C3"/>
    <w:rsid w:val="006A1333"/>
    <w:rsid w:val="006A19F6"/>
    <w:rsid w:val="006A1AF5"/>
    <w:rsid w:val="006A1DB4"/>
    <w:rsid w:val="006A4AC7"/>
    <w:rsid w:val="006B0F14"/>
    <w:rsid w:val="006B1465"/>
    <w:rsid w:val="006B359C"/>
    <w:rsid w:val="006B5EA5"/>
    <w:rsid w:val="006B6D8E"/>
    <w:rsid w:val="006C3024"/>
    <w:rsid w:val="006C42AF"/>
    <w:rsid w:val="006C4DD1"/>
    <w:rsid w:val="006C54FF"/>
    <w:rsid w:val="006C65C2"/>
    <w:rsid w:val="006D0676"/>
    <w:rsid w:val="006D10FE"/>
    <w:rsid w:val="006D1EBB"/>
    <w:rsid w:val="006D251E"/>
    <w:rsid w:val="006E26EC"/>
    <w:rsid w:val="006E3EB1"/>
    <w:rsid w:val="006E4D56"/>
    <w:rsid w:val="006E587E"/>
    <w:rsid w:val="006E674A"/>
    <w:rsid w:val="006E79B8"/>
    <w:rsid w:val="006F0DED"/>
    <w:rsid w:val="006F3056"/>
    <w:rsid w:val="006F3A1C"/>
    <w:rsid w:val="006F3BAB"/>
    <w:rsid w:val="006F3BE5"/>
    <w:rsid w:val="006F4732"/>
    <w:rsid w:val="006F79F9"/>
    <w:rsid w:val="00702669"/>
    <w:rsid w:val="00706362"/>
    <w:rsid w:val="00706B6D"/>
    <w:rsid w:val="00707CEB"/>
    <w:rsid w:val="00711D8E"/>
    <w:rsid w:val="00712672"/>
    <w:rsid w:val="00712BDE"/>
    <w:rsid w:val="007131F8"/>
    <w:rsid w:val="007156E2"/>
    <w:rsid w:val="00723188"/>
    <w:rsid w:val="00724D4B"/>
    <w:rsid w:val="00725B27"/>
    <w:rsid w:val="00727295"/>
    <w:rsid w:val="00727C9A"/>
    <w:rsid w:val="00734E3F"/>
    <w:rsid w:val="00736603"/>
    <w:rsid w:val="00736985"/>
    <w:rsid w:val="00737A13"/>
    <w:rsid w:val="00740C9C"/>
    <w:rsid w:val="00741CEF"/>
    <w:rsid w:val="00741E47"/>
    <w:rsid w:val="007427A8"/>
    <w:rsid w:val="00745799"/>
    <w:rsid w:val="0074617A"/>
    <w:rsid w:val="00751171"/>
    <w:rsid w:val="007514FA"/>
    <w:rsid w:val="0075457D"/>
    <w:rsid w:val="00755FEB"/>
    <w:rsid w:val="0076129E"/>
    <w:rsid w:val="00763728"/>
    <w:rsid w:val="00763C2A"/>
    <w:rsid w:val="007704A1"/>
    <w:rsid w:val="00770FB0"/>
    <w:rsid w:val="00772193"/>
    <w:rsid w:val="00772325"/>
    <w:rsid w:val="00772CAB"/>
    <w:rsid w:val="00773A30"/>
    <w:rsid w:val="00776349"/>
    <w:rsid w:val="00797A42"/>
    <w:rsid w:val="007A139C"/>
    <w:rsid w:val="007A4D7E"/>
    <w:rsid w:val="007A5263"/>
    <w:rsid w:val="007A7F65"/>
    <w:rsid w:val="007B15B8"/>
    <w:rsid w:val="007B6200"/>
    <w:rsid w:val="007C059E"/>
    <w:rsid w:val="007C2446"/>
    <w:rsid w:val="007C24A9"/>
    <w:rsid w:val="007C2F35"/>
    <w:rsid w:val="007C3132"/>
    <w:rsid w:val="007C6AF9"/>
    <w:rsid w:val="007D1D85"/>
    <w:rsid w:val="007D3FA4"/>
    <w:rsid w:val="007D46A1"/>
    <w:rsid w:val="007D4D14"/>
    <w:rsid w:val="007D4E0A"/>
    <w:rsid w:val="007D55CE"/>
    <w:rsid w:val="007D56AE"/>
    <w:rsid w:val="007D74E8"/>
    <w:rsid w:val="007E27B8"/>
    <w:rsid w:val="007F1E89"/>
    <w:rsid w:val="007F400F"/>
    <w:rsid w:val="007F54FE"/>
    <w:rsid w:val="007F5652"/>
    <w:rsid w:val="007F7FF9"/>
    <w:rsid w:val="0080056C"/>
    <w:rsid w:val="00800799"/>
    <w:rsid w:val="00801B9F"/>
    <w:rsid w:val="00806849"/>
    <w:rsid w:val="00807A44"/>
    <w:rsid w:val="008107FA"/>
    <w:rsid w:val="0081126C"/>
    <w:rsid w:val="00816704"/>
    <w:rsid w:val="00822B27"/>
    <w:rsid w:val="00833F4F"/>
    <w:rsid w:val="0084135B"/>
    <w:rsid w:val="008436BE"/>
    <w:rsid w:val="0084520B"/>
    <w:rsid w:val="00846C83"/>
    <w:rsid w:val="0084770B"/>
    <w:rsid w:val="00850438"/>
    <w:rsid w:val="008504CF"/>
    <w:rsid w:val="00850D8D"/>
    <w:rsid w:val="00856364"/>
    <w:rsid w:val="00856EF5"/>
    <w:rsid w:val="00860DEF"/>
    <w:rsid w:val="008625B7"/>
    <w:rsid w:val="0086407A"/>
    <w:rsid w:val="008641B0"/>
    <w:rsid w:val="0086453E"/>
    <w:rsid w:val="0086562F"/>
    <w:rsid w:val="008678B4"/>
    <w:rsid w:val="00872B04"/>
    <w:rsid w:val="00872CEE"/>
    <w:rsid w:val="00873D7E"/>
    <w:rsid w:val="00875CF1"/>
    <w:rsid w:val="00877680"/>
    <w:rsid w:val="0087794D"/>
    <w:rsid w:val="0088026C"/>
    <w:rsid w:val="00880B3F"/>
    <w:rsid w:val="00882639"/>
    <w:rsid w:val="008829D8"/>
    <w:rsid w:val="008835FD"/>
    <w:rsid w:val="00883B88"/>
    <w:rsid w:val="00891E2F"/>
    <w:rsid w:val="00893A31"/>
    <w:rsid w:val="00895F2E"/>
    <w:rsid w:val="00895FBF"/>
    <w:rsid w:val="008A05DD"/>
    <w:rsid w:val="008A1DA0"/>
    <w:rsid w:val="008A290D"/>
    <w:rsid w:val="008A56C6"/>
    <w:rsid w:val="008A6CE9"/>
    <w:rsid w:val="008A6E62"/>
    <w:rsid w:val="008A7A4A"/>
    <w:rsid w:val="008B250B"/>
    <w:rsid w:val="008B3201"/>
    <w:rsid w:val="008B3AAB"/>
    <w:rsid w:val="008B5082"/>
    <w:rsid w:val="008B5F5D"/>
    <w:rsid w:val="008B62C7"/>
    <w:rsid w:val="008C3ABD"/>
    <w:rsid w:val="008C3F36"/>
    <w:rsid w:val="008C61A4"/>
    <w:rsid w:val="008D15B3"/>
    <w:rsid w:val="008D28EB"/>
    <w:rsid w:val="008D4502"/>
    <w:rsid w:val="008D4A99"/>
    <w:rsid w:val="008D4DD2"/>
    <w:rsid w:val="008D787D"/>
    <w:rsid w:val="008E0D41"/>
    <w:rsid w:val="008E0FCD"/>
    <w:rsid w:val="008E1B4F"/>
    <w:rsid w:val="008E5148"/>
    <w:rsid w:val="008F2533"/>
    <w:rsid w:val="008F2F6E"/>
    <w:rsid w:val="008F3988"/>
    <w:rsid w:val="008F4DDA"/>
    <w:rsid w:val="008F764A"/>
    <w:rsid w:val="009000FF"/>
    <w:rsid w:val="00900BBD"/>
    <w:rsid w:val="00901BB7"/>
    <w:rsid w:val="00902127"/>
    <w:rsid w:val="0090296F"/>
    <w:rsid w:val="00903368"/>
    <w:rsid w:val="00903AB4"/>
    <w:rsid w:val="00903AF5"/>
    <w:rsid w:val="00903CF9"/>
    <w:rsid w:val="00905577"/>
    <w:rsid w:val="00910A64"/>
    <w:rsid w:val="00911FA2"/>
    <w:rsid w:val="00913B82"/>
    <w:rsid w:val="00913E2A"/>
    <w:rsid w:val="0091614A"/>
    <w:rsid w:val="00916D57"/>
    <w:rsid w:val="00922756"/>
    <w:rsid w:val="0092289A"/>
    <w:rsid w:val="009262D4"/>
    <w:rsid w:val="009348BA"/>
    <w:rsid w:val="00940527"/>
    <w:rsid w:val="00941CFB"/>
    <w:rsid w:val="0094260D"/>
    <w:rsid w:val="0094658E"/>
    <w:rsid w:val="009477B3"/>
    <w:rsid w:val="00951622"/>
    <w:rsid w:val="00951B36"/>
    <w:rsid w:val="00953F91"/>
    <w:rsid w:val="00955214"/>
    <w:rsid w:val="00955D8C"/>
    <w:rsid w:val="009561A0"/>
    <w:rsid w:val="009563D6"/>
    <w:rsid w:val="00957100"/>
    <w:rsid w:val="009576CD"/>
    <w:rsid w:val="009630DA"/>
    <w:rsid w:val="009673DE"/>
    <w:rsid w:val="009674AA"/>
    <w:rsid w:val="009709D2"/>
    <w:rsid w:val="0097138B"/>
    <w:rsid w:val="00975188"/>
    <w:rsid w:val="009763B6"/>
    <w:rsid w:val="00976756"/>
    <w:rsid w:val="00983A95"/>
    <w:rsid w:val="00993244"/>
    <w:rsid w:val="00997B74"/>
    <w:rsid w:val="009A08BD"/>
    <w:rsid w:val="009A11CC"/>
    <w:rsid w:val="009A1585"/>
    <w:rsid w:val="009A2DA7"/>
    <w:rsid w:val="009B3FF3"/>
    <w:rsid w:val="009B4D3B"/>
    <w:rsid w:val="009B7D60"/>
    <w:rsid w:val="009C3084"/>
    <w:rsid w:val="009C3212"/>
    <w:rsid w:val="009C34C6"/>
    <w:rsid w:val="009C35EE"/>
    <w:rsid w:val="009C6C74"/>
    <w:rsid w:val="009D0FF5"/>
    <w:rsid w:val="009D2CAF"/>
    <w:rsid w:val="009D34E9"/>
    <w:rsid w:val="009D3521"/>
    <w:rsid w:val="009D3815"/>
    <w:rsid w:val="009D62A5"/>
    <w:rsid w:val="009D7407"/>
    <w:rsid w:val="009D792D"/>
    <w:rsid w:val="009E0866"/>
    <w:rsid w:val="009E19A3"/>
    <w:rsid w:val="009E1A12"/>
    <w:rsid w:val="009E1AAB"/>
    <w:rsid w:val="009E262F"/>
    <w:rsid w:val="009E2850"/>
    <w:rsid w:val="009E519C"/>
    <w:rsid w:val="009F1987"/>
    <w:rsid w:val="009F2758"/>
    <w:rsid w:val="009F2760"/>
    <w:rsid w:val="009F65B6"/>
    <w:rsid w:val="009F6D4A"/>
    <w:rsid w:val="00A00664"/>
    <w:rsid w:val="00A03408"/>
    <w:rsid w:val="00A061B9"/>
    <w:rsid w:val="00A120E1"/>
    <w:rsid w:val="00A1697F"/>
    <w:rsid w:val="00A16CD2"/>
    <w:rsid w:val="00A20E8E"/>
    <w:rsid w:val="00A244B0"/>
    <w:rsid w:val="00A24A62"/>
    <w:rsid w:val="00A27732"/>
    <w:rsid w:val="00A313EC"/>
    <w:rsid w:val="00A31C9F"/>
    <w:rsid w:val="00A332C9"/>
    <w:rsid w:val="00A334A0"/>
    <w:rsid w:val="00A34EDC"/>
    <w:rsid w:val="00A354D4"/>
    <w:rsid w:val="00A406F8"/>
    <w:rsid w:val="00A44517"/>
    <w:rsid w:val="00A46EBC"/>
    <w:rsid w:val="00A5251C"/>
    <w:rsid w:val="00A52A22"/>
    <w:rsid w:val="00A5653D"/>
    <w:rsid w:val="00A56D00"/>
    <w:rsid w:val="00A57A9E"/>
    <w:rsid w:val="00A6055E"/>
    <w:rsid w:val="00A65744"/>
    <w:rsid w:val="00A75708"/>
    <w:rsid w:val="00A82B42"/>
    <w:rsid w:val="00A84B0D"/>
    <w:rsid w:val="00A850C0"/>
    <w:rsid w:val="00A860DC"/>
    <w:rsid w:val="00A8614A"/>
    <w:rsid w:val="00A868E8"/>
    <w:rsid w:val="00A904A3"/>
    <w:rsid w:val="00A91C17"/>
    <w:rsid w:val="00A92771"/>
    <w:rsid w:val="00A97EAD"/>
    <w:rsid w:val="00AA0DBD"/>
    <w:rsid w:val="00AA2B08"/>
    <w:rsid w:val="00AA3497"/>
    <w:rsid w:val="00AA3B51"/>
    <w:rsid w:val="00AA3F27"/>
    <w:rsid w:val="00AA7636"/>
    <w:rsid w:val="00AB19CF"/>
    <w:rsid w:val="00AB71B3"/>
    <w:rsid w:val="00AC164A"/>
    <w:rsid w:val="00AC35B5"/>
    <w:rsid w:val="00AC3F20"/>
    <w:rsid w:val="00AC4E7C"/>
    <w:rsid w:val="00AC65A1"/>
    <w:rsid w:val="00AC7D56"/>
    <w:rsid w:val="00AD13C3"/>
    <w:rsid w:val="00AD1F14"/>
    <w:rsid w:val="00AD346F"/>
    <w:rsid w:val="00AD41A8"/>
    <w:rsid w:val="00AD432B"/>
    <w:rsid w:val="00AD51E8"/>
    <w:rsid w:val="00AE3A83"/>
    <w:rsid w:val="00AE631D"/>
    <w:rsid w:val="00AF2050"/>
    <w:rsid w:val="00AF30F3"/>
    <w:rsid w:val="00AF4F3B"/>
    <w:rsid w:val="00AF5BED"/>
    <w:rsid w:val="00AF6D1A"/>
    <w:rsid w:val="00AF7B22"/>
    <w:rsid w:val="00AF7EDE"/>
    <w:rsid w:val="00B02346"/>
    <w:rsid w:val="00B057CF"/>
    <w:rsid w:val="00B07BD1"/>
    <w:rsid w:val="00B07DB6"/>
    <w:rsid w:val="00B1204F"/>
    <w:rsid w:val="00B13B6E"/>
    <w:rsid w:val="00B20FF4"/>
    <w:rsid w:val="00B218A3"/>
    <w:rsid w:val="00B23173"/>
    <w:rsid w:val="00B329B6"/>
    <w:rsid w:val="00B32F99"/>
    <w:rsid w:val="00B34BDB"/>
    <w:rsid w:val="00B36CF1"/>
    <w:rsid w:val="00B4065B"/>
    <w:rsid w:val="00B417C3"/>
    <w:rsid w:val="00B41B0F"/>
    <w:rsid w:val="00B41DC6"/>
    <w:rsid w:val="00B42B66"/>
    <w:rsid w:val="00B43281"/>
    <w:rsid w:val="00B4598F"/>
    <w:rsid w:val="00B53D77"/>
    <w:rsid w:val="00B53F58"/>
    <w:rsid w:val="00B54144"/>
    <w:rsid w:val="00B55A9E"/>
    <w:rsid w:val="00B601BD"/>
    <w:rsid w:val="00B60CE2"/>
    <w:rsid w:val="00B62B7D"/>
    <w:rsid w:val="00B64F1F"/>
    <w:rsid w:val="00B67009"/>
    <w:rsid w:val="00B701C2"/>
    <w:rsid w:val="00B707DA"/>
    <w:rsid w:val="00B76EF0"/>
    <w:rsid w:val="00B8379D"/>
    <w:rsid w:val="00B837AD"/>
    <w:rsid w:val="00B87A80"/>
    <w:rsid w:val="00B901B9"/>
    <w:rsid w:val="00B905DD"/>
    <w:rsid w:val="00B91D66"/>
    <w:rsid w:val="00B91DF0"/>
    <w:rsid w:val="00B93BF5"/>
    <w:rsid w:val="00BA0753"/>
    <w:rsid w:val="00BA35AD"/>
    <w:rsid w:val="00BA3B61"/>
    <w:rsid w:val="00BA7C45"/>
    <w:rsid w:val="00BB144A"/>
    <w:rsid w:val="00BB26C5"/>
    <w:rsid w:val="00BB432F"/>
    <w:rsid w:val="00BB6F97"/>
    <w:rsid w:val="00BC00AE"/>
    <w:rsid w:val="00BC0C63"/>
    <w:rsid w:val="00BD2562"/>
    <w:rsid w:val="00BD2CD0"/>
    <w:rsid w:val="00BD71C5"/>
    <w:rsid w:val="00BD77E4"/>
    <w:rsid w:val="00BE2535"/>
    <w:rsid w:val="00BE7691"/>
    <w:rsid w:val="00BF0BAF"/>
    <w:rsid w:val="00BF3BA2"/>
    <w:rsid w:val="00BF4265"/>
    <w:rsid w:val="00BF4650"/>
    <w:rsid w:val="00BF4DE6"/>
    <w:rsid w:val="00BF6958"/>
    <w:rsid w:val="00BF6B49"/>
    <w:rsid w:val="00C04038"/>
    <w:rsid w:val="00C04355"/>
    <w:rsid w:val="00C043BD"/>
    <w:rsid w:val="00C04D51"/>
    <w:rsid w:val="00C132E7"/>
    <w:rsid w:val="00C14085"/>
    <w:rsid w:val="00C15CE8"/>
    <w:rsid w:val="00C20A3D"/>
    <w:rsid w:val="00C22C5C"/>
    <w:rsid w:val="00C258D1"/>
    <w:rsid w:val="00C26390"/>
    <w:rsid w:val="00C26F41"/>
    <w:rsid w:val="00C30746"/>
    <w:rsid w:val="00C353EE"/>
    <w:rsid w:val="00C3720A"/>
    <w:rsid w:val="00C373BC"/>
    <w:rsid w:val="00C409AF"/>
    <w:rsid w:val="00C40A9E"/>
    <w:rsid w:val="00C42CDE"/>
    <w:rsid w:val="00C44657"/>
    <w:rsid w:val="00C50DB2"/>
    <w:rsid w:val="00C53A9D"/>
    <w:rsid w:val="00C5477C"/>
    <w:rsid w:val="00C557D4"/>
    <w:rsid w:val="00C56753"/>
    <w:rsid w:val="00C60123"/>
    <w:rsid w:val="00C61A15"/>
    <w:rsid w:val="00C62B6E"/>
    <w:rsid w:val="00C6347E"/>
    <w:rsid w:val="00C647C3"/>
    <w:rsid w:val="00C678F4"/>
    <w:rsid w:val="00C712C5"/>
    <w:rsid w:val="00C73C72"/>
    <w:rsid w:val="00C7460D"/>
    <w:rsid w:val="00C746C8"/>
    <w:rsid w:val="00C76AC1"/>
    <w:rsid w:val="00C80B78"/>
    <w:rsid w:val="00C81087"/>
    <w:rsid w:val="00C82818"/>
    <w:rsid w:val="00C83E87"/>
    <w:rsid w:val="00C84D30"/>
    <w:rsid w:val="00C8616D"/>
    <w:rsid w:val="00C86C03"/>
    <w:rsid w:val="00C87A54"/>
    <w:rsid w:val="00C90790"/>
    <w:rsid w:val="00C9301A"/>
    <w:rsid w:val="00C93306"/>
    <w:rsid w:val="00C957F5"/>
    <w:rsid w:val="00C96ED9"/>
    <w:rsid w:val="00C97EA4"/>
    <w:rsid w:val="00CA32EA"/>
    <w:rsid w:val="00CA37B1"/>
    <w:rsid w:val="00CA537C"/>
    <w:rsid w:val="00CA6FA6"/>
    <w:rsid w:val="00CA7227"/>
    <w:rsid w:val="00CB095F"/>
    <w:rsid w:val="00CB1959"/>
    <w:rsid w:val="00CB2FF2"/>
    <w:rsid w:val="00CB38DD"/>
    <w:rsid w:val="00CB4497"/>
    <w:rsid w:val="00CB4907"/>
    <w:rsid w:val="00CB4D0E"/>
    <w:rsid w:val="00CB7239"/>
    <w:rsid w:val="00CC0692"/>
    <w:rsid w:val="00CD3CD7"/>
    <w:rsid w:val="00CD57ED"/>
    <w:rsid w:val="00CD62D2"/>
    <w:rsid w:val="00CD7ACB"/>
    <w:rsid w:val="00CD7F6C"/>
    <w:rsid w:val="00CE217D"/>
    <w:rsid w:val="00CE4552"/>
    <w:rsid w:val="00CF0111"/>
    <w:rsid w:val="00CF3314"/>
    <w:rsid w:val="00CF7D26"/>
    <w:rsid w:val="00D0296C"/>
    <w:rsid w:val="00D040F9"/>
    <w:rsid w:val="00D05EA4"/>
    <w:rsid w:val="00D06069"/>
    <w:rsid w:val="00D1013C"/>
    <w:rsid w:val="00D10364"/>
    <w:rsid w:val="00D14D7E"/>
    <w:rsid w:val="00D17EC6"/>
    <w:rsid w:val="00D22869"/>
    <w:rsid w:val="00D26FF5"/>
    <w:rsid w:val="00D27BCF"/>
    <w:rsid w:val="00D30375"/>
    <w:rsid w:val="00D30658"/>
    <w:rsid w:val="00D31C8A"/>
    <w:rsid w:val="00D345CD"/>
    <w:rsid w:val="00D35AC7"/>
    <w:rsid w:val="00D408BD"/>
    <w:rsid w:val="00D4159E"/>
    <w:rsid w:val="00D43444"/>
    <w:rsid w:val="00D46D82"/>
    <w:rsid w:val="00D470C4"/>
    <w:rsid w:val="00D47E78"/>
    <w:rsid w:val="00D50B8E"/>
    <w:rsid w:val="00D54926"/>
    <w:rsid w:val="00D57D3F"/>
    <w:rsid w:val="00D60F2D"/>
    <w:rsid w:val="00D66DCD"/>
    <w:rsid w:val="00D71430"/>
    <w:rsid w:val="00D7288F"/>
    <w:rsid w:val="00D756CC"/>
    <w:rsid w:val="00D77228"/>
    <w:rsid w:val="00D77634"/>
    <w:rsid w:val="00D8030C"/>
    <w:rsid w:val="00D8033E"/>
    <w:rsid w:val="00D83271"/>
    <w:rsid w:val="00D86E5A"/>
    <w:rsid w:val="00D9086A"/>
    <w:rsid w:val="00D9791E"/>
    <w:rsid w:val="00DA1BE1"/>
    <w:rsid w:val="00DA1E8B"/>
    <w:rsid w:val="00DA36E7"/>
    <w:rsid w:val="00DB64CD"/>
    <w:rsid w:val="00DB6D69"/>
    <w:rsid w:val="00DB6FDD"/>
    <w:rsid w:val="00DC15E3"/>
    <w:rsid w:val="00DC1EC9"/>
    <w:rsid w:val="00DC430B"/>
    <w:rsid w:val="00DC4648"/>
    <w:rsid w:val="00DD2F6B"/>
    <w:rsid w:val="00DE2641"/>
    <w:rsid w:val="00DF13DE"/>
    <w:rsid w:val="00DF25F7"/>
    <w:rsid w:val="00DF3E83"/>
    <w:rsid w:val="00E020A1"/>
    <w:rsid w:val="00E02371"/>
    <w:rsid w:val="00E04E7B"/>
    <w:rsid w:val="00E1304A"/>
    <w:rsid w:val="00E13B06"/>
    <w:rsid w:val="00E158F6"/>
    <w:rsid w:val="00E17090"/>
    <w:rsid w:val="00E21C42"/>
    <w:rsid w:val="00E25C85"/>
    <w:rsid w:val="00E27675"/>
    <w:rsid w:val="00E30FFF"/>
    <w:rsid w:val="00E3210E"/>
    <w:rsid w:val="00E3517D"/>
    <w:rsid w:val="00E35270"/>
    <w:rsid w:val="00E357B7"/>
    <w:rsid w:val="00E40D77"/>
    <w:rsid w:val="00E422B6"/>
    <w:rsid w:val="00E434B1"/>
    <w:rsid w:val="00E460C6"/>
    <w:rsid w:val="00E50622"/>
    <w:rsid w:val="00E51C40"/>
    <w:rsid w:val="00E53800"/>
    <w:rsid w:val="00E60570"/>
    <w:rsid w:val="00E6081F"/>
    <w:rsid w:val="00E60A81"/>
    <w:rsid w:val="00E60FC8"/>
    <w:rsid w:val="00E61F86"/>
    <w:rsid w:val="00E6422F"/>
    <w:rsid w:val="00E6451B"/>
    <w:rsid w:val="00E64C89"/>
    <w:rsid w:val="00E65887"/>
    <w:rsid w:val="00E67EAF"/>
    <w:rsid w:val="00E7335D"/>
    <w:rsid w:val="00E7457A"/>
    <w:rsid w:val="00E745E3"/>
    <w:rsid w:val="00E75F97"/>
    <w:rsid w:val="00E76FEC"/>
    <w:rsid w:val="00E803B2"/>
    <w:rsid w:val="00E81938"/>
    <w:rsid w:val="00E82A5F"/>
    <w:rsid w:val="00E85525"/>
    <w:rsid w:val="00E8721F"/>
    <w:rsid w:val="00E91099"/>
    <w:rsid w:val="00E92BF9"/>
    <w:rsid w:val="00EA04B2"/>
    <w:rsid w:val="00EA20F3"/>
    <w:rsid w:val="00EA66C5"/>
    <w:rsid w:val="00EB059A"/>
    <w:rsid w:val="00EB2249"/>
    <w:rsid w:val="00EB2F07"/>
    <w:rsid w:val="00EB4E1C"/>
    <w:rsid w:val="00EB761A"/>
    <w:rsid w:val="00EB7A7E"/>
    <w:rsid w:val="00EC00AC"/>
    <w:rsid w:val="00EC0922"/>
    <w:rsid w:val="00EC0BA9"/>
    <w:rsid w:val="00EC3996"/>
    <w:rsid w:val="00EC520E"/>
    <w:rsid w:val="00EC75DA"/>
    <w:rsid w:val="00EC75FE"/>
    <w:rsid w:val="00EC7F63"/>
    <w:rsid w:val="00ED1DA9"/>
    <w:rsid w:val="00ED1E5F"/>
    <w:rsid w:val="00ED27BC"/>
    <w:rsid w:val="00ED43D1"/>
    <w:rsid w:val="00ED4F9C"/>
    <w:rsid w:val="00EE279A"/>
    <w:rsid w:val="00EE32F7"/>
    <w:rsid w:val="00EE3E3F"/>
    <w:rsid w:val="00EE4A57"/>
    <w:rsid w:val="00EE4DD2"/>
    <w:rsid w:val="00EE4EE1"/>
    <w:rsid w:val="00EF14B0"/>
    <w:rsid w:val="00EF287B"/>
    <w:rsid w:val="00EF4574"/>
    <w:rsid w:val="00EF467C"/>
    <w:rsid w:val="00EF6239"/>
    <w:rsid w:val="00EF7DF0"/>
    <w:rsid w:val="00F000BB"/>
    <w:rsid w:val="00F01793"/>
    <w:rsid w:val="00F03A74"/>
    <w:rsid w:val="00F03BC7"/>
    <w:rsid w:val="00F04DB5"/>
    <w:rsid w:val="00F117B8"/>
    <w:rsid w:val="00F122AC"/>
    <w:rsid w:val="00F139C9"/>
    <w:rsid w:val="00F151B3"/>
    <w:rsid w:val="00F172A4"/>
    <w:rsid w:val="00F21873"/>
    <w:rsid w:val="00F237B0"/>
    <w:rsid w:val="00F23C81"/>
    <w:rsid w:val="00F259B3"/>
    <w:rsid w:val="00F2684E"/>
    <w:rsid w:val="00F3121A"/>
    <w:rsid w:val="00F32B50"/>
    <w:rsid w:val="00F367C4"/>
    <w:rsid w:val="00F41155"/>
    <w:rsid w:val="00F42B3A"/>
    <w:rsid w:val="00F43DB8"/>
    <w:rsid w:val="00F449B6"/>
    <w:rsid w:val="00F472E7"/>
    <w:rsid w:val="00F54437"/>
    <w:rsid w:val="00F5466F"/>
    <w:rsid w:val="00F60D13"/>
    <w:rsid w:val="00F62F3F"/>
    <w:rsid w:val="00F64843"/>
    <w:rsid w:val="00F64E17"/>
    <w:rsid w:val="00F70C69"/>
    <w:rsid w:val="00F721B9"/>
    <w:rsid w:val="00F729EF"/>
    <w:rsid w:val="00F731E2"/>
    <w:rsid w:val="00F734CF"/>
    <w:rsid w:val="00F73FC0"/>
    <w:rsid w:val="00F77CAE"/>
    <w:rsid w:val="00F80913"/>
    <w:rsid w:val="00F84479"/>
    <w:rsid w:val="00F8520E"/>
    <w:rsid w:val="00F95CC0"/>
    <w:rsid w:val="00F96BB9"/>
    <w:rsid w:val="00FA235E"/>
    <w:rsid w:val="00FA4296"/>
    <w:rsid w:val="00FA711E"/>
    <w:rsid w:val="00FB02DE"/>
    <w:rsid w:val="00FB44AA"/>
    <w:rsid w:val="00FB654B"/>
    <w:rsid w:val="00FC164A"/>
    <w:rsid w:val="00FC2697"/>
    <w:rsid w:val="00FC286B"/>
    <w:rsid w:val="00FC6CBB"/>
    <w:rsid w:val="00FC75EC"/>
    <w:rsid w:val="00FC7691"/>
    <w:rsid w:val="00FD0745"/>
    <w:rsid w:val="00FD43F6"/>
    <w:rsid w:val="00FD5516"/>
    <w:rsid w:val="00FD7C4E"/>
    <w:rsid w:val="00FE0393"/>
    <w:rsid w:val="00FE272F"/>
    <w:rsid w:val="00FE4543"/>
    <w:rsid w:val="00FE4896"/>
    <w:rsid w:val="00FE681E"/>
    <w:rsid w:val="00FE6D51"/>
    <w:rsid w:val="00FF4371"/>
    <w:rsid w:val="00FF6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83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nhideWhenUsed/>
    <w:qFormat/>
    <w:rsid w:val="00D46D82"/>
    <w:pPr>
      <w:spacing w:before="240" w:line="300" w:lineRule="atLeast"/>
      <w:outlineLvl w:val="3"/>
    </w:pPr>
    <w:rPr>
      <w:iCs/>
      <w:sz w:val="26"/>
    </w:rPr>
  </w:style>
  <w:style w:type="paragraph" w:styleId="Heading5">
    <w:name w:val="heading 5"/>
    <w:basedOn w:val="Heading4"/>
    <w:next w:val="Normal"/>
    <w:link w:val="Heading5Char"/>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44292A"/>
    <w:pPr>
      <w:numPr>
        <w:numId w:val="42"/>
      </w:numPr>
      <w:ind w:left="852" w:hanging="284"/>
    </w:pPr>
  </w:style>
  <w:style w:type="paragraph" w:customStyle="1" w:styleId="Bullet2">
    <w:name w:val="Bullet 2"/>
    <w:basedOn w:val="NumberedList1"/>
    <w:qFormat/>
    <w:rsid w:val="00F8520E"/>
    <w:pPr>
      <w:numPr>
        <w:numId w:val="16"/>
      </w:numPr>
      <w:ind w:left="1418"/>
    </w:pPr>
  </w:style>
  <w:style w:type="paragraph" w:customStyle="1" w:styleId="Bullet3">
    <w:name w:val="Bullet 3"/>
    <w:basedOn w:val="NumberedList1"/>
    <w:qFormat/>
    <w:rsid w:val="00F8520E"/>
    <w:pPr>
      <w:numPr>
        <w:numId w:val="17"/>
      </w:numPr>
      <w:ind w:left="1985"/>
    </w:pPr>
  </w:style>
  <w:style w:type="paragraph" w:customStyle="1" w:styleId="NumberedList1">
    <w:name w:val="Numbered List 1"/>
    <w:basedOn w:val="Normal"/>
    <w:qFormat/>
    <w:rsid w:val="004425D6"/>
    <w:pPr>
      <w:numPr>
        <w:numId w:val="2"/>
      </w:numPr>
      <w:spacing w:before="240" w:after="0" w:line="240" w:lineRule="auto"/>
    </w:pPr>
  </w:style>
  <w:style w:type="paragraph" w:customStyle="1" w:styleId="NumberedList2">
    <w:name w:val="Numbered List 2"/>
    <w:basedOn w:val="NumberedList1"/>
    <w:qFormat/>
    <w:rsid w:val="0046056E"/>
    <w:pPr>
      <w:numPr>
        <w:ilvl w:val="1"/>
      </w:numPr>
      <w:spacing w:before="120"/>
      <w:ind w:left="851"/>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3"/>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221AED"/>
    <w:pPr>
      <w:tabs>
        <w:tab w:val="left" w:pos="454"/>
        <w:tab w:val="right" w:pos="9072"/>
      </w:tabs>
      <w:spacing w:after="180" w:line="230" w:lineRule="atLeast"/>
    </w:pPr>
    <w:rPr>
      <w:rFonts w:cstheme="minorHAnsi"/>
      <w:b/>
      <w:noProof/>
      <w:sz w:val="23"/>
    </w:rPr>
  </w:style>
  <w:style w:type="paragraph" w:styleId="TOC2">
    <w:name w:val="toc 2"/>
    <w:basedOn w:val="Normal"/>
    <w:next w:val="Normal"/>
    <w:autoRedefine/>
    <w:uiPriority w:val="39"/>
    <w:unhideWhenUsed/>
    <w:rsid w:val="00E2767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qFormat/>
    <w:rsid w:val="00EB2249"/>
    <w:rPr>
      <w:i/>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ED1DA9"/>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spacing w:before="0"/>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semiHidden/>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qFormat/>
    <w:rsid w:val="002676C9"/>
    <w:pPr>
      <w:numPr>
        <w:numId w:val="9"/>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7"/>
      </w:numPr>
    </w:pPr>
  </w:style>
  <w:style w:type="paragraph" w:customStyle="1" w:styleId="Figuretitle">
    <w:name w:val="Figure title"/>
    <w:next w:val="BodyText1"/>
    <w:qFormat/>
    <w:rsid w:val="00396E11"/>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7"/>
      </w:numPr>
      <w:tabs>
        <w:tab w:val="clear" w:pos="284"/>
      </w:tabs>
      <w:ind w:left="852"/>
    </w:pPr>
  </w:style>
  <w:style w:type="numbering" w:customStyle="1" w:styleId="Numbers">
    <w:name w:val="Numbers"/>
    <w:basedOn w:val="NoList"/>
    <w:rsid w:val="00396E11"/>
    <w:pPr>
      <w:numPr>
        <w:numId w:val="72"/>
      </w:numPr>
    </w:pPr>
  </w:style>
  <w:style w:type="paragraph" w:customStyle="1" w:styleId="Bulletslast2ndindent">
    <w:name w:val="Bullets last (2nd indent)"/>
    <w:basedOn w:val="BodyText1"/>
    <w:semiHidden/>
    <w:rsid w:val="00396E11"/>
    <w:pPr>
      <w:numPr>
        <w:ilvl w:val="3"/>
        <w:numId w:val="7"/>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7"/>
      </w:numPr>
    </w:pPr>
  </w:style>
  <w:style w:type="paragraph" w:customStyle="1" w:styleId="Tablebullets1stindent">
    <w:name w:val="Table bullets (1st indent)"/>
    <w:basedOn w:val="Tablebodytext"/>
    <w:qFormat/>
    <w:rsid w:val="00396E11"/>
    <w:pPr>
      <w:numPr>
        <w:ilvl w:val="5"/>
        <w:numId w:val="7"/>
      </w:numPr>
    </w:pPr>
  </w:style>
  <w:style w:type="paragraph" w:customStyle="1" w:styleId="Tablecolumnheading">
    <w:name w:val="Table column heading"/>
    <w:basedOn w:val="Tablebodytext"/>
    <w:qFormat/>
    <w:rsid w:val="00396E11"/>
    <w:pPr>
      <w:keepNext/>
    </w:pPr>
    <w:rPr>
      <w:b/>
      <w:szCs w:val="18"/>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396E11"/>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975188"/>
    <w:pPr>
      <w:keepNext/>
      <w:numPr>
        <w:ilvl w:val="7"/>
        <w:numId w:val="6"/>
      </w:numPr>
      <w:spacing w:before="340" w:after="0" w:line="240" w:lineRule="auto"/>
    </w:pPr>
    <w:rPr>
      <w:rFonts w:ascii="Arial" w:eastAsia="MS Gothic" w:hAnsi="Arial" w:cs="Times New Roman"/>
      <w:b/>
      <w:bCs/>
      <w:iCs/>
      <w:spacing w:val="-6"/>
      <w:sz w:val="20"/>
      <w:szCs w:val="20"/>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396E11"/>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val="0"/>
      <w:iCs w:val="0"/>
      <w:color w:val="1C1C1C" w:themeColor="text2"/>
      <w:spacing w:val="-6"/>
      <w:sz w:val="26"/>
      <w:szCs w:val="26"/>
    </w:rPr>
  </w:style>
  <w:style w:type="paragraph" w:customStyle="1" w:styleId="Boxtitle">
    <w:name w:val="Box title"/>
    <w:basedOn w:val="Boxheading"/>
    <w:uiPriority w:val="1"/>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8"/>
      </w:numPr>
    </w:pPr>
    <w:rPr>
      <w:lang w:val="en-US"/>
    </w:rPr>
  </w:style>
  <w:style w:type="character" w:customStyle="1" w:styleId="BodyText1Char">
    <w:name w:val="Body Text1 Char"/>
    <w:basedOn w:val="DefaultParagraphFont"/>
    <w:link w:val="BodyText1"/>
    <w:semiHidden/>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numbering" w:customStyle="1" w:styleId="Numbers1">
    <w:name w:val="Numbers1"/>
    <w:basedOn w:val="NoList"/>
    <w:rsid w:val="00396E11"/>
  </w:style>
  <w:style w:type="paragraph" w:customStyle="1" w:styleId="NumberedParagraph">
    <w:name w:val="Numbered Paragraph"/>
    <w:basedOn w:val="Numberedpara1stindent"/>
    <w:qFormat/>
    <w:rsid w:val="00396E11"/>
    <w:pPr>
      <w:numPr>
        <w:numId w:val="0"/>
      </w:numPr>
      <w:tabs>
        <w:tab w:val="num" w:pos="360"/>
      </w:tabs>
      <w:spacing w:after="120"/>
      <w:ind w:left="360" w:hanging="360"/>
    </w:pPr>
    <w:rPr>
      <w:bCs/>
      <w:color w:val="000000"/>
    </w:rPr>
  </w:style>
  <w:style w:type="paragraph" w:styleId="ListParagraph">
    <w:name w:val="List Paragraph"/>
    <w:aliases w:val="1 heading,Bullet Point,Bullet point,Bullet points,Bulleted Para,Content descriptions,FooterText,L,List Paragraph1,List Paragraph11,NAST Quote,NFP GP Bulleted List,Paragraphe de liste1,bullet point list,numbered,列出段落,列出段落1"/>
    <w:basedOn w:val="Normal"/>
    <w:link w:val="ListParagraphChar"/>
    <w:uiPriority w:val="34"/>
    <w:qFormat/>
    <w:rsid w:val="00396E11"/>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link w:val="NoSpacingChar"/>
    <w:uiPriority w:val="1"/>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uiPriority w:val="99"/>
    <w:rsid w:val="00396E11"/>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ED1DA9"/>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character" w:customStyle="1" w:styleId="ListParagraphChar">
    <w:name w:val="List Paragraph Char"/>
    <w:aliases w:val="1 heading Char,Bullet Point Char,Bullet point Char,Bullet points Char,Bulleted Para Char,Content descriptions Char,FooterText Char,L Char,List Paragraph1 Char,List Paragraph11 Char,NAST Quote Char,NFP GP Bulleted List Char,列出段落 Char"/>
    <w:basedOn w:val="DefaultParagraphFont"/>
    <w:link w:val="ListParagraph"/>
    <w:uiPriority w:val="34"/>
    <w:locked/>
    <w:rsid w:val="00C40A9E"/>
    <w:rPr>
      <w:rFonts w:ascii="Cambria" w:eastAsia="Cambria" w:hAnsi="Cambria" w:cs="Times New Roman"/>
    </w:rPr>
  </w:style>
  <w:style w:type="paragraph" w:customStyle="1" w:styleId="Extracttitle">
    <w:name w:val="Extract title"/>
    <w:basedOn w:val="NoSpacing"/>
    <w:link w:val="ExtracttitleChar"/>
    <w:qFormat/>
    <w:rsid w:val="00856EF5"/>
    <w:pPr>
      <w:ind w:left="567" w:hanging="567"/>
    </w:pPr>
    <w:rPr>
      <w:rFonts w:asciiTheme="minorHAnsi" w:hAnsiTheme="minorHAnsi" w:cstheme="minorHAnsi"/>
      <w:b/>
      <w:sz w:val="20"/>
      <w:szCs w:val="20"/>
    </w:rPr>
  </w:style>
  <w:style w:type="character" w:customStyle="1" w:styleId="ExtracttitleChar">
    <w:name w:val="Extract title Char"/>
    <w:basedOn w:val="DefaultParagraphFont"/>
    <w:link w:val="Extracttitle"/>
    <w:rsid w:val="00856EF5"/>
    <w:rPr>
      <w:rFonts w:eastAsia="Cambria" w:cstheme="minorHAnsi"/>
      <w:b/>
      <w:sz w:val="20"/>
      <w:szCs w:val="20"/>
    </w:rPr>
  </w:style>
  <w:style w:type="paragraph" w:customStyle="1" w:styleId="AASBextract">
    <w:name w:val="AASBextract"/>
    <w:basedOn w:val="Boxed2Text"/>
    <w:link w:val="AASBextractChar"/>
    <w:qFormat/>
    <w:rsid w:val="00712BDE"/>
    <w:pPr>
      <w:pBdr>
        <w:top w:val="single" w:sz="4" w:space="14" w:color="FFFFFF" w:themeColor="background1"/>
        <w:left w:val="single" w:sz="4" w:space="14" w:color="FFFFFF" w:themeColor="background1"/>
        <w:bottom w:val="single" w:sz="4" w:space="14" w:color="FFFFFF" w:themeColor="background1"/>
        <w:right w:val="single" w:sz="4" w:space="14" w:color="FFFFFF" w:themeColor="background1"/>
      </w:pBdr>
      <w:shd w:val="clear" w:color="auto" w:fill="ECBAA8"/>
    </w:pPr>
    <w:rPr>
      <w:lang w:eastAsia="en-AU"/>
    </w:rPr>
  </w:style>
  <w:style w:type="character" w:customStyle="1" w:styleId="AASBextractChar">
    <w:name w:val="AASBextract Char"/>
    <w:basedOn w:val="DefaultParagraphFont"/>
    <w:link w:val="AASBextract"/>
    <w:rsid w:val="00712BDE"/>
    <w:rPr>
      <w:shd w:val="clear" w:color="auto" w:fill="ECBAA8"/>
      <w:lang w:eastAsia="en-AU"/>
    </w:rPr>
  </w:style>
  <w:style w:type="character" w:customStyle="1" w:styleId="file">
    <w:name w:val="file"/>
    <w:basedOn w:val="DefaultParagraphFont"/>
    <w:rsid w:val="00856364"/>
  </w:style>
  <w:style w:type="paragraph" w:customStyle="1" w:styleId="Extractheading">
    <w:name w:val="Extract heading"/>
    <w:basedOn w:val="Normal"/>
    <w:link w:val="ExtractheadingChar"/>
    <w:qFormat/>
    <w:rsid w:val="00576187"/>
    <w:pPr>
      <w:spacing w:after="0"/>
    </w:pPr>
    <w:rPr>
      <w:rFonts w:eastAsia="Cambria" w:cstheme="minorHAnsi"/>
      <w:b/>
      <w:sz w:val="20"/>
      <w:szCs w:val="20"/>
    </w:rPr>
  </w:style>
  <w:style w:type="character" w:customStyle="1" w:styleId="ExtractheadingChar">
    <w:name w:val="Extract heading Char"/>
    <w:basedOn w:val="DefaultParagraphFont"/>
    <w:link w:val="Extractheading"/>
    <w:rsid w:val="00576187"/>
    <w:rPr>
      <w:rFonts w:eastAsia="Cambria" w:cstheme="minorHAnsi"/>
      <w:b/>
      <w:sz w:val="20"/>
      <w:szCs w:val="20"/>
    </w:rPr>
  </w:style>
  <w:style w:type="character" w:customStyle="1" w:styleId="e24kjd">
    <w:name w:val="e24kjd"/>
    <w:basedOn w:val="DefaultParagraphFont"/>
    <w:rsid w:val="005B08DE"/>
  </w:style>
  <w:style w:type="character" w:customStyle="1" w:styleId="NoSpacingChar">
    <w:name w:val="No Spacing Char"/>
    <w:basedOn w:val="DefaultParagraphFont"/>
    <w:link w:val="NoSpacing"/>
    <w:uiPriority w:val="1"/>
    <w:rsid w:val="007514FA"/>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0712">
      <w:bodyDiv w:val="1"/>
      <w:marLeft w:val="0"/>
      <w:marRight w:val="0"/>
      <w:marTop w:val="0"/>
      <w:marBottom w:val="0"/>
      <w:divBdr>
        <w:top w:val="none" w:sz="0" w:space="0" w:color="auto"/>
        <w:left w:val="none" w:sz="0" w:space="0" w:color="auto"/>
        <w:bottom w:val="none" w:sz="0" w:space="0" w:color="auto"/>
        <w:right w:val="none" w:sz="0" w:space="0" w:color="auto"/>
      </w:divBdr>
      <w:divsChild>
        <w:div w:id="1262756737">
          <w:marLeft w:val="0"/>
          <w:marRight w:val="0"/>
          <w:marTop w:val="0"/>
          <w:marBottom w:val="0"/>
          <w:divBdr>
            <w:top w:val="none" w:sz="0" w:space="0" w:color="auto"/>
            <w:left w:val="none" w:sz="0" w:space="0" w:color="auto"/>
            <w:bottom w:val="none" w:sz="0" w:space="0" w:color="auto"/>
            <w:right w:val="none" w:sz="0" w:space="0" w:color="auto"/>
          </w:divBdr>
        </w:div>
        <w:div w:id="457263233">
          <w:marLeft w:val="0"/>
          <w:marRight w:val="0"/>
          <w:marTop w:val="0"/>
          <w:marBottom w:val="0"/>
          <w:divBdr>
            <w:top w:val="none" w:sz="0" w:space="0" w:color="auto"/>
            <w:left w:val="none" w:sz="0" w:space="0" w:color="auto"/>
            <w:bottom w:val="none" w:sz="0" w:space="0" w:color="auto"/>
            <w:right w:val="none" w:sz="0" w:space="0" w:color="auto"/>
          </w:divBdr>
        </w:div>
        <w:div w:id="389230778">
          <w:marLeft w:val="0"/>
          <w:marRight w:val="0"/>
          <w:marTop w:val="0"/>
          <w:marBottom w:val="0"/>
          <w:divBdr>
            <w:top w:val="none" w:sz="0" w:space="0" w:color="auto"/>
            <w:left w:val="none" w:sz="0" w:space="0" w:color="auto"/>
            <w:bottom w:val="none" w:sz="0" w:space="0" w:color="auto"/>
            <w:right w:val="none" w:sz="0" w:space="0" w:color="auto"/>
          </w:divBdr>
        </w:div>
        <w:div w:id="1771702611">
          <w:marLeft w:val="0"/>
          <w:marRight w:val="0"/>
          <w:marTop w:val="0"/>
          <w:marBottom w:val="0"/>
          <w:divBdr>
            <w:top w:val="none" w:sz="0" w:space="0" w:color="auto"/>
            <w:left w:val="none" w:sz="0" w:space="0" w:color="auto"/>
            <w:bottom w:val="none" w:sz="0" w:space="0" w:color="auto"/>
            <w:right w:val="none" w:sz="0" w:space="0" w:color="auto"/>
          </w:divBdr>
        </w:div>
        <w:div w:id="1312294616">
          <w:marLeft w:val="0"/>
          <w:marRight w:val="0"/>
          <w:marTop w:val="0"/>
          <w:marBottom w:val="0"/>
          <w:divBdr>
            <w:top w:val="none" w:sz="0" w:space="0" w:color="auto"/>
            <w:left w:val="none" w:sz="0" w:space="0" w:color="auto"/>
            <w:bottom w:val="none" w:sz="0" w:space="0" w:color="auto"/>
            <w:right w:val="none" w:sz="0" w:space="0" w:color="auto"/>
          </w:divBdr>
        </w:div>
      </w:divsChild>
    </w:div>
    <w:div w:id="663049041">
      <w:bodyDiv w:val="1"/>
      <w:marLeft w:val="0"/>
      <w:marRight w:val="0"/>
      <w:marTop w:val="0"/>
      <w:marBottom w:val="0"/>
      <w:divBdr>
        <w:top w:val="none" w:sz="0" w:space="0" w:color="auto"/>
        <w:left w:val="none" w:sz="0" w:space="0" w:color="auto"/>
        <w:bottom w:val="none" w:sz="0" w:space="0" w:color="auto"/>
        <w:right w:val="none" w:sz="0" w:space="0" w:color="auto"/>
      </w:divBdr>
    </w:div>
    <w:div w:id="863320819">
      <w:bodyDiv w:val="1"/>
      <w:marLeft w:val="0"/>
      <w:marRight w:val="0"/>
      <w:marTop w:val="0"/>
      <w:marBottom w:val="0"/>
      <w:divBdr>
        <w:top w:val="none" w:sz="0" w:space="0" w:color="auto"/>
        <w:left w:val="none" w:sz="0" w:space="0" w:color="auto"/>
        <w:bottom w:val="none" w:sz="0" w:space="0" w:color="auto"/>
        <w:right w:val="none" w:sz="0" w:space="0" w:color="auto"/>
      </w:divBdr>
    </w:div>
    <w:div w:id="1201477025">
      <w:bodyDiv w:val="1"/>
      <w:marLeft w:val="0"/>
      <w:marRight w:val="0"/>
      <w:marTop w:val="0"/>
      <w:marBottom w:val="0"/>
      <w:divBdr>
        <w:top w:val="none" w:sz="0" w:space="0" w:color="auto"/>
        <w:left w:val="none" w:sz="0" w:space="0" w:color="auto"/>
        <w:bottom w:val="none" w:sz="0" w:space="0" w:color="auto"/>
        <w:right w:val="none" w:sz="0" w:space="0" w:color="auto"/>
      </w:divBdr>
    </w:div>
    <w:div w:id="1281111613">
      <w:bodyDiv w:val="1"/>
      <w:marLeft w:val="0"/>
      <w:marRight w:val="0"/>
      <w:marTop w:val="0"/>
      <w:marBottom w:val="0"/>
      <w:divBdr>
        <w:top w:val="none" w:sz="0" w:space="0" w:color="auto"/>
        <w:left w:val="none" w:sz="0" w:space="0" w:color="auto"/>
        <w:bottom w:val="none" w:sz="0" w:space="0" w:color="auto"/>
        <w:right w:val="none" w:sz="0" w:space="0" w:color="auto"/>
      </w:divBdr>
    </w:div>
    <w:div w:id="1626543784">
      <w:bodyDiv w:val="1"/>
      <w:marLeft w:val="0"/>
      <w:marRight w:val="0"/>
      <w:marTop w:val="0"/>
      <w:marBottom w:val="0"/>
      <w:divBdr>
        <w:top w:val="none" w:sz="0" w:space="0" w:color="auto"/>
        <w:left w:val="none" w:sz="0" w:space="0" w:color="auto"/>
        <w:bottom w:val="none" w:sz="0" w:space="0" w:color="auto"/>
        <w:right w:val="none" w:sz="0" w:space="0" w:color="auto"/>
      </w:divBdr>
    </w:div>
    <w:div w:id="16409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sb.gov.au/admin/file/content105/c9/AASB16_02-16_COMPapr21_04-21.pdf" TargetMode="External"/><Relationship Id="rId13" Type="http://schemas.openxmlformats.org/officeDocument/2006/relationships/hyperlink" Target="https://www.finance.gov.au/sites/default/files/2021-10/Example%20Lease%20Journals.xls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asb.gov.au/Pronouncements/Interpretation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sb.gov.au/admin/file/content105/c9/AASB108_08-15_COMPmay19_01-20.pdf" TargetMode="External"/><Relationship Id="rId5" Type="http://schemas.openxmlformats.org/officeDocument/2006/relationships/webSettings" Target="webSettings.xml"/><Relationship Id="rId15" Type="http://schemas.openxmlformats.org/officeDocument/2006/relationships/hyperlink" Target="https://www.finance.gov.au/sites/default/files/2021-10/Example%20Lease%20Journals.xlsx" TargetMode="External"/><Relationship Id="rId10" Type="http://schemas.openxmlformats.org/officeDocument/2006/relationships/hyperlink" Target="https://www.legislation.gov.au/Series/F2015L0013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asb.gov.au/admin/file/content105/c9/AASB117_08-15.pdf" TargetMode="External"/><Relationship Id="rId14" Type="http://schemas.openxmlformats.org/officeDocument/2006/relationships/hyperlink" Target="https://www.aasb.gov.au/admin/file/content105/c9/AASB16_02-16_COMPapr21_04-2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27C28-C935-4805-9B08-99F45A6E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2021-09-06T01:16:00Z</dcterms:created>
  <dcterms:modified xsi:type="dcterms:W3CDTF">2021-10-20T23:40:00Z</dcterms:modified>
  <cp:category/>
  <cp:contentStatus/>
</cp:coreProperties>
</file>