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02" w:rsidRPr="00B00D8E" w:rsidRDefault="00B36402">
      <w:pPr>
        <w:rPr>
          <w:b/>
          <w:sz w:val="44"/>
          <w:szCs w:val="44"/>
          <w:u w:val="single"/>
        </w:rPr>
      </w:pPr>
      <w:r w:rsidRPr="00B00D8E">
        <w:rPr>
          <w:b/>
          <w:sz w:val="44"/>
          <w:szCs w:val="44"/>
          <w:u w:val="single"/>
        </w:rPr>
        <w:t>Appendix 1 – Illustrative example</w:t>
      </w:r>
    </w:p>
    <w:p w:rsidR="00B36402" w:rsidRPr="00B36402" w:rsidRDefault="00B36402">
      <w:pPr>
        <w:rPr>
          <w:b/>
          <w:sz w:val="36"/>
          <w:szCs w:val="36"/>
        </w:rPr>
      </w:pPr>
      <w:r w:rsidRPr="00B36402">
        <w:rPr>
          <w:b/>
          <w:sz w:val="36"/>
          <w:szCs w:val="36"/>
        </w:rPr>
        <w:t>Sale of a non-current asset</w:t>
      </w:r>
    </w:p>
    <w:p w:rsidR="00B36402" w:rsidRPr="00B00D8E" w:rsidRDefault="00B36402" w:rsidP="00B36402">
      <w:pPr>
        <w:rPr>
          <w:b/>
          <w:bCs/>
          <w:u w:val="single"/>
          <w:lang w:eastAsia="en-AU"/>
        </w:rPr>
      </w:pPr>
      <w:r w:rsidRPr="00B00D8E">
        <w:rPr>
          <w:b/>
          <w:bCs/>
          <w:u w:val="single"/>
          <w:lang w:eastAsia="en-AU"/>
        </w:rPr>
        <w:t>Scenario: </w:t>
      </w:r>
    </w:p>
    <w:p w:rsidR="00B36402" w:rsidRPr="00B36402" w:rsidRDefault="00B36402" w:rsidP="00B36402">
      <w:pPr>
        <w:rPr>
          <w:lang w:eastAsia="en-AU"/>
        </w:rPr>
      </w:pPr>
      <w:r w:rsidRPr="00B36402">
        <w:rPr>
          <w:lang w:eastAsia="en-AU"/>
        </w:rPr>
        <w:t>On 1 November 20X1, XYZ acquired a building to house its production facilities for $12m. XYZ carries all buildings at fair value and the building was assessed as having a useful life of 10 years. At:</w:t>
      </w:r>
    </w:p>
    <w:p w:rsidR="00B36402" w:rsidRPr="00B36402" w:rsidRDefault="00B36402" w:rsidP="00B36402">
      <w:pPr>
        <w:pStyle w:val="ListParagraph"/>
        <w:numPr>
          <w:ilvl w:val="0"/>
          <w:numId w:val="2"/>
        </w:numPr>
        <w:rPr>
          <w:lang w:eastAsia="en-AU"/>
        </w:rPr>
      </w:pPr>
      <w:r w:rsidRPr="00B36402">
        <w:rPr>
          <w:lang w:eastAsia="en-AU"/>
        </w:rPr>
        <w:t>1 April 20X2, XYZ decided to sell the building</w:t>
      </w:r>
    </w:p>
    <w:p w:rsidR="00B36402" w:rsidRPr="00B36402" w:rsidRDefault="00B36402" w:rsidP="00B36402">
      <w:pPr>
        <w:pStyle w:val="ListParagraph"/>
        <w:numPr>
          <w:ilvl w:val="0"/>
          <w:numId w:val="2"/>
        </w:numPr>
        <w:rPr>
          <w:lang w:eastAsia="en-AU"/>
        </w:rPr>
      </w:pPr>
      <w:r w:rsidRPr="00B36402">
        <w:rPr>
          <w:lang w:eastAsia="en-AU"/>
        </w:rPr>
        <w:t>1 May 20X2, XYZ placed the building with an agent for immediate sale. The agent charges selling costs of 5 per cent. The fair value of the building was $12.2m</w:t>
      </w:r>
    </w:p>
    <w:p w:rsidR="00B36402" w:rsidRPr="00B36402" w:rsidRDefault="00B36402" w:rsidP="00B36402">
      <w:pPr>
        <w:pStyle w:val="ListParagraph"/>
        <w:numPr>
          <w:ilvl w:val="0"/>
          <w:numId w:val="2"/>
        </w:numPr>
        <w:rPr>
          <w:lang w:eastAsia="en-AU"/>
        </w:rPr>
      </w:pPr>
      <w:r w:rsidRPr="00B36402">
        <w:rPr>
          <w:lang w:eastAsia="en-AU"/>
        </w:rPr>
        <w:t>30 June 20X2, (balance date) the fair value less costs to sell was $12.5m.</w:t>
      </w:r>
    </w:p>
    <w:p w:rsidR="00B36402" w:rsidRDefault="00B36402" w:rsidP="00B36402">
      <w:pPr>
        <w:rPr>
          <w:lang w:eastAsia="en-AU"/>
        </w:rPr>
      </w:pPr>
      <w:r w:rsidRPr="00B36402">
        <w:rPr>
          <w:lang w:eastAsia="en-AU"/>
        </w:rPr>
        <w:t>The building was sold on 1 August 20X2 for $13m (net of selling costs).</w:t>
      </w:r>
    </w:p>
    <w:p w:rsidR="00B00D8E" w:rsidRPr="00B00D8E" w:rsidRDefault="00B00D8E" w:rsidP="00B36402">
      <w:pPr>
        <w:rPr>
          <w:lang w:eastAsia="en-AU"/>
        </w:rPr>
      </w:pPr>
    </w:p>
    <w:p w:rsidR="00B36402" w:rsidRPr="00B36402" w:rsidRDefault="0035146F" w:rsidP="00B36402">
      <w:pPr>
        <w:rPr>
          <w:b/>
          <w:sz w:val="36"/>
          <w:szCs w:val="36"/>
        </w:rPr>
      </w:pPr>
      <w:r>
        <w:rPr>
          <w:b/>
          <w:noProof/>
          <w:sz w:val="36"/>
          <w:szCs w:val="36"/>
          <w:lang w:eastAsia="en-AU"/>
        </w:rPr>
        <w:drawing>
          <wp:anchor distT="0" distB="0" distL="114300" distR="114300" simplePos="0" relativeHeight="251659264" behindDoc="0" locked="0" layoutInCell="1" allowOverlap="1">
            <wp:simplePos x="0" y="0"/>
            <wp:positionH relativeFrom="margin">
              <wp:posOffset>4966040</wp:posOffset>
            </wp:positionH>
            <wp:positionV relativeFrom="paragraph">
              <wp:posOffset>13970</wp:posOffset>
            </wp:positionV>
            <wp:extent cx="786130" cy="7861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G111.jpg"/>
                    <pic:cNvPicPr/>
                  </pic:nvPicPr>
                  <pic:blipFill>
                    <a:blip r:embed="rId7">
                      <a:extLst>
                        <a:ext uri="{28A0092B-C50C-407E-A947-70E740481C1C}">
                          <a14:useLocalDpi xmlns:a14="http://schemas.microsoft.com/office/drawing/2010/main" val="0"/>
                        </a:ext>
                      </a:extLst>
                    </a:blip>
                    <a:stretch>
                      <a:fillRect/>
                    </a:stretch>
                  </pic:blipFill>
                  <pic:spPr>
                    <a:xfrm>
                      <a:off x="0" y="0"/>
                      <a:ext cx="786130" cy="786130"/>
                    </a:xfrm>
                    <a:prstGeom prst="rect">
                      <a:avLst/>
                    </a:prstGeom>
                  </pic:spPr>
                </pic:pic>
              </a:graphicData>
            </a:graphic>
            <wp14:sizeRelH relativeFrom="margin">
              <wp14:pctWidth>0</wp14:pctWidth>
            </wp14:sizeRelH>
            <wp14:sizeRelV relativeFrom="margin">
              <wp14:pctHeight>0</wp14:pctHeight>
            </wp14:sizeRelV>
          </wp:anchor>
        </w:drawing>
      </w:r>
      <w:r w:rsidR="00B00D8E">
        <w:rPr>
          <w:b/>
          <w:sz w:val="36"/>
          <w:szCs w:val="36"/>
        </w:rPr>
        <w:t>Accounting treatment for an asset held for sale</w:t>
      </w:r>
    </w:p>
    <w:p w:rsidR="0035146F" w:rsidRPr="00B36402" w:rsidRDefault="00B36402" w:rsidP="00B36402">
      <w:pPr>
        <w:rPr>
          <w:lang w:eastAsia="en-AU"/>
        </w:rPr>
      </w:pPr>
      <w:r w:rsidRPr="00B36402">
        <w:rPr>
          <w:lang w:eastAsia="en-AU"/>
        </w:rPr>
        <w:t>In accounting for this scenario the building has become held for sale.</w:t>
      </w:r>
    </w:p>
    <w:p w:rsidR="00B36402" w:rsidRPr="00B36402" w:rsidRDefault="00B36402" w:rsidP="00B36402">
      <w:pPr>
        <w:rPr>
          <w:lang w:eastAsia="en-AU"/>
        </w:rPr>
      </w:pPr>
      <w:r w:rsidRPr="00B36402">
        <w:rPr>
          <w:lang w:eastAsia="en-AU"/>
        </w:rPr>
        <w:t>For this illustrative example:</w:t>
      </w:r>
    </w:p>
    <w:p w:rsidR="00B36402" w:rsidRPr="00B36402" w:rsidRDefault="00B36402" w:rsidP="00B36402">
      <w:pPr>
        <w:pStyle w:val="ListParagraph"/>
        <w:numPr>
          <w:ilvl w:val="0"/>
          <w:numId w:val="5"/>
        </w:numPr>
        <w:rPr>
          <w:lang w:eastAsia="en-AU"/>
        </w:rPr>
      </w:pPr>
      <w:r w:rsidRPr="00B36402">
        <w:rPr>
          <w:lang w:eastAsia="en-AU"/>
        </w:rPr>
        <w:t>prior to applying </w:t>
      </w:r>
      <w:r w:rsidRPr="0035146F">
        <w:rPr>
          <w:lang w:eastAsia="en-AU"/>
        </w:rPr>
        <w:t>AASB 5 </w:t>
      </w:r>
      <w:r w:rsidRPr="00B36402">
        <w:rPr>
          <w:lang w:eastAsia="en-AU"/>
        </w:rPr>
        <w:t>, the building is revalued under </w:t>
      </w:r>
      <w:r w:rsidRPr="0035146F">
        <w:rPr>
          <w:lang w:eastAsia="en-AU"/>
        </w:rPr>
        <w:t>AASB 116  </w:t>
      </w:r>
      <w:r w:rsidRPr="00B36402">
        <w:rPr>
          <w:lang w:eastAsia="en-AU"/>
        </w:rPr>
        <w:t>– the asset is at fair value and a net valuation approach is adopted (this approach writes back accumulated depreciation and then adjusts the gross value to fair value).</w:t>
      </w:r>
    </w:p>
    <w:p w:rsidR="00B36402" w:rsidRDefault="00B36402" w:rsidP="00B36402">
      <w:pPr>
        <w:pStyle w:val="ListParagraph"/>
        <w:numPr>
          <w:ilvl w:val="0"/>
          <w:numId w:val="5"/>
        </w:numPr>
        <w:rPr>
          <w:lang w:eastAsia="en-AU"/>
        </w:rPr>
      </w:pPr>
      <w:r w:rsidRPr="00B36402">
        <w:rPr>
          <w:lang w:eastAsia="en-AU"/>
        </w:rPr>
        <w:t>apply </w:t>
      </w:r>
      <w:r w:rsidRPr="0035146F">
        <w:rPr>
          <w:lang w:eastAsia="en-AU"/>
        </w:rPr>
        <w:t>AASB 5 </w:t>
      </w:r>
      <w:r w:rsidRPr="00B36402">
        <w:rPr>
          <w:lang w:eastAsia="en-AU"/>
        </w:rPr>
        <w:t>:</w:t>
      </w:r>
    </w:p>
    <w:p w:rsidR="00B36402" w:rsidRDefault="00EA486F" w:rsidP="00EA486F">
      <w:pPr>
        <w:pStyle w:val="ListParagraph"/>
        <w:numPr>
          <w:ilvl w:val="1"/>
          <w:numId w:val="5"/>
        </w:numPr>
        <w:rPr>
          <w:lang w:eastAsia="en-AU"/>
        </w:rPr>
      </w:pPr>
      <w:r>
        <w:rPr>
          <w:noProof/>
          <w:lang w:eastAsia="en-AU"/>
        </w:rPr>
        <w:drawing>
          <wp:anchor distT="0" distB="0" distL="114300" distR="114300" simplePos="0" relativeHeight="251660288" behindDoc="0" locked="0" layoutInCell="1" allowOverlap="1">
            <wp:simplePos x="0" y="0"/>
            <wp:positionH relativeFrom="margin">
              <wp:align>right</wp:align>
            </wp:positionH>
            <wp:positionV relativeFrom="paragraph">
              <wp:posOffset>494148</wp:posOffset>
            </wp:positionV>
            <wp:extent cx="5731510" cy="80200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MG1111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802005"/>
                    </a:xfrm>
                    <a:prstGeom prst="rect">
                      <a:avLst/>
                    </a:prstGeom>
                  </pic:spPr>
                </pic:pic>
              </a:graphicData>
            </a:graphic>
          </wp:anchor>
        </w:drawing>
      </w:r>
      <w:r w:rsidR="00B36402" w:rsidRPr="00B36402">
        <w:rPr>
          <w:lang w:eastAsia="en-AU"/>
        </w:rPr>
        <w:t>the asset is measured at the lower of carrying amount (i.e. $12.2m) and fair value less costs to sell (treated as an impairment loss) – calculated as follows:</w:t>
      </w:r>
    </w:p>
    <w:p w:rsidR="00EA486F" w:rsidRPr="00EA486F" w:rsidRDefault="00EA486F" w:rsidP="00EA486F">
      <w:pPr>
        <w:pStyle w:val="ListParagraph"/>
        <w:ind w:left="1440"/>
        <w:rPr>
          <w:lang w:eastAsia="en-AU"/>
        </w:rPr>
      </w:pPr>
    </w:p>
    <w:p w:rsidR="00B36402" w:rsidRDefault="00B36402" w:rsidP="00B36402">
      <w:pPr>
        <w:pStyle w:val="ListParagraph"/>
        <w:numPr>
          <w:ilvl w:val="1"/>
          <w:numId w:val="5"/>
        </w:numPr>
        <w:rPr>
          <w:lang w:eastAsia="en-AU"/>
        </w:rPr>
      </w:pPr>
      <w:r w:rsidRPr="00B36402">
        <w:rPr>
          <w:lang w:eastAsia="en-AU"/>
        </w:rPr>
        <w:t>the account ‘accumulated impairment’ is similar to ‘accumulated depreciation’, being an offset account rather than a direct adjustment to the carrying amount of the asset.</w:t>
      </w:r>
    </w:p>
    <w:p w:rsidR="00B00D8E" w:rsidRDefault="00B00D8E" w:rsidP="00B00D8E">
      <w:pPr>
        <w:pStyle w:val="ListParagraph"/>
        <w:ind w:left="1440"/>
        <w:rPr>
          <w:lang w:eastAsia="en-AU"/>
        </w:rPr>
      </w:pPr>
    </w:p>
    <w:p w:rsidR="00B36402" w:rsidRPr="00B00D8E" w:rsidRDefault="00B36402" w:rsidP="00B00D8E">
      <w:pPr>
        <w:pStyle w:val="ListParagraph"/>
        <w:numPr>
          <w:ilvl w:val="0"/>
          <w:numId w:val="5"/>
        </w:numPr>
        <w:rPr>
          <w:lang w:eastAsia="en-AU"/>
        </w:rPr>
      </w:pPr>
      <w:r w:rsidRPr="00BC045B">
        <w:rPr>
          <w:lang w:eastAsia="en-AU"/>
        </w:rPr>
        <w:t>at the 30 June 20X2 balance date, the asset is required to be remeasured. The asset’s fair value less costs</w:t>
      </w:r>
      <w:bookmarkStart w:id="0" w:name="_GoBack"/>
      <w:bookmarkEnd w:id="0"/>
      <w:r w:rsidRPr="00BC045B">
        <w:rPr>
          <w:lang w:eastAsia="en-AU"/>
        </w:rPr>
        <w:t xml:space="preserve"> to sell has now increased to $12.5m, but no adjustment is required as the carrying amount of $11.59m is less than $12.5m. However, the previous impairment loss can be reversed, but only to the extent of that previously recognised ($0.61m).</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502"/>
        <w:gridCol w:w="762"/>
        <w:gridCol w:w="762"/>
      </w:tblGrid>
      <w:tr w:rsidR="00B36402" w:rsidRPr="00B36402" w:rsidTr="00B00D8E">
        <w:trPr>
          <w:trHeight w:val="1201"/>
          <w:tblHeader/>
        </w:trPr>
        <w:tc>
          <w:tcPr>
            <w:tcW w:w="4156" w:type="pct"/>
            <w:tcBorders>
              <w:top w:val="nil"/>
              <w:bottom w:val="single" w:sz="4" w:space="0" w:color="DBDBDB" w:themeColor="accent3" w:themeTint="66"/>
            </w:tcBorders>
            <w:shd w:val="clear" w:color="auto" w:fill="9CDBD9"/>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000000"/>
                <w:sz w:val="21"/>
                <w:szCs w:val="21"/>
                <w:lang w:eastAsia="en-AU"/>
              </w:rPr>
            </w:pPr>
          </w:p>
          <w:p w:rsidR="00B36402" w:rsidRPr="00B36402" w:rsidRDefault="00B36402" w:rsidP="00B36402">
            <w:pPr>
              <w:spacing w:after="100" w:afterAutospacing="1" w:line="240" w:lineRule="auto"/>
              <w:rPr>
                <w:rFonts w:ascii="Segoe UI" w:eastAsia="Times New Roman" w:hAnsi="Segoe UI" w:cs="Segoe UI"/>
                <w:color w:val="000000"/>
                <w:sz w:val="21"/>
                <w:szCs w:val="21"/>
                <w:lang w:eastAsia="en-AU"/>
              </w:rPr>
            </w:pPr>
            <w:r w:rsidRPr="00B36402">
              <w:rPr>
                <w:rFonts w:ascii="Segoe UI" w:eastAsia="Times New Roman" w:hAnsi="Segoe UI" w:cs="Segoe UI"/>
                <w:b/>
                <w:bCs/>
                <w:color w:val="000000"/>
                <w:sz w:val="21"/>
                <w:szCs w:val="21"/>
                <w:lang w:eastAsia="en-AU"/>
              </w:rPr>
              <w:t>Illustrative example: Held for sale accounting treatment</w:t>
            </w:r>
          </w:p>
        </w:tc>
        <w:tc>
          <w:tcPr>
            <w:tcW w:w="422" w:type="pct"/>
            <w:tcBorders>
              <w:top w:val="nil"/>
              <w:bottom w:val="single" w:sz="4" w:space="0" w:color="DBDBDB" w:themeColor="accent3" w:themeTint="66"/>
            </w:tcBorders>
            <w:shd w:val="clear" w:color="auto" w:fill="9CDBD9"/>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000000"/>
                <w:sz w:val="21"/>
                <w:szCs w:val="21"/>
                <w:lang w:eastAsia="en-AU"/>
              </w:rPr>
            </w:pPr>
            <w:r w:rsidRPr="00B36402">
              <w:rPr>
                <w:rFonts w:ascii="Segoe UI" w:eastAsia="Times New Roman" w:hAnsi="Segoe UI" w:cs="Segoe UI"/>
                <w:b/>
                <w:bCs/>
                <w:color w:val="000000"/>
                <w:sz w:val="21"/>
                <w:szCs w:val="21"/>
                <w:lang w:eastAsia="en-AU"/>
              </w:rPr>
              <w:t>Debit</w:t>
            </w:r>
          </w:p>
          <w:p w:rsidR="00B36402" w:rsidRPr="00B36402" w:rsidRDefault="00B36402" w:rsidP="00B36402">
            <w:pPr>
              <w:spacing w:after="100" w:afterAutospacing="1" w:line="240" w:lineRule="auto"/>
              <w:rPr>
                <w:rFonts w:ascii="Segoe UI" w:eastAsia="Times New Roman" w:hAnsi="Segoe UI" w:cs="Segoe UI"/>
                <w:color w:val="000000"/>
                <w:sz w:val="21"/>
                <w:szCs w:val="21"/>
                <w:lang w:eastAsia="en-AU"/>
              </w:rPr>
            </w:pPr>
            <w:r w:rsidRPr="00B36402">
              <w:rPr>
                <w:rFonts w:ascii="Segoe UI" w:eastAsia="Times New Roman" w:hAnsi="Segoe UI" w:cs="Segoe UI"/>
                <w:b/>
                <w:bCs/>
                <w:color w:val="000000"/>
                <w:sz w:val="21"/>
                <w:szCs w:val="21"/>
                <w:lang w:eastAsia="en-AU"/>
              </w:rPr>
              <w:t>$’000</w:t>
            </w:r>
          </w:p>
        </w:tc>
        <w:tc>
          <w:tcPr>
            <w:tcW w:w="422" w:type="pct"/>
            <w:tcBorders>
              <w:top w:val="nil"/>
              <w:bottom w:val="single" w:sz="4" w:space="0" w:color="DBDBDB" w:themeColor="accent3" w:themeTint="66"/>
            </w:tcBorders>
            <w:shd w:val="clear" w:color="auto" w:fill="9CDBD9"/>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000000"/>
                <w:sz w:val="21"/>
                <w:szCs w:val="21"/>
                <w:lang w:eastAsia="en-AU"/>
              </w:rPr>
            </w:pPr>
            <w:r w:rsidRPr="00B36402">
              <w:rPr>
                <w:rFonts w:ascii="Segoe UI" w:eastAsia="Times New Roman" w:hAnsi="Segoe UI" w:cs="Segoe UI"/>
                <w:b/>
                <w:bCs/>
                <w:color w:val="000000"/>
                <w:sz w:val="21"/>
                <w:szCs w:val="21"/>
                <w:lang w:eastAsia="en-AU"/>
              </w:rPr>
              <w:t>Credit</w:t>
            </w:r>
          </w:p>
          <w:p w:rsidR="00B36402" w:rsidRPr="00B36402" w:rsidRDefault="00B36402" w:rsidP="00B36402">
            <w:pPr>
              <w:spacing w:after="100" w:afterAutospacing="1" w:line="240" w:lineRule="auto"/>
              <w:rPr>
                <w:rFonts w:ascii="Segoe UI" w:eastAsia="Times New Roman" w:hAnsi="Segoe UI" w:cs="Segoe UI"/>
                <w:color w:val="000000"/>
                <w:sz w:val="21"/>
                <w:szCs w:val="21"/>
                <w:lang w:eastAsia="en-AU"/>
              </w:rPr>
            </w:pPr>
            <w:r w:rsidRPr="00B36402">
              <w:rPr>
                <w:rFonts w:ascii="Segoe UI" w:eastAsia="Times New Roman" w:hAnsi="Segoe UI" w:cs="Segoe UI"/>
                <w:b/>
                <w:bCs/>
                <w:color w:val="000000"/>
                <w:sz w:val="21"/>
                <w:szCs w:val="21"/>
                <w:lang w:eastAsia="en-AU"/>
              </w:rPr>
              <w:t>$’000</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00D8E">
              <w:rPr>
                <w:rFonts w:ascii="Segoe UI" w:eastAsia="Times New Roman" w:hAnsi="Segoe UI" w:cs="Segoe UI"/>
                <w:b/>
                <w:bCs/>
                <w:color w:val="212529"/>
                <w:sz w:val="16"/>
                <w:szCs w:val="16"/>
                <w:lang w:eastAsia="en-AU"/>
              </w:rPr>
              <w:t>1 November 20X1</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Dr. Building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12,000</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Cr. Cash</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12,000</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Acquisition of building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00D8E">
              <w:rPr>
                <w:rFonts w:ascii="Segoe UI" w:eastAsia="Times New Roman" w:hAnsi="Segoe UI" w:cs="Segoe UI"/>
                <w:b/>
                <w:bCs/>
                <w:color w:val="212529"/>
                <w:sz w:val="16"/>
                <w:szCs w:val="16"/>
                <w:lang w:eastAsia="en-AU"/>
              </w:rPr>
              <w:t>1 April 20X2</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No journal transaction – XYZ’s intention to sell without making specific plans does not constitute held for sale.</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00D8E">
              <w:rPr>
                <w:rFonts w:ascii="Segoe UI" w:eastAsia="Times New Roman" w:hAnsi="Segoe UI" w:cs="Segoe UI"/>
                <w:b/>
                <w:bCs/>
                <w:color w:val="212529"/>
                <w:sz w:val="16"/>
                <w:szCs w:val="16"/>
                <w:lang w:eastAsia="en-AU"/>
              </w:rPr>
              <w:t>1 May 20X2</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Dr. Depreciation – building [($12m / 120mths) * 6mths]</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600</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Cr. Accumulated depreciation – building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600</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Depreciation on building until 1 May 20X2</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00D8E">
              <w:rPr>
                <w:rFonts w:ascii="Segoe UI" w:eastAsia="Times New Roman" w:hAnsi="Segoe UI" w:cs="Segoe UI"/>
                <w:b/>
                <w:bCs/>
                <w:i/>
                <w:iCs/>
                <w:color w:val="212529"/>
                <w:sz w:val="16"/>
                <w:szCs w:val="16"/>
                <w:lang w:eastAsia="en-AU"/>
              </w:rPr>
              <w:t>Immediately prior to classification as held for sale:</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Dr. Accumulated depreciation – building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600</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Cr. Building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600</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Dr. Building [$12.2m - $11.4m]</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800</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Cr. Asset revaluation reserve</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800</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Revalue building under AASB 116</w:t>
            </w:r>
            <w:r w:rsidRPr="00B36402">
              <w:rPr>
                <w:rFonts w:ascii="Segoe UI" w:eastAsia="Times New Roman" w:hAnsi="Segoe UI" w:cs="Segoe UI"/>
                <w:color w:val="212529"/>
                <w:sz w:val="16"/>
                <w:szCs w:val="16"/>
                <w:vertAlign w:val="superscript"/>
                <w:lang w:eastAsia="en-AU"/>
              </w:rPr>
              <w:t> a)</w:t>
            </w:r>
            <w:r w:rsidRPr="00B36402">
              <w:rPr>
                <w:rFonts w:ascii="Segoe UI" w:eastAsia="Times New Roman" w:hAnsi="Segoe UI" w:cs="Segoe UI"/>
                <w:color w:val="212529"/>
                <w:sz w:val="16"/>
                <w:szCs w:val="16"/>
                <w:lang w:eastAsia="en-AU"/>
              </w:rPr>
              <w:t> prior to applying AASB 5</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00D8E">
              <w:rPr>
                <w:rFonts w:ascii="Segoe UI" w:eastAsia="Times New Roman" w:hAnsi="Segoe UI" w:cs="Segoe UI"/>
                <w:b/>
                <w:bCs/>
                <w:i/>
                <w:iCs/>
                <w:color w:val="212529"/>
                <w:sz w:val="16"/>
                <w:szCs w:val="16"/>
                <w:lang w:eastAsia="en-AU"/>
              </w:rPr>
              <w:t>Once held for sale:</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Dr. Impairment loss (expense)</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610</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Cr. Accumulated impairment loss – building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610</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Apply AASB 5 </w:t>
            </w:r>
            <w:r w:rsidRPr="00B36402">
              <w:rPr>
                <w:rFonts w:ascii="Segoe UI" w:eastAsia="Times New Roman" w:hAnsi="Segoe UI" w:cs="Segoe UI"/>
                <w:color w:val="212529"/>
                <w:sz w:val="16"/>
                <w:szCs w:val="16"/>
                <w:vertAlign w:val="superscript"/>
                <w:lang w:eastAsia="en-AU"/>
              </w:rPr>
              <w:t>b)</w:t>
            </w:r>
            <w:r w:rsidRPr="00B36402">
              <w:rPr>
                <w:rFonts w:ascii="Segoe UI" w:eastAsia="Times New Roman" w:hAnsi="Segoe UI" w:cs="Segoe UI"/>
                <w:color w:val="212529"/>
                <w:sz w:val="16"/>
                <w:szCs w:val="16"/>
                <w:lang w:eastAsia="en-AU"/>
              </w:rPr>
              <w:t> lower of carrying amount and fair value less costs to sell</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00D8E">
              <w:rPr>
                <w:rFonts w:ascii="Segoe UI" w:eastAsia="Times New Roman" w:hAnsi="Segoe UI" w:cs="Segoe UI"/>
                <w:b/>
                <w:bCs/>
                <w:i/>
                <w:iCs/>
                <w:color w:val="212529"/>
                <w:sz w:val="16"/>
                <w:szCs w:val="16"/>
                <w:lang w:eastAsia="en-AU"/>
              </w:rPr>
              <w:t>Subsequent accounting: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00D8E">
              <w:rPr>
                <w:rFonts w:ascii="Segoe UI" w:eastAsia="Times New Roman" w:hAnsi="Segoe UI" w:cs="Segoe UI"/>
                <w:b/>
                <w:bCs/>
                <w:color w:val="212529"/>
                <w:sz w:val="16"/>
                <w:szCs w:val="16"/>
                <w:lang w:eastAsia="en-AU"/>
              </w:rPr>
              <w:t>30 June 20X2</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Dr. Accumulated impairment loss – building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610</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Cr. Reversal of asset write-down (revenue)</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610</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Balance date </w:t>
            </w:r>
            <w:r w:rsidRPr="00B36402">
              <w:rPr>
                <w:rFonts w:ascii="Segoe UI" w:eastAsia="Times New Roman" w:hAnsi="Segoe UI" w:cs="Segoe UI"/>
                <w:color w:val="212529"/>
                <w:sz w:val="16"/>
                <w:szCs w:val="16"/>
                <w:vertAlign w:val="superscript"/>
                <w:lang w:eastAsia="en-AU"/>
              </w:rPr>
              <w:t>c)</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00D8E">
              <w:rPr>
                <w:rFonts w:ascii="Segoe UI" w:eastAsia="Times New Roman" w:hAnsi="Segoe UI" w:cs="Segoe UI"/>
                <w:b/>
                <w:bCs/>
                <w:color w:val="212529"/>
                <w:sz w:val="16"/>
                <w:szCs w:val="16"/>
                <w:lang w:eastAsia="en-AU"/>
              </w:rPr>
              <w:t>1 August 20X2</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Dr. Sale proceeds (cash or receivable)</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13,000</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Cr. Building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12,200</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Cr. Gain on sale (income)</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212529"/>
                <w:sz w:val="16"/>
                <w:szCs w:val="16"/>
                <w:lang w:eastAsia="en-AU"/>
              </w:rPr>
            </w:pPr>
            <w:r w:rsidRPr="00B36402">
              <w:rPr>
                <w:rFonts w:ascii="Segoe UI" w:eastAsia="Times New Roman" w:hAnsi="Segoe UI" w:cs="Segoe UI"/>
                <w:color w:val="212529"/>
                <w:sz w:val="16"/>
                <w:szCs w:val="16"/>
                <w:lang w:eastAsia="en-AU"/>
              </w:rPr>
              <w:t>800</w:t>
            </w:r>
          </w:p>
        </w:tc>
      </w:tr>
      <w:tr w:rsidR="00B36402" w:rsidRPr="00B36402" w:rsidTr="00B36402">
        <w:tc>
          <w:tcPr>
            <w:tcW w:w="4156"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2F2F2"/>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000000"/>
                <w:sz w:val="16"/>
                <w:szCs w:val="16"/>
                <w:lang w:eastAsia="en-AU"/>
              </w:rPr>
            </w:pPr>
            <w:r w:rsidRPr="00B36402">
              <w:rPr>
                <w:rFonts w:ascii="Segoe UI" w:eastAsia="Times New Roman" w:hAnsi="Segoe UI" w:cs="Segoe UI"/>
                <w:color w:val="000000"/>
                <w:sz w:val="16"/>
                <w:szCs w:val="16"/>
                <w:lang w:eastAsia="en-AU"/>
              </w:rPr>
              <w:t>Sale of building*</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2F2F2"/>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000000"/>
                <w:sz w:val="16"/>
                <w:szCs w:val="16"/>
                <w:lang w:eastAsia="en-AU"/>
              </w:rPr>
            </w:pPr>
            <w:r w:rsidRPr="00B36402">
              <w:rPr>
                <w:rFonts w:ascii="Segoe UI" w:eastAsia="Times New Roman" w:hAnsi="Segoe UI" w:cs="Segoe UI"/>
                <w:color w:val="000000"/>
                <w:sz w:val="16"/>
                <w:szCs w:val="16"/>
                <w:lang w:eastAsia="en-AU"/>
              </w:rPr>
              <w:t> </w:t>
            </w:r>
          </w:p>
        </w:tc>
        <w:tc>
          <w:tcPr>
            <w:tcW w:w="422" w:type="pct"/>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2F2F2"/>
            <w:tcMar>
              <w:top w:w="75" w:type="dxa"/>
              <w:left w:w="75" w:type="dxa"/>
              <w:bottom w:w="75" w:type="dxa"/>
              <w:right w:w="75" w:type="dxa"/>
            </w:tcMar>
            <w:hideMark/>
          </w:tcPr>
          <w:p w:rsidR="00B36402" w:rsidRPr="00B36402" w:rsidRDefault="00B36402" w:rsidP="00B36402">
            <w:pPr>
              <w:spacing w:after="100" w:afterAutospacing="1" w:line="240" w:lineRule="auto"/>
              <w:rPr>
                <w:rFonts w:ascii="Segoe UI" w:eastAsia="Times New Roman" w:hAnsi="Segoe UI" w:cs="Segoe UI"/>
                <w:color w:val="000000"/>
                <w:sz w:val="16"/>
                <w:szCs w:val="16"/>
                <w:lang w:eastAsia="en-AU"/>
              </w:rPr>
            </w:pPr>
            <w:r w:rsidRPr="00B36402">
              <w:rPr>
                <w:rFonts w:ascii="Segoe UI" w:eastAsia="Times New Roman" w:hAnsi="Segoe UI" w:cs="Segoe UI"/>
                <w:color w:val="000000"/>
                <w:sz w:val="16"/>
                <w:szCs w:val="16"/>
                <w:lang w:eastAsia="en-AU"/>
              </w:rPr>
              <w:t> </w:t>
            </w:r>
          </w:p>
        </w:tc>
      </w:tr>
    </w:tbl>
    <w:p w:rsidR="00B00D8E" w:rsidRDefault="00B00D8E" w:rsidP="00B00D8E">
      <w:pPr>
        <w:rPr>
          <w:shd w:val="clear" w:color="auto" w:fill="FFFFFF"/>
        </w:rPr>
      </w:pPr>
      <w:r>
        <w:rPr>
          <w:shd w:val="clear" w:color="auto" w:fill="FFFFFF"/>
        </w:rPr>
        <w:t> </w:t>
      </w:r>
    </w:p>
    <w:p w:rsidR="00515889" w:rsidRPr="00B00D8E" w:rsidRDefault="00B00D8E" w:rsidP="00B00D8E">
      <w:pPr>
        <w:rPr>
          <w:i/>
          <w:sz w:val="20"/>
          <w:szCs w:val="20"/>
        </w:rPr>
      </w:pPr>
      <w:r w:rsidRPr="00B00D8E">
        <w:rPr>
          <w:i/>
          <w:sz w:val="20"/>
          <w:szCs w:val="20"/>
          <w:shd w:val="clear" w:color="auto" w:fill="FFFFFF"/>
        </w:rPr>
        <w:t>* As per paragraph 41 of AASB 116, the revaluation surplus included in equity for the item of property, plant and equipment sold may be transferred directly to retained earnings when the asset is derecognised.</w:t>
      </w:r>
    </w:p>
    <w:sectPr w:rsidR="00515889" w:rsidRPr="00B00D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402" w:rsidRDefault="00B36402" w:rsidP="00B36402">
      <w:pPr>
        <w:spacing w:after="0" w:line="240" w:lineRule="auto"/>
      </w:pPr>
      <w:r>
        <w:separator/>
      </w:r>
    </w:p>
  </w:endnote>
  <w:endnote w:type="continuationSeparator" w:id="0">
    <w:p w:rsidR="00B36402" w:rsidRDefault="00B36402" w:rsidP="00B3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02" w:rsidRDefault="00B36402" w:rsidP="00B36402">
      <w:pPr>
        <w:spacing w:after="0" w:line="240" w:lineRule="auto"/>
      </w:pPr>
      <w:r>
        <w:separator/>
      </w:r>
    </w:p>
  </w:footnote>
  <w:footnote w:type="continuationSeparator" w:id="0">
    <w:p w:rsidR="00B36402" w:rsidRDefault="00B36402" w:rsidP="00B36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162"/>
    <w:multiLevelType w:val="hybridMultilevel"/>
    <w:tmpl w:val="9ECA3768"/>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0171B"/>
    <w:multiLevelType w:val="hybridMultilevel"/>
    <w:tmpl w:val="2AD0C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87F68"/>
    <w:multiLevelType w:val="multilevel"/>
    <w:tmpl w:val="04E4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A7976"/>
    <w:multiLevelType w:val="hybridMultilevel"/>
    <w:tmpl w:val="D548A49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224631"/>
    <w:multiLevelType w:val="multilevel"/>
    <w:tmpl w:val="F0B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3229F"/>
    <w:multiLevelType w:val="hybridMultilevel"/>
    <w:tmpl w:val="EAD0C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B178C7"/>
    <w:multiLevelType w:val="multilevel"/>
    <w:tmpl w:val="5BB0D03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956198F"/>
    <w:multiLevelType w:val="hybridMultilevel"/>
    <w:tmpl w:val="C6D8E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2"/>
    <w:rsid w:val="0035146F"/>
    <w:rsid w:val="0042739D"/>
    <w:rsid w:val="00515889"/>
    <w:rsid w:val="006501D0"/>
    <w:rsid w:val="00B00D8E"/>
    <w:rsid w:val="00B36402"/>
    <w:rsid w:val="00BC045B"/>
    <w:rsid w:val="00EA387A"/>
    <w:rsid w:val="00EA4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F519C-AE14-4F38-A731-9E0863EC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columnheading"/>
    <w:basedOn w:val="Normal"/>
    <w:rsid w:val="00B364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36402"/>
    <w:rPr>
      <w:b/>
      <w:bCs/>
    </w:rPr>
  </w:style>
  <w:style w:type="paragraph" w:customStyle="1" w:styleId="tablebodytext">
    <w:name w:val="tablebodytext"/>
    <w:basedOn w:val="Normal"/>
    <w:rsid w:val="00B364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36402"/>
    <w:rPr>
      <w:i/>
      <w:iCs/>
    </w:rPr>
  </w:style>
  <w:style w:type="paragraph" w:styleId="Header">
    <w:name w:val="header"/>
    <w:basedOn w:val="Normal"/>
    <w:link w:val="HeaderChar"/>
    <w:uiPriority w:val="99"/>
    <w:unhideWhenUsed/>
    <w:rsid w:val="00B36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402"/>
  </w:style>
  <w:style w:type="paragraph" w:styleId="Footer">
    <w:name w:val="footer"/>
    <w:basedOn w:val="Normal"/>
    <w:link w:val="FooterChar"/>
    <w:uiPriority w:val="99"/>
    <w:unhideWhenUsed/>
    <w:rsid w:val="00B36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402"/>
  </w:style>
  <w:style w:type="paragraph" w:customStyle="1" w:styleId="boxed2text">
    <w:name w:val="boxed2text"/>
    <w:basedOn w:val="Normal"/>
    <w:rsid w:val="00B364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36402"/>
    <w:pPr>
      <w:ind w:left="720"/>
      <w:contextualSpacing/>
    </w:pPr>
  </w:style>
  <w:style w:type="paragraph" w:styleId="NormalWeb">
    <w:name w:val="Normal (Web)"/>
    <w:basedOn w:val="Normal"/>
    <w:uiPriority w:val="99"/>
    <w:semiHidden/>
    <w:unhideWhenUsed/>
    <w:rsid w:val="00B364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B36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24262">
      <w:bodyDiv w:val="1"/>
      <w:marLeft w:val="0"/>
      <w:marRight w:val="0"/>
      <w:marTop w:val="0"/>
      <w:marBottom w:val="0"/>
      <w:divBdr>
        <w:top w:val="none" w:sz="0" w:space="0" w:color="auto"/>
        <w:left w:val="none" w:sz="0" w:space="0" w:color="auto"/>
        <w:bottom w:val="none" w:sz="0" w:space="0" w:color="auto"/>
        <w:right w:val="none" w:sz="0" w:space="0" w:color="auto"/>
      </w:divBdr>
    </w:div>
    <w:div w:id="1336223745">
      <w:bodyDiv w:val="1"/>
      <w:marLeft w:val="0"/>
      <w:marRight w:val="0"/>
      <w:marTop w:val="0"/>
      <w:marBottom w:val="0"/>
      <w:divBdr>
        <w:top w:val="none" w:sz="0" w:space="0" w:color="auto"/>
        <w:left w:val="none" w:sz="0" w:space="0" w:color="auto"/>
        <w:bottom w:val="none" w:sz="0" w:space="0" w:color="auto"/>
        <w:right w:val="none" w:sz="0" w:space="0" w:color="auto"/>
      </w:divBdr>
    </w:div>
    <w:div w:id="1552614717">
      <w:bodyDiv w:val="1"/>
      <w:marLeft w:val="0"/>
      <w:marRight w:val="0"/>
      <w:marTop w:val="0"/>
      <w:marBottom w:val="0"/>
      <w:divBdr>
        <w:top w:val="none" w:sz="0" w:space="0" w:color="auto"/>
        <w:left w:val="none" w:sz="0" w:space="0" w:color="auto"/>
        <w:bottom w:val="none" w:sz="0" w:space="0" w:color="auto"/>
        <w:right w:val="none" w:sz="0" w:space="0" w:color="auto"/>
      </w:divBdr>
    </w:div>
    <w:div w:id="1793589648">
      <w:bodyDiv w:val="1"/>
      <w:marLeft w:val="0"/>
      <w:marRight w:val="0"/>
      <w:marTop w:val="0"/>
      <w:marBottom w:val="0"/>
      <w:divBdr>
        <w:top w:val="none" w:sz="0" w:space="0" w:color="auto"/>
        <w:left w:val="none" w:sz="0" w:space="0" w:color="auto"/>
        <w:bottom w:val="none" w:sz="0" w:space="0" w:color="auto"/>
        <w:right w:val="none" w:sz="0" w:space="0" w:color="auto"/>
      </w:divBdr>
    </w:div>
    <w:div w:id="19128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Anthony</dc:creator>
  <cp:keywords/>
  <dc:description/>
  <cp:lastModifiedBy>Rogers, Stephanie</cp:lastModifiedBy>
  <cp:revision>2</cp:revision>
  <dcterms:created xsi:type="dcterms:W3CDTF">2021-10-20T23:50:00Z</dcterms:created>
  <dcterms:modified xsi:type="dcterms:W3CDTF">2021-10-20T23:50:00Z</dcterms:modified>
</cp:coreProperties>
</file>