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7E34" w14:textId="03A9CE5B" w:rsidR="000C3665" w:rsidRPr="002F34D5" w:rsidRDefault="00F4340A" w:rsidP="005E1308">
      <w:pPr>
        <w:pStyle w:val="Heading1"/>
        <w:ind w:left="-709" w:right="-512"/>
      </w:pPr>
      <w:bookmarkStart w:id="0" w:name="_Toc522635784"/>
      <w:bookmarkStart w:id="1" w:name="_GoBack"/>
      <w:bookmarkEnd w:id="1"/>
      <w:r w:rsidRPr="002F34D5">
        <w:t>Pro-forma public release of costing</w:t>
      </w:r>
      <w:r w:rsidR="004A6648" w:rsidRPr="002F34D5">
        <w:rPr>
          <w:rStyle w:val="FootnoteReference"/>
        </w:rPr>
        <w:footnoteReference w:id="1"/>
      </w:r>
      <w:bookmarkEnd w:id="0"/>
    </w:p>
    <w:p w14:paraId="23686975" w14:textId="77777777" w:rsidR="005E1308" w:rsidRPr="002F34D5" w:rsidRDefault="005E1308" w:rsidP="005E1308">
      <w:pPr>
        <w:pStyle w:val="PageHeading"/>
        <w:rPr>
          <w:smallCaps/>
          <w:sz w:val="16"/>
          <w:szCs w:val="16"/>
        </w:rPr>
      </w:pPr>
      <w:r w:rsidRPr="002F34D5">
        <w:rPr>
          <w:noProof/>
        </w:rPr>
        <w:drawing>
          <wp:inline distT="0" distB="0" distL="0" distR="0" wp14:anchorId="73C7177D" wp14:editId="37DD06E1">
            <wp:extent cx="1344440" cy="964194"/>
            <wp:effectExtent l="0" t="0" r="8255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3" cy="96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27BCD" w14:textId="04FDB65D" w:rsidR="005E1308" w:rsidRPr="00976DDC" w:rsidRDefault="005E1308" w:rsidP="005E1308">
      <w:pPr>
        <w:pStyle w:val="PageHeading"/>
        <w:rPr>
          <w:rFonts w:asciiTheme="minorHAnsi" w:hAnsiTheme="minorHAnsi" w:cstheme="minorHAnsi"/>
          <w:smallCaps/>
          <w:sz w:val="22"/>
          <w:szCs w:val="22"/>
        </w:rPr>
      </w:pPr>
      <w:r w:rsidRPr="00976DDC">
        <w:rPr>
          <w:rFonts w:asciiTheme="minorHAnsi" w:hAnsiTheme="minorHAnsi" w:cstheme="minorHAnsi"/>
          <w:smallCaps/>
          <w:sz w:val="22"/>
          <w:szCs w:val="22"/>
        </w:rPr>
        <w:t xml:space="preserve">PUBLIC RELEASE OF </w:t>
      </w:r>
      <w:r w:rsidR="00E37462">
        <w:rPr>
          <w:rFonts w:asciiTheme="minorHAnsi" w:hAnsiTheme="minorHAnsi" w:cstheme="minorHAnsi"/>
          <w:smallCaps/>
          <w:sz w:val="22"/>
          <w:szCs w:val="22"/>
        </w:rPr>
        <w:t>(insert year)</w:t>
      </w:r>
      <w:r w:rsidR="00B64970" w:rsidRPr="00976DDC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976DDC">
        <w:rPr>
          <w:rFonts w:asciiTheme="minorHAnsi" w:hAnsiTheme="minorHAnsi" w:cstheme="minorHAnsi"/>
          <w:smallCaps/>
          <w:sz w:val="22"/>
          <w:szCs w:val="22"/>
        </w:rPr>
        <w:t>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4305"/>
      </w:tblGrid>
      <w:tr w:rsidR="005E1308" w:rsidRPr="00976DDC" w14:paraId="1EA915CF" w14:textId="77777777" w:rsidTr="00976DDC">
        <w:tc>
          <w:tcPr>
            <w:tcW w:w="5000" w:type="pct"/>
            <w:gridSpan w:val="2"/>
            <w:shd w:val="pct10" w:color="auto" w:fill="auto"/>
          </w:tcPr>
          <w:p w14:paraId="2F74608F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</w:p>
        </w:tc>
      </w:tr>
      <w:tr w:rsidR="005E1308" w:rsidRPr="00976DDC" w14:paraId="4283A1E2" w14:textId="77777777" w:rsidTr="00976DDC">
        <w:tc>
          <w:tcPr>
            <w:tcW w:w="2206" w:type="pct"/>
          </w:tcPr>
          <w:p w14:paraId="57B66117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Identifier:</w:t>
            </w:r>
          </w:p>
        </w:tc>
        <w:tc>
          <w:tcPr>
            <w:tcW w:w="2794" w:type="pct"/>
          </w:tcPr>
          <w:p w14:paraId="0AB7A6B8" w14:textId="77777777" w:rsidR="005E1308" w:rsidRPr="00976DDC" w:rsidRDefault="005E1308" w:rsidP="00976DDC">
            <w:pPr>
              <w:spacing w:before="120" w:after="120" w:line="240" w:lineRule="auto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</w:p>
        </w:tc>
      </w:tr>
      <w:tr w:rsidR="005E1308" w:rsidRPr="00976DDC" w14:paraId="5B29E5E7" w14:textId="77777777" w:rsidTr="00976DDC">
        <w:tc>
          <w:tcPr>
            <w:tcW w:w="2206" w:type="pct"/>
          </w:tcPr>
          <w:p w14:paraId="4EE6280D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2794" w:type="pct"/>
          </w:tcPr>
          <w:p w14:paraId="6E9B6977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798" w:rsidRPr="00976DDC" w14:paraId="6DBB6A19" w14:textId="77777777" w:rsidTr="00976DDC">
        <w:tc>
          <w:tcPr>
            <w:tcW w:w="2206" w:type="pct"/>
          </w:tcPr>
          <w:p w14:paraId="7165A981" w14:textId="77777777" w:rsidR="00BC7798" w:rsidRPr="00976DDC" w:rsidRDefault="00BC779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Terminating 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2794" w:type="pct"/>
          </w:tcPr>
          <w:p w14:paraId="6424AADA" w14:textId="77777777" w:rsidR="00BC7798" w:rsidRPr="00976DDC" w:rsidRDefault="00BC779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308" w:rsidRPr="00976DDC" w14:paraId="4A480569" w14:textId="77777777" w:rsidTr="00976DDC">
        <w:tc>
          <w:tcPr>
            <w:tcW w:w="2206" w:type="pct"/>
          </w:tcPr>
          <w:p w14:paraId="49E2396B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2794" w:type="pct"/>
          </w:tcPr>
          <w:p w14:paraId="06C18CE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308" w:rsidRPr="00976DDC" w14:paraId="2FB23F26" w14:textId="77777777" w:rsidTr="00976DDC">
        <w:tc>
          <w:tcPr>
            <w:tcW w:w="2206" w:type="pct"/>
          </w:tcPr>
          <w:p w14:paraId="48047884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2794" w:type="pct"/>
          </w:tcPr>
          <w:p w14:paraId="6E9044F4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308" w:rsidRPr="00976DDC" w14:paraId="5C17EE4C" w14:textId="77777777" w:rsidTr="00976DDC">
        <w:tc>
          <w:tcPr>
            <w:tcW w:w="2206" w:type="pct"/>
          </w:tcPr>
          <w:p w14:paraId="642D6E0B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2794" w:type="pct"/>
          </w:tcPr>
          <w:p w14:paraId="3DE382A6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308" w:rsidRPr="00976DDC" w14:paraId="4EA07882" w14:textId="77777777" w:rsidTr="00976DDC">
        <w:tc>
          <w:tcPr>
            <w:tcW w:w="2206" w:type="pct"/>
          </w:tcPr>
          <w:p w14:paraId="1D1DCB34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2794" w:type="pct"/>
          </w:tcPr>
          <w:p w14:paraId="1B094B75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308" w:rsidRPr="00976DDC" w14:paraId="736E63CF" w14:textId="77777777" w:rsidTr="00976DDC">
        <w:tc>
          <w:tcPr>
            <w:tcW w:w="2206" w:type="pct"/>
          </w:tcPr>
          <w:p w14:paraId="7D3BE51F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2794" w:type="pct"/>
          </w:tcPr>
          <w:p w14:paraId="7DD1C48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308" w:rsidRPr="00976DDC" w14:paraId="366E7F7F" w14:textId="77777777" w:rsidTr="00976DDC">
        <w:tc>
          <w:tcPr>
            <w:tcW w:w="2206" w:type="pct"/>
          </w:tcPr>
          <w:p w14:paraId="6CF7EF83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2794" w:type="pct"/>
          </w:tcPr>
          <w:p w14:paraId="7EAC6368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1E0892" w14:textId="77777777" w:rsidR="00C83648" w:rsidRPr="00976DDC" w:rsidRDefault="00BC7798" w:rsidP="005E1308">
      <w:pPr>
        <w:pStyle w:val="Headings"/>
        <w:rPr>
          <w:rFonts w:asciiTheme="minorHAnsi" w:eastAsia="Times New Roman" w:hAnsiTheme="minorHAnsi" w:cstheme="minorHAnsi"/>
          <w:b w:val="0"/>
          <w:szCs w:val="22"/>
          <w:lang w:eastAsia="en-AU"/>
        </w:rPr>
      </w:pPr>
      <w:r w:rsidRPr="00976DDC">
        <w:rPr>
          <w:rFonts w:asciiTheme="minorHAnsi" w:eastAsia="Times New Roman" w:hAnsiTheme="minorHAnsi" w:cstheme="minorHAnsi"/>
          <w:b w:val="0"/>
          <w:szCs w:val="22"/>
          <w:lang w:eastAsia="en-AU"/>
        </w:rPr>
        <w:t xml:space="preserve">(a) </w:t>
      </w:r>
      <w:r w:rsidR="00555CBF" w:rsidRPr="00976DDC">
        <w:rPr>
          <w:rFonts w:asciiTheme="minorHAnsi" w:hAnsiTheme="minorHAnsi" w:cstheme="minorHAnsi"/>
          <w:b w:val="0"/>
          <w:szCs w:val="22"/>
        </w:rPr>
        <w:t>Ongoing policies continue indefinitely (until a decision is made to cease or alter the program).</w:t>
      </w:r>
      <w:r w:rsidR="00555CBF" w:rsidRPr="00976DDC">
        <w:rPr>
          <w:rFonts w:asciiTheme="minorHAnsi" w:hAnsiTheme="minorHAnsi" w:cstheme="minorHAnsi"/>
          <w:szCs w:val="22"/>
        </w:rPr>
        <w:t xml:space="preserve"> </w:t>
      </w:r>
      <w:r w:rsidR="00BD64BF" w:rsidRPr="00976DDC">
        <w:rPr>
          <w:rFonts w:asciiTheme="minorHAnsi" w:hAnsiTheme="minorHAnsi" w:cstheme="minorHAnsi"/>
          <w:b w:val="0"/>
          <w:szCs w:val="22"/>
        </w:rPr>
        <w:t>Terminating measures end on a date set out in the initial policy and a further decision is required to continue the program beyond this date.</w:t>
      </w:r>
      <w:r w:rsidR="00BD64BF" w:rsidRPr="00976DDC">
        <w:rPr>
          <w:rFonts w:asciiTheme="minorHAnsi" w:hAnsiTheme="minorHAnsi" w:cstheme="minorHAnsi"/>
          <w:szCs w:val="22"/>
        </w:rPr>
        <w:t xml:space="preserve">  </w:t>
      </w:r>
    </w:p>
    <w:p w14:paraId="433BB649" w14:textId="77777777" w:rsidR="00C83648" w:rsidRPr="00976DDC" w:rsidRDefault="00C83648" w:rsidP="005E1308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64CCE1EA" w14:textId="77777777" w:rsidR="00BC7798" w:rsidRPr="00976DDC" w:rsidRDefault="00BC7798" w:rsidP="00BC7798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>Financial implications (outturn prices)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CD3EF8" w:rsidRPr="00976DDC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201"/>
        <w:gridCol w:w="1201"/>
        <w:gridCol w:w="1201"/>
        <w:gridCol w:w="1201"/>
        <w:gridCol w:w="1202"/>
      </w:tblGrid>
      <w:tr w:rsidR="00323E35" w:rsidRPr="006F576F" w14:paraId="0D2F8992" w14:textId="77777777" w:rsidTr="00976DDC">
        <w:tc>
          <w:tcPr>
            <w:tcW w:w="1698" w:type="dxa"/>
            <w:shd w:val="pct10" w:color="auto" w:fill="auto"/>
          </w:tcPr>
          <w:p w14:paraId="2303AE38" w14:textId="77777777" w:rsidR="00323E35" w:rsidRPr="006F576F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1201" w:type="dxa"/>
            <w:shd w:val="pct10" w:color="auto" w:fill="auto"/>
          </w:tcPr>
          <w:p w14:paraId="5F3F5682" w14:textId="5D6F9A66" w:rsidR="00323E35" w:rsidRPr="006F576F" w:rsidRDefault="00323E35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F61334"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1" w:type="dxa"/>
            <w:shd w:val="pct10" w:color="auto" w:fill="auto"/>
          </w:tcPr>
          <w:p w14:paraId="1BE6B3F6" w14:textId="043AF62B" w:rsidR="00323E35" w:rsidRPr="006F576F" w:rsidRDefault="00B64970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F61334"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1" w:type="dxa"/>
            <w:shd w:val="pct10" w:color="auto" w:fill="auto"/>
          </w:tcPr>
          <w:p w14:paraId="7C92AC12" w14:textId="431192F8" w:rsidR="00323E35" w:rsidRPr="006F576F" w:rsidRDefault="00B64970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F61334"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1" w:type="dxa"/>
            <w:shd w:val="pct10" w:color="auto" w:fill="auto"/>
          </w:tcPr>
          <w:p w14:paraId="21E0283A" w14:textId="57E7657A" w:rsidR="00323E35" w:rsidRPr="006F576F" w:rsidRDefault="00B64970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B66393">
              <w:rPr>
                <w:rFonts w:asciiTheme="minorHAnsi" w:hAnsiTheme="minorHAnsi" w:cstheme="minorHAnsi"/>
                <w:szCs w:val="22"/>
              </w:rPr>
              <w:t>xx-xx</w:t>
            </w:r>
          </w:p>
        </w:tc>
        <w:tc>
          <w:tcPr>
            <w:tcW w:w="1202" w:type="dxa"/>
            <w:shd w:val="pct10" w:color="auto" w:fill="auto"/>
          </w:tcPr>
          <w:p w14:paraId="2F73EBF3" w14:textId="5D0FA47A" w:rsidR="00323E35" w:rsidRPr="006F576F" w:rsidRDefault="00B64970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B66393">
              <w:rPr>
                <w:rFonts w:asciiTheme="minorHAnsi" w:hAnsiTheme="minorHAnsi" w:cstheme="minorHAnsi"/>
                <w:szCs w:val="22"/>
              </w:rPr>
              <w:t>xx-xx</w:t>
            </w:r>
          </w:p>
        </w:tc>
      </w:tr>
      <w:tr w:rsidR="00323E35" w:rsidRPr="006F576F" w14:paraId="035059F7" w14:textId="77777777" w:rsidTr="00976DDC">
        <w:tc>
          <w:tcPr>
            <w:tcW w:w="1698" w:type="dxa"/>
          </w:tcPr>
          <w:p w14:paraId="73BD53AB" w14:textId="77777777" w:rsidR="00323E35" w:rsidRPr="006F576F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Underlying Cash Balance</w:t>
            </w:r>
            <w:r w:rsidR="00976DDC" w:rsidRPr="006F576F">
              <w:rPr>
                <w:rFonts w:asciiTheme="minorHAnsi" w:hAnsiTheme="minorHAnsi" w:cstheme="minorHAnsi"/>
                <w:szCs w:val="22"/>
              </w:rPr>
              <w:t xml:space="preserve"> (UCB)</w:t>
            </w:r>
            <w:r w:rsidRPr="006F576F">
              <w:rPr>
                <w:rFonts w:asciiTheme="minorHAnsi" w:hAnsiTheme="minorHAnsi" w:cstheme="minorHAnsi"/>
                <w:szCs w:val="22"/>
              </w:rPr>
              <w:t xml:space="preserve"> ($m)</w:t>
            </w:r>
          </w:p>
        </w:tc>
        <w:tc>
          <w:tcPr>
            <w:tcW w:w="1201" w:type="dxa"/>
          </w:tcPr>
          <w:p w14:paraId="413FB8B6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449E060B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7D5AAB5C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1A6CE0AF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2" w:type="dxa"/>
          </w:tcPr>
          <w:p w14:paraId="5DF46194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323E35" w:rsidRPr="006F576F" w14:paraId="2AE69659" w14:textId="77777777" w:rsidTr="00976DDC">
        <w:tc>
          <w:tcPr>
            <w:tcW w:w="1698" w:type="dxa"/>
          </w:tcPr>
          <w:p w14:paraId="3C97FB20" w14:textId="77777777" w:rsidR="00323E35" w:rsidRPr="006F576F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2D89BC6A" w14:textId="77777777" w:rsidR="00323E35" w:rsidRPr="006F576F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1201" w:type="dxa"/>
          </w:tcPr>
          <w:p w14:paraId="180E0B6C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6DD8EAB3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35B0C545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1" w:type="dxa"/>
          </w:tcPr>
          <w:p w14:paraId="598CC5CD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02" w:type="dxa"/>
          </w:tcPr>
          <w:p w14:paraId="088D2C3B" w14:textId="77777777" w:rsidR="00323E35" w:rsidRPr="006F576F" w:rsidRDefault="00323E35" w:rsidP="00CD3EF8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6B228FAC" w14:textId="77777777" w:rsidR="00BC7798" w:rsidRPr="00976DDC" w:rsidRDefault="00BC7798" w:rsidP="00CD3EF8">
      <w:pPr>
        <w:pStyle w:val="ChartandTableFootnoteAlpha"/>
        <w:rPr>
          <w:rFonts w:asciiTheme="minorHAnsi" w:hAnsiTheme="minorHAnsi" w:cstheme="minorHAnsi"/>
          <w:sz w:val="20"/>
          <w:szCs w:val="22"/>
        </w:rPr>
      </w:pPr>
      <w:r w:rsidRPr="00976DDC">
        <w:rPr>
          <w:rFonts w:asciiTheme="minorHAnsi" w:hAnsiTheme="minorHAnsi" w:cstheme="minorHAnsi"/>
          <w:sz w:val="20"/>
          <w:szCs w:val="22"/>
        </w:rPr>
        <w:t xml:space="preserve">A positive number for the fiscal balance indicates an increase in revenue or a decrease in expenses or net capital investment in accrual terms. A positive number for the </w:t>
      </w:r>
      <w:r w:rsidR="00976DDC">
        <w:rPr>
          <w:rFonts w:asciiTheme="minorHAnsi" w:hAnsiTheme="minorHAnsi" w:cstheme="minorHAnsi"/>
          <w:sz w:val="20"/>
          <w:szCs w:val="22"/>
        </w:rPr>
        <w:t>UCB</w:t>
      </w:r>
      <w:r w:rsidRPr="00976DDC">
        <w:rPr>
          <w:rFonts w:asciiTheme="minorHAnsi" w:hAnsiTheme="minorHAnsi" w:cstheme="minorHAnsi"/>
          <w:sz w:val="20"/>
          <w:szCs w:val="22"/>
        </w:rPr>
        <w:t xml:space="preserve"> indicates an increase in revenue or a decrease in expenses or net capital investment in cash terms.</w:t>
      </w:r>
    </w:p>
    <w:p w14:paraId="27EEB44B" w14:textId="77777777" w:rsidR="005E1308" w:rsidRPr="00976DDC" w:rsidRDefault="005E1308" w:rsidP="005E1308">
      <w:pPr>
        <w:pStyle w:val="Notes"/>
        <w:tabs>
          <w:tab w:val="clear" w:pos="283"/>
        </w:tabs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0B877000" w14:textId="77777777" w:rsidR="00F3085D" w:rsidRDefault="00F3085D"/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00"/>
      </w:tblGrid>
      <w:tr w:rsidR="005E1308" w:rsidRPr="00976DDC" w14:paraId="7AFF7504" w14:textId="77777777" w:rsidTr="00F3085D">
        <w:tc>
          <w:tcPr>
            <w:tcW w:w="7700" w:type="dxa"/>
          </w:tcPr>
          <w:p w14:paraId="65E05FC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state that the proposal has been costed as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6BC83754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 w:rsidR="009B10F2"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5E1308" w:rsidRPr="00976DDC" w14:paraId="3281B668" w14:textId="77777777" w:rsidTr="00F3085D">
        <w:tc>
          <w:tcPr>
            <w:tcW w:w="7700" w:type="dxa"/>
          </w:tcPr>
          <w:p w14:paraId="3539230C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6C02624B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 w:rsidR="009B10F2"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5E1308" w:rsidRPr="00976DDC" w14:paraId="68E7F335" w14:textId="77777777" w:rsidTr="00F3085D">
        <w:tc>
          <w:tcPr>
            <w:tcW w:w="7700" w:type="dxa"/>
          </w:tcPr>
          <w:p w14:paraId="353F81A2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605CF320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 w:rsidR="009B10F2"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5E1308" w:rsidRPr="00976DDC" w14:paraId="365B042D" w14:textId="77777777" w:rsidTr="00F3085D">
        <w:tc>
          <w:tcPr>
            <w:tcW w:w="7700" w:type="dxa"/>
          </w:tcPr>
          <w:p w14:paraId="256A1744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to the costing (including reasons for the costing not being comprehensive).</w:t>
            </w:r>
          </w:p>
          <w:p w14:paraId="720B4B77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 w:rsidR="009B10F2"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5E1308" w:rsidRPr="00976DDC" w14:paraId="2A45318D" w14:textId="77777777" w:rsidTr="00F3085D">
        <w:tc>
          <w:tcPr>
            <w:tcW w:w="7700" w:type="dxa"/>
          </w:tcPr>
          <w:p w14:paraId="5CBBF435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3194887F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text or insert ‘Not applicable’&gt;</w:t>
            </w:r>
          </w:p>
        </w:tc>
      </w:tr>
      <w:tr w:rsidR="005E1308" w:rsidRPr="00976DDC" w14:paraId="4932DB62" w14:textId="77777777" w:rsidTr="00F3085D">
        <w:tc>
          <w:tcPr>
            <w:tcW w:w="7700" w:type="dxa"/>
          </w:tcPr>
          <w:p w14:paraId="3B8AB7A7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53B45BCE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</w:t>
            </w:r>
            <w:r w:rsidR="009B10F2">
              <w:rPr>
                <w:rFonts w:asciiTheme="minorHAnsi" w:hAnsiTheme="minorHAnsi" w:cstheme="minorHAnsi"/>
                <w:sz w:val="22"/>
                <w:szCs w:val="22"/>
              </w:rPr>
              <w:t>ext or insert ‘Not applicable’&gt;</w:t>
            </w:r>
          </w:p>
        </w:tc>
      </w:tr>
      <w:tr w:rsidR="005E1308" w:rsidRPr="00976DDC" w14:paraId="0D7E01A9" w14:textId="77777777" w:rsidTr="00F3085D">
        <w:tc>
          <w:tcPr>
            <w:tcW w:w="7700" w:type="dxa"/>
          </w:tcPr>
          <w:p w14:paraId="3F170782" w14:textId="77777777" w:rsidR="002215AB" w:rsidRPr="00976DDC" w:rsidRDefault="005E1308" w:rsidP="009B10F2">
            <w:pPr>
              <w:spacing w:before="18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Style w:val="TextChar"/>
                <w:rFonts w:asciiTheme="minorHAnsi" w:hAnsiTheme="minorHAnsi" w:cstheme="minorHAnsi"/>
                <w:b/>
                <w:sz w:val="22"/>
                <w:szCs w:val="22"/>
              </w:rPr>
              <w:t>Other comments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6DDC">
              <w:rPr>
                <w:rStyle w:val="TextItalicisedChar"/>
                <w:rFonts w:asciiTheme="minorHAnsi" w:hAnsiTheme="minorHAnsi" w:cstheme="minorHAnsi"/>
                <w:b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4"/>
            </w:tblGrid>
            <w:tr w:rsidR="002215AB" w:rsidRPr="00976DDC" w14:paraId="247D300F" w14:textId="77777777" w:rsidTr="00D33609">
              <w:tc>
                <w:tcPr>
                  <w:tcW w:w="7704" w:type="dxa"/>
                </w:tcPr>
                <w:p w14:paraId="7187D5F3" w14:textId="77777777" w:rsidR="002215AB" w:rsidRPr="009B10F2" w:rsidRDefault="002215AB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Where relevant, inclu</w:t>
                  </w:r>
                  <w:r w:rsidR="009B10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term implications of the proposal</w:t>
                  </w:r>
                  <w:r w:rsidR="00C326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(c)</w:t>
                  </w:r>
                  <w:r w:rsidR="009B10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327AF50" w14:textId="77777777" w:rsidR="00674C3B" w:rsidRPr="009B10F2" w:rsidRDefault="002215AB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&lt;In</w:t>
                  </w:r>
                  <w:r w:rsidR="009B10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sert text or ‘Not applicable’. </w:t>
                  </w:r>
                </w:p>
              </w:tc>
            </w:tr>
          </w:tbl>
          <w:p w14:paraId="71A9786E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B38DA" w14:textId="2AA49E9F" w:rsidR="003776ED" w:rsidRPr="00D00EA0" w:rsidRDefault="002215AB" w:rsidP="00D00EA0">
      <w:pPr>
        <w:pStyle w:val="ChartandTableFootnoteAlpha"/>
        <w:rPr>
          <w:rFonts w:asciiTheme="minorHAnsi" w:hAnsiTheme="minorHAnsi" w:cstheme="minorHAnsi"/>
          <w:sz w:val="20"/>
          <w:szCs w:val="22"/>
        </w:rPr>
      </w:pPr>
      <w:r w:rsidRPr="00D00EA0">
        <w:rPr>
          <w:rFonts w:asciiTheme="minorHAnsi" w:hAnsiTheme="minorHAnsi" w:cstheme="minorHAnsi"/>
          <w:sz w:val="20"/>
          <w:szCs w:val="22"/>
        </w:rPr>
        <w:t>I</w:t>
      </w:r>
      <w:r w:rsidR="00993E99" w:rsidRPr="00D00EA0">
        <w:rPr>
          <w:rFonts w:asciiTheme="minorHAnsi" w:hAnsiTheme="minorHAnsi" w:cstheme="minorHAnsi"/>
          <w:sz w:val="20"/>
          <w:szCs w:val="22"/>
        </w:rPr>
        <w:t xml:space="preserve">nformation on the medium term </w:t>
      </w:r>
      <w:r w:rsidRPr="00D00EA0">
        <w:rPr>
          <w:rFonts w:asciiTheme="minorHAnsi" w:hAnsiTheme="minorHAnsi" w:cstheme="minorHAnsi"/>
          <w:sz w:val="20"/>
          <w:szCs w:val="22"/>
        </w:rPr>
        <w:t xml:space="preserve">implications </w:t>
      </w:r>
      <w:r w:rsidR="00993E99" w:rsidRPr="00D00EA0">
        <w:rPr>
          <w:rFonts w:asciiTheme="minorHAnsi" w:hAnsiTheme="minorHAnsi" w:cstheme="minorHAnsi"/>
          <w:sz w:val="20"/>
          <w:szCs w:val="22"/>
        </w:rPr>
        <w:t xml:space="preserve">will be provided </w:t>
      </w:r>
      <w:r w:rsidR="009A3939" w:rsidRPr="00D00EA0">
        <w:rPr>
          <w:rFonts w:asciiTheme="minorHAnsi" w:hAnsiTheme="minorHAnsi" w:cstheme="minorHAnsi"/>
          <w:sz w:val="20"/>
          <w:szCs w:val="22"/>
        </w:rPr>
        <w:t xml:space="preserve">if the </w:t>
      </w:r>
      <w:r w:rsidR="00CD3EF8" w:rsidRPr="00D00EA0">
        <w:rPr>
          <w:rFonts w:asciiTheme="minorHAnsi" w:hAnsiTheme="minorHAnsi" w:cstheme="minorHAnsi"/>
          <w:sz w:val="20"/>
          <w:szCs w:val="22"/>
        </w:rPr>
        <w:t>cost of the policy is expected to be significantly different beyond the forward estimates period</w:t>
      </w:r>
      <w:r w:rsidR="00D00EA0">
        <w:rPr>
          <w:rFonts w:asciiTheme="minorHAnsi" w:hAnsiTheme="minorHAnsi" w:cstheme="minorHAnsi"/>
          <w:sz w:val="20"/>
          <w:szCs w:val="22"/>
        </w:rPr>
        <w:t>.</w:t>
      </w:r>
      <w:r w:rsidR="00D00EA0" w:rsidRPr="00D00EA0">
        <w:rPr>
          <w:rFonts w:asciiTheme="minorHAnsi" w:hAnsiTheme="minorHAnsi" w:cstheme="minorHAnsi"/>
          <w:sz w:val="20"/>
          <w:szCs w:val="22"/>
        </w:rPr>
        <w:t xml:space="preserve"> The </w:t>
      </w:r>
      <w:r w:rsidR="00D00EA0">
        <w:rPr>
          <w:rFonts w:asciiTheme="minorHAnsi" w:hAnsiTheme="minorHAnsi" w:cstheme="minorHAnsi"/>
          <w:sz w:val="20"/>
          <w:szCs w:val="22"/>
        </w:rPr>
        <w:t>m</w:t>
      </w:r>
      <w:r w:rsidR="00D00EA0" w:rsidRPr="00D00EA0">
        <w:rPr>
          <w:rFonts w:asciiTheme="minorHAnsi" w:hAnsiTheme="minorHAnsi" w:cstheme="minorHAnsi"/>
          <w:sz w:val="20"/>
          <w:szCs w:val="22"/>
        </w:rPr>
        <w:t>edium</w:t>
      </w:r>
      <w:r w:rsidR="00D00EA0">
        <w:rPr>
          <w:rFonts w:asciiTheme="minorHAnsi" w:hAnsiTheme="minorHAnsi" w:cstheme="minorHAnsi"/>
          <w:sz w:val="20"/>
          <w:szCs w:val="22"/>
        </w:rPr>
        <w:t> </w:t>
      </w:r>
      <w:r w:rsidR="00D00EA0" w:rsidRPr="00D00EA0">
        <w:rPr>
          <w:rFonts w:asciiTheme="minorHAnsi" w:hAnsiTheme="minorHAnsi" w:cstheme="minorHAnsi"/>
          <w:sz w:val="20"/>
          <w:szCs w:val="22"/>
        </w:rPr>
        <w:t xml:space="preserve">term is </w:t>
      </w:r>
      <w:r w:rsidR="00D00EA0">
        <w:rPr>
          <w:rFonts w:asciiTheme="minorHAnsi" w:hAnsiTheme="minorHAnsi" w:cstheme="minorHAnsi"/>
          <w:sz w:val="20"/>
          <w:szCs w:val="22"/>
        </w:rPr>
        <w:t>considered to be</w:t>
      </w:r>
      <w:r w:rsidR="00D00EA0" w:rsidRPr="00D00EA0">
        <w:rPr>
          <w:rFonts w:asciiTheme="minorHAnsi" w:hAnsiTheme="minorHAnsi" w:cstheme="minorHAnsi"/>
          <w:sz w:val="20"/>
          <w:szCs w:val="22"/>
        </w:rPr>
        <w:t xml:space="preserve"> the </w:t>
      </w:r>
      <w:r w:rsidR="00D00EA0">
        <w:rPr>
          <w:rFonts w:asciiTheme="minorHAnsi" w:hAnsiTheme="minorHAnsi" w:cstheme="minorHAnsi"/>
          <w:sz w:val="20"/>
          <w:szCs w:val="22"/>
        </w:rPr>
        <w:t xml:space="preserve">7 years </w:t>
      </w:r>
      <w:r w:rsidR="00D00EA0" w:rsidRPr="00D00EA0">
        <w:rPr>
          <w:rFonts w:asciiTheme="minorHAnsi" w:hAnsiTheme="minorHAnsi" w:cstheme="minorHAnsi"/>
          <w:sz w:val="20"/>
          <w:szCs w:val="22"/>
        </w:rPr>
        <w:t xml:space="preserve">after the </w:t>
      </w:r>
      <w:r w:rsidR="00D00EA0">
        <w:rPr>
          <w:rFonts w:asciiTheme="minorHAnsi" w:hAnsiTheme="minorHAnsi" w:cstheme="minorHAnsi"/>
          <w:sz w:val="20"/>
          <w:szCs w:val="22"/>
        </w:rPr>
        <w:t xml:space="preserve">current forward </w:t>
      </w:r>
      <w:r w:rsidR="00D00EA0" w:rsidRPr="00D00EA0">
        <w:rPr>
          <w:rFonts w:asciiTheme="minorHAnsi" w:hAnsiTheme="minorHAnsi" w:cstheme="minorHAnsi"/>
          <w:sz w:val="20"/>
          <w:szCs w:val="22"/>
        </w:rPr>
        <w:t>estimates</w:t>
      </w:r>
      <w:r w:rsidR="002C21C5" w:rsidRPr="00D00EA0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01610E57" w14:textId="77777777" w:rsidR="00674C3B" w:rsidRPr="00C3260F" w:rsidRDefault="00674C3B" w:rsidP="00C3260F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5E1308" w:rsidRPr="00976DDC" w14:paraId="75C7C9DE" w14:textId="77777777" w:rsidTr="00F3085D">
        <w:tc>
          <w:tcPr>
            <w:tcW w:w="7710" w:type="dxa"/>
            <w:tcBorders>
              <w:bottom w:val="dotted" w:sz="4" w:space="0" w:color="7F7F7F" w:themeColor="text1" w:themeTint="80"/>
            </w:tcBorders>
            <w:shd w:val="pct10" w:color="auto" w:fill="auto"/>
          </w:tcPr>
          <w:p w14:paraId="036FDEED" w14:textId="77777777" w:rsidR="005E1308" w:rsidRPr="00976DDC" w:rsidRDefault="005E1308" w:rsidP="00993E99">
            <w:pPr>
              <w:pStyle w:val="Headings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5E1308" w:rsidRPr="00976DDC" w14:paraId="57550064" w14:textId="77777777" w:rsidTr="00F3085D">
        <w:tc>
          <w:tcPr>
            <w:tcW w:w="771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C982F96" w14:textId="77777777" w:rsidR="005E1308" w:rsidRPr="00976DDC" w:rsidRDefault="005E1308" w:rsidP="009B10F2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4566514D" w14:textId="77777777" w:rsidR="005E1308" w:rsidRPr="00976DDC" w:rsidRDefault="005E1308" w:rsidP="009B10F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text using headings below or insert ‘Not applicable’ and remove the headings&gt;</w:t>
            </w:r>
          </w:p>
          <w:p w14:paraId="0149DF94" w14:textId="77777777" w:rsidR="005E1308" w:rsidRDefault="005E1308" w:rsidP="009B10F2">
            <w:pPr>
              <w:pStyle w:val="Text"/>
              <w:numPr>
                <w:ilvl w:val="0"/>
                <w:numId w:val="34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techniques.</w:t>
            </w:r>
          </w:p>
          <w:p w14:paraId="0A12D3C3" w14:textId="77777777" w:rsidR="005E1308" w:rsidRPr="00976DDC" w:rsidRDefault="005E1308" w:rsidP="009B10F2">
            <w:pPr>
              <w:pStyle w:val="Text"/>
              <w:numPr>
                <w:ilvl w:val="0"/>
                <w:numId w:val="34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Policy parameters.</w:t>
            </w:r>
          </w:p>
          <w:p w14:paraId="0F528CA7" w14:textId="77777777" w:rsidR="009B10F2" w:rsidRPr="009B10F2" w:rsidRDefault="009B10F2" w:rsidP="009B10F2">
            <w:pPr>
              <w:pStyle w:val="Text"/>
              <w:numPr>
                <w:ilvl w:val="0"/>
                <w:numId w:val="34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Statistical data used.</w:t>
            </w:r>
          </w:p>
          <w:p w14:paraId="6CEA931B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Behavioural assumptions used (as appropriate)</w:t>
            </w:r>
            <w:r w:rsidR="00F3085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E1A7059" w14:textId="77777777" w:rsidR="005E1308" w:rsidRPr="00976DDC" w:rsidRDefault="005E1308" w:rsidP="009B10F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&lt;Insert text or insert ‘Not applicable’&gt;</w:t>
            </w:r>
          </w:p>
        </w:tc>
      </w:tr>
    </w:tbl>
    <w:p w14:paraId="72FCD21E" w14:textId="77777777" w:rsidR="000C3665" w:rsidRPr="009B10F2" w:rsidRDefault="000C3665">
      <w:pPr>
        <w:rPr>
          <w:sz w:val="2"/>
        </w:rPr>
      </w:pPr>
    </w:p>
    <w:sectPr w:rsidR="000C3665" w:rsidRPr="009B10F2" w:rsidSect="005B03C4">
      <w:footerReference w:type="even" r:id="rId8"/>
      <w:footerReference w:type="default" r:id="rId9"/>
      <w:footerReference w:type="first" r:id="rId10"/>
      <w:pgSz w:w="11906" w:h="16838" w:code="9"/>
      <w:pgMar w:top="1276" w:right="2098" w:bottom="1560" w:left="2098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488B" w14:textId="77777777" w:rsidR="00B41CA8" w:rsidRDefault="00B41CA8" w:rsidP="0035369B">
      <w:pPr>
        <w:spacing w:after="0" w:line="240" w:lineRule="auto"/>
      </w:pPr>
      <w:r>
        <w:separator/>
      </w:r>
    </w:p>
  </w:endnote>
  <w:endnote w:type="continuationSeparator" w:id="0">
    <w:p w14:paraId="52E3698C" w14:textId="77777777" w:rsidR="00B41CA8" w:rsidRDefault="00B41CA8" w:rsidP="0035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EE95" w14:textId="77777777" w:rsidR="00B41CA8" w:rsidRDefault="00B41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58B" w14:textId="40B83612" w:rsidR="00B41CA8" w:rsidRPr="00674C3B" w:rsidRDefault="00B41CA8">
    <w:pPr>
      <w:pStyle w:val="Footer"/>
      <w:rPr>
        <w:rFonts w:ascii="Book Antiqua" w:hAnsi="Book Antiqua"/>
      </w:rPr>
    </w:pPr>
    <w:r w:rsidRPr="00674C3B">
      <w:rPr>
        <w:rFonts w:ascii="Book Antiqua" w:hAnsi="Book Antiqua"/>
      </w:rPr>
      <w:fldChar w:fldCharType="begin"/>
    </w:r>
    <w:r w:rsidRPr="00674C3B">
      <w:rPr>
        <w:rFonts w:ascii="Book Antiqua" w:hAnsi="Book Antiqua"/>
      </w:rPr>
      <w:instrText xml:space="preserve"> PAGE   \* MERGEFORMAT </w:instrText>
    </w:r>
    <w:r w:rsidRPr="00674C3B">
      <w:rPr>
        <w:rFonts w:ascii="Book Antiqua" w:hAnsi="Book Antiqua"/>
      </w:rPr>
      <w:fldChar w:fldCharType="separate"/>
    </w:r>
    <w:r w:rsidR="00D35B61">
      <w:rPr>
        <w:rFonts w:ascii="Book Antiqua" w:hAnsi="Book Antiqua"/>
        <w:noProof/>
      </w:rPr>
      <w:t>2</w:t>
    </w:r>
    <w:r w:rsidRPr="00674C3B">
      <w:rPr>
        <w:rFonts w:ascii="Book Antiqua" w:hAnsi="Book Antiqua"/>
        <w:noProof/>
      </w:rPr>
      <w:fldChar w:fldCharType="end"/>
    </w:r>
  </w:p>
  <w:p w14:paraId="1DB152A4" w14:textId="77777777" w:rsidR="00B41CA8" w:rsidRPr="000825D2" w:rsidRDefault="00B41CA8" w:rsidP="000825D2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B41CA8" w:rsidRDefault="00B41CA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B41CA8" w:rsidRDefault="00B4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3AEE" w14:textId="77777777" w:rsidR="00B41CA8" w:rsidRDefault="00B41CA8" w:rsidP="0035369B">
      <w:pPr>
        <w:spacing w:after="0" w:line="240" w:lineRule="auto"/>
      </w:pPr>
      <w:r>
        <w:separator/>
      </w:r>
    </w:p>
  </w:footnote>
  <w:footnote w:type="continuationSeparator" w:id="0">
    <w:p w14:paraId="54944A96" w14:textId="77777777" w:rsidR="00B41CA8" w:rsidRDefault="00B41CA8" w:rsidP="0035369B">
      <w:pPr>
        <w:spacing w:after="0" w:line="240" w:lineRule="auto"/>
      </w:pPr>
      <w:r>
        <w:continuationSeparator/>
      </w:r>
    </w:p>
  </w:footnote>
  <w:footnote w:id="1">
    <w:p w14:paraId="355C597A" w14:textId="77777777" w:rsidR="00B41CA8" w:rsidRDefault="00B41CA8" w:rsidP="00976DDC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E19AC"/>
    <w:multiLevelType w:val="singleLevel"/>
    <w:tmpl w:val="9140D19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0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3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8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8"/>
  </w:num>
  <w:num w:numId="5">
    <w:abstractNumId w:val="22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1"/>
  </w:num>
  <w:num w:numId="21">
    <w:abstractNumId w:val="16"/>
  </w:num>
  <w:num w:numId="22">
    <w:abstractNumId w:val="25"/>
  </w:num>
  <w:num w:numId="23">
    <w:abstractNumId w:val="17"/>
  </w:num>
  <w:num w:numId="24">
    <w:abstractNumId w:val="30"/>
  </w:num>
  <w:num w:numId="25">
    <w:abstractNumId w:val="13"/>
  </w:num>
  <w:num w:numId="26">
    <w:abstractNumId w:val="15"/>
  </w:num>
  <w:num w:numId="27">
    <w:abstractNumId w:val="21"/>
  </w:num>
  <w:num w:numId="28">
    <w:abstractNumId w:val="26"/>
  </w:num>
  <w:num w:numId="29">
    <w:abstractNumId w:val="29"/>
  </w:num>
  <w:num w:numId="30">
    <w:abstractNumId w:val="11"/>
  </w:num>
  <w:num w:numId="31">
    <w:abstractNumId w:val="14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109CE"/>
    <w:rsid w:val="00012821"/>
    <w:rsid w:val="00014B80"/>
    <w:rsid w:val="00020548"/>
    <w:rsid w:val="00021A2B"/>
    <w:rsid w:val="0002274E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697C"/>
    <w:rsid w:val="000469CA"/>
    <w:rsid w:val="00050000"/>
    <w:rsid w:val="00050F3F"/>
    <w:rsid w:val="000514F8"/>
    <w:rsid w:val="00052419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6C73"/>
    <w:rsid w:val="00077B82"/>
    <w:rsid w:val="000825D2"/>
    <w:rsid w:val="00083077"/>
    <w:rsid w:val="00084091"/>
    <w:rsid w:val="0008503F"/>
    <w:rsid w:val="00085761"/>
    <w:rsid w:val="0009338B"/>
    <w:rsid w:val="00094854"/>
    <w:rsid w:val="000961A2"/>
    <w:rsid w:val="00097846"/>
    <w:rsid w:val="000A37E2"/>
    <w:rsid w:val="000A5A25"/>
    <w:rsid w:val="000B224B"/>
    <w:rsid w:val="000B6334"/>
    <w:rsid w:val="000B7347"/>
    <w:rsid w:val="000C3665"/>
    <w:rsid w:val="000C68E0"/>
    <w:rsid w:val="000D294C"/>
    <w:rsid w:val="000D3155"/>
    <w:rsid w:val="000D32DE"/>
    <w:rsid w:val="000D3FC7"/>
    <w:rsid w:val="000D5052"/>
    <w:rsid w:val="000D5C3B"/>
    <w:rsid w:val="000D5FF6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309A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7CC7"/>
    <w:rsid w:val="00231CD2"/>
    <w:rsid w:val="002332A4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3F45"/>
    <w:rsid w:val="00264CE5"/>
    <w:rsid w:val="00265003"/>
    <w:rsid w:val="00270F81"/>
    <w:rsid w:val="002710E3"/>
    <w:rsid w:val="00271340"/>
    <w:rsid w:val="0027156A"/>
    <w:rsid w:val="002723D9"/>
    <w:rsid w:val="002747D5"/>
    <w:rsid w:val="00275DC7"/>
    <w:rsid w:val="00277DC3"/>
    <w:rsid w:val="00280A10"/>
    <w:rsid w:val="002811C1"/>
    <w:rsid w:val="0028135B"/>
    <w:rsid w:val="0028250B"/>
    <w:rsid w:val="00282F95"/>
    <w:rsid w:val="00283075"/>
    <w:rsid w:val="002869CE"/>
    <w:rsid w:val="0028716F"/>
    <w:rsid w:val="002877F4"/>
    <w:rsid w:val="00293447"/>
    <w:rsid w:val="002952EC"/>
    <w:rsid w:val="00295976"/>
    <w:rsid w:val="002A1228"/>
    <w:rsid w:val="002A39A6"/>
    <w:rsid w:val="002A6B7C"/>
    <w:rsid w:val="002A7289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5154"/>
    <w:rsid w:val="002D69F9"/>
    <w:rsid w:val="002E0546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303681"/>
    <w:rsid w:val="00304023"/>
    <w:rsid w:val="0030460D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3FAD"/>
    <w:rsid w:val="0033561B"/>
    <w:rsid w:val="0034314D"/>
    <w:rsid w:val="00343675"/>
    <w:rsid w:val="00343C73"/>
    <w:rsid w:val="00347114"/>
    <w:rsid w:val="00352DA5"/>
    <w:rsid w:val="0035369B"/>
    <w:rsid w:val="003538B0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6404"/>
    <w:rsid w:val="00387ECA"/>
    <w:rsid w:val="0039004E"/>
    <w:rsid w:val="00390057"/>
    <w:rsid w:val="00391B7A"/>
    <w:rsid w:val="0039255B"/>
    <w:rsid w:val="00393D57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2767"/>
    <w:rsid w:val="003C373F"/>
    <w:rsid w:val="003C3C3E"/>
    <w:rsid w:val="003C4A33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7E7E"/>
    <w:rsid w:val="004009E4"/>
    <w:rsid w:val="004015D3"/>
    <w:rsid w:val="004029A9"/>
    <w:rsid w:val="0040335C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614D0"/>
    <w:rsid w:val="00463808"/>
    <w:rsid w:val="0046417B"/>
    <w:rsid w:val="00464461"/>
    <w:rsid w:val="00465FDE"/>
    <w:rsid w:val="00466567"/>
    <w:rsid w:val="00466FC0"/>
    <w:rsid w:val="00471706"/>
    <w:rsid w:val="004773F3"/>
    <w:rsid w:val="00477C48"/>
    <w:rsid w:val="0048105A"/>
    <w:rsid w:val="00481E1A"/>
    <w:rsid w:val="004830D4"/>
    <w:rsid w:val="004854D6"/>
    <w:rsid w:val="00485C08"/>
    <w:rsid w:val="00486920"/>
    <w:rsid w:val="00486BA1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20EB"/>
    <w:rsid w:val="004B31AB"/>
    <w:rsid w:val="004B362B"/>
    <w:rsid w:val="004B7EE8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3CB"/>
    <w:rsid w:val="00541254"/>
    <w:rsid w:val="005417C7"/>
    <w:rsid w:val="00542B0B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71EBA"/>
    <w:rsid w:val="005720F0"/>
    <w:rsid w:val="005737D0"/>
    <w:rsid w:val="00573B8D"/>
    <w:rsid w:val="00575542"/>
    <w:rsid w:val="00575E33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591A"/>
    <w:rsid w:val="005F0574"/>
    <w:rsid w:val="005F0E72"/>
    <w:rsid w:val="005F237F"/>
    <w:rsid w:val="005F281F"/>
    <w:rsid w:val="005F32B7"/>
    <w:rsid w:val="005F3E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520E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957"/>
    <w:rsid w:val="006A0C76"/>
    <w:rsid w:val="006A3F78"/>
    <w:rsid w:val="006A4AA5"/>
    <w:rsid w:val="006A51C5"/>
    <w:rsid w:val="006A5988"/>
    <w:rsid w:val="006A698C"/>
    <w:rsid w:val="006B0314"/>
    <w:rsid w:val="006B0856"/>
    <w:rsid w:val="006B360E"/>
    <w:rsid w:val="006B55AC"/>
    <w:rsid w:val="006B5FBB"/>
    <w:rsid w:val="006B7457"/>
    <w:rsid w:val="006B78F7"/>
    <w:rsid w:val="006C137F"/>
    <w:rsid w:val="006C24F1"/>
    <w:rsid w:val="006C2C71"/>
    <w:rsid w:val="006C4039"/>
    <w:rsid w:val="006C4B43"/>
    <w:rsid w:val="006C7242"/>
    <w:rsid w:val="006D03FF"/>
    <w:rsid w:val="006D0A31"/>
    <w:rsid w:val="006D3084"/>
    <w:rsid w:val="006E0728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20592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C63"/>
    <w:rsid w:val="007379C4"/>
    <w:rsid w:val="00740F0F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A25E8"/>
    <w:rsid w:val="007A3A05"/>
    <w:rsid w:val="007B18DF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1A40"/>
    <w:rsid w:val="007E2DE2"/>
    <w:rsid w:val="007E3E63"/>
    <w:rsid w:val="007E46F8"/>
    <w:rsid w:val="007E7554"/>
    <w:rsid w:val="007E7727"/>
    <w:rsid w:val="007F1440"/>
    <w:rsid w:val="007F2035"/>
    <w:rsid w:val="007F206C"/>
    <w:rsid w:val="0080094E"/>
    <w:rsid w:val="00802C93"/>
    <w:rsid w:val="00803562"/>
    <w:rsid w:val="008035D5"/>
    <w:rsid w:val="00804F19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6C50"/>
    <w:rsid w:val="00830179"/>
    <w:rsid w:val="00830EF4"/>
    <w:rsid w:val="008335F9"/>
    <w:rsid w:val="0083541B"/>
    <w:rsid w:val="00836092"/>
    <w:rsid w:val="008375BD"/>
    <w:rsid w:val="00837D9E"/>
    <w:rsid w:val="008412B0"/>
    <w:rsid w:val="00841385"/>
    <w:rsid w:val="00841F04"/>
    <w:rsid w:val="0084588C"/>
    <w:rsid w:val="00845B23"/>
    <w:rsid w:val="00845FF0"/>
    <w:rsid w:val="00846728"/>
    <w:rsid w:val="00846D06"/>
    <w:rsid w:val="008504BD"/>
    <w:rsid w:val="00853471"/>
    <w:rsid w:val="00853664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65FB"/>
    <w:rsid w:val="008B6DB4"/>
    <w:rsid w:val="008B72B3"/>
    <w:rsid w:val="008C3DF0"/>
    <w:rsid w:val="008D0BD9"/>
    <w:rsid w:val="008E0212"/>
    <w:rsid w:val="008E080D"/>
    <w:rsid w:val="008E1A22"/>
    <w:rsid w:val="008E336A"/>
    <w:rsid w:val="008E4357"/>
    <w:rsid w:val="008E4B97"/>
    <w:rsid w:val="008E5A19"/>
    <w:rsid w:val="008E5C18"/>
    <w:rsid w:val="008E6456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EFC"/>
    <w:rsid w:val="009470EC"/>
    <w:rsid w:val="00947683"/>
    <w:rsid w:val="00951779"/>
    <w:rsid w:val="00953988"/>
    <w:rsid w:val="00953B7F"/>
    <w:rsid w:val="0095471E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6B94"/>
    <w:rsid w:val="00971D4D"/>
    <w:rsid w:val="009753C7"/>
    <w:rsid w:val="00976DDC"/>
    <w:rsid w:val="00977679"/>
    <w:rsid w:val="00980FD0"/>
    <w:rsid w:val="0098253C"/>
    <w:rsid w:val="00983752"/>
    <w:rsid w:val="00984DA3"/>
    <w:rsid w:val="00991DF9"/>
    <w:rsid w:val="00992574"/>
    <w:rsid w:val="00992ACE"/>
    <w:rsid w:val="00993E99"/>
    <w:rsid w:val="00994073"/>
    <w:rsid w:val="00995389"/>
    <w:rsid w:val="00995BBA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79EA"/>
    <w:rsid w:val="009F3476"/>
    <w:rsid w:val="009F7E78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2295"/>
    <w:rsid w:val="00AB252B"/>
    <w:rsid w:val="00AB2C39"/>
    <w:rsid w:val="00AB2E10"/>
    <w:rsid w:val="00AB31A0"/>
    <w:rsid w:val="00AB3515"/>
    <w:rsid w:val="00AB77AD"/>
    <w:rsid w:val="00AC0E53"/>
    <w:rsid w:val="00AC1B80"/>
    <w:rsid w:val="00AC22C0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344"/>
    <w:rsid w:val="00AE0BFF"/>
    <w:rsid w:val="00AE560F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957"/>
    <w:rsid w:val="00B339C2"/>
    <w:rsid w:val="00B33E37"/>
    <w:rsid w:val="00B33FD7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B84"/>
    <w:rsid w:val="00B51ED0"/>
    <w:rsid w:val="00B54A29"/>
    <w:rsid w:val="00B55795"/>
    <w:rsid w:val="00B56C62"/>
    <w:rsid w:val="00B600BB"/>
    <w:rsid w:val="00B622D3"/>
    <w:rsid w:val="00B62ADC"/>
    <w:rsid w:val="00B63292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6906"/>
    <w:rsid w:val="00B96BA5"/>
    <w:rsid w:val="00B96D69"/>
    <w:rsid w:val="00BA174B"/>
    <w:rsid w:val="00BA1AC2"/>
    <w:rsid w:val="00BA1F16"/>
    <w:rsid w:val="00BA2F7E"/>
    <w:rsid w:val="00BA4D0D"/>
    <w:rsid w:val="00BB2CBC"/>
    <w:rsid w:val="00BB3DA9"/>
    <w:rsid w:val="00BB4F13"/>
    <w:rsid w:val="00BB5C32"/>
    <w:rsid w:val="00BC00CD"/>
    <w:rsid w:val="00BC1758"/>
    <w:rsid w:val="00BC18C4"/>
    <w:rsid w:val="00BC1DF0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39D2"/>
    <w:rsid w:val="00BF4147"/>
    <w:rsid w:val="00C00FB6"/>
    <w:rsid w:val="00C021FB"/>
    <w:rsid w:val="00C03EC7"/>
    <w:rsid w:val="00C06C89"/>
    <w:rsid w:val="00C14D45"/>
    <w:rsid w:val="00C1633E"/>
    <w:rsid w:val="00C178F9"/>
    <w:rsid w:val="00C20C51"/>
    <w:rsid w:val="00C218B5"/>
    <w:rsid w:val="00C2364E"/>
    <w:rsid w:val="00C253B7"/>
    <w:rsid w:val="00C26B4E"/>
    <w:rsid w:val="00C270D3"/>
    <w:rsid w:val="00C30BF1"/>
    <w:rsid w:val="00C30D16"/>
    <w:rsid w:val="00C31BF3"/>
    <w:rsid w:val="00C31CDA"/>
    <w:rsid w:val="00C323EC"/>
    <w:rsid w:val="00C3260F"/>
    <w:rsid w:val="00C32AA3"/>
    <w:rsid w:val="00C356E3"/>
    <w:rsid w:val="00C41D9C"/>
    <w:rsid w:val="00C42315"/>
    <w:rsid w:val="00C4308F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3043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7F13"/>
    <w:rsid w:val="00CA0A2E"/>
    <w:rsid w:val="00CA2545"/>
    <w:rsid w:val="00CA6190"/>
    <w:rsid w:val="00CB03F3"/>
    <w:rsid w:val="00CB43E9"/>
    <w:rsid w:val="00CB51A9"/>
    <w:rsid w:val="00CB6D24"/>
    <w:rsid w:val="00CC04EE"/>
    <w:rsid w:val="00CC10BF"/>
    <w:rsid w:val="00CC27DA"/>
    <w:rsid w:val="00CC40DE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F01C2"/>
    <w:rsid w:val="00CF0884"/>
    <w:rsid w:val="00CF0C96"/>
    <w:rsid w:val="00CF19C3"/>
    <w:rsid w:val="00CF3DAB"/>
    <w:rsid w:val="00CF5C20"/>
    <w:rsid w:val="00CF6723"/>
    <w:rsid w:val="00CF73CB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B61"/>
    <w:rsid w:val="00D35E0C"/>
    <w:rsid w:val="00D35FAD"/>
    <w:rsid w:val="00D400A5"/>
    <w:rsid w:val="00D4026B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5BFF"/>
    <w:rsid w:val="00D67404"/>
    <w:rsid w:val="00D7290B"/>
    <w:rsid w:val="00D7567A"/>
    <w:rsid w:val="00D76E71"/>
    <w:rsid w:val="00D776DD"/>
    <w:rsid w:val="00D806A0"/>
    <w:rsid w:val="00D8095A"/>
    <w:rsid w:val="00D83A31"/>
    <w:rsid w:val="00D83A67"/>
    <w:rsid w:val="00D8453F"/>
    <w:rsid w:val="00D85FC2"/>
    <w:rsid w:val="00D85FCE"/>
    <w:rsid w:val="00D91179"/>
    <w:rsid w:val="00D96FF7"/>
    <w:rsid w:val="00D97492"/>
    <w:rsid w:val="00D97EC1"/>
    <w:rsid w:val="00DA40B1"/>
    <w:rsid w:val="00DA475C"/>
    <w:rsid w:val="00DA4CB1"/>
    <w:rsid w:val="00DA51E6"/>
    <w:rsid w:val="00DA7034"/>
    <w:rsid w:val="00DA7D1A"/>
    <w:rsid w:val="00DB277D"/>
    <w:rsid w:val="00DB3562"/>
    <w:rsid w:val="00DB388C"/>
    <w:rsid w:val="00DB558D"/>
    <w:rsid w:val="00DB6594"/>
    <w:rsid w:val="00DB7F8D"/>
    <w:rsid w:val="00DC0CFA"/>
    <w:rsid w:val="00DC1233"/>
    <w:rsid w:val="00DC486B"/>
    <w:rsid w:val="00DC52B8"/>
    <w:rsid w:val="00DC5441"/>
    <w:rsid w:val="00DC56A2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32EE"/>
    <w:rsid w:val="00DF549E"/>
    <w:rsid w:val="00DF60F4"/>
    <w:rsid w:val="00DF61B7"/>
    <w:rsid w:val="00DF6666"/>
    <w:rsid w:val="00E01693"/>
    <w:rsid w:val="00E01F9A"/>
    <w:rsid w:val="00E03945"/>
    <w:rsid w:val="00E03EAC"/>
    <w:rsid w:val="00E06716"/>
    <w:rsid w:val="00E0781D"/>
    <w:rsid w:val="00E07DF5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06E"/>
    <w:rsid w:val="00E222D8"/>
    <w:rsid w:val="00E22B48"/>
    <w:rsid w:val="00E23013"/>
    <w:rsid w:val="00E2424B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B1C42"/>
    <w:rsid w:val="00EB23FD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7089F"/>
    <w:rsid w:val="00F7094A"/>
    <w:rsid w:val="00F71604"/>
    <w:rsid w:val="00F72899"/>
    <w:rsid w:val="00F7377E"/>
    <w:rsid w:val="00F761DD"/>
    <w:rsid w:val="00F81EF4"/>
    <w:rsid w:val="00F83162"/>
    <w:rsid w:val="00F84AF8"/>
    <w:rsid w:val="00F84E29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EBD"/>
    <w:rsid w:val="00FC4E0F"/>
    <w:rsid w:val="00FC572F"/>
    <w:rsid w:val="00FC585E"/>
    <w:rsid w:val="00FC71D7"/>
    <w:rsid w:val="00FC75EA"/>
    <w:rsid w:val="00FC7B3D"/>
    <w:rsid w:val="00FD0CDD"/>
    <w:rsid w:val="00FD1160"/>
    <w:rsid w:val="00FD23B4"/>
    <w:rsid w:val="00FD589F"/>
    <w:rsid w:val="00FD7375"/>
    <w:rsid w:val="00FE2243"/>
    <w:rsid w:val="00FE2C6C"/>
    <w:rsid w:val="00FE2D76"/>
    <w:rsid w:val="00FE3BA0"/>
    <w:rsid w:val="00FE4836"/>
    <w:rsid w:val="00FE4F34"/>
    <w:rsid w:val="00FE5EAF"/>
    <w:rsid w:val="00FE6C3A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see www.itsanhonour.gov.au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release of costing - pro forma</dc:title>
  <dc:subject/>
  <dc:creator/>
  <cp:keywords/>
  <cp:lastModifiedBy/>
  <cp:revision>1</cp:revision>
  <dcterms:created xsi:type="dcterms:W3CDTF">2021-09-14T00:06:00Z</dcterms:created>
  <dcterms:modified xsi:type="dcterms:W3CDTF">2021-09-16T03:05:00Z</dcterms:modified>
</cp:coreProperties>
</file>