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B4041" w14:textId="77777777" w:rsidR="000C2A48" w:rsidRDefault="000C2A48" w:rsidP="000C2A48"/>
    <w:p w14:paraId="3A3CB510" w14:textId="3547C01B" w:rsidR="004E058F" w:rsidRPr="00E02371" w:rsidRDefault="005949BD" w:rsidP="00DB6D69">
      <w:pPr>
        <w:pStyle w:val="Title"/>
        <w:rPr>
          <w:b/>
          <w:color w:val="000000" w:themeColor="text1"/>
          <w:szCs w:val="40"/>
        </w:rPr>
      </w:pPr>
      <w:bookmarkStart w:id="0" w:name="_Toc465935034"/>
      <w:bookmarkStart w:id="1" w:name="_Toc468361690"/>
      <w:bookmarkStart w:id="2" w:name="_Toc468365468"/>
      <w:bookmarkStart w:id="3" w:name="_Toc468365670"/>
      <w:r>
        <w:rPr>
          <w:rFonts w:ascii="Calibri" w:hAnsi="Calibri"/>
          <w:b/>
          <w:color w:val="000000" w:themeColor="text1"/>
          <w:szCs w:val="40"/>
        </w:rPr>
        <w:t>Indemnities</w:t>
      </w:r>
      <w:r w:rsidR="00240607">
        <w:rPr>
          <w:rFonts w:ascii="Calibri" w:hAnsi="Calibri"/>
          <w:b/>
          <w:color w:val="000000" w:themeColor="text1"/>
          <w:szCs w:val="40"/>
        </w:rPr>
        <w:t xml:space="preserve">, </w:t>
      </w:r>
      <w:r w:rsidR="000C1E52">
        <w:rPr>
          <w:rFonts w:ascii="Calibri" w:hAnsi="Calibri"/>
          <w:b/>
          <w:color w:val="000000" w:themeColor="text1"/>
          <w:szCs w:val="40"/>
        </w:rPr>
        <w:t>g</w:t>
      </w:r>
      <w:r w:rsidR="00240607">
        <w:rPr>
          <w:rFonts w:ascii="Calibri" w:hAnsi="Calibri"/>
          <w:b/>
          <w:color w:val="000000" w:themeColor="text1"/>
          <w:szCs w:val="40"/>
        </w:rPr>
        <w:t>uarantees and</w:t>
      </w:r>
      <w:r>
        <w:rPr>
          <w:rFonts w:ascii="Calibri" w:hAnsi="Calibri"/>
          <w:b/>
          <w:color w:val="000000" w:themeColor="text1"/>
          <w:szCs w:val="40"/>
        </w:rPr>
        <w:t xml:space="preserve"> </w:t>
      </w:r>
      <w:r w:rsidR="000C1E52">
        <w:rPr>
          <w:rFonts w:ascii="Calibri" w:hAnsi="Calibri"/>
          <w:b/>
          <w:color w:val="000000" w:themeColor="text1"/>
          <w:szCs w:val="40"/>
        </w:rPr>
        <w:t>w</w:t>
      </w:r>
      <w:r>
        <w:rPr>
          <w:rFonts w:ascii="Calibri" w:hAnsi="Calibri"/>
          <w:b/>
          <w:color w:val="000000" w:themeColor="text1"/>
          <w:szCs w:val="40"/>
        </w:rPr>
        <w:t>arranties</w:t>
      </w:r>
      <w:r w:rsidR="007B0DF7">
        <w:rPr>
          <w:rFonts w:ascii="Calibri" w:hAnsi="Calibri"/>
          <w:b/>
          <w:color w:val="000000" w:themeColor="text1"/>
          <w:szCs w:val="40"/>
        </w:rPr>
        <w:br/>
        <w:t>by the Commonwealth</w:t>
      </w:r>
      <w:bookmarkEnd w:id="0"/>
      <w:bookmarkEnd w:id="1"/>
      <w:bookmarkEnd w:id="2"/>
      <w:bookmarkEnd w:id="3"/>
    </w:p>
    <w:p w14:paraId="45FAEA2C" w14:textId="77777777" w:rsidR="00B13B6E" w:rsidRPr="00E02371" w:rsidRDefault="00E02371" w:rsidP="00B13B6E">
      <w:pPr>
        <w:jc w:val="right"/>
        <w:rPr>
          <w:color w:val="000000" w:themeColor="text1"/>
          <w:sz w:val="34"/>
          <w:szCs w:val="34"/>
        </w:rPr>
      </w:pPr>
      <w:r w:rsidRPr="00E02371">
        <w:rPr>
          <w:sz w:val="34"/>
          <w:szCs w:val="34"/>
        </w:rPr>
        <w:t xml:space="preserve">Resource Management Guide No. </w:t>
      </w:r>
      <w:r w:rsidR="005949BD">
        <w:rPr>
          <w:sz w:val="34"/>
          <w:szCs w:val="34"/>
        </w:rPr>
        <w:t>414</w:t>
      </w:r>
    </w:p>
    <w:p w14:paraId="45F67F23" w14:textId="77777777" w:rsidR="003E6098" w:rsidRDefault="003E6098" w:rsidP="006C4DD1"/>
    <w:p w14:paraId="1C7843CC" w14:textId="77777777" w:rsidR="003E6098" w:rsidRDefault="003E6098" w:rsidP="006C4DD1"/>
    <w:p w14:paraId="4CCDBA08" w14:textId="77777777" w:rsidR="003E6098" w:rsidRDefault="003E6098" w:rsidP="006C4DD1"/>
    <w:p w14:paraId="0B66A558" w14:textId="77777777" w:rsidR="003E6098" w:rsidRDefault="003E6098" w:rsidP="006C4DD1"/>
    <w:p w14:paraId="7BE1CBAD" w14:textId="77777777" w:rsidR="003E6098" w:rsidRDefault="003E6098" w:rsidP="006C4DD1"/>
    <w:p w14:paraId="204F9A38" w14:textId="77777777" w:rsidR="003E6098" w:rsidRDefault="003E6098" w:rsidP="006C4DD1"/>
    <w:p w14:paraId="28DC1F40" w14:textId="02325B10" w:rsidR="003E6098" w:rsidRDefault="004F3444" w:rsidP="006C4DD1">
      <w:pPr>
        <w:sectPr w:rsidR="003E6098" w:rsidSect="005B696C">
          <w:headerReference w:type="default" r:id="rId8"/>
          <w:footerReference w:type="default" r:id="rId9"/>
          <w:headerReference w:type="first" r:id="rId10"/>
          <w:footerReference w:type="first" r:id="rId11"/>
          <w:type w:val="continuous"/>
          <w:pgSz w:w="11906" w:h="16838" w:code="9"/>
          <w:pgMar w:top="1560" w:right="1418" w:bottom="1418" w:left="1418" w:header="567" w:footer="624" w:gutter="0"/>
          <w:cols w:space="708"/>
          <w:titlePg/>
          <w:docGrid w:linePitch="360"/>
        </w:sectPr>
      </w:pPr>
      <w:r>
        <w:t>June 2021</w:t>
      </w:r>
    </w:p>
    <w:p w14:paraId="1FA7A9FA" w14:textId="77777777" w:rsidR="003E6098" w:rsidRPr="003469E3" w:rsidRDefault="003E6098" w:rsidP="003E6098">
      <w:r>
        <w:lastRenderedPageBreak/>
        <w:t>© Commonwealth of Australia 2016</w:t>
      </w:r>
    </w:p>
    <w:p w14:paraId="7E30997C" w14:textId="77777777" w:rsidR="003E6098" w:rsidRPr="003469E3" w:rsidRDefault="003E6098" w:rsidP="003E6098">
      <w:r w:rsidRPr="00394ECE">
        <w:t xml:space="preserve">ISBN: </w:t>
      </w:r>
      <w:r>
        <w:t>978-1-925205-49-7 (Online)</w:t>
      </w:r>
    </w:p>
    <w:p w14:paraId="297D16B2" w14:textId="77777777" w:rsidR="003E6098" w:rsidRPr="003469E3" w:rsidRDefault="003E6098" w:rsidP="003E6098">
      <w:r w:rsidRPr="003469E3">
        <w:t>With the exception of the Commonwealth Coat of Arms and where otherwise noted</w:t>
      </w:r>
      <w:r>
        <w:t>,</w:t>
      </w:r>
      <w:r w:rsidRPr="003469E3">
        <w:t xml:space="preserve"> all material presented in this document is provided under a Creative Commons Attribution 3.0 Australia (</w:t>
      </w:r>
      <w:hyperlink r:id="rId12" w:history="1">
        <w:r>
          <w:rPr>
            <w:rStyle w:val="Hyperlink"/>
          </w:rPr>
          <w:t>http://creativecommons.org/licenses/by/3.0/au</w:t>
        </w:r>
      </w:hyperlink>
      <w:r w:rsidRPr="003469E3">
        <w:t>) licence.</w:t>
      </w:r>
    </w:p>
    <w:p w14:paraId="3EDC6CD3" w14:textId="77777777" w:rsidR="003E6098" w:rsidRPr="003469E3" w:rsidRDefault="003E6098" w:rsidP="003E6098">
      <w:r w:rsidRPr="003469E3">
        <w:rPr>
          <w:noProof/>
          <w:lang w:eastAsia="en-AU"/>
        </w:rPr>
        <w:drawing>
          <wp:inline distT="0" distB="0" distL="0" distR="0" wp14:anchorId="120D7D68" wp14:editId="2A90AB24">
            <wp:extent cx="1152525" cy="397422"/>
            <wp:effectExtent l="0" t="0" r="0" b="3175"/>
            <wp:docPr id="3"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153897" cy="397895"/>
                    </a:xfrm>
                    <a:prstGeom prst="rect">
                      <a:avLst/>
                    </a:prstGeom>
                    <a:noFill/>
                    <a:ln w="9525">
                      <a:noFill/>
                      <a:miter lim="800000"/>
                      <a:headEnd/>
                      <a:tailEnd/>
                    </a:ln>
                  </pic:spPr>
                </pic:pic>
              </a:graphicData>
            </a:graphic>
          </wp:inline>
        </w:drawing>
      </w:r>
    </w:p>
    <w:p w14:paraId="2947C367" w14:textId="77777777" w:rsidR="003E6098" w:rsidRPr="006A6123" w:rsidRDefault="003E6098" w:rsidP="003E6098">
      <w:pPr>
        <w:rPr>
          <w:rFonts w:eastAsia="Times New Roman"/>
          <w:szCs w:val="24"/>
        </w:rPr>
      </w:pPr>
      <w:r w:rsidRPr="006A6123">
        <w:rPr>
          <w:rFonts w:eastAsia="Times New Roman"/>
          <w:szCs w:val="24"/>
        </w:rPr>
        <w:t xml:space="preserve">The details of the relevant licence conditions are available </w:t>
      </w:r>
      <w:r>
        <w:rPr>
          <w:rFonts w:eastAsia="Times New Roman"/>
          <w:szCs w:val="24"/>
        </w:rPr>
        <w:t xml:space="preserve">on the Creative Commons website </w:t>
      </w:r>
      <w:r w:rsidRPr="006A6123">
        <w:rPr>
          <w:rFonts w:eastAsia="Times New Roman"/>
          <w:szCs w:val="24"/>
        </w:rPr>
        <w:t>(accessible using the links provided) as is the full legal code for the CC BY 3 AU licence.</w:t>
      </w:r>
    </w:p>
    <w:p w14:paraId="41201DB6" w14:textId="77777777" w:rsidR="003E6098" w:rsidRPr="00EC0C11" w:rsidRDefault="003E6098" w:rsidP="003E6098">
      <w:pPr>
        <w:spacing w:before="240"/>
        <w:rPr>
          <w:rFonts w:eastAsia="Times New Roman"/>
          <w:b/>
          <w:szCs w:val="24"/>
        </w:rPr>
      </w:pPr>
      <w:r w:rsidRPr="00EC0C11">
        <w:rPr>
          <w:rFonts w:eastAsia="Times New Roman"/>
          <w:b/>
          <w:szCs w:val="24"/>
        </w:rPr>
        <w:t>Use of the Coat of Arms</w:t>
      </w:r>
    </w:p>
    <w:p w14:paraId="08209A0D" w14:textId="77777777" w:rsidR="003E6098" w:rsidRDefault="003E6098" w:rsidP="003E6098">
      <w:pPr>
        <w:rPr>
          <w:rFonts w:eastAsia="Times New Roman"/>
          <w:szCs w:val="24"/>
        </w:rPr>
      </w:pPr>
      <w:r w:rsidRPr="006A6123">
        <w:rPr>
          <w:rFonts w:eastAsia="Times New Roman"/>
          <w:szCs w:val="24"/>
        </w:rPr>
        <w:t>The terms under which the Coat of Arms can be used are det</w:t>
      </w:r>
      <w:r>
        <w:rPr>
          <w:rFonts w:eastAsia="Times New Roman"/>
          <w:szCs w:val="24"/>
        </w:rPr>
        <w:t xml:space="preserve">ailed on the following website: </w:t>
      </w:r>
      <w:hyperlink r:id="rId14" w:history="1">
        <w:r>
          <w:rPr>
            <w:rStyle w:val="Hyperlink"/>
            <w:rFonts w:eastAsia="Times New Roman"/>
            <w:szCs w:val="24"/>
          </w:rPr>
          <w:t>www.itsanhonour.gov.au/coat-arms</w:t>
        </w:r>
      </w:hyperlink>
      <w:r w:rsidRPr="006A6123">
        <w:rPr>
          <w:rFonts w:eastAsia="Times New Roman"/>
          <w:szCs w:val="24"/>
        </w:rPr>
        <w:t>.</w:t>
      </w:r>
    </w:p>
    <w:p w14:paraId="65C28A69" w14:textId="77777777" w:rsidR="003E6098" w:rsidRPr="006A6123" w:rsidRDefault="003E6098" w:rsidP="003E6098">
      <w:pPr>
        <w:spacing w:before="240"/>
        <w:rPr>
          <w:rFonts w:eastAsia="Times New Roman"/>
          <w:b/>
          <w:szCs w:val="24"/>
        </w:rPr>
      </w:pPr>
      <w:r w:rsidRPr="006A6123">
        <w:rPr>
          <w:rFonts w:eastAsia="Times New Roman"/>
          <w:b/>
          <w:szCs w:val="24"/>
        </w:rPr>
        <w:t>Contact us</w:t>
      </w:r>
    </w:p>
    <w:p w14:paraId="7344C5FE" w14:textId="189717AC" w:rsidR="003E6098" w:rsidRDefault="003E6098" w:rsidP="003E6098">
      <w:r>
        <w:rPr>
          <w:rFonts w:eastAsia="Times New Roman"/>
          <w:szCs w:val="24"/>
        </w:rPr>
        <w:t>Please direct q</w:t>
      </w:r>
      <w:r w:rsidRPr="00C5547B">
        <w:rPr>
          <w:rFonts w:eastAsia="Times New Roman"/>
          <w:szCs w:val="24"/>
        </w:rPr>
        <w:t>uestions or comments about</w:t>
      </w:r>
      <w:r>
        <w:rPr>
          <w:rFonts w:eastAsia="Times New Roman"/>
          <w:szCs w:val="24"/>
        </w:rPr>
        <w:t xml:space="preserve"> the </w:t>
      </w:r>
      <w:r w:rsidR="00DA2296">
        <w:rPr>
          <w:rFonts w:eastAsia="Times New Roman"/>
          <w:szCs w:val="24"/>
        </w:rPr>
        <w:t>guide</w:t>
      </w:r>
      <w:r>
        <w:rPr>
          <w:rFonts w:eastAsia="Times New Roman"/>
          <w:szCs w:val="24"/>
        </w:rPr>
        <w:t xml:space="preserve"> to:</w:t>
      </w:r>
      <w:r w:rsidRPr="003469E3">
        <w:t xml:space="preserve"> </w:t>
      </w:r>
    </w:p>
    <w:p w14:paraId="7773DA6D" w14:textId="77777777" w:rsidR="00E604CB" w:rsidRPr="003469E3" w:rsidRDefault="00E604CB" w:rsidP="003E6098"/>
    <w:p w14:paraId="419B96B9" w14:textId="77777777" w:rsidR="00E604CB" w:rsidRDefault="00E604CB" w:rsidP="003E6098">
      <w:pPr>
        <w:spacing w:before="0" w:after="0" w:line="240" w:lineRule="auto"/>
      </w:pPr>
      <w:r>
        <w:t>PGPA &amp; Digital Reporting</w:t>
      </w:r>
      <w:r>
        <w:br/>
        <w:t>Governance Division</w:t>
      </w:r>
    </w:p>
    <w:p w14:paraId="23B72950" w14:textId="21C94653" w:rsidR="003E6098" w:rsidRPr="003469E3" w:rsidRDefault="003E6098" w:rsidP="003E6098">
      <w:pPr>
        <w:spacing w:before="0" w:after="0" w:line="240" w:lineRule="auto"/>
      </w:pPr>
      <w:r w:rsidRPr="003469E3">
        <w:t>Department of Finance</w:t>
      </w:r>
    </w:p>
    <w:p w14:paraId="44B8A353" w14:textId="77777777" w:rsidR="003E6098" w:rsidRDefault="003E6098" w:rsidP="003E6098">
      <w:pPr>
        <w:spacing w:before="0" w:after="0" w:line="240" w:lineRule="auto"/>
      </w:pPr>
      <w:r>
        <w:t>1 Canberra Avenue</w:t>
      </w:r>
    </w:p>
    <w:p w14:paraId="7A5E8901" w14:textId="3B9C4591" w:rsidR="003E6098" w:rsidRPr="003469E3" w:rsidRDefault="00261F2A" w:rsidP="003E6098">
      <w:pPr>
        <w:spacing w:before="0" w:after="0" w:line="240" w:lineRule="auto"/>
      </w:pPr>
      <w:proofErr w:type="gramStart"/>
      <w:r>
        <w:t>Forrest</w:t>
      </w:r>
      <w:r w:rsidR="003E6098">
        <w:t xml:space="preserve"> </w:t>
      </w:r>
      <w:r w:rsidR="00E604CB">
        <w:t xml:space="preserve"> </w:t>
      </w:r>
      <w:r w:rsidR="003E6098">
        <w:t>ACT</w:t>
      </w:r>
      <w:proofErr w:type="gramEnd"/>
      <w:r w:rsidR="00E604CB">
        <w:t xml:space="preserve"> </w:t>
      </w:r>
      <w:r w:rsidR="003E6098">
        <w:t xml:space="preserve"> 2603</w:t>
      </w:r>
    </w:p>
    <w:p w14:paraId="17BAF41C" w14:textId="2B2E8B55" w:rsidR="003E6098" w:rsidRPr="003469E3" w:rsidRDefault="003E6098" w:rsidP="003E6098">
      <w:pPr>
        <w:spacing w:before="0" w:after="0" w:line="240" w:lineRule="auto"/>
      </w:pPr>
      <w:r w:rsidRPr="003469E3">
        <w:t xml:space="preserve">Email: </w:t>
      </w:r>
      <w:hyperlink r:id="rId15" w:history="1">
        <w:r w:rsidR="00E604CB" w:rsidRPr="008B2786">
          <w:rPr>
            <w:rStyle w:val="Hyperlink"/>
            <w:rFonts w:eastAsia="Times New Roman"/>
            <w:szCs w:val="24"/>
          </w:rPr>
          <w:t>pgpa@finance.gov.au</w:t>
        </w:r>
      </w:hyperlink>
    </w:p>
    <w:p w14:paraId="7A339CAD" w14:textId="0C1D2D49" w:rsidR="003E6098" w:rsidRDefault="003E6098" w:rsidP="003E6098">
      <w:pPr>
        <w:spacing w:before="0" w:after="0" w:line="240" w:lineRule="auto"/>
      </w:pPr>
      <w:r w:rsidRPr="003469E3">
        <w:t>Internet:</w:t>
      </w:r>
      <w:r w:rsidRPr="003469E3">
        <w:rPr>
          <w:lang w:val="en-US"/>
        </w:rPr>
        <w:t xml:space="preserve"> </w:t>
      </w:r>
      <w:hyperlink r:id="rId16" w:history="1">
        <w:r w:rsidR="00FF3A59" w:rsidRPr="0031740F">
          <w:rPr>
            <w:rStyle w:val="Hyperlink"/>
            <w:rFonts w:cstheme="minorBidi"/>
          </w:rPr>
          <w:t>www.finance.gov.au/resource-management/</w:t>
        </w:r>
      </w:hyperlink>
      <w:r w:rsidR="00FF3A59">
        <w:t xml:space="preserve"> </w:t>
      </w:r>
    </w:p>
    <w:p w14:paraId="0FF0DAC6" w14:textId="77777777" w:rsidR="006F4A26" w:rsidRPr="00275E01" w:rsidRDefault="006F4A26" w:rsidP="006F4A26">
      <w:pPr>
        <w:spacing w:before="0" w:after="120" w:line="240" w:lineRule="auto"/>
        <w:rPr>
          <w:rStyle w:val="Hyperlink"/>
          <w:rFonts w:cstheme="minorHAnsi"/>
          <w:i w:val="0"/>
          <w:color w:val="000000" w:themeColor="text1"/>
          <w:u w:val="none"/>
        </w:rPr>
      </w:pPr>
    </w:p>
    <w:p w14:paraId="2605AABC" w14:textId="77777777" w:rsidR="006F4A26" w:rsidRDefault="006F4A26" w:rsidP="006F4A26">
      <w:pPr>
        <w:spacing w:before="0" w:after="120" w:line="240" w:lineRule="auto"/>
        <w:rPr>
          <w:rStyle w:val="Hyperlink"/>
          <w:rFonts w:cstheme="minorHAnsi"/>
          <w:i w:val="0"/>
          <w:color w:val="000000" w:themeColor="text1"/>
          <w:u w:val="none"/>
        </w:rPr>
      </w:pPr>
    </w:p>
    <w:p w14:paraId="4273A8BE" w14:textId="77777777" w:rsidR="006F4A26" w:rsidRPr="00275E01" w:rsidRDefault="006F4A26" w:rsidP="006F4A26">
      <w:pPr>
        <w:spacing w:before="0" w:after="120" w:line="240" w:lineRule="auto"/>
        <w:rPr>
          <w:rStyle w:val="Hyperlink"/>
          <w:rFonts w:cstheme="minorHAnsi"/>
          <w:i w:val="0"/>
          <w:color w:val="000000" w:themeColor="text1"/>
          <w:u w:val="none"/>
        </w:rPr>
      </w:pPr>
    </w:p>
    <w:p w14:paraId="6A1D4E92" w14:textId="77777777" w:rsidR="006F4A26" w:rsidRPr="00275E01" w:rsidRDefault="006F4A26" w:rsidP="006F4A26">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60" w:lineRule="exact"/>
        <w:ind w:left="60" w:right="60"/>
        <w:rPr>
          <w:rFonts w:cstheme="minorHAnsi"/>
          <w:color w:val="000000"/>
          <w:lang w:eastAsia="en-AU"/>
        </w:rPr>
      </w:pPr>
      <w:r w:rsidRPr="00275E01">
        <w:rPr>
          <w:rFonts w:cstheme="minorHAnsi"/>
          <w:color w:val="000000"/>
          <w:lang w:eastAsia="en-AU"/>
        </w:rPr>
        <w:t>The words ‘</w:t>
      </w:r>
      <w:r w:rsidRPr="00275E01">
        <w:rPr>
          <w:rFonts w:cstheme="minorHAnsi"/>
          <w:b/>
          <w:bCs/>
          <w:color w:val="000000"/>
          <w:lang w:eastAsia="en-AU"/>
        </w:rPr>
        <w:t>must</w:t>
      </w:r>
      <w:r w:rsidRPr="00275E01">
        <w:rPr>
          <w:rFonts w:cstheme="minorHAnsi"/>
          <w:color w:val="000000"/>
          <w:lang w:eastAsia="en-AU"/>
        </w:rPr>
        <w:t>’, ‘</w:t>
      </w:r>
      <w:r w:rsidRPr="00275E01">
        <w:rPr>
          <w:rFonts w:cstheme="minorHAnsi"/>
          <w:b/>
          <w:bCs/>
          <w:color w:val="000000"/>
          <w:lang w:eastAsia="en-AU"/>
        </w:rPr>
        <w:t>required</w:t>
      </w:r>
      <w:r w:rsidRPr="00275E01">
        <w:rPr>
          <w:rFonts w:cstheme="minorHAnsi"/>
          <w:color w:val="000000"/>
          <w:lang w:eastAsia="en-AU"/>
        </w:rPr>
        <w:t>’, ‘</w:t>
      </w:r>
      <w:r w:rsidRPr="00275E01">
        <w:rPr>
          <w:rFonts w:cstheme="minorHAnsi"/>
          <w:b/>
          <w:bCs/>
          <w:color w:val="000000"/>
          <w:lang w:eastAsia="en-AU"/>
        </w:rPr>
        <w:t>requires</w:t>
      </w:r>
      <w:r w:rsidRPr="00275E01">
        <w:rPr>
          <w:rFonts w:cstheme="minorHAnsi"/>
          <w:color w:val="000000"/>
          <w:lang w:eastAsia="en-AU"/>
        </w:rPr>
        <w:t>’ and ‘</w:t>
      </w:r>
      <w:r w:rsidRPr="00275E01">
        <w:rPr>
          <w:rFonts w:cstheme="minorHAnsi"/>
          <w:b/>
          <w:bCs/>
          <w:color w:val="000000"/>
          <w:lang w:eastAsia="en-AU"/>
        </w:rPr>
        <w:t>requiring</w:t>
      </w:r>
      <w:r w:rsidRPr="00275E01">
        <w:rPr>
          <w:rFonts w:cstheme="minorHAnsi"/>
          <w:color w:val="000000"/>
          <w:lang w:eastAsia="en-AU"/>
        </w:rPr>
        <w:t xml:space="preserve">’ denote mandatory compliance by accountable authorities/officials. The use of the words ‘could’, ‘may’, ‘encouraged’ or ‘consider’ convey non-mandatory guidance. The guidance to which these words relate may or may not be applied by accountable authorities/officials in their approach to resource management, depending on the operating circumstances of the entity and its appetite for risk. </w:t>
      </w:r>
    </w:p>
    <w:p w14:paraId="015C372C" w14:textId="77777777" w:rsidR="006F4A26" w:rsidRPr="00275E01" w:rsidRDefault="006F4A26" w:rsidP="006F4A26">
      <w:pPr>
        <w:spacing w:before="0" w:after="0" w:line="240" w:lineRule="auto"/>
        <w:rPr>
          <w:sz w:val="18"/>
        </w:rPr>
      </w:pPr>
    </w:p>
    <w:p w14:paraId="290E9621" w14:textId="77777777" w:rsidR="003E6098" w:rsidRDefault="003E6098" w:rsidP="003E6098"/>
    <w:p w14:paraId="2FA23E71" w14:textId="77777777" w:rsidR="003E6098" w:rsidRDefault="003E6098" w:rsidP="003E6098"/>
    <w:p w14:paraId="7E422F57" w14:textId="77777777" w:rsidR="003E6098" w:rsidRPr="00085714" w:rsidRDefault="003E6098" w:rsidP="003E6098">
      <w:pPr>
        <w:sectPr w:rsidR="003E6098" w:rsidRPr="00085714" w:rsidSect="009032F5">
          <w:headerReference w:type="default" r:id="rId17"/>
          <w:footerReference w:type="default" r:id="rId18"/>
          <w:headerReference w:type="first" r:id="rId19"/>
          <w:footerReference w:type="first" r:id="rId20"/>
          <w:pgSz w:w="11900" w:h="16840" w:code="9"/>
          <w:pgMar w:top="1247" w:right="1418" w:bottom="510" w:left="1418" w:header="510" w:footer="510" w:gutter="0"/>
          <w:cols w:space="708"/>
          <w:vAlign w:val="bottom"/>
          <w:titlePg/>
          <w:docGrid w:linePitch="360"/>
        </w:sectPr>
      </w:pPr>
    </w:p>
    <w:p w14:paraId="4C1F28F2" w14:textId="77777777" w:rsidR="00396E11" w:rsidRDefault="00396E11" w:rsidP="00396E11">
      <w:pPr>
        <w:spacing w:before="0" w:after="120" w:line="240" w:lineRule="auto"/>
        <w:rPr>
          <w:rFonts w:ascii="Arial" w:hAnsi="Arial" w:cs="Arial"/>
          <w:color w:val="92C5C5" w:themeColor="accent2"/>
          <w:sz w:val="42"/>
          <w:szCs w:val="42"/>
        </w:rPr>
      </w:pPr>
      <w:r w:rsidRPr="00E60A81">
        <w:rPr>
          <w:rFonts w:ascii="Arial" w:hAnsi="Arial" w:cs="Arial"/>
          <w:color w:val="92C5C5" w:themeColor="accent2"/>
          <w:sz w:val="42"/>
          <w:szCs w:val="42"/>
        </w:rPr>
        <w:lastRenderedPageBreak/>
        <w:t>Contents</w:t>
      </w:r>
    </w:p>
    <w:p w14:paraId="6272ADFE" w14:textId="77777777" w:rsidR="00E02371" w:rsidRPr="00E02371" w:rsidRDefault="00E02371" w:rsidP="00396E11">
      <w:pPr>
        <w:spacing w:before="0" w:after="120" w:line="240" w:lineRule="auto"/>
        <w:rPr>
          <w:rFonts w:ascii="Arial" w:hAnsi="Arial" w:cs="Arial"/>
          <w:color w:val="000000" w:themeColor="text1"/>
          <w:sz w:val="42"/>
          <w:szCs w:val="42"/>
        </w:rPr>
      </w:pPr>
    </w:p>
    <w:p w14:paraId="75837ADB" w14:textId="366B61DF" w:rsidR="003320BD" w:rsidRPr="003320BD" w:rsidRDefault="004301E4">
      <w:pPr>
        <w:pStyle w:val="TOC1"/>
        <w:rPr>
          <w:rFonts w:eastAsiaTheme="minorEastAsia" w:cstheme="minorBidi"/>
          <w:b w:val="0"/>
          <w:sz w:val="22"/>
          <w:u w:val="none"/>
          <w:lang w:eastAsia="en-AU"/>
        </w:rPr>
      </w:pPr>
      <w:r w:rsidRPr="003320BD">
        <w:rPr>
          <w:caps/>
          <w:sz w:val="20"/>
          <w:u w:val="none"/>
        </w:rPr>
        <w:fldChar w:fldCharType="begin"/>
      </w:r>
      <w:r w:rsidR="00396E11" w:rsidRPr="003320BD">
        <w:rPr>
          <w:caps/>
          <w:sz w:val="20"/>
          <w:u w:val="none"/>
        </w:rPr>
        <w:instrText xml:space="preserve"> TOC \o "1-3" \h \z \u </w:instrText>
      </w:r>
      <w:r w:rsidRPr="003320BD">
        <w:rPr>
          <w:caps/>
          <w:sz w:val="20"/>
          <w:u w:val="none"/>
        </w:rPr>
        <w:fldChar w:fldCharType="separate"/>
      </w:r>
    </w:p>
    <w:p w14:paraId="500D0DCE" w14:textId="037D5B4F" w:rsidR="003320BD" w:rsidRPr="003320BD" w:rsidRDefault="00D717BA">
      <w:pPr>
        <w:pStyle w:val="TOC1"/>
        <w:rPr>
          <w:rFonts w:eastAsiaTheme="minorEastAsia" w:cstheme="minorBidi"/>
          <w:b w:val="0"/>
          <w:sz w:val="22"/>
          <w:u w:val="none"/>
          <w:lang w:eastAsia="en-AU"/>
        </w:rPr>
      </w:pPr>
      <w:hyperlink w:anchor="_Toc468365671" w:history="1">
        <w:r w:rsidR="003320BD" w:rsidRPr="003320BD">
          <w:rPr>
            <w:rStyle w:val="Hyperlink"/>
            <w:u w:val="none"/>
          </w:rPr>
          <w:t>Audience</w:t>
        </w:r>
        <w:r w:rsidR="003320BD" w:rsidRPr="003320BD">
          <w:rPr>
            <w:webHidden/>
            <w:u w:val="none"/>
          </w:rPr>
          <w:tab/>
        </w:r>
        <w:r w:rsidR="003320BD" w:rsidRPr="003320BD">
          <w:rPr>
            <w:webHidden/>
            <w:u w:val="none"/>
          </w:rPr>
          <w:fldChar w:fldCharType="begin"/>
        </w:r>
        <w:r w:rsidR="003320BD" w:rsidRPr="003320BD">
          <w:rPr>
            <w:webHidden/>
            <w:u w:val="none"/>
          </w:rPr>
          <w:instrText xml:space="preserve"> PAGEREF _Toc468365671 \h </w:instrText>
        </w:r>
        <w:r w:rsidR="003320BD" w:rsidRPr="003320BD">
          <w:rPr>
            <w:webHidden/>
            <w:u w:val="none"/>
          </w:rPr>
        </w:r>
        <w:r w:rsidR="003320BD" w:rsidRPr="003320BD">
          <w:rPr>
            <w:webHidden/>
            <w:u w:val="none"/>
          </w:rPr>
          <w:fldChar w:fldCharType="separate"/>
        </w:r>
        <w:r w:rsidR="00395DD9">
          <w:rPr>
            <w:webHidden/>
            <w:u w:val="none"/>
          </w:rPr>
          <w:t>2</w:t>
        </w:r>
        <w:r w:rsidR="003320BD" w:rsidRPr="003320BD">
          <w:rPr>
            <w:webHidden/>
            <w:u w:val="none"/>
          </w:rPr>
          <w:fldChar w:fldCharType="end"/>
        </w:r>
      </w:hyperlink>
    </w:p>
    <w:p w14:paraId="1FD7878E" w14:textId="14737922" w:rsidR="003320BD" w:rsidRPr="003320BD" w:rsidRDefault="00D717BA">
      <w:pPr>
        <w:pStyle w:val="TOC2"/>
        <w:rPr>
          <w:rFonts w:eastAsiaTheme="minorEastAsia"/>
          <w:noProof/>
          <w:lang w:eastAsia="en-AU"/>
        </w:rPr>
      </w:pPr>
      <w:hyperlink w:anchor="_Toc468365672" w:history="1">
        <w:r w:rsidR="003320BD" w:rsidRPr="003320BD">
          <w:rPr>
            <w:rStyle w:val="Hyperlink"/>
            <w:noProof/>
            <w:u w:val="none"/>
          </w:rPr>
          <w:t>Related resources</w:t>
        </w:r>
        <w:r w:rsidR="003320BD" w:rsidRPr="003320BD">
          <w:rPr>
            <w:noProof/>
            <w:webHidden/>
          </w:rPr>
          <w:tab/>
        </w:r>
        <w:r w:rsidR="003320BD" w:rsidRPr="003320BD">
          <w:rPr>
            <w:noProof/>
            <w:webHidden/>
          </w:rPr>
          <w:fldChar w:fldCharType="begin"/>
        </w:r>
        <w:r w:rsidR="003320BD" w:rsidRPr="003320BD">
          <w:rPr>
            <w:noProof/>
            <w:webHidden/>
          </w:rPr>
          <w:instrText xml:space="preserve"> PAGEREF _Toc468365672 \h </w:instrText>
        </w:r>
        <w:r w:rsidR="003320BD" w:rsidRPr="003320BD">
          <w:rPr>
            <w:noProof/>
            <w:webHidden/>
          </w:rPr>
        </w:r>
        <w:r w:rsidR="003320BD" w:rsidRPr="003320BD">
          <w:rPr>
            <w:noProof/>
            <w:webHidden/>
          </w:rPr>
          <w:fldChar w:fldCharType="separate"/>
        </w:r>
        <w:r w:rsidR="00395DD9">
          <w:rPr>
            <w:noProof/>
            <w:webHidden/>
          </w:rPr>
          <w:t>2</w:t>
        </w:r>
        <w:r w:rsidR="003320BD" w:rsidRPr="003320BD">
          <w:rPr>
            <w:noProof/>
            <w:webHidden/>
          </w:rPr>
          <w:fldChar w:fldCharType="end"/>
        </w:r>
      </w:hyperlink>
    </w:p>
    <w:p w14:paraId="2A7825C2" w14:textId="2BAD2C37" w:rsidR="003320BD" w:rsidRPr="003320BD" w:rsidRDefault="00D717BA">
      <w:pPr>
        <w:pStyle w:val="TOC1"/>
        <w:rPr>
          <w:rFonts w:eastAsiaTheme="minorEastAsia" w:cstheme="minorBidi"/>
          <w:b w:val="0"/>
          <w:sz w:val="22"/>
          <w:u w:val="none"/>
          <w:lang w:eastAsia="en-AU"/>
        </w:rPr>
      </w:pPr>
      <w:hyperlink w:anchor="_Toc468365673" w:history="1">
        <w:r w:rsidR="003320BD" w:rsidRPr="003320BD">
          <w:rPr>
            <w:rStyle w:val="Hyperlink"/>
            <w:u w:val="none"/>
          </w:rPr>
          <w:t>Key points</w:t>
        </w:r>
        <w:r w:rsidR="003320BD" w:rsidRPr="003320BD">
          <w:rPr>
            <w:webHidden/>
            <w:u w:val="none"/>
          </w:rPr>
          <w:tab/>
        </w:r>
        <w:r w:rsidR="003320BD" w:rsidRPr="003320BD">
          <w:rPr>
            <w:webHidden/>
            <w:u w:val="none"/>
          </w:rPr>
          <w:fldChar w:fldCharType="begin"/>
        </w:r>
        <w:r w:rsidR="003320BD" w:rsidRPr="003320BD">
          <w:rPr>
            <w:webHidden/>
            <w:u w:val="none"/>
          </w:rPr>
          <w:instrText xml:space="preserve"> PAGEREF _Toc468365673 \h </w:instrText>
        </w:r>
        <w:r w:rsidR="003320BD" w:rsidRPr="003320BD">
          <w:rPr>
            <w:webHidden/>
            <w:u w:val="none"/>
          </w:rPr>
        </w:r>
        <w:r w:rsidR="003320BD" w:rsidRPr="003320BD">
          <w:rPr>
            <w:webHidden/>
            <w:u w:val="none"/>
          </w:rPr>
          <w:fldChar w:fldCharType="separate"/>
        </w:r>
        <w:r w:rsidR="00395DD9">
          <w:rPr>
            <w:webHidden/>
            <w:u w:val="none"/>
          </w:rPr>
          <w:t>2</w:t>
        </w:r>
        <w:r w:rsidR="003320BD" w:rsidRPr="003320BD">
          <w:rPr>
            <w:webHidden/>
            <w:u w:val="none"/>
          </w:rPr>
          <w:fldChar w:fldCharType="end"/>
        </w:r>
      </w:hyperlink>
    </w:p>
    <w:p w14:paraId="5E4D4EC7" w14:textId="079A002B" w:rsidR="003320BD" w:rsidRPr="003320BD" w:rsidRDefault="00D717BA">
      <w:pPr>
        <w:pStyle w:val="TOC1"/>
        <w:rPr>
          <w:rFonts w:eastAsiaTheme="minorEastAsia" w:cstheme="minorBidi"/>
          <w:b w:val="0"/>
          <w:sz w:val="22"/>
          <w:u w:val="none"/>
          <w:lang w:eastAsia="en-AU"/>
        </w:rPr>
      </w:pPr>
      <w:hyperlink w:anchor="_Toc468365674" w:history="1">
        <w:r w:rsidR="003320BD" w:rsidRPr="003320BD">
          <w:rPr>
            <w:rStyle w:val="Hyperlink"/>
            <w:u w:val="none"/>
          </w:rPr>
          <w:t>What is an indemnity?</w:t>
        </w:r>
        <w:r w:rsidR="003320BD" w:rsidRPr="003320BD">
          <w:rPr>
            <w:webHidden/>
            <w:u w:val="none"/>
          </w:rPr>
          <w:tab/>
        </w:r>
        <w:r w:rsidR="003320BD" w:rsidRPr="003320BD">
          <w:rPr>
            <w:webHidden/>
            <w:u w:val="none"/>
          </w:rPr>
          <w:fldChar w:fldCharType="begin"/>
        </w:r>
        <w:r w:rsidR="003320BD" w:rsidRPr="003320BD">
          <w:rPr>
            <w:webHidden/>
            <w:u w:val="none"/>
          </w:rPr>
          <w:instrText xml:space="preserve"> PAGEREF _Toc468365674 \h </w:instrText>
        </w:r>
        <w:r w:rsidR="003320BD" w:rsidRPr="003320BD">
          <w:rPr>
            <w:webHidden/>
            <w:u w:val="none"/>
          </w:rPr>
        </w:r>
        <w:r w:rsidR="003320BD" w:rsidRPr="003320BD">
          <w:rPr>
            <w:webHidden/>
            <w:u w:val="none"/>
          </w:rPr>
          <w:fldChar w:fldCharType="separate"/>
        </w:r>
        <w:r w:rsidR="00395DD9">
          <w:rPr>
            <w:webHidden/>
            <w:u w:val="none"/>
          </w:rPr>
          <w:t>3</w:t>
        </w:r>
        <w:r w:rsidR="003320BD" w:rsidRPr="003320BD">
          <w:rPr>
            <w:webHidden/>
            <w:u w:val="none"/>
          </w:rPr>
          <w:fldChar w:fldCharType="end"/>
        </w:r>
      </w:hyperlink>
    </w:p>
    <w:p w14:paraId="56D41730" w14:textId="738F54B0" w:rsidR="003320BD" w:rsidRPr="003320BD" w:rsidRDefault="00D717BA">
      <w:pPr>
        <w:pStyle w:val="TOC2"/>
        <w:rPr>
          <w:rFonts w:eastAsiaTheme="minorEastAsia"/>
          <w:noProof/>
          <w:lang w:eastAsia="en-AU"/>
        </w:rPr>
      </w:pPr>
      <w:hyperlink w:anchor="_Toc468365675" w:history="1">
        <w:r w:rsidR="003320BD" w:rsidRPr="003320BD">
          <w:rPr>
            <w:rStyle w:val="Hyperlink"/>
            <w:noProof/>
            <w:u w:val="none"/>
          </w:rPr>
          <w:t>Why grant an indemnity to another person?</w:t>
        </w:r>
        <w:r w:rsidR="003320BD" w:rsidRPr="003320BD">
          <w:rPr>
            <w:noProof/>
            <w:webHidden/>
          </w:rPr>
          <w:tab/>
        </w:r>
        <w:r w:rsidR="003320BD" w:rsidRPr="003320BD">
          <w:rPr>
            <w:noProof/>
            <w:webHidden/>
          </w:rPr>
          <w:fldChar w:fldCharType="begin"/>
        </w:r>
        <w:r w:rsidR="003320BD" w:rsidRPr="003320BD">
          <w:rPr>
            <w:noProof/>
            <w:webHidden/>
          </w:rPr>
          <w:instrText xml:space="preserve"> PAGEREF _Toc468365675 \h </w:instrText>
        </w:r>
        <w:r w:rsidR="003320BD" w:rsidRPr="003320BD">
          <w:rPr>
            <w:noProof/>
            <w:webHidden/>
          </w:rPr>
        </w:r>
        <w:r w:rsidR="003320BD" w:rsidRPr="003320BD">
          <w:rPr>
            <w:noProof/>
            <w:webHidden/>
          </w:rPr>
          <w:fldChar w:fldCharType="separate"/>
        </w:r>
        <w:r w:rsidR="00395DD9">
          <w:rPr>
            <w:noProof/>
            <w:webHidden/>
          </w:rPr>
          <w:t>3</w:t>
        </w:r>
        <w:r w:rsidR="003320BD" w:rsidRPr="003320BD">
          <w:rPr>
            <w:noProof/>
            <w:webHidden/>
          </w:rPr>
          <w:fldChar w:fldCharType="end"/>
        </w:r>
      </w:hyperlink>
    </w:p>
    <w:p w14:paraId="218A5FAF" w14:textId="09F921B9" w:rsidR="003320BD" w:rsidRPr="003320BD" w:rsidRDefault="00D717BA">
      <w:pPr>
        <w:pStyle w:val="TOC2"/>
        <w:rPr>
          <w:rFonts w:eastAsiaTheme="minorEastAsia"/>
          <w:noProof/>
          <w:lang w:eastAsia="en-AU"/>
        </w:rPr>
      </w:pPr>
      <w:hyperlink w:anchor="_Toc468365676" w:history="1">
        <w:r w:rsidR="003320BD" w:rsidRPr="003320BD">
          <w:rPr>
            <w:rStyle w:val="Hyperlink"/>
            <w:noProof/>
            <w:u w:val="none"/>
          </w:rPr>
          <w:t>Does a liability cap create a contingent liability?</w:t>
        </w:r>
        <w:r w:rsidR="003320BD" w:rsidRPr="003320BD">
          <w:rPr>
            <w:noProof/>
            <w:webHidden/>
          </w:rPr>
          <w:tab/>
        </w:r>
        <w:r w:rsidR="003320BD" w:rsidRPr="003320BD">
          <w:rPr>
            <w:noProof/>
            <w:webHidden/>
          </w:rPr>
          <w:fldChar w:fldCharType="begin"/>
        </w:r>
        <w:r w:rsidR="003320BD" w:rsidRPr="003320BD">
          <w:rPr>
            <w:noProof/>
            <w:webHidden/>
          </w:rPr>
          <w:instrText xml:space="preserve"> PAGEREF _Toc468365676 \h </w:instrText>
        </w:r>
        <w:r w:rsidR="003320BD" w:rsidRPr="003320BD">
          <w:rPr>
            <w:noProof/>
            <w:webHidden/>
          </w:rPr>
        </w:r>
        <w:r w:rsidR="003320BD" w:rsidRPr="003320BD">
          <w:rPr>
            <w:noProof/>
            <w:webHidden/>
          </w:rPr>
          <w:fldChar w:fldCharType="separate"/>
        </w:r>
        <w:r w:rsidR="00395DD9">
          <w:rPr>
            <w:noProof/>
            <w:webHidden/>
          </w:rPr>
          <w:t>4</w:t>
        </w:r>
        <w:r w:rsidR="003320BD" w:rsidRPr="003320BD">
          <w:rPr>
            <w:noProof/>
            <w:webHidden/>
          </w:rPr>
          <w:fldChar w:fldCharType="end"/>
        </w:r>
      </w:hyperlink>
    </w:p>
    <w:p w14:paraId="54858ED8" w14:textId="5840E27B" w:rsidR="003320BD" w:rsidRPr="003320BD" w:rsidRDefault="00D717BA">
      <w:pPr>
        <w:pStyle w:val="TOC1"/>
        <w:rPr>
          <w:rFonts w:eastAsiaTheme="minorEastAsia" w:cstheme="minorBidi"/>
          <w:b w:val="0"/>
          <w:sz w:val="22"/>
          <w:u w:val="none"/>
          <w:lang w:eastAsia="en-AU"/>
        </w:rPr>
      </w:pPr>
      <w:hyperlink w:anchor="_Toc468365677" w:history="1">
        <w:r w:rsidR="003320BD" w:rsidRPr="003320BD">
          <w:rPr>
            <w:rStyle w:val="Hyperlink"/>
            <w:u w:val="none"/>
          </w:rPr>
          <w:t>What must be considered before granting an indemnity?</w:t>
        </w:r>
        <w:r w:rsidR="003320BD" w:rsidRPr="003320BD">
          <w:rPr>
            <w:webHidden/>
            <w:u w:val="none"/>
          </w:rPr>
          <w:tab/>
        </w:r>
        <w:r w:rsidR="003320BD" w:rsidRPr="003320BD">
          <w:rPr>
            <w:webHidden/>
            <w:u w:val="none"/>
          </w:rPr>
          <w:fldChar w:fldCharType="begin"/>
        </w:r>
        <w:r w:rsidR="003320BD" w:rsidRPr="003320BD">
          <w:rPr>
            <w:webHidden/>
            <w:u w:val="none"/>
          </w:rPr>
          <w:instrText xml:space="preserve"> PAGEREF _Toc468365677 \h </w:instrText>
        </w:r>
        <w:r w:rsidR="003320BD" w:rsidRPr="003320BD">
          <w:rPr>
            <w:webHidden/>
            <w:u w:val="none"/>
          </w:rPr>
        </w:r>
        <w:r w:rsidR="003320BD" w:rsidRPr="003320BD">
          <w:rPr>
            <w:webHidden/>
            <w:u w:val="none"/>
          </w:rPr>
          <w:fldChar w:fldCharType="separate"/>
        </w:r>
        <w:r w:rsidR="00395DD9">
          <w:rPr>
            <w:webHidden/>
            <w:u w:val="none"/>
          </w:rPr>
          <w:t>4</w:t>
        </w:r>
        <w:r w:rsidR="003320BD" w:rsidRPr="003320BD">
          <w:rPr>
            <w:webHidden/>
            <w:u w:val="none"/>
          </w:rPr>
          <w:fldChar w:fldCharType="end"/>
        </w:r>
      </w:hyperlink>
    </w:p>
    <w:p w14:paraId="22C5DF3E" w14:textId="6ABFD76D" w:rsidR="003320BD" w:rsidRPr="003320BD" w:rsidRDefault="00D717BA">
      <w:pPr>
        <w:pStyle w:val="TOC2"/>
        <w:rPr>
          <w:rFonts w:eastAsiaTheme="minorEastAsia"/>
          <w:noProof/>
          <w:lang w:eastAsia="en-AU"/>
        </w:rPr>
      </w:pPr>
      <w:hyperlink w:anchor="_Toc468365678" w:history="1">
        <w:r w:rsidR="003320BD" w:rsidRPr="003320BD">
          <w:rPr>
            <w:rStyle w:val="Hyperlink"/>
            <w:noProof/>
            <w:u w:val="none"/>
          </w:rPr>
          <w:t>When does Comcover need to be notified of a proposed indemnity?</w:t>
        </w:r>
        <w:r w:rsidR="003320BD" w:rsidRPr="003320BD">
          <w:rPr>
            <w:noProof/>
            <w:webHidden/>
          </w:rPr>
          <w:tab/>
        </w:r>
        <w:r w:rsidR="003320BD" w:rsidRPr="003320BD">
          <w:rPr>
            <w:noProof/>
            <w:webHidden/>
          </w:rPr>
          <w:fldChar w:fldCharType="begin"/>
        </w:r>
        <w:r w:rsidR="003320BD" w:rsidRPr="003320BD">
          <w:rPr>
            <w:noProof/>
            <w:webHidden/>
          </w:rPr>
          <w:instrText xml:space="preserve"> PAGEREF _Toc468365678 \h </w:instrText>
        </w:r>
        <w:r w:rsidR="003320BD" w:rsidRPr="003320BD">
          <w:rPr>
            <w:noProof/>
            <w:webHidden/>
          </w:rPr>
        </w:r>
        <w:r w:rsidR="003320BD" w:rsidRPr="003320BD">
          <w:rPr>
            <w:noProof/>
            <w:webHidden/>
          </w:rPr>
          <w:fldChar w:fldCharType="separate"/>
        </w:r>
        <w:r w:rsidR="00395DD9">
          <w:rPr>
            <w:noProof/>
            <w:webHidden/>
          </w:rPr>
          <w:t>6</w:t>
        </w:r>
        <w:r w:rsidR="003320BD" w:rsidRPr="003320BD">
          <w:rPr>
            <w:noProof/>
            <w:webHidden/>
          </w:rPr>
          <w:fldChar w:fldCharType="end"/>
        </w:r>
      </w:hyperlink>
    </w:p>
    <w:p w14:paraId="1C122125" w14:textId="285C7636" w:rsidR="003320BD" w:rsidRPr="003320BD" w:rsidRDefault="00D717BA">
      <w:pPr>
        <w:pStyle w:val="TOC1"/>
        <w:rPr>
          <w:rFonts w:eastAsiaTheme="minorEastAsia" w:cstheme="minorBidi"/>
          <w:b w:val="0"/>
          <w:sz w:val="22"/>
          <w:u w:val="none"/>
          <w:lang w:eastAsia="en-AU"/>
        </w:rPr>
      </w:pPr>
      <w:hyperlink w:anchor="_Toc468365679" w:history="1">
        <w:r w:rsidR="003320BD" w:rsidRPr="003320BD">
          <w:rPr>
            <w:rStyle w:val="Hyperlink"/>
            <w:u w:val="none"/>
          </w:rPr>
          <w:t>Who can grant an indemnity?</w:t>
        </w:r>
        <w:r w:rsidR="003320BD" w:rsidRPr="003320BD">
          <w:rPr>
            <w:webHidden/>
            <w:u w:val="none"/>
          </w:rPr>
          <w:tab/>
        </w:r>
        <w:r w:rsidR="003320BD" w:rsidRPr="003320BD">
          <w:rPr>
            <w:webHidden/>
            <w:u w:val="none"/>
          </w:rPr>
          <w:fldChar w:fldCharType="begin"/>
        </w:r>
        <w:r w:rsidR="003320BD" w:rsidRPr="003320BD">
          <w:rPr>
            <w:webHidden/>
            <w:u w:val="none"/>
          </w:rPr>
          <w:instrText xml:space="preserve"> PAGEREF _Toc468365679 \h </w:instrText>
        </w:r>
        <w:r w:rsidR="003320BD" w:rsidRPr="003320BD">
          <w:rPr>
            <w:webHidden/>
            <w:u w:val="none"/>
          </w:rPr>
        </w:r>
        <w:r w:rsidR="003320BD" w:rsidRPr="003320BD">
          <w:rPr>
            <w:webHidden/>
            <w:u w:val="none"/>
          </w:rPr>
          <w:fldChar w:fldCharType="separate"/>
        </w:r>
        <w:r w:rsidR="00395DD9">
          <w:rPr>
            <w:webHidden/>
            <w:u w:val="none"/>
          </w:rPr>
          <w:t>6</w:t>
        </w:r>
        <w:r w:rsidR="003320BD" w:rsidRPr="003320BD">
          <w:rPr>
            <w:webHidden/>
            <w:u w:val="none"/>
          </w:rPr>
          <w:fldChar w:fldCharType="end"/>
        </w:r>
      </w:hyperlink>
    </w:p>
    <w:p w14:paraId="7E8E5730" w14:textId="072E9B9C" w:rsidR="003320BD" w:rsidRPr="003320BD" w:rsidRDefault="00D717BA">
      <w:pPr>
        <w:pStyle w:val="TOC2"/>
        <w:rPr>
          <w:rFonts w:eastAsiaTheme="minorEastAsia"/>
          <w:noProof/>
          <w:lang w:eastAsia="en-AU"/>
        </w:rPr>
      </w:pPr>
      <w:hyperlink w:anchor="_Toc468365680" w:history="1">
        <w:r w:rsidR="003320BD" w:rsidRPr="003320BD">
          <w:rPr>
            <w:rStyle w:val="Hyperlink"/>
            <w:noProof/>
            <w:u w:val="none"/>
          </w:rPr>
          <w:t>When can a delegate (or sub-delegate) grant an indemnity?</w:t>
        </w:r>
        <w:r w:rsidR="003320BD" w:rsidRPr="003320BD">
          <w:rPr>
            <w:noProof/>
            <w:webHidden/>
          </w:rPr>
          <w:tab/>
        </w:r>
        <w:r w:rsidR="003320BD" w:rsidRPr="003320BD">
          <w:rPr>
            <w:noProof/>
            <w:webHidden/>
          </w:rPr>
          <w:fldChar w:fldCharType="begin"/>
        </w:r>
        <w:r w:rsidR="003320BD" w:rsidRPr="003320BD">
          <w:rPr>
            <w:noProof/>
            <w:webHidden/>
          </w:rPr>
          <w:instrText xml:space="preserve"> PAGEREF _Toc468365680 \h </w:instrText>
        </w:r>
        <w:r w:rsidR="003320BD" w:rsidRPr="003320BD">
          <w:rPr>
            <w:noProof/>
            <w:webHidden/>
          </w:rPr>
        </w:r>
        <w:r w:rsidR="003320BD" w:rsidRPr="003320BD">
          <w:rPr>
            <w:noProof/>
            <w:webHidden/>
          </w:rPr>
          <w:fldChar w:fldCharType="separate"/>
        </w:r>
        <w:r w:rsidR="00395DD9">
          <w:rPr>
            <w:noProof/>
            <w:webHidden/>
          </w:rPr>
          <w:t>6</w:t>
        </w:r>
        <w:r w:rsidR="003320BD" w:rsidRPr="003320BD">
          <w:rPr>
            <w:noProof/>
            <w:webHidden/>
          </w:rPr>
          <w:fldChar w:fldCharType="end"/>
        </w:r>
      </w:hyperlink>
    </w:p>
    <w:p w14:paraId="35B3C8F8" w14:textId="25AD24A4" w:rsidR="003320BD" w:rsidRPr="003320BD" w:rsidRDefault="00D717BA">
      <w:pPr>
        <w:pStyle w:val="TOC2"/>
        <w:rPr>
          <w:rFonts w:eastAsiaTheme="minorEastAsia"/>
          <w:noProof/>
          <w:lang w:eastAsia="en-AU"/>
        </w:rPr>
      </w:pPr>
      <w:hyperlink w:anchor="_Toc468365681" w:history="1">
        <w:r w:rsidR="003320BD" w:rsidRPr="003320BD">
          <w:rPr>
            <w:rStyle w:val="Hyperlink"/>
            <w:noProof/>
            <w:u w:val="none"/>
          </w:rPr>
          <w:t>How can an indemnity be granted, if it is beyond the scope of the delegation?</w:t>
        </w:r>
        <w:r w:rsidR="003320BD" w:rsidRPr="003320BD">
          <w:rPr>
            <w:noProof/>
            <w:webHidden/>
          </w:rPr>
          <w:tab/>
        </w:r>
        <w:r w:rsidR="003320BD" w:rsidRPr="003320BD">
          <w:rPr>
            <w:noProof/>
            <w:webHidden/>
          </w:rPr>
          <w:fldChar w:fldCharType="begin"/>
        </w:r>
        <w:r w:rsidR="003320BD" w:rsidRPr="003320BD">
          <w:rPr>
            <w:noProof/>
            <w:webHidden/>
          </w:rPr>
          <w:instrText xml:space="preserve"> PAGEREF _Toc468365681 \h </w:instrText>
        </w:r>
        <w:r w:rsidR="003320BD" w:rsidRPr="003320BD">
          <w:rPr>
            <w:noProof/>
            <w:webHidden/>
          </w:rPr>
          <w:fldChar w:fldCharType="separate"/>
        </w:r>
        <w:r w:rsidR="00395DD9">
          <w:rPr>
            <w:b/>
            <w:bCs/>
            <w:noProof/>
            <w:webHidden/>
            <w:lang w:val="en-US"/>
          </w:rPr>
          <w:t>Error! Bookmark not defined.</w:t>
        </w:r>
        <w:r w:rsidR="003320BD" w:rsidRPr="003320BD">
          <w:rPr>
            <w:noProof/>
            <w:webHidden/>
          </w:rPr>
          <w:fldChar w:fldCharType="end"/>
        </w:r>
      </w:hyperlink>
    </w:p>
    <w:p w14:paraId="4D31A7BC" w14:textId="475DC617" w:rsidR="003320BD" w:rsidRPr="003320BD" w:rsidRDefault="00D717BA">
      <w:pPr>
        <w:pStyle w:val="TOC2"/>
        <w:rPr>
          <w:rFonts w:eastAsiaTheme="minorEastAsia"/>
          <w:noProof/>
          <w:lang w:eastAsia="en-AU"/>
        </w:rPr>
      </w:pPr>
      <w:hyperlink w:anchor="_Toc468365682" w:history="1">
        <w:r w:rsidR="003320BD" w:rsidRPr="003320BD">
          <w:rPr>
            <w:rStyle w:val="Hyperlink"/>
            <w:noProof/>
            <w:u w:val="none"/>
          </w:rPr>
          <w:t>What amounts to explicit agreement by Cabinet or the Prime Minister?</w:t>
        </w:r>
        <w:r w:rsidR="003320BD" w:rsidRPr="003320BD">
          <w:rPr>
            <w:noProof/>
            <w:webHidden/>
          </w:rPr>
          <w:tab/>
        </w:r>
        <w:r w:rsidR="003320BD" w:rsidRPr="003320BD">
          <w:rPr>
            <w:noProof/>
            <w:webHidden/>
          </w:rPr>
          <w:fldChar w:fldCharType="begin"/>
        </w:r>
        <w:r w:rsidR="003320BD" w:rsidRPr="003320BD">
          <w:rPr>
            <w:noProof/>
            <w:webHidden/>
          </w:rPr>
          <w:instrText xml:space="preserve"> PAGEREF _Toc468365682 \h </w:instrText>
        </w:r>
        <w:r w:rsidR="003320BD" w:rsidRPr="003320BD">
          <w:rPr>
            <w:noProof/>
            <w:webHidden/>
          </w:rPr>
        </w:r>
        <w:r w:rsidR="003320BD" w:rsidRPr="003320BD">
          <w:rPr>
            <w:noProof/>
            <w:webHidden/>
          </w:rPr>
          <w:fldChar w:fldCharType="separate"/>
        </w:r>
        <w:r w:rsidR="00395DD9">
          <w:rPr>
            <w:noProof/>
            <w:webHidden/>
          </w:rPr>
          <w:t>7</w:t>
        </w:r>
        <w:r w:rsidR="003320BD" w:rsidRPr="003320BD">
          <w:rPr>
            <w:noProof/>
            <w:webHidden/>
          </w:rPr>
          <w:fldChar w:fldCharType="end"/>
        </w:r>
      </w:hyperlink>
    </w:p>
    <w:p w14:paraId="04FCC8BE" w14:textId="5BDF41C3" w:rsidR="003320BD" w:rsidRPr="003320BD" w:rsidRDefault="00D717BA">
      <w:pPr>
        <w:pStyle w:val="TOC2"/>
        <w:rPr>
          <w:rFonts w:eastAsiaTheme="minorEastAsia"/>
          <w:noProof/>
          <w:lang w:eastAsia="en-AU"/>
        </w:rPr>
      </w:pPr>
      <w:hyperlink w:anchor="_Toc468365683" w:history="1">
        <w:r w:rsidR="003320BD" w:rsidRPr="003320BD">
          <w:rPr>
            <w:rStyle w:val="Hyperlink"/>
            <w:noProof/>
            <w:u w:val="none"/>
          </w:rPr>
          <w:t>How to ask the Finance Minister to grant an indemnity?</w:t>
        </w:r>
        <w:r w:rsidR="003320BD" w:rsidRPr="003320BD">
          <w:rPr>
            <w:noProof/>
            <w:webHidden/>
          </w:rPr>
          <w:tab/>
        </w:r>
        <w:r w:rsidR="003320BD" w:rsidRPr="003320BD">
          <w:rPr>
            <w:noProof/>
            <w:webHidden/>
          </w:rPr>
          <w:fldChar w:fldCharType="begin"/>
        </w:r>
        <w:r w:rsidR="003320BD" w:rsidRPr="003320BD">
          <w:rPr>
            <w:noProof/>
            <w:webHidden/>
          </w:rPr>
          <w:instrText xml:space="preserve"> PAGEREF _Toc468365683 \h </w:instrText>
        </w:r>
        <w:r w:rsidR="003320BD" w:rsidRPr="003320BD">
          <w:rPr>
            <w:noProof/>
            <w:webHidden/>
          </w:rPr>
        </w:r>
        <w:r w:rsidR="003320BD" w:rsidRPr="003320BD">
          <w:rPr>
            <w:noProof/>
            <w:webHidden/>
          </w:rPr>
          <w:fldChar w:fldCharType="separate"/>
        </w:r>
        <w:r w:rsidR="00395DD9">
          <w:rPr>
            <w:noProof/>
            <w:webHidden/>
          </w:rPr>
          <w:t>7</w:t>
        </w:r>
        <w:r w:rsidR="003320BD" w:rsidRPr="003320BD">
          <w:rPr>
            <w:noProof/>
            <w:webHidden/>
          </w:rPr>
          <w:fldChar w:fldCharType="end"/>
        </w:r>
      </w:hyperlink>
    </w:p>
    <w:p w14:paraId="70ADD4A5" w14:textId="2E67E09B" w:rsidR="003320BD" w:rsidRPr="003320BD" w:rsidRDefault="00D717BA">
      <w:pPr>
        <w:pStyle w:val="TOC1"/>
        <w:rPr>
          <w:rFonts w:eastAsiaTheme="minorEastAsia" w:cstheme="minorBidi"/>
          <w:b w:val="0"/>
          <w:sz w:val="22"/>
          <w:u w:val="none"/>
          <w:lang w:eastAsia="en-AU"/>
        </w:rPr>
      </w:pPr>
      <w:hyperlink w:anchor="_Toc468365684" w:history="1">
        <w:r w:rsidR="003320BD" w:rsidRPr="003320BD">
          <w:rPr>
            <w:rStyle w:val="Hyperlink"/>
            <w:u w:val="none"/>
          </w:rPr>
          <w:t>Who is responsible for managing an indemnity?</w:t>
        </w:r>
        <w:r w:rsidR="003320BD" w:rsidRPr="003320BD">
          <w:rPr>
            <w:webHidden/>
            <w:u w:val="none"/>
          </w:rPr>
          <w:tab/>
        </w:r>
        <w:r w:rsidR="003320BD" w:rsidRPr="003320BD">
          <w:rPr>
            <w:webHidden/>
            <w:u w:val="none"/>
          </w:rPr>
          <w:fldChar w:fldCharType="begin"/>
        </w:r>
        <w:r w:rsidR="003320BD" w:rsidRPr="003320BD">
          <w:rPr>
            <w:webHidden/>
            <w:u w:val="none"/>
          </w:rPr>
          <w:instrText xml:space="preserve"> PAGEREF _Toc468365684 \h </w:instrText>
        </w:r>
        <w:r w:rsidR="003320BD" w:rsidRPr="003320BD">
          <w:rPr>
            <w:webHidden/>
            <w:u w:val="none"/>
          </w:rPr>
        </w:r>
        <w:r w:rsidR="003320BD" w:rsidRPr="003320BD">
          <w:rPr>
            <w:webHidden/>
            <w:u w:val="none"/>
          </w:rPr>
          <w:fldChar w:fldCharType="separate"/>
        </w:r>
        <w:r w:rsidR="00395DD9">
          <w:rPr>
            <w:webHidden/>
            <w:u w:val="none"/>
          </w:rPr>
          <w:t>9</w:t>
        </w:r>
        <w:r w:rsidR="003320BD" w:rsidRPr="003320BD">
          <w:rPr>
            <w:webHidden/>
            <w:u w:val="none"/>
          </w:rPr>
          <w:fldChar w:fldCharType="end"/>
        </w:r>
      </w:hyperlink>
    </w:p>
    <w:p w14:paraId="57C3C3E9" w14:textId="1014FE80" w:rsidR="003320BD" w:rsidRPr="003320BD" w:rsidRDefault="00D717BA">
      <w:pPr>
        <w:pStyle w:val="TOC2"/>
        <w:rPr>
          <w:rFonts w:eastAsiaTheme="minorEastAsia"/>
          <w:noProof/>
          <w:lang w:eastAsia="en-AU"/>
        </w:rPr>
      </w:pPr>
      <w:hyperlink w:anchor="_Toc468365685" w:history="1">
        <w:r w:rsidR="003320BD" w:rsidRPr="003320BD">
          <w:rPr>
            <w:rStyle w:val="Hyperlink"/>
            <w:noProof/>
            <w:u w:val="none"/>
          </w:rPr>
          <w:t>Do indemnities need to be reported?</w:t>
        </w:r>
        <w:r w:rsidR="003320BD" w:rsidRPr="003320BD">
          <w:rPr>
            <w:noProof/>
            <w:webHidden/>
          </w:rPr>
          <w:tab/>
        </w:r>
        <w:r w:rsidR="003320BD" w:rsidRPr="003320BD">
          <w:rPr>
            <w:noProof/>
            <w:webHidden/>
          </w:rPr>
          <w:fldChar w:fldCharType="begin"/>
        </w:r>
        <w:r w:rsidR="003320BD" w:rsidRPr="003320BD">
          <w:rPr>
            <w:noProof/>
            <w:webHidden/>
          </w:rPr>
          <w:instrText xml:space="preserve"> PAGEREF _Toc468365685 \h </w:instrText>
        </w:r>
        <w:r w:rsidR="003320BD" w:rsidRPr="003320BD">
          <w:rPr>
            <w:noProof/>
            <w:webHidden/>
          </w:rPr>
        </w:r>
        <w:r w:rsidR="003320BD" w:rsidRPr="003320BD">
          <w:rPr>
            <w:noProof/>
            <w:webHidden/>
          </w:rPr>
          <w:fldChar w:fldCharType="separate"/>
        </w:r>
        <w:r w:rsidR="00395DD9">
          <w:rPr>
            <w:noProof/>
            <w:webHidden/>
          </w:rPr>
          <w:t>9</w:t>
        </w:r>
        <w:r w:rsidR="003320BD" w:rsidRPr="003320BD">
          <w:rPr>
            <w:noProof/>
            <w:webHidden/>
          </w:rPr>
          <w:fldChar w:fldCharType="end"/>
        </w:r>
      </w:hyperlink>
    </w:p>
    <w:p w14:paraId="0C3FB929" w14:textId="53CF6C40" w:rsidR="003320BD" w:rsidRPr="003320BD" w:rsidRDefault="00D717BA">
      <w:pPr>
        <w:pStyle w:val="TOC1"/>
        <w:rPr>
          <w:rFonts w:eastAsiaTheme="minorEastAsia" w:cstheme="minorBidi"/>
          <w:b w:val="0"/>
          <w:sz w:val="22"/>
          <w:u w:val="none"/>
          <w:lang w:eastAsia="en-AU"/>
        </w:rPr>
      </w:pPr>
      <w:hyperlink w:anchor="_Toc468365686" w:history="1">
        <w:r w:rsidR="003320BD" w:rsidRPr="003320BD">
          <w:rPr>
            <w:rStyle w:val="Hyperlink"/>
            <w:u w:val="none"/>
          </w:rPr>
          <w:t>Appendix — Indemnity grant request form</w:t>
        </w:r>
        <w:r w:rsidR="003320BD" w:rsidRPr="003320BD">
          <w:rPr>
            <w:webHidden/>
            <w:u w:val="none"/>
          </w:rPr>
          <w:tab/>
        </w:r>
        <w:r w:rsidR="003320BD" w:rsidRPr="003320BD">
          <w:rPr>
            <w:webHidden/>
            <w:u w:val="none"/>
          </w:rPr>
          <w:fldChar w:fldCharType="begin"/>
        </w:r>
        <w:r w:rsidR="003320BD" w:rsidRPr="003320BD">
          <w:rPr>
            <w:webHidden/>
            <w:u w:val="none"/>
          </w:rPr>
          <w:instrText xml:space="preserve"> PAGEREF _Toc468365686 \h </w:instrText>
        </w:r>
        <w:r w:rsidR="003320BD" w:rsidRPr="003320BD">
          <w:rPr>
            <w:webHidden/>
            <w:u w:val="none"/>
          </w:rPr>
        </w:r>
        <w:r w:rsidR="003320BD" w:rsidRPr="003320BD">
          <w:rPr>
            <w:webHidden/>
            <w:u w:val="none"/>
          </w:rPr>
          <w:fldChar w:fldCharType="separate"/>
        </w:r>
        <w:r w:rsidR="00395DD9">
          <w:rPr>
            <w:webHidden/>
            <w:u w:val="none"/>
          </w:rPr>
          <w:t>11</w:t>
        </w:r>
        <w:r w:rsidR="003320BD" w:rsidRPr="003320BD">
          <w:rPr>
            <w:webHidden/>
            <w:u w:val="none"/>
          </w:rPr>
          <w:fldChar w:fldCharType="end"/>
        </w:r>
      </w:hyperlink>
    </w:p>
    <w:p w14:paraId="786ECAA9" w14:textId="5AC93F05" w:rsidR="00396E11" w:rsidRPr="003320BD" w:rsidRDefault="004301E4" w:rsidP="00396E11">
      <w:r w:rsidRPr="003320BD">
        <w:rPr>
          <w:rFonts w:ascii="Calibri" w:hAnsi="Calibri"/>
          <w:b/>
          <w:bCs/>
          <w:caps/>
          <w:sz w:val="20"/>
          <w:szCs w:val="24"/>
        </w:rPr>
        <w:fldChar w:fldCharType="end"/>
      </w:r>
      <w:r w:rsidR="00396E11" w:rsidRPr="003320BD">
        <w:br w:type="page"/>
      </w:r>
    </w:p>
    <w:p w14:paraId="4D61A8A2" w14:textId="77777777" w:rsidR="00396E11" w:rsidRPr="00D2728F" w:rsidRDefault="00396E11" w:rsidP="0046056E">
      <w:pPr>
        <w:pStyle w:val="Heading1"/>
      </w:pPr>
      <w:bookmarkStart w:id="4" w:name="_Toc462156017"/>
      <w:bookmarkStart w:id="5" w:name="_Toc462158389"/>
      <w:bookmarkStart w:id="6" w:name="_Toc462158444"/>
      <w:bookmarkStart w:id="7" w:name="_Toc462158497"/>
      <w:bookmarkStart w:id="8" w:name="_Toc462158567"/>
      <w:bookmarkStart w:id="9" w:name="_Toc462158687"/>
      <w:bookmarkStart w:id="10" w:name="_Toc468365671"/>
      <w:bookmarkStart w:id="11" w:name="Audience"/>
      <w:r w:rsidRPr="00D2728F">
        <w:lastRenderedPageBreak/>
        <w:t>Audience</w:t>
      </w:r>
      <w:bookmarkEnd w:id="4"/>
      <w:bookmarkEnd w:id="5"/>
      <w:bookmarkEnd w:id="6"/>
      <w:bookmarkEnd w:id="7"/>
      <w:bookmarkEnd w:id="8"/>
      <w:bookmarkEnd w:id="9"/>
      <w:bookmarkEnd w:id="10"/>
    </w:p>
    <w:bookmarkEnd w:id="11"/>
    <w:p w14:paraId="368F36C7" w14:textId="77777777" w:rsidR="005949BD" w:rsidRDefault="00861FBE" w:rsidP="005949BD">
      <w:r w:rsidRPr="00861FBE">
        <w:t xml:space="preserve">This </w:t>
      </w:r>
      <w:r w:rsidR="005949BD">
        <w:t>guide is relevant to officials in non-corporate Commonwealth entities (NCEs) who:</w:t>
      </w:r>
    </w:p>
    <w:p w14:paraId="2F3547A9" w14:textId="77777777" w:rsidR="005949BD" w:rsidRDefault="005949BD" w:rsidP="005949BD">
      <w:pPr>
        <w:pStyle w:val="Bullet1"/>
      </w:pPr>
      <w:r>
        <w:t xml:space="preserve">have been sub-delegated by their accountable authority the power to grant an indemnity, guarantee or warranty </w:t>
      </w:r>
      <w:r w:rsidR="00A77540">
        <w:t>on behalf of</w:t>
      </w:r>
      <w:r>
        <w:t xml:space="preserve"> the Commonwealth </w:t>
      </w:r>
    </w:p>
    <w:p w14:paraId="2A0AF04B" w14:textId="77777777" w:rsidR="00A77540" w:rsidRDefault="005949BD" w:rsidP="008C39DC">
      <w:pPr>
        <w:pStyle w:val="Bullet1"/>
      </w:pPr>
      <w:r>
        <w:t>need to brief their accountable authority about an indemnity, guarantee or warranty or</w:t>
      </w:r>
      <w:r w:rsidR="00B21962">
        <w:t xml:space="preserve"> </w:t>
      </w:r>
    </w:p>
    <w:p w14:paraId="00B1352E" w14:textId="77777777" w:rsidR="00396E11" w:rsidRPr="00861FBE" w:rsidRDefault="005949BD" w:rsidP="008C39DC">
      <w:pPr>
        <w:pStyle w:val="Bullet1"/>
      </w:pPr>
      <w:proofErr w:type="gramStart"/>
      <w:r>
        <w:t>request</w:t>
      </w:r>
      <w:proofErr w:type="gramEnd"/>
      <w:r>
        <w:t xml:space="preserve"> the Finance Minister grant an indemnity, guarantee or warranty.</w:t>
      </w:r>
    </w:p>
    <w:p w14:paraId="17CB0B9D" w14:textId="77777777" w:rsidR="00F62922" w:rsidRPr="00C5547B" w:rsidRDefault="00F62922" w:rsidP="00F62922">
      <w:pPr>
        <w:pStyle w:val="Heading2"/>
      </w:pPr>
      <w:bookmarkStart w:id="12" w:name="_Toc462156019"/>
      <w:bookmarkStart w:id="13" w:name="_Toc462158391"/>
      <w:bookmarkStart w:id="14" w:name="_Toc462158446"/>
      <w:bookmarkStart w:id="15" w:name="_Toc462158499"/>
      <w:bookmarkStart w:id="16" w:name="_Toc462158569"/>
      <w:bookmarkStart w:id="17" w:name="_Toc462158689"/>
      <w:bookmarkStart w:id="18" w:name="_Toc468365672"/>
      <w:bookmarkStart w:id="19" w:name="_Toc390678609"/>
      <w:bookmarkStart w:id="20" w:name="_Toc390678658"/>
      <w:bookmarkStart w:id="21" w:name="_Toc462156018"/>
      <w:bookmarkStart w:id="22" w:name="_Toc462158390"/>
      <w:bookmarkStart w:id="23" w:name="_Toc462158445"/>
      <w:bookmarkStart w:id="24" w:name="_Toc462158498"/>
      <w:bookmarkStart w:id="25" w:name="_Toc462158568"/>
      <w:bookmarkStart w:id="26" w:name="_Toc462158688"/>
      <w:r>
        <w:t>Related resources</w:t>
      </w:r>
      <w:bookmarkEnd w:id="12"/>
      <w:bookmarkEnd w:id="13"/>
      <w:bookmarkEnd w:id="14"/>
      <w:bookmarkEnd w:id="15"/>
      <w:bookmarkEnd w:id="16"/>
      <w:bookmarkEnd w:id="17"/>
      <w:bookmarkEnd w:id="18"/>
    </w:p>
    <w:p w14:paraId="21CC4FA3" w14:textId="77777777" w:rsidR="00F62922" w:rsidRDefault="00D717BA" w:rsidP="008438FD">
      <w:pPr>
        <w:pStyle w:val="Bullet2"/>
        <w:numPr>
          <w:ilvl w:val="1"/>
          <w:numId w:val="29"/>
        </w:numPr>
      </w:pPr>
      <w:hyperlink r:id="rId21" w:history="1">
        <w:r w:rsidR="00F62922">
          <w:rPr>
            <w:rStyle w:val="Hyperlink"/>
            <w:rFonts w:cstheme="minorBidi"/>
          </w:rPr>
          <w:t>PGPA</w:t>
        </w:r>
        <w:r w:rsidR="00F62922" w:rsidRPr="00B21962">
          <w:rPr>
            <w:rStyle w:val="Hyperlink"/>
            <w:rFonts w:cstheme="minorBidi"/>
          </w:rPr>
          <w:t xml:space="preserve"> (Finance Minister to Accountable Authorities of </w:t>
        </w:r>
        <w:r w:rsidR="00F62922">
          <w:rPr>
            <w:rStyle w:val="Hyperlink"/>
            <w:rFonts w:cstheme="minorBidi"/>
          </w:rPr>
          <w:t>NCEs</w:t>
        </w:r>
        <w:r w:rsidR="00F62922" w:rsidRPr="00B21962">
          <w:rPr>
            <w:rStyle w:val="Hyperlink"/>
            <w:rFonts w:cstheme="minorBidi"/>
          </w:rPr>
          <w:t>) Delegation 2014</w:t>
        </w:r>
      </w:hyperlink>
      <w:r w:rsidR="00F62922">
        <w:t xml:space="preserve"> </w:t>
      </w:r>
    </w:p>
    <w:p w14:paraId="3617D7F6" w14:textId="77777777" w:rsidR="00F62922" w:rsidRDefault="00D717BA" w:rsidP="008438FD">
      <w:pPr>
        <w:pStyle w:val="Bullet2"/>
        <w:numPr>
          <w:ilvl w:val="1"/>
          <w:numId w:val="29"/>
        </w:numPr>
      </w:pPr>
      <w:hyperlink r:id="rId22" w:history="1">
        <w:r w:rsidR="00F62922" w:rsidRPr="00FE24EF">
          <w:rPr>
            <w:rStyle w:val="Hyperlink"/>
            <w:rFonts w:cstheme="minorBidi"/>
          </w:rPr>
          <w:t>RMG 203: General duties of officials</w:t>
        </w:r>
      </w:hyperlink>
    </w:p>
    <w:p w14:paraId="4BC4D79A" w14:textId="77777777" w:rsidR="00F62922" w:rsidRDefault="00D717BA" w:rsidP="008438FD">
      <w:pPr>
        <w:pStyle w:val="Bullet2"/>
        <w:numPr>
          <w:ilvl w:val="1"/>
          <w:numId w:val="29"/>
        </w:numPr>
      </w:pPr>
      <w:hyperlink r:id="rId23" w:history="1">
        <w:r w:rsidR="00F62922" w:rsidRPr="00FE24EF">
          <w:rPr>
            <w:rStyle w:val="Hyperlink"/>
            <w:rFonts w:cstheme="minorBidi"/>
          </w:rPr>
          <w:t>RMG 206: Model Accountable Authority Instructions – Non-Corporate Commonwealth Entities</w:t>
        </w:r>
      </w:hyperlink>
    </w:p>
    <w:p w14:paraId="5990039D" w14:textId="77777777" w:rsidR="00F62922" w:rsidRDefault="00D717BA" w:rsidP="008438FD">
      <w:pPr>
        <w:pStyle w:val="Bullet2"/>
        <w:numPr>
          <w:ilvl w:val="1"/>
          <w:numId w:val="29"/>
        </w:numPr>
      </w:pPr>
      <w:hyperlink r:id="rId24" w:history="1">
        <w:r w:rsidR="00F62922" w:rsidRPr="00FE24EF">
          <w:rPr>
            <w:rStyle w:val="Hyperlink"/>
            <w:rFonts w:cstheme="minorBidi"/>
          </w:rPr>
          <w:t xml:space="preserve">RMG 400: </w:t>
        </w:r>
        <w:r w:rsidR="00F62922">
          <w:rPr>
            <w:rStyle w:val="Hyperlink"/>
            <w:rFonts w:cstheme="minorBidi"/>
          </w:rPr>
          <w:t>C</w:t>
        </w:r>
        <w:r w:rsidR="00F62922" w:rsidRPr="00FE24EF">
          <w:rPr>
            <w:rStyle w:val="Hyperlink"/>
            <w:rFonts w:cstheme="minorBidi"/>
          </w:rPr>
          <w:t>ommitments of relevant money</w:t>
        </w:r>
      </w:hyperlink>
    </w:p>
    <w:p w14:paraId="04E7819E" w14:textId="77777777" w:rsidR="00F62922" w:rsidRDefault="00D717BA" w:rsidP="008438FD">
      <w:pPr>
        <w:pStyle w:val="Bullet2"/>
        <w:numPr>
          <w:ilvl w:val="1"/>
          <w:numId w:val="29"/>
        </w:numPr>
      </w:pPr>
      <w:hyperlink r:id="rId25" w:history="1">
        <w:r w:rsidR="00F62922" w:rsidRPr="00753A86">
          <w:rPr>
            <w:rStyle w:val="Hyperlink"/>
            <w:rFonts w:cstheme="minorBidi"/>
          </w:rPr>
          <w:t>Commonwealth Risk Management Policy</w:t>
        </w:r>
      </w:hyperlink>
    </w:p>
    <w:p w14:paraId="2951E793" w14:textId="77777777" w:rsidR="00396E11" w:rsidRPr="00C5547B" w:rsidRDefault="00396E11" w:rsidP="00396E11">
      <w:pPr>
        <w:pStyle w:val="Heading1"/>
      </w:pPr>
      <w:bookmarkStart w:id="27" w:name="_Toc468365673"/>
      <w:r>
        <w:t>Key points</w:t>
      </w:r>
      <w:bookmarkEnd w:id="19"/>
      <w:bookmarkEnd w:id="20"/>
      <w:bookmarkEnd w:id="21"/>
      <w:bookmarkEnd w:id="22"/>
      <w:bookmarkEnd w:id="23"/>
      <w:bookmarkEnd w:id="24"/>
      <w:bookmarkEnd w:id="25"/>
      <w:bookmarkEnd w:id="26"/>
      <w:bookmarkEnd w:id="27"/>
    </w:p>
    <w:p w14:paraId="462DBF48" w14:textId="4ECC1EE5" w:rsidR="007E10B5" w:rsidRDefault="00C248B6" w:rsidP="008C37C1">
      <w:pPr>
        <w:pStyle w:val="Bullet1"/>
      </w:pPr>
      <w:bookmarkStart w:id="28" w:name="_Toc390678610"/>
      <w:bookmarkStart w:id="29" w:name="_Toc390678659"/>
      <w:r>
        <w:t>Delegated o</w:t>
      </w:r>
      <w:r w:rsidR="00A7631A">
        <w:t xml:space="preserve">fficials of </w:t>
      </w:r>
      <w:r w:rsidR="007E10B5">
        <w:t xml:space="preserve">NCEs can enter </w:t>
      </w:r>
      <w:r w:rsidR="00A7631A">
        <w:t xml:space="preserve">into </w:t>
      </w:r>
      <w:r w:rsidR="007E10B5">
        <w:t>arrangements that provide indemnities, guarantees and warranties (collectively referred to as indemnities)</w:t>
      </w:r>
      <w:r w:rsidR="001732E4">
        <w:t xml:space="preserve"> </w:t>
      </w:r>
      <w:r w:rsidR="00A77540">
        <w:t xml:space="preserve">on behalf of the Commonwealth </w:t>
      </w:r>
      <w:r w:rsidR="001732E4">
        <w:t>to other parties</w:t>
      </w:r>
      <w:r w:rsidR="009A2DD0">
        <w:t>,</w:t>
      </w:r>
      <w:r w:rsidR="00A77540">
        <w:t xml:space="preserve"> subject to the limitations in </w:t>
      </w:r>
      <w:r w:rsidR="001732E4">
        <w:t>the PGPA Act</w:t>
      </w:r>
      <w:r w:rsidR="00556868">
        <w:t>.</w:t>
      </w:r>
      <w:r w:rsidR="001732E4">
        <w:t xml:space="preserve"> </w:t>
      </w:r>
      <w:r w:rsidR="007E10B5">
        <w:t xml:space="preserve"> </w:t>
      </w:r>
    </w:p>
    <w:p w14:paraId="640FFA11" w14:textId="2BC5044D" w:rsidR="005356A0" w:rsidRDefault="008C37C1" w:rsidP="00A77540">
      <w:pPr>
        <w:pStyle w:val="Bullet2"/>
      </w:pPr>
      <w:r>
        <w:t xml:space="preserve">Indemnities are </w:t>
      </w:r>
      <w:r w:rsidR="008438FD">
        <w:t>legally enforceable obligations</w:t>
      </w:r>
      <w:r w:rsidR="008438FD">
        <w:t xml:space="preserve"> that create </w:t>
      </w:r>
      <w:r w:rsidRPr="00240607">
        <w:rPr>
          <w:i/>
        </w:rPr>
        <w:t>contingent liabilities</w:t>
      </w:r>
      <w:r>
        <w:t xml:space="preserve"> (i.e. they may give rise to a liability on the occurren</w:t>
      </w:r>
      <w:r w:rsidR="008438FD">
        <w:t>ce of a future event)</w:t>
      </w:r>
      <w:r>
        <w:t xml:space="preserve">. </w:t>
      </w:r>
    </w:p>
    <w:p w14:paraId="53F95CA7" w14:textId="502AAD4D" w:rsidR="00D04B9A" w:rsidRDefault="00D04B9A" w:rsidP="005949BD">
      <w:pPr>
        <w:pStyle w:val="Bullet1"/>
      </w:pPr>
      <w:r w:rsidRPr="00D04B9A">
        <w:t xml:space="preserve">The </w:t>
      </w:r>
      <w:r w:rsidR="00A7631A">
        <w:t xml:space="preserve">PGPA Act enables the </w:t>
      </w:r>
      <w:r w:rsidRPr="00D04B9A">
        <w:t xml:space="preserve">Finance Minister </w:t>
      </w:r>
      <w:r w:rsidR="00836F35">
        <w:t>to</w:t>
      </w:r>
      <w:r w:rsidRPr="00D04B9A">
        <w:t xml:space="preserve"> grant</w:t>
      </w:r>
      <w:r w:rsidRPr="006E2DED">
        <w:t xml:space="preserve"> indemnities</w:t>
      </w:r>
      <w:r w:rsidRPr="00D04B9A">
        <w:t xml:space="preserve"> on behalf of the Commonwealth (</w:t>
      </w:r>
      <w:hyperlink r:id="rId26" w:history="1">
        <w:r w:rsidRPr="00C26B50">
          <w:rPr>
            <w:rStyle w:val="Hyperlink"/>
            <w:rFonts w:cstheme="minorBidi"/>
          </w:rPr>
          <w:t>section 60</w:t>
        </w:r>
      </w:hyperlink>
      <w:r w:rsidRPr="00D04B9A">
        <w:t xml:space="preserve">). </w:t>
      </w:r>
      <w:r w:rsidR="00A7631A">
        <w:t>T</w:t>
      </w:r>
      <w:r w:rsidRPr="00D04B9A">
        <w:t>his power</w:t>
      </w:r>
      <w:r w:rsidR="00A7631A">
        <w:t xml:space="preserve"> has been delegated</w:t>
      </w:r>
      <w:r w:rsidRPr="00D04B9A">
        <w:t xml:space="preserve">, with directions limiting its </w:t>
      </w:r>
      <w:r w:rsidR="009A2DD0">
        <w:t>use</w:t>
      </w:r>
      <w:r w:rsidRPr="00D04B9A">
        <w:t xml:space="preserve">, to accountable authorities of NCEs (Schedule 1, Part 6 of the </w:t>
      </w:r>
      <w:hyperlink r:id="rId27" w:history="1">
        <w:r w:rsidR="00A77540">
          <w:rPr>
            <w:rStyle w:val="Hyperlink"/>
            <w:rFonts w:cstheme="minorBidi"/>
          </w:rPr>
          <w:t>Finance Minister’s d</w:t>
        </w:r>
        <w:r w:rsidRPr="00D04B9A">
          <w:rPr>
            <w:rStyle w:val="Hyperlink"/>
            <w:rFonts w:cstheme="minorBidi"/>
          </w:rPr>
          <w:t>elegation</w:t>
        </w:r>
        <w:r w:rsidR="00A77540">
          <w:rPr>
            <w:rStyle w:val="Hyperlink"/>
            <w:rFonts w:cstheme="minorBidi"/>
          </w:rPr>
          <w:t>s</w:t>
        </w:r>
      </w:hyperlink>
      <w:r w:rsidRPr="00D04B9A">
        <w:rPr>
          <w:u w:val="single"/>
        </w:rPr>
        <w:t>)</w:t>
      </w:r>
      <w:r w:rsidR="00740BE1">
        <w:rPr>
          <w:u w:val="single"/>
        </w:rPr>
        <w:t>.</w:t>
      </w:r>
    </w:p>
    <w:p w14:paraId="1E442059" w14:textId="283C2445" w:rsidR="006D5A57" w:rsidRPr="004D49DC" w:rsidRDefault="00DB4B34" w:rsidP="006D5A57">
      <w:pPr>
        <w:pStyle w:val="Bullet1"/>
      </w:pPr>
      <w:r w:rsidRPr="00DB4B34">
        <w:t xml:space="preserve">An accountable authority </w:t>
      </w:r>
      <w:r w:rsidR="004A4B0F">
        <w:t>can</w:t>
      </w:r>
      <w:r w:rsidRPr="00DB4B34">
        <w:t xml:space="preserve"> sub-delegate this power, with written limitations that </w:t>
      </w:r>
      <w:r w:rsidR="004A4B0F">
        <w:t xml:space="preserve">are consistent with </w:t>
      </w:r>
      <w:r w:rsidRPr="00DB4B34">
        <w:t>the limits in the Finance Minister’s delegation, to officials of their own entity, or</w:t>
      </w:r>
      <w:r w:rsidR="00C00CC3">
        <w:t xml:space="preserve"> official</w:t>
      </w:r>
      <w:r w:rsidR="00A77540">
        <w:t>s</w:t>
      </w:r>
      <w:r w:rsidR="00C00CC3">
        <w:t xml:space="preserve"> of another NCE</w:t>
      </w:r>
      <w:r w:rsidRPr="00DB4B34">
        <w:t>.</w:t>
      </w:r>
      <w:r w:rsidR="006D5A57" w:rsidRPr="006D5A57">
        <w:t xml:space="preserve"> </w:t>
      </w:r>
      <w:r w:rsidR="006D5A57">
        <w:t>A sub-</w:t>
      </w:r>
      <w:r w:rsidR="006D5A57" w:rsidRPr="00836F35">
        <w:t>delegate must also</w:t>
      </w:r>
      <w:r w:rsidR="006D5A57">
        <w:t xml:space="preserve"> </w:t>
      </w:r>
      <w:r w:rsidR="006D5A57" w:rsidRPr="004D49DC">
        <w:t xml:space="preserve">comply with any </w:t>
      </w:r>
      <w:r w:rsidR="006D5A57">
        <w:t xml:space="preserve">other </w:t>
      </w:r>
      <w:r w:rsidR="006D5A57" w:rsidRPr="004D49DC">
        <w:t>directions of the accountable aut</w:t>
      </w:r>
      <w:r w:rsidR="006D5A57">
        <w:t>hority</w:t>
      </w:r>
      <w:r w:rsidR="006D5A57" w:rsidRPr="004D49DC">
        <w:t xml:space="preserve">. </w:t>
      </w:r>
    </w:p>
    <w:p w14:paraId="50F98CE7" w14:textId="265CBD73" w:rsidR="00A264E5" w:rsidRDefault="009A2DD0" w:rsidP="00D421B6">
      <w:pPr>
        <w:pStyle w:val="Bullet1"/>
      </w:pPr>
      <w:r>
        <w:t>The delegation from the Finance Minister requires that</w:t>
      </w:r>
      <w:r w:rsidR="00EB778D">
        <w:t xml:space="preserve"> </w:t>
      </w:r>
      <w:r>
        <w:t>a</w:t>
      </w:r>
      <w:r w:rsidR="004A4B0F">
        <w:t>n official who is</w:t>
      </w:r>
      <w:r w:rsidR="004D49DC" w:rsidRPr="004D49DC">
        <w:t xml:space="preserve"> delegate</w:t>
      </w:r>
      <w:r w:rsidR="004A4B0F">
        <w:t>d</w:t>
      </w:r>
      <w:r w:rsidR="004D49DC" w:rsidRPr="004D49DC">
        <w:t xml:space="preserve"> </w:t>
      </w:r>
      <w:r w:rsidR="004A4B0F">
        <w:t>the power to enter indemnities</w:t>
      </w:r>
      <w:r w:rsidR="00A264E5">
        <w:t xml:space="preserve"> must consider two overarching principles:</w:t>
      </w:r>
    </w:p>
    <w:p w14:paraId="149CE10D" w14:textId="246C8BE2" w:rsidR="00A264E5" w:rsidRDefault="00A264E5" w:rsidP="00A264E5">
      <w:pPr>
        <w:pStyle w:val="Bullet2"/>
      </w:pPr>
      <w:r>
        <w:t>that risks should be borne by the party best placed to manage them; and</w:t>
      </w:r>
    </w:p>
    <w:p w14:paraId="014E4765" w14:textId="6FA57D90" w:rsidR="00A264E5" w:rsidRDefault="00A264E5" w:rsidP="00A264E5">
      <w:pPr>
        <w:pStyle w:val="Bullet2"/>
      </w:pPr>
      <w:proofErr w:type="gramStart"/>
      <w:r>
        <w:t>benefits</w:t>
      </w:r>
      <w:proofErr w:type="gramEnd"/>
      <w:r>
        <w:t xml:space="preserve"> to the Commonwealth should outweigh the risks involved.</w:t>
      </w:r>
    </w:p>
    <w:p w14:paraId="4658C08C" w14:textId="0E46904F" w:rsidR="004D49DC" w:rsidRPr="004D49DC" w:rsidRDefault="00A264E5" w:rsidP="004D49DC">
      <w:pPr>
        <w:pStyle w:val="Bullet1"/>
      </w:pPr>
      <w:r w:rsidRPr="004D49DC">
        <w:t>A</w:t>
      </w:r>
      <w:r>
        <w:t xml:space="preserve">n official </w:t>
      </w:r>
      <w:r w:rsidR="00A77540">
        <w:t>can</w:t>
      </w:r>
      <w:r w:rsidR="004D49DC" w:rsidRPr="004D49DC">
        <w:t xml:space="preserve"> only grant an indemnity, guarantee or warranty involving a contingent liability in relation to an event on behalf of the Commonwealth, if</w:t>
      </w:r>
      <w:r w:rsidR="00740BE1" w:rsidRPr="00740BE1">
        <w:t xml:space="preserve"> </w:t>
      </w:r>
      <w:r w:rsidR="00740BE1" w:rsidRPr="004D49DC">
        <w:t>the delegate is satisfied that</w:t>
      </w:r>
      <w:r w:rsidR="004D49DC" w:rsidRPr="004D49DC">
        <w:t xml:space="preserve">: </w:t>
      </w:r>
    </w:p>
    <w:p w14:paraId="55DFA6D4" w14:textId="2BF39D08" w:rsidR="004D49DC" w:rsidRPr="004D49DC" w:rsidRDefault="004D49DC" w:rsidP="006E2DED">
      <w:pPr>
        <w:pStyle w:val="Bullet2"/>
      </w:pPr>
      <w:r w:rsidRPr="004D49DC">
        <w:t>the likelihood of the event occurring is remote, i.e. it has a less than 5% chance of occurring</w:t>
      </w:r>
      <w:r w:rsidR="00EB778D">
        <w:t>;</w:t>
      </w:r>
      <w:r w:rsidRPr="004D49DC">
        <w:t xml:space="preserve"> and </w:t>
      </w:r>
    </w:p>
    <w:p w14:paraId="00100968" w14:textId="77777777" w:rsidR="004D49DC" w:rsidRDefault="004D49DC" w:rsidP="006E2DED">
      <w:pPr>
        <w:pStyle w:val="Bullet2"/>
      </w:pPr>
      <w:proofErr w:type="gramStart"/>
      <w:r w:rsidRPr="004D49DC">
        <w:t>the</w:t>
      </w:r>
      <w:proofErr w:type="gramEnd"/>
      <w:r w:rsidRPr="004D49DC">
        <w:t xml:space="preserve"> most probable expenditure if the event occurred is not significant, i.e. it would be less than $30 million.</w:t>
      </w:r>
    </w:p>
    <w:p w14:paraId="2F9CD643" w14:textId="4C7C06E3" w:rsidR="00A264E5" w:rsidRPr="004D49DC" w:rsidRDefault="002B5C6A" w:rsidP="003320BD">
      <w:pPr>
        <w:pStyle w:val="Bullet1"/>
        <w:keepNext/>
        <w:keepLines/>
      </w:pPr>
      <w:r>
        <w:lastRenderedPageBreak/>
        <w:t xml:space="preserve">If an indemnity is beyond </w:t>
      </w:r>
      <w:r w:rsidR="008438FD">
        <w:t>these thresholds</w:t>
      </w:r>
      <w:r>
        <w:t>, a</w:t>
      </w:r>
      <w:r w:rsidR="008438FD">
        <w:t xml:space="preserve"> delegate can grant an </w:t>
      </w:r>
      <w:r w:rsidR="008C37C1" w:rsidRPr="008C37C1">
        <w:t xml:space="preserve">indemnity </w:t>
      </w:r>
      <w:r>
        <w:t xml:space="preserve">on behalf of the Commonwealth </w:t>
      </w:r>
      <w:r w:rsidR="008C37C1" w:rsidRPr="008C37C1">
        <w:t xml:space="preserve">if it has been </w:t>
      </w:r>
      <w:r w:rsidR="008438FD">
        <w:t xml:space="preserve">explicitly </w:t>
      </w:r>
      <w:r w:rsidR="008C37C1" w:rsidRPr="008C37C1">
        <w:t>agreed in a decision of</w:t>
      </w:r>
      <w:r w:rsidR="00A264E5">
        <w:t xml:space="preserve"> </w:t>
      </w:r>
      <w:r w:rsidR="008C37C1" w:rsidRPr="008C37C1">
        <w:t>Cabinet</w:t>
      </w:r>
      <w:r w:rsidR="006D66FA">
        <w:t xml:space="preserve">, </w:t>
      </w:r>
      <w:r w:rsidR="008C37C1" w:rsidRPr="008C37C1">
        <w:t>the National Security Committee of Cabinet (NSC) or its successor or</w:t>
      </w:r>
      <w:r w:rsidR="006D66FA">
        <w:t xml:space="preserve"> </w:t>
      </w:r>
      <w:r w:rsidR="006D66FA" w:rsidRPr="008C37C1">
        <w:t>the Prime Minister</w:t>
      </w:r>
      <w:r w:rsidR="006D66FA">
        <w:t xml:space="preserve">, or a written determination of the </w:t>
      </w:r>
      <w:r w:rsidR="006D66FA" w:rsidRPr="008C37C1">
        <w:t>Finance Minister</w:t>
      </w:r>
      <w:r w:rsidR="006D66FA">
        <w:t>.</w:t>
      </w:r>
    </w:p>
    <w:p w14:paraId="62347C11" w14:textId="7A198948" w:rsidR="00D04B9A" w:rsidRDefault="00D04B9A" w:rsidP="004822FD">
      <w:pPr>
        <w:pStyle w:val="Heading1"/>
        <w:shd w:val="clear" w:color="auto" w:fill="BDDCDF" w:themeFill="accent1"/>
      </w:pPr>
      <w:bookmarkStart w:id="30" w:name="_Toc468365674"/>
      <w:bookmarkEnd w:id="28"/>
      <w:bookmarkEnd w:id="29"/>
      <w:r w:rsidRPr="00240607">
        <w:t>W</w:t>
      </w:r>
      <w:r w:rsidR="00C64EFA">
        <w:t xml:space="preserve">hat is a Commonwealth </w:t>
      </w:r>
      <w:r>
        <w:t>indemnit</w:t>
      </w:r>
      <w:r w:rsidRPr="00240607">
        <w:t>y?</w:t>
      </w:r>
      <w:bookmarkEnd w:id="30"/>
    </w:p>
    <w:p w14:paraId="12889250" w14:textId="38885A6C" w:rsidR="00D04B9A" w:rsidRPr="008F5FE8" w:rsidRDefault="00D04B9A" w:rsidP="00764BAC">
      <w:pPr>
        <w:pStyle w:val="NumberedList1"/>
        <w:keepNext/>
        <w:keepLines/>
        <w:ind w:left="426" w:hanging="426"/>
      </w:pPr>
      <w:r w:rsidRPr="008F5FE8">
        <w:t xml:space="preserve">Indemnities </w:t>
      </w:r>
      <w:r w:rsidR="00C64EFA" w:rsidRPr="008F5FE8">
        <w:t xml:space="preserve">given by the Commonwealth create </w:t>
      </w:r>
      <w:r w:rsidRPr="008F5FE8">
        <w:rPr>
          <w:i/>
        </w:rPr>
        <w:t>contingent liabilities</w:t>
      </w:r>
      <w:r w:rsidRPr="008F5FE8">
        <w:t xml:space="preserve"> (i.e. they may give rise to a liability on the occurrence of a future event)</w:t>
      </w:r>
      <w:r w:rsidR="00C64EFA" w:rsidRPr="008F5FE8">
        <w:t xml:space="preserve">. They </w:t>
      </w:r>
      <w:r w:rsidRPr="008F5FE8">
        <w:t>are legally enforceable obligations</w:t>
      </w:r>
      <w:r w:rsidR="00C64EFA" w:rsidRPr="008F5FE8">
        <w:t xml:space="preserve"> </w:t>
      </w:r>
      <w:r w:rsidRPr="008F5FE8">
        <w:t xml:space="preserve"> included in contractual arrangements between </w:t>
      </w:r>
      <w:r w:rsidR="00C64EFA" w:rsidRPr="008F5FE8">
        <w:t xml:space="preserve">the Commonwealth </w:t>
      </w:r>
      <w:r w:rsidRPr="008F5FE8">
        <w:t>and another party:</w:t>
      </w:r>
    </w:p>
    <w:p w14:paraId="1C61BD63" w14:textId="77777777" w:rsidR="00D04B9A" w:rsidRDefault="00D04B9A" w:rsidP="008438FD">
      <w:pPr>
        <w:pStyle w:val="NumberedList1"/>
        <w:numPr>
          <w:ilvl w:val="0"/>
          <w:numId w:val="21"/>
        </w:numPr>
      </w:pPr>
      <w:r>
        <w:t xml:space="preserve">an </w:t>
      </w:r>
      <w:r w:rsidRPr="00240607">
        <w:rPr>
          <w:b/>
        </w:rPr>
        <w:t>indemnity</w:t>
      </w:r>
      <w:r>
        <w:t xml:space="preserve"> is a legally binding promise whereby the Commonwealth undertakes to accept the risk of loss or damage another party may suffer</w:t>
      </w:r>
    </w:p>
    <w:p w14:paraId="6CAB4CE3" w14:textId="77777777" w:rsidR="00D04B9A" w:rsidRDefault="00D04B9A" w:rsidP="008438FD">
      <w:pPr>
        <w:pStyle w:val="NumberedList1"/>
        <w:numPr>
          <w:ilvl w:val="0"/>
          <w:numId w:val="21"/>
        </w:numPr>
      </w:pPr>
      <w:r>
        <w:t xml:space="preserve">a </w:t>
      </w:r>
      <w:r w:rsidRPr="00240607">
        <w:rPr>
          <w:b/>
        </w:rPr>
        <w:t xml:space="preserve">guarantee </w:t>
      </w:r>
      <w:r>
        <w:t>is a promise whereby the Commonwealth assumes responsibility for the debt, or performance obligations of, another party on default of its obligation</w:t>
      </w:r>
    </w:p>
    <w:p w14:paraId="02B19D13" w14:textId="77777777" w:rsidR="00D04B9A" w:rsidRDefault="00D04B9A" w:rsidP="008438FD">
      <w:pPr>
        <w:pStyle w:val="NumberedList1"/>
        <w:numPr>
          <w:ilvl w:val="0"/>
          <w:numId w:val="21"/>
        </w:numPr>
      </w:pPr>
      <w:proofErr w:type="gramStart"/>
      <w:r>
        <w:t>a</w:t>
      </w:r>
      <w:proofErr w:type="gramEnd"/>
      <w:r>
        <w:t xml:space="preserve"> </w:t>
      </w:r>
      <w:r w:rsidRPr="00240607">
        <w:rPr>
          <w:b/>
        </w:rPr>
        <w:t>warranty</w:t>
      </w:r>
      <w:r w:rsidRPr="00240607">
        <w:t xml:space="preserve"> </w:t>
      </w:r>
      <w:r>
        <w:t xml:space="preserve">is a promise whereby the Commonwealth provides certain assurances to the other party to an arrangement. </w:t>
      </w:r>
    </w:p>
    <w:p w14:paraId="72E39813" w14:textId="3FF0891D" w:rsidR="00D04B9A" w:rsidRDefault="00D04B9A" w:rsidP="00764BAC">
      <w:pPr>
        <w:pStyle w:val="NumberedList1"/>
        <w:ind w:left="426" w:hanging="426"/>
      </w:pPr>
      <w:r>
        <w:t>The following cases</w:t>
      </w:r>
      <w:r w:rsidRPr="007C3578">
        <w:t xml:space="preserve"> </w:t>
      </w:r>
      <w:r>
        <w:t>are not indemnities, i.e. the Commonwealth is making a representation to another party that do</w:t>
      </w:r>
      <w:r w:rsidR="006D5A57">
        <w:t>es</w:t>
      </w:r>
      <w:r>
        <w:t xml:space="preserve"> not create a contingent liability:</w:t>
      </w:r>
    </w:p>
    <w:p w14:paraId="204DF742" w14:textId="77777777" w:rsidR="00D04B9A" w:rsidRDefault="00D04B9A" w:rsidP="008438FD">
      <w:pPr>
        <w:pStyle w:val="NumberedList1"/>
        <w:numPr>
          <w:ilvl w:val="0"/>
          <w:numId w:val="20"/>
        </w:numPr>
      </w:pPr>
      <w:r>
        <w:t>an NCE agrees to reimburse another party for expenses that person incurs in the ordinary course of providing services to the Commonwealth</w:t>
      </w:r>
    </w:p>
    <w:p w14:paraId="6A136E2C" w14:textId="77777777" w:rsidR="00D04B9A" w:rsidRDefault="00D04B9A" w:rsidP="008438FD">
      <w:pPr>
        <w:pStyle w:val="NumberedList1"/>
        <w:numPr>
          <w:ilvl w:val="0"/>
          <w:numId w:val="20"/>
        </w:numPr>
      </w:pPr>
      <w:proofErr w:type="gramStart"/>
      <w:r>
        <w:t>the</w:t>
      </w:r>
      <w:proofErr w:type="gramEnd"/>
      <w:r>
        <w:t xml:space="preserve"> Commonwealth warrants that it has title to property that was the subject of sale agreement, or that it is authorised to enter into a transaction.</w:t>
      </w:r>
    </w:p>
    <w:p w14:paraId="06768DF7" w14:textId="7842BADA" w:rsidR="00D04B9A" w:rsidRDefault="00D04B9A" w:rsidP="00764BAC">
      <w:pPr>
        <w:pStyle w:val="NumberedList1"/>
        <w:ind w:left="426" w:hanging="426"/>
      </w:pPr>
      <w:r>
        <w:t>The Commonwealth can enter into arrangements involving a contingent liability with any party other than itself. That is, NCEs cannot enter into these types of arrangements with other NCEs (as they are part of the same legal entity). NCEs may enter into such arrangements with corporate Commonwealth entities due to their separate legal personality from the Commonwealth</w:t>
      </w:r>
      <w:r w:rsidRPr="00240607">
        <w:t>.</w:t>
      </w:r>
    </w:p>
    <w:p w14:paraId="0D30F980" w14:textId="2D4D78E5" w:rsidR="00D04B9A" w:rsidRDefault="00D04B9A" w:rsidP="00764BAC">
      <w:pPr>
        <w:pStyle w:val="NumberedList1"/>
        <w:ind w:left="426" w:hanging="426"/>
      </w:pPr>
      <w:r>
        <w:t xml:space="preserve">If an arrangement does not explicitly allocate liability between the parties, each party’s liability may be determined at general law. To create greater certainty and/or allocate liability, a liability regime may be agreed in a contract. If an NCE grants an </w:t>
      </w:r>
      <w:r w:rsidRPr="00240607">
        <w:t>indemnity</w:t>
      </w:r>
      <w:r>
        <w:t xml:space="preserve"> that results in a contingent liability, the Commonwealth is ultimately agreeing to accept particular risks (often a greater level of risk) so that the other party will bear less risk.</w:t>
      </w:r>
    </w:p>
    <w:p w14:paraId="2AE062E4" w14:textId="77777777" w:rsidR="00EA7336" w:rsidRDefault="00EA7336" w:rsidP="00764BAC">
      <w:pPr>
        <w:pStyle w:val="Heading2"/>
      </w:pPr>
      <w:bookmarkStart w:id="31" w:name="_Toc468365675"/>
      <w:r>
        <w:t>Why grant an indemnity to another person?</w:t>
      </w:r>
      <w:bookmarkEnd w:id="31"/>
    </w:p>
    <w:p w14:paraId="7D3E91ED" w14:textId="10E09F54" w:rsidR="00EA7336" w:rsidRDefault="00EA7336" w:rsidP="00EA7336">
      <w:pPr>
        <w:pStyle w:val="NumberedList1"/>
        <w:ind w:left="426" w:hanging="426"/>
      </w:pPr>
      <w:r>
        <w:t xml:space="preserve">The ability to grant indemnities on behalf of the Commonwealth is important in cooperative ventures. </w:t>
      </w:r>
      <w:r w:rsidR="006D5A57">
        <w:t>T</w:t>
      </w:r>
      <w:r>
        <w:t xml:space="preserve">he ability of entities to cooperate together and with others outside of government to share resources, knowledge and expertise is increasingly important. Granting indemnities for persons outside of the Commonwealth who are assisting the Commonwealth achieve its outcomes can provide assurance in certain situations. </w:t>
      </w:r>
    </w:p>
    <w:p w14:paraId="1B0D250A" w14:textId="77777777" w:rsidR="003320BD" w:rsidRDefault="003320BD">
      <w:pPr>
        <w:suppressAutoHyphens w:val="0"/>
        <w:spacing w:before="0" w:after="120" w:line="440" w:lineRule="atLeast"/>
        <w:rPr>
          <w:rFonts w:asciiTheme="majorHAnsi" w:eastAsiaTheme="majorEastAsia" w:hAnsiTheme="majorHAnsi" w:cstheme="majorBidi"/>
          <w:color w:val="1C1C1C" w:themeColor="text2"/>
          <w:sz w:val="34"/>
          <w:szCs w:val="26"/>
        </w:rPr>
      </w:pPr>
      <w:r>
        <w:br w:type="page"/>
      </w:r>
    </w:p>
    <w:p w14:paraId="64712DC7" w14:textId="60D9B54D" w:rsidR="00FF45F4" w:rsidRPr="00240607" w:rsidRDefault="006C7468" w:rsidP="00764BAC">
      <w:pPr>
        <w:pStyle w:val="Heading2"/>
      </w:pPr>
      <w:bookmarkStart w:id="32" w:name="_Toc468365676"/>
      <w:r>
        <w:lastRenderedPageBreak/>
        <w:t>Doe</w:t>
      </w:r>
      <w:r w:rsidR="00FF45F4" w:rsidRPr="00FF45F4">
        <w:t>s a liability cap</w:t>
      </w:r>
      <w:r>
        <w:t xml:space="preserve"> create a contingent liability</w:t>
      </w:r>
      <w:r w:rsidR="00FF45F4" w:rsidRPr="00FF45F4">
        <w:t>?</w:t>
      </w:r>
      <w:bookmarkEnd w:id="32"/>
    </w:p>
    <w:p w14:paraId="64F60EB9" w14:textId="77777777" w:rsidR="006C7468" w:rsidRDefault="006C7468" w:rsidP="00764BAC">
      <w:pPr>
        <w:pStyle w:val="NumberedList1"/>
        <w:ind w:left="426" w:hanging="426"/>
      </w:pPr>
      <w:r>
        <w:t>A liability cap does not create a contingent liability.</w:t>
      </w:r>
    </w:p>
    <w:p w14:paraId="4E9FAA78" w14:textId="77777777" w:rsidR="00FF45F4" w:rsidRDefault="00FF45F4" w:rsidP="00764BAC">
      <w:pPr>
        <w:pStyle w:val="NumberedList1"/>
        <w:ind w:left="426" w:hanging="426"/>
      </w:pPr>
      <w:r>
        <w:t xml:space="preserve">A liability cap is an arrangement where an entity agrees to a limit on the liability of another party (e.g. a supplier). If the entity subsequently suffers a loss as a result of an act or omission of the supplier in relation to the performance of the contract, the entity has agreed it will not seek to recover from the supplier more than the amount of an agreed cap. </w:t>
      </w:r>
    </w:p>
    <w:p w14:paraId="178FA372" w14:textId="77777777" w:rsidR="006D5A57" w:rsidRDefault="00FF45F4" w:rsidP="00764BAC">
      <w:pPr>
        <w:pStyle w:val="NumberedList1"/>
        <w:ind w:left="426" w:hanging="426"/>
      </w:pPr>
      <w:r>
        <w:t xml:space="preserve">Liability caps can operate differently from </w:t>
      </w:r>
      <w:r w:rsidRPr="00240607">
        <w:t>indemnities</w:t>
      </w:r>
      <w:r>
        <w:t xml:space="preserve">, although in some circumstances they may form part of the terms of an </w:t>
      </w:r>
      <w:r w:rsidRPr="00240607">
        <w:t>indemnity</w:t>
      </w:r>
      <w:r>
        <w:t xml:space="preserve">. If a NCE agrees to indemnify a supplier, it is agreeing that if the supplier suffers a specified type of loss then the NCE will meet the cost of that loss. An </w:t>
      </w:r>
      <w:r w:rsidRPr="00240607">
        <w:t>indemnity</w:t>
      </w:r>
      <w:r>
        <w:t xml:space="preserve"> need not be unlimited, e.g. it may be activated only after the loss reaches a pre-agreed value, and/or it may be capped. </w:t>
      </w:r>
    </w:p>
    <w:p w14:paraId="5E5BA093" w14:textId="7C7DF8C5" w:rsidR="00FF45F4" w:rsidRDefault="00FF45F4" w:rsidP="00764BAC">
      <w:pPr>
        <w:pStyle w:val="NumberedList1"/>
        <w:ind w:left="426" w:hanging="426"/>
      </w:pPr>
      <w:r>
        <w:t>A liability cap may result in the creation of a contingent liability, if:</w:t>
      </w:r>
    </w:p>
    <w:p w14:paraId="7C2BFF37" w14:textId="77777777" w:rsidR="00FF45F4" w:rsidRDefault="00FF45F4" w:rsidP="008438FD">
      <w:pPr>
        <w:pStyle w:val="NumberedList1"/>
        <w:numPr>
          <w:ilvl w:val="0"/>
          <w:numId w:val="22"/>
        </w:numPr>
      </w:pPr>
      <w:r>
        <w:t>it involves limiting a supplier’s contingent liability to a third party so that the Commonwealth is liable to the third party for any excess above that cap or</w:t>
      </w:r>
    </w:p>
    <w:p w14:paraId="3EEADCB0" w14:textId="77777777" w:rsidR="00FF45F4" w:rsidRDefault="00FF45F4" w:rsidP="008438FD">
      <w:pPr>
        <w:pStyle w:val="NumberedList1"/>
        <w:numPr>
          <w:ilvl w:val="0"/>
          <w:numId w:val="22"/>
        </w:numPr>
      </w:pPr>
      <w:proofErr w:type="gramStart"/>
      <w:r>
        <w:t>it</w:t>
      </w:r>
      <w:proofErr w:type="gramEnd"/>
      <w:r>
        <w:t xml:space="preserve"> limits a supplier’s exposure for damage the supplier has suffered itself, so that the Commonwealth is liable to the supplier for any excess.</w:t>
      </w:r>
    </w:p>
    <w:p w14:paraId="53212194" w14:textId="77777777" w:rsidR="00FF45F4" w:rsidRDefault="00FF45F4" w:rsidP="00764BAC">
      <w:pPr>
        <w:pStyle w:val="NumberedList1"/>
        <w:ind w:left="426" w:hanging="426"/>
      </w:pPr>
      <w:r>
        <w:t xml:space="preserve">A liability cap does </w:t>
      </w:r>
      <w:r w:rsidRPr="006C7468">
        <w:t>not</w:t>
      </w:r>
      <w:r w:rsidRPr="00FF125A">
        <w:rPr>
          <w:b/>
          <w:i/>
        </w:rPr>
        <w:t xml:space="preserve"> </w:t>
      </w:r>
      <w:r>
        <w:t xml:space="preserve">create a contingent obligation to pay another person and </w:t>
      </w:r>
      <w:r w:rsidRPr="00484B80">
        <w:t>cannot</w:t>
      </w:r>
      <w:r>
        <w:t xml:space="preserve"> be treated as a contingent liability, to the extent that it:</w:t>
      </w:r>
    </w:p>
    <w:p w14:paraId="39121C35" w14:textId="77777777" w:rsidR="00FF45F4" w:rsidRDefault="00FF45F4" w:rsidP="008438FD">
      <w:pPr>
        <w:pStyle w:val="NumberedList1"/>
        <w:numPr>
          <w:ilvl w:val="0"/>
          <w:numId w:val="23"/>
        </w:numPr>
      </w:pPr>
      <w:r>
        <w:t>limits a supplier’s liability to the Commonwealth, under that arrangement with the Commonwealth, so that the Commonwealth cannot recover damages from the supplier if the Commonwealth is sued by a third party</w:t>
      </w:r>
    </w:p>
    <w:p w14:paraId="06D0F73F" w14:textId="77777777" w:rsidR="00FF45F4" w:rsidRDefault="00FF45F4" w:rsidP="008438FD">
      <w:pPr>
        <w:pStyle w:val="NumberedList1"/>
        <w:numPr>
          <w:ilvl w:val="0"/>
          <w:numId w:val="23"/>
        </w:numPr>
      </w:pPr>
      <w:r>
        <w:t>limits a supplier’s liability to the Commonwealth, under that arrangement with the Commonwealth, for damage it directly causes the Commonwealth or</w:t>
      </w:r>
    </w:p>
    <w:p w14:paraId="19A9E522" w14:textId="77777777" w:rsidR="00FF45F4" w:rsidRDefault="00FF45F4" w:rsidP="008438FD">
      <w:pPr>
        <w:pStyle w:val="NumberedList1"/>
        <w:numPr>
          <w:ilvl w:val="0"/>
          <w:numId w:val="23"/>
        </w:numPr>
      </w:pPr>
      <w:proofErr w:type="gramStart"/>
      <w:r>
        <w:t>simply</w:t>
      </w:r>
      <w:proofErr w:type="gramEnd"/>
      <w:r>
        <w:t xml:space="preserve"> caps a supplier’s liability for certain expenses that the supplier incurs in the ordinary course of providing services to the Commonwealth, so that the Commonwealth </w:t>
      </w:r>
      <w:r w:rsidRPr="00484B80">
        <w:t>will</w:t>
      </w:r>
      <w:r w:rsidRPr="00EF6876">
        <w:t xml:space="preserve"> </w:t>
      </w:r>
      <w:r>
        <w:t>reimburse the supplier for any relevant expenses over the amount of the cap.</w:t>
      </w:r>
    </w:p>
    <w:p w14:paraId="25C81A80" w14:textId="77777777" w:rsidR="00281F72" w:rsidRPr="004822FD" w:rsidRDefault="00281F72" w:rsidP="004822FD">
      <w:pPr>
        <w:pStyle w:val="Heading1"/>
        <w:shd w:val="clear" w:color="auto" w:fill="BDDCDF" w:themeFill="accent1"/>
      </w:pPr>
      <w:bookmarkStart w:id="33" w:name="_Toc468365677"/>
      <w:r>
        <w:t>What must be considered before granting an indemnity</w:t>
      </w:r>
      <w:r w:rsidR="00EA7336">
        <w:t>?</w:t>
      </w:r>
      <w:bookmarkEnd w:id="33"/>
    </w:p>
    <w:p w14:paraId="08AD6F7A" w14:textId="716F73AA" w:rsidR="00281F72" w:rsidRDefault="00281F72" w:rsidP="00281F72">
      <w:pPr>
        <w:pStyle w:val="NumberedList1"/>
        <w:ind w:left="426" w:hanging="426"/>
      </w:pPr>
      <w:r>
        <w:t xml:space="preserve">Before granting an </w:t>
      </w:r>
      <w:r w:rsidRPr="004757FC">
        <w:t>indemnity</w:t>
      </w:r>
      <w:r>
        <w:t>, an official must ensure that the:</w:t>
      </w:r>
    </w:p>
    <w:p w14:paraId="009A6009" w14:textId="77777777" w:rsidR="00281F72" w:rsidRPr="00FB7FAF" w:rsidRDefault="00281F72" w:rsidP="008438FD">
      <w:pPr>
        <w:pStyle w:val="NumberedList1"/>
        <w:numPr>
          <w:ilvl w:val="0"/>
          <w:numId w:val="25"/>
        </w:numPr>
      </w:pPr>
      <w:r w:rsidRPr="00FB7FAF">
        <w:t>risk management arrangements are appropriate to the complexity and potential costs of the indemnity are in place before entering, after entering and for the duration of the arrangement</w:t>
      </w:r>
    </w:p>
    <w:p w14:paraId="3D62DC09" w14:textId="77777777" w:rsidR="00281F72" w:rsidRPr="00FB7FAF" w:rsidRDefault="00281F72" w:rsidP="008438FD">
      <w:pPr>
        <w:pStyle w:val="NumberedList1"/>
        <w:numPr>
          <w:ilvl w:val="0"/>
          <w:numId w:val="25"/>
        </w:numPr>
      </w:pPr>
      <w:proofErr w:type="gramStart"/>
      <w:r w:rsidRPr="00FB7FAF">
        <w:t>legislative</w:t>
      </w:r>
      <w:proofErr w:type="gramEnd"/>
      <w:r w:rsidRPr="00FB7FAF">
        <w:t xml:space="preserve"> requirements under the PGPA Act and </w:t>
      </w:r>
      <w:r>
        <w:t>the delegations (of the Finance Minister and the accountable authority)</w:t>
      </w:r>
      <w:r w:rsidRPr="00FB7FAF">
        <w:t xml:space="preserve"> are satisfied.</w:t>
      </w:r>
    </w:p>
    <w:p w14:paraId="14A029E7" w14:textId="77777777" w:rsidR="00281F72" w:rsidRPr="00FA4B3D" w:rsidRDefault="00281F72" w:rsidP="00281F72">
      <w:pPr>
        <w:pStyle w:val="NumberedList1"/>
        <w:ind w:left="426" w:hanging="426"/>
      </w:pPr>
      <w:r w:rsidRPr="00FA4B3D">
        <w:t>Officials are encouraged to consider</w:t>
      </w:r>
      <w:r>
        <w:t>:</w:t>
      </w:r>
    </w:p>
    <w:p w14:paraId="5F743FAF" w14:textId="77777777" w:rsidR="00281F72" w:rsidRDefault="00281F72" w:rsidP="008438FD">
      <w:pPr>
        <w:pStyle w:val="NumberedList1"/>
        <w:numPr>
          <w:ilvl w:val="0"/>
          <w:numId w:val="26"/>
        </w:numPr>
      </w:pPr>
      <w:r>
        <w:t xml:space="preserve">whether there is an explicitly identified risk, and </w:t>
      </w:r>
      <w:r w:rsidRPr="00484B80">
        <w:t>that</w:t>
      </w:r>
      <w:r w:rsidRPr="004757FC">
        <w:t xml:space="preserve"> indemnities</w:t>
      </w:r>
      <w:r>
        <w:t xml:space="preserve"> are not issued simply to provide comfort against general, unspecified events (e.g. </w:t>
      </w:r>
      <w:r w:rsidRPr="00E53006">
        <w:t xml:space="preserve">where an </w:t>
      </w:r>
      <w:r w:rsidRPr="004757FC">
        <w:t>indemnity</w:t>
      </w:r>
      <w:r w:rsidRPr="00E53006">
        <w:t xml:space="preserve"> is p</w:t>
      </w:r>
      <w:r>
        <w:t>rovided for ‘damage to property’,</w:t>
      </w:r>
      <w:r w:rsidRPr="00E53006">
        <w:t xml:space="preserve"> it is generally better practice to specify that </w:t>
      </w:r>
      <w:r>
        <w:t>only</w:t>
      </w:r>
      <w:r w:rsidRPr="00E53006">
        <w:t xml:space="preserve"> damage caused by the </w:t>
      </w:r>
      <w:r>
        <w:t>NCE’s use is covered so as to expose the Commonwealth to minimum risk)</w:t>
      </w:r>
    </w:p>
    <w:p w14:paraId="09BC0255" w14:textId="77777777" w:rsidR="00281F72" w:rsidRDefault="00281F72" w:rsidP="008438FD">
      <w:pPr>
        <w:pStyle w:val="NumberedList1"/>
        <w:numPr>
          <w:ilvl w:val="0"/>
          <w:numId w:val="26"/>
        </w:numPr>
      </w:pPr>
      <w:r>
        <w:lastRenderedPageBreak/>
        <w:t>whether alternatives, such as the use by the other party of commercial insurance, are appropriate</w:t>
      </w:r>
    </w:p>
    <w:p w14:paraId="0CB21D9F" w14:textId="77777777" w:rsidR="00281F72" w:rsidRDefault="00281F72" w:rsidP="008438FD">
      <w:pPr>
        <w:pStyle w:val="NumberedList1"/>
        <w:numPr>
          <w:ilvl w:val="0"/>
          <w:numId w:val="26"/>
        </w:numPr>
      </w:pPr>
      <w:r>
        <w:t>that the indemnity does not cover damages resulting from acts by an indemnified person which are malicious, fraudulent, wilful, or reckless</w:t>
      </w:r>
    </w:p>
    <w:p w14:paraId="28270CB8" w14:textId="77777777" w:rsidR="00281F72" w:rsidRDefault="00281F72" w:rsidP="008438FD">
      <w:pPr>
        <w:pStyle w:val="NumberedList1"/>
        <w:numPr>
          <w:ilvl w:val="0"/>
          <w:numId w:val="26"/>
        </w:numPr>
      </w:pPr>
      <w:r>
        <w:t>whether including a requirement that the indemnified party advise the Commonwealth of relevant information is appropriate</w:t>
      </w:r>
    </w:p>
    <w:p w14:paraId="7D1FABE8" w14:textId="77777777" w:rsidR="00281F72" w:rsidRDefault="00281F72" w:rsidP="008438FD">
      <w:pPr>
        <w:pStyle w:val="NumberedList1"/>
        <w:numPr>
          <w:ilvl w:val="0"/>
          <w:numId w:val="26"/>
        </w:numPr>
      </w:pPr>
      <w:r>
        <w:t xml:space="preserve">whether the proposed </w:t>
      </w:r>
      <w:r w:rsidRPr="004757FC">
        <w:t>indemnity</w:t>
      </w:r>
      <w:r>
        <w:t xml:space="preserve"> may set an undesirable precedent in an industry, particularly where there is little competition</w:t>
      </w:r>
    </w:p>
    <w:p w14:paraId="4312E4E8" w14:textId="77777777" w:rsidR="00281F72" w:rsidRDefault="00281F72" w:rsidP="008438FD">
      <w:pPr>
        <w:pStyle w:val="NumberedList1"/>
        <w:numPr>
          <w:ilvl w:val="0"/>
          <w:numId w:val="26"/>
        </w:numPr>
      </w:pPr>
      <w:r>
        <w:t xml:space="preserve">whether the potential cost will be funded from existing resources or from insurance provided by </w:t>
      </w:r>
      <w:proofErr w:type="spellStart"/>
      <w:r>
        <w:t>Comcover</w:t>
      </w:r>
      <w:proofErr w:type="spellEnd"/>
      <w:r>
        <w:t>, this may require:</w:t>
      </w:r>
    </w:p>
    <w:p w14:paraId="46E47B69" w14:textId="77777777" w:rsidR="00281F72" w:rsidRDefault="00281F72" w:rsidP="00281F72">
      <w:pPr>
        <w:pStyle w:val="NumberedList1"/>
        <w:numPr>
          <w:ilvl w:val="1"/>
          <w:numId w:val="15"/>
        </w:numPr>
        <w:ind w:left="1134"/>
      </w:pPr>
      <w:r>
        <w:t>discussing the</w:t>
      </w:r>
      <w:r w:rsidRPr="004757FC">
        <w:t xml:space="preserve"> proposed in</w:t>
      </w:r>
      <w:r>
        <w:t xml:space="preserve">demnity with </w:t>
      </w:r>
      <w:proofErr w:type="spellStart"/>
      <w:r>
        <w:t>Comcover</w:t>
      </w:r>
      <w:proofErr w:type="spellEnd"/>
      <w:r>
        <w:t xml:space="preserve"> or</w:t>
      </w:r>
    </w:p>
    <w:p w14:paraId="465F50E6" w14:textId="77777777" w:rsidR="00281F72" w:rsidRPr="0005003F" w:rsidRDefault="00281F72" w:rsidP="00281F72">
      <w:pPr>
        <w:pStyle w:val="NumberedList1"/>
        <w:keepNext/>
        <w:keepLines/>
        <w:numPr>
          <w:ilvl w:val="1"/>
          <w:numId w:val="15"/>
        </w:numPr>
        <w:ind w:left="1134"/>
      </w:pPr>
      <w:r>
        <w:t xml:space="preserve">if funding cannot be met from existing resources, </w:t>
      </w:r>
      <w:r w:rsidR="004F29D6">
        <w:t xml:space="preserve">it may be necessary to </w:t>
      </w:r>
      <w:r>
        <w:t>request additional funding through the Budget process (this will involve ident</w:t>
      </w:r>
      <w:r w:rsidRPr="00EC48ED">
        <w:t>ify</w:t>
      </w:r>
      <w:r>
        <w:t>ing</w:t>
      </w:r>
      <w:r w:rsidRPr="00EC48ED">
        <w:t xml:space="preserve"> the most probable total cost</w:t>
      </w:r>
      <w:r>
        <w:t xml:space="preserve"> and the price of the risk to the Commonwealth excluding any</w:t>
      </w:r>
      <w:r w:rsidRPr="004757FC">
        <w:t xml:space="preserve"> </w:t>
      </w:r>
      <w:r w:rsidR="004F29D6">
        <w:t>potential insurance claims)</w:t>
      </w:r>
    </w:p>
    <w:p w14:paraId="51AF54A8" w14:textId="77777777" w:rsidR="00281F72" w:rsidRDefault="00281F72" w:rsidP="008438FD">
      <w:pPr>
        <w:pStyle w:val="NumberedList1"/>
        <w:numPr>
          <w:ilvl w:val="0"/>
          <w:numId w:val="26"/>
        </w:numPr>
      </w:pPr>
      <w:r>
        <w:t>including a maximum financial limit on payments or claims (the express inclusion of a maximum financial limit can be an important mechanism to protect the position of the Commonwealth)</w:t>
      </w:r>
    </w:p>
    <w:p w14:paraId="4E4F8759" w14:textId="77777777" w:rsidR="00281F72" w:rsidRDefault="00281F72" w:rsidP="008438FD">
      <w:pPr>
        <w:pStyle w:val="NumberedList1"/>
        <w:numPr>
          <w:ilvl w:val="0"/>
          <w:numId w:val="26"/>
        </w:numPr>
      </w:pPr>
      <w:r>
        <w:t>including a time limit (e.g. claims may only be able to be made during the term of the arrangement, so these arrangements are preferably not open-ended), noting that options to extend time limits may be appropriate in certain circumstances, but officials are encouraged not to commit the Commonwealth longer than necessary</w:t>
      </w:r>
    </w:p>
    <w:p w14:paraId="5C0844C3" w14:textId="77777777" w:rsidR="00281F72" w:rsidRDefault="00281F72" w:rsidP="008438FD">
      <w:pPr>
        <w:pStyle w:val="NumberedList1"/>
        <w:numPr>
          <w:ilvl w:val="0"/>
          <w:numId w:val="26"/>
        </w:numPr>
      </w:pPr>
      <w:r>
        <w:t>whether the arrangement will explicitly reserve the right for the Commonwealth to terminate the arrangement when it is no longer needed</w:t>
      </w:r>
    </w:p>
    <w:p w14:paraId="4442C81A" w14:textId="77777777" w:rsidR="00281F72" w:rsidRDefault="00281F72" w:rsidP="008438FD">
      <w:pPr>
        <w:pStyle w:val="NumberedList1"/>
        <w:numPr>
          <w:ilvl w:val="0"/>
          <w:numId w:val="26"/>
        </w:numPr>
      </w:pPr>
      <w:proofErr w:type="gramStart"/>
      <w:r>
        <w:t>whether</w:t>
      </w:r>
      <w:proofErr w:type="gramEnd"/>
      <w:r>
        <w:t xml:space="preserve"> subrogation and notification clauses need to be included in an </w:t>
      </w:r>
      <w:r w:rsidRPr="004757FC">
        <w:t>indemnity</w:t>
      </w:r>
      <w:r>
        <w:t xml:space="preserve">. If needed, the arrangement could include subrogation clauses (clauses providing the Commonwealth with the right to exercise the option of conducting, or participating in, the defence of any claims against the indemnified party, and to require full assistance from that party) and clauses giving the Commonwealth the right to take over any litigation related to the </w:t>
      </w:r>
      <w:r w:rsidRPr="00F758EB">
        <w:t>indemnity</w:t>
      </w:r>
      <w:r>
        <w:t>.</w:t>
      </w:r>
    </w:p>
    <w:p w14:paraId="5103706D" w14:textId="77777777" w:rsidR="00281F72" w:rsidRDefault="00281F72" w:rsidP="00281F72">
      <w:pPr>
        <w:pStyle w:val="NumberedList1"/>
        <w:ind w:left="426" w:hanging="426"/>
      </w:pPr>
      <w:r>
        <w:t>Where a proposed arrangement with an indemnity will be complex or involve significant potential costs, officials are</w:t>
      </w:r>
      <w:r w:rsidRPr="004757FC">
        <w:t xml:space="preserve"> </w:t>
      </w:r>
      <w:r w:rsidRPr="00484B80">
        <w:t xml:space="preserve">strongly </w:t>
      </w:r>
      <w:r>
        <w:t>encouraged</w:t>
      </w:r>
      <w:r w:rsidRPr="004757FC">
        <w:t xml:space="preserve"> </w:t>
      </w:r>
      <w:r>
        <w:t>to get legal advice. For example:</w:t>
      </w:r>
    </w:p>
    <w:p w14:paraId="0BFCDD6B" w14:textId="77777777" w:rsidR="00281F72" w:rsidRDefault="00281F72" w:rsidP="008438FD">
      <w:pPr>
        <w:pStyle w:val="NumberedList1"/>
        <w:numPr>
          <w:ilvl w:val="0"/>
          <w:numId w:val="27"/>
        </w:numPr>
      </w:pPr>
      <w:r>
        <w:t>whether any legislation restricts the power to enter the arrangement</w:t>
      </w:r>
    </w:p>
    <w:p w14:paraId="7EC700D9" w14:textId="77777777" w:rsidR="00281F72" w:rsidRDefault="00281F72" w:rsidP="008438FD">
      <w:pPr>
        <w:pStyle w:val="NumberedList1"/>
        <w:numPr>
          <w:ilvl w:val="0"/>
          <w:numId w:val="27"/>
        </w:numPr>
      </w:pPr>
      <w:proofErr w:type="gramStart"/>
      <w:r>
        <w:t>what</w:t>
      </w:r>
      <w:proofErr w:type="gramEnd"/>
      <w:r>
        <w:t xml:space="preserve"> extra risks the Commonwealth would be accepting if it granted the </w:t>
      </w:r>
      <w:r w:rsidRPr="004757FC">
        <w:t>indemnity</w:t>
      </w:r>
      <w:r>
        <w:t>. I</w:t>
      </w:r>
      <w:r w:rsidRPr="003F289E">
        <w:t>t is expected that legal advisers work with other relevant expert advisers t</w:t>
      </w:r>
      <w:r>
        <w:t>o</w:t>
      </w:r>
      <w:r w:rsidRPr="003F289E">
        <w:t xml:space="preserve"> identify and assess risks</w:t>
      </w:r>
    </w:p>
    <w:p w14:paraId="337880C4" w14:textId="2E6B41A5" w:rsidR="00281F72" w:rsidRDefault="00281F72" w:rsidP="008438FD">
      <w:pPr>
        <w:pStyle w:val="NumberedList1"/>
        <w:numPr>
          <w:ilvl w:val="0"/>
          <w:numId w:val="27"/>
        </w:numPr>
      </w:pPr>
      <w:proofErr w:type="gramStart"/>
      <w:r>
        <w:t>whether</w:t>
      </w:r>
      <w:proofErr w:type="gramEnd"/>
      <w:r>
        <w:t xml:space="preserve"> the proposed </w:t>
      </w:r>
      <w:r w:rsidRPr="004757FC">
        <w:t>indemnity</w:t>
      </w:r>
      <w:r>
        <w:t xml:space="preserve"> only seeks to replicate liabilities that will already be imposed on the Commonwealth by common law or Commonwealth legislation (including the </w:t>
      </w:r>
      <w:hyperlink r:id="rId28" w:history="1">
        <w:r w:rsidRPr="00620AD7">
          <w:rPr>
            <w:rStyle w:val="Hyperlink"/>
            <w:rFonts w:cstheme="minorBidi"/>
          </w:rPr>
          <w:t>Competition and Consumer Act 2010</w:t>
        </w:r>
      </w:hyperlink>
      <w:r>
        <w:t>). If so, consider excluding these provisions as redundant unless there is a clear justification for not doing so.</w:t>
      </w:r>
    </w:p>
    <w:p w14:paraId="30F0A377" w14:textId="4263454D" w:rsidR="008A481C" w:rsidRDefault="008A481C" w:rsidP="008A481C">
      <w:pPr>
        <w:pStyle w:val="Heading2"/>
      </w:pPr>
      <w:bookmarkStart w:id="34" w:name="_Toc468365678"/>
      <w:r>
        <w:lastRenderedPageBreak/>
        <w:t xml:space="preserve">When does </w:t>
      </w:r>
      <w:proofErr w:type="spellStart"/>
      <w:r>
        <w:t>Comcover</w:t>
      </w:r>
      <w:proofErr w:type="spellEnd"/>
      <w:r>
        <w:t xml:space="preserve"> need to be notified of a</w:t>
      </w:r>
      <w:r w:rsidR="004F29D6">
        <w:t xml:space="preserve"> proposed</w:t>
      </w:r>
      <w:r>
        <w:t xml:space="preserve"> indemnity?</w:t>
      </w:r>
      <w:bookmarkEnd w:id="34"/>
    </w:p>
    <w:p w14:paraId="1ABBD1EB" w14:textId="720DA082" w:rsidR="008A481C" w:rsidRDefault="000B7D91" w:rsidP="008A481C">
      <w:pPr>
        <w:pStyle w:val="NumberedList1"/>
        <w:ind w:left="426" w:hanging="426"/>
      </w:pPr>
      <w:r>
        <w:t xml:space="preserve">All NCEs are insured against losses </w:t>
      </w:r>
      <w:r w:rsidRPr="004757FC">
        <w:t>for normally insurable risks</w:t>
      </w:r>
      <w:r>
        <w:t xml:space="preserve"> by </w:t>
      </w:r>
      <w:proofErr w:type="spellStart"/>
      <w:r>
        <w:t>Comcover</w:t>
      </w:r>
      <w:proofErr w:type="spellEnd"/>
      <w:r>
        <w:t xml:space="preserve"> (other than </w:t>
      </w:r>
      <w:r w:rsidRPr="004757FC">
        <w:t xml:space="preserve">worker’s compensation which is the responsibility of </w:t>
      </w:r>
      <w:proofErr w:type="spellStart"/>
      <w:r w:rsidRPr="004757FC">
        <w:t>Comcare</w:t>
      </w:r>
      <w:proofErr w:type="spellEnd"/>
      <w:r w:rsidRPr="004757FC">
        <w:t>)</w:t>
      </w:r>
      <w:r>
        <w:t xml:space="preserve">. </w:t>
      </w:r>
      <w:r w:rsidR="008A481C" w:rsidRPr="004757FC">
        <w:t xml:space="preserve">Prior to entering into any </w:t>
      </w:r>
      <w:r>
        <w:t>arrangement</w:t>
      </w:r>
      <w:r w:rsidR="008A481C" w:rsidRPr="004757FC">
        <w:t xml:space="preserve"> that include</w:t>
      </w:r>
      <w:r w:rsidR="00B30F69">
        <w:t>s</w:t>
      </w:r>
      <w:r w:rsidR="008A481C" w:rsidRPr="004757FC">
        <w:t xml:space="preserve"> an indemnity, entities need to be aware of, and follow, the terms and conditions outlined in the </w:t>
      </w:r>
      <w:hyperlink r:id="rId29" w:history="1">
        <w:proofErr w:type="spellStart"/>
        <w:r w:rsidR="008A481C" w:rsidRPr="0081624C">
          <w:rPr>
            <w:rStyle w:val="Hyperlink"/>
            <w:rFonts w:cstheme="minorBidi"/>
          </w:rPr>
          <w:t>Comcover</w:t>
        </w:r>
        <w:proofErr w:type="spellEnd"/>
        <w:r w:rsidR="008A481C" w:rsidRPr="0081624C">
          <w:rPr>
            <w:rStyle w:val="Hyperlink"/>
            <w:rFonts w:cstheme="minorBidi"/>
          </w:rPr>
          <w:t xml:space="preserve"> Statement of Cover</w:t>
        </w:r>
      </w:hyperlink>
      <w:r w:rsidR="008A481C" w:rsidRPr="004757FC">
        <w:t>.</w:t>
      </w:r>
      <w:r w:rsidR="008A481C" w:rsidRPr="00433348">
        <w:t xml:space="preserve"> </w:t>
      </w:r>
    </w:p>
    <w:p w14:paraId="3270D500" w14:textId="77777777" w:rsidR="008A481C" w:rsidRPr="004757FC" w:rsidRDefault="008A481C" w:rsidP="008A481C">
      <w:pPr>
        <w:pStyle w:val="NumberedList1"/>
        <w:ind w:left="426" w:hanging="426"/>
      </w:pPr>
      <w:r w:rsidRPr="00433348">
        <w:t xml:space="preserve">If officials are considering a proposed indemnity involving a contingent liability above any liability cap in </w:t>
      </w:r>
      <w:r w:rsidR="0081624C">
        <w:t xml:space="preserve">the </w:t>
      </w:r>
      <w:hyperlink r:id="rId30" w:history="1">
        <w:r w:rsidRPr="0081624C">
          <w:rPr>
            <w:rStyle w:val="Hyperlink"/>
            <w:rFonts w:cstheme="minorBidi"/>
          </w:rPr>
          <w:t>Comcover Statement of Cover</w:t>
        </w:r>
      </w:hyperlink>
      <w:r w:rsidRPr="00433348">
        <w:t xml:space="preserve">, they are strongly encouraged to discuss it with </w:t>
      </w:r>
      <w:proofErr w:type="spellStart"/>
      <w:r w:rsidRPr="00433348">
        <w:t>Comcover</w:t>
      </w:r>
      <w:proofErr w:type="spellEnd"/>
      <w:r w:rsidRPr="00433348">
        <w:t xml:space="preserve"> prior to granting the indemnity.</w:t>
      </w:r>
      <w:r w:rsidRPr="004757FC">
        <w:t xml:space="preserve"> </w:t>
      </w:r>
      <w:proofErr w:type="spellStart"/>
      <w:r w:rsidRPr="004757FC">
        <w:t>Comcover</w:t>
      </w:r>
      <w:proofErr w:type="spellEnd"/>
      <w:r w:rsidRPr="004757FC">
        <w:t xml:space="preserve"> can provide support and advice to entities on how</w:t>
      </w:r>
      <w:r>
        <w:t xml:space="preserve"> best to manage these</w:t>
      </w:r>
      <w:r w:rsidRPr="004757FC">
        <w:t xml:space="preserve"> risks</w:t>
      </w:r>
      <w:r w:rsidR="00B30F69">
        <w:t xml:space="preserve"> by contacting </w:t>
      </w:r>
      <w:hyperlink r:id="rId31" w:history="1">
        <w:r w:rsidR="00B30F69">
          <w:rPr>
            <w:rStyle w:val="Hyperlink"/>
            <w:lang w:val="en"/>
          </w:rPr>
          <w:t>comcover@comcover.com.au</w:t>
        </w:r>
      </w:hyperlink>
      <w:r w:rsidR="00B30F69">
        <w:rPr>
          <w:lang w:val="en"/>
        </w:rPr>
        <w:t xml:space="preserve"> or calling 1800 651 540</w:t>
      </w:r>
      <w:r w:rsidRPr="004757FC">
        <w:t xml:space="preserve">. </w:t>
      </w:r>
    </w:p>
    <w:p w14:paraId="2DA8366B" w14:textId="77777777" w:rsidR="00664E25" w:rsidRPr="002810D8" w:rsidRDefault="00D04B9A" w:rsidP="004822FD">
      <w:pPr>
        <w:pStyle w:val="Heading1"/>
        <w:shd w:val="clear" w:color="auto" w:fill="BDDCDF" w:themeFill="accent1"/>
      </w:pPr>
      <w:bookmarkStart w:id="35" w:name="_Toc468365679"/>
      <w:r>
        <w:t xml:space="preserve">Who can grant an </w:t>
      </w:r>
      <w:r w:rsidRPr="000B7D91">
        <w:t>indemnity</w:t>
      </w:r>
      <w:r>
        <w:t>?</w:t>
      </w:r>
      <w:bookmarkEnd w:id="35"/>
    </w:p>
    <w:p w14:paraId="790CDDD5" w14:textId="5AB5ECB5" w:rsidR="005949BD" w:rsidRDefault="005949BD" w:rsidP="00E97259">
      <w:pPr>
        <w:pStyle w:val="NumberedList1"/>
        <w:keepNext/>
        <w:keepLines/>
        <w:ind w:left="426" w:hanging="426"/>
      </w:pPr>
      <w:r>
        <w:t xml:space="preserve">The </w:t>
      </w:r>
      <w:r w:rsidR="006C7468">
        <w:t>PGPA Act give</w:t>
      </w:r>
      <w:r w:rsidR="006D5A57">
        <w:t>s</w:t>
      </w:r>
      <w:r w:rsidR="006C7468">
        <w:t xml:space="preserve"> the </w:t>
      </w:r>
      <w:r>
        <w:t xml:space="preserve">Finance Minister </w:t>
      </w:r>
      <w:r w:rsidR="006C7468">
        <w:t xml:space="preserve">the power to </w:t>
      </w:r>
      <w:r>
        <w:t xml:space="preserve">grant </w:t>
      </w:r>
      <w:r w:rsidR="008C39DC">
        <w:t xml:space="preserve">an </w:t>
      </w:r>
      <w:r w:rsidR="007B0DF7">
        <w:t>indemnit</w:t>
      </w:r>
      <w:r w:rsidR="008C39DC">
        <w:t>y</w:t>
      </w:r>
      <w:r w:rsidR="007B0DF7">
        <w:t>, guarantee or warrant</w:t>
      </w:r>
      <w:r w:rsidR="008C39DC">
        <w:t>y</w:t>
      </w:r>
      <w:r w:rsidR="007B0DF7">
        <w:t xml:space="preserve"> </w:t>
      </w:r>
      <w:r>
        <w:t>on beha</w:t>
      </w:r>
      <w:r w:rsidR="007B0DF7">
        <w:t>lf of the Commonwealth (</w:t>
      </w:r>
      <w:hyperlink r:id="rId32" w:history="1">
        <w:r w:rsidR="007B0DF7" w:rsidRPr="00C26B50">
          <w:rPr>
            <w:rStyle w:val="Hyperlink"/>
            <w:rFonts w:cstheme="minorBidi"/>
          </w:rPr>
          <w:t>section </w:t>
        </w:r>
        <w:r w:rsidRPr="00C26B50">
          <w:rPr>
            <w:rStyle w:val="Hyperlink"/>
            <w:rFonts w:cstheme="minorBidi"/>
          </w:rPr>
          <w:t>60</w:t>
        </w:r>
      </w:hyperlink>
      <w:r>
        <w:t>)</w:t>
      </w:r>
      <w:r w:rsidR="004D17F8">
        <w:t xml:space="preserve">. </w:t>
      </w:r>
      <w:r w:rsidR="006C7468">
        <w:t>T</w:t>
      </w:r>
      <w:r w:rsidRPr="00AA5A97">
        <w:rPr>
          <w:u w:color="0070C0"/>
        </w:rPr>
        <w:t>his power</w:t>
      </w:r>
      <w:r w:rsidR="006C7468">
        <w:rPr>
          <w:u w:color="0070C0"/>
        </w:rPr>
        <w:t xml:space="preserve"> has been delegated</w:t>
      </w:r>
      <w:r>
        <w:t>, with directions limiting its exercise, to accountable authorities of NCEs</w:t>
      </w:r>
      <w:r w:rsidR="00AA5A97">
        <w:t xml:space="preserve"> (</w:t>
      </w:r>
      <w:r w:rsidR="00AA5A97" w:rsidRPr="005949BD">
        <w:t>S</w:t>
      </w:r>
      <w:r w:rsidR="00AA5A97">
        <w:t>chedule </w:t>
      </w:r>
      <w:r w:rsidR="00AA5A97" w:rsidRPr="005949BD">
        <w:t>1, P</w:t>
      </w:r>
      <w:r w:rsidR="00AA5A97">
        <w:t>art </w:t>
      </w:r>
      <w:r w:rsidR="00AA5A97" w:rsidRPr="005949BD">
        <w:t xml:space="preserve">6 of the </w:t>
      </w:r>
      <w:hyperlink r:id="rId33" w:history="1">
        <w:r w:rsidR="0081624C">
          <w:rPr>
            <w:rStyle w:val="Hyperlink"/>
            <w:rFonts w:cstheme="minorBidi"/>
          </w:rPr>
          <w:t>Finance Minister’s d</w:t>
        </w:r>
        <w:r w:rsidR="00AA5A97" w:rsidRPr="007B0DF7">
          <w:rPr>
            <w:rStyle w:val="Hyperlink"/>
            <w:rFonts w:cstheme="minorBidi"/>
          </w:rPr>
          <w:t>elegation instrument</w:t>
        </w:r>
      </w:hyperlink>
      <w:r w:rsidR="00AA5A97">
        <w:rPr>
          <w:rStyle w:val="Hyperlink"/>
          <w:rFonts w:cstheme="minorBidi"/>
          <w:i w:val="0"/>
        </w:rPr>
        <w:t>)</w:t>
      </w:r>
      <w:r>
        <w:t xml:space="preserve">. </w:t>
      </w:r>
    </w:p>
    <w:p w14:paraId="7DA73673" w14:textId="77777777" w:rsidR="00FF45F4" w:rsidRDefault="00C00CC3" w:rsidP="00240607">
      <w:pPr>
        <w:pStyle w:val="NumberedList1"/>
        <w:ind w:left="426" w:hanging="426"/>
      </w:pPr>
      <w:r>
        <w:t>The PGPA Act enables a</w:t>
      </w:r>
      <w:r w:rsidR="005949BD">
        <w:t xml:space="preserve">n accountable authority </w:t>
      </w:r>
      <w:r>
        <w:t xml:space="preserve">to </w:t>
      </w:r>
      <w:r w:rsidR="005949BD">
        <w:t>sub-delegate this power, with written limitations that correspond to the limits contained in the Finance Minister’s delegation, to officials of their own entity, or an official of another NCE (</w:t>
      </w:r>
      <w:hyperlink r:id="rId34" w:history="1">
        <w:r w:rsidR="005949BD" w:rsidRPr="00C26B50">
          <w:rPr>
            <w:rStyle w:val="Hyperlink"/>
            <w:rFonts w:cstheme="minorBidi"/>
          </w:rPr>
          <w:t>section</w:t>
        </w:r>
        <w:r w:rsidR="007B0DF7" w:rsidRPr="00C26B50">
          <w:rPr>
            <w:rStyle w:val="Hyperlink"/>
            <w:rFonts w:cstheme="minorBidi"/>
          </w:rPr>
          <w:t>s</w:t>
        </w:r>
        <w:r w:rsidRPr="00C26B50">
          <w:rPr>
            <w:rStyle w:val="Hyperlink"/>
            <w:rFonts w:cstheme="minorBidi"/>
          </w:rPr>
          <w:t> </w:t>
        </w:r>
        <w:r w:rsidR="005949BD" w:rsidRPr="00C26B50">
          <w:rPr>
            <w:rStyle w:val="Hyperlink"/>
            <w:rFonts w:cstheme="minorBidi"/>
          </w:rPr>
          <w:t xml:space="preserve">110(1) and </w:t>
        </w:r>
        <w:r w:rsidR="0081624C" w:rsidRPr="00C26B50">
          <w:rPr>
            <w:rStyle w:val="Hyperlink"/>
            <w:rFonts w:cstheme="minorBidi"/>
          </w:rPr>
          <w:t>(6)</w:t>
        </w:r>
      </w:hyperlink>
      <w:r w:rsidR="0081624C">
        <w:t xml:space="preserve"> of the PGPA </w:t>
      </w:r>
      <w:r w:rsidR="005949BD" w:rsidRPr="005949BD">
        <w:t>Act.</w:t>
      </w:r>
      <w:r w:rsidR="005949BD">
        <w:t xml:space="preserve">). The accountable authority </w:t>
      </w:r>
      <w:r w:rsidR="007B0DF7">
        <w:t xml:space="preserve">can include directions </w:t>
      </w:r>
      <w:r w:rsidR="005949BD">
        <w:t xml:space="preserve">to suit the context of the </w:t>
      </w:r>
      <w:r w:rsidR="007B0DF7">
        <w:t>power</w:t>
      </w:r>
      <w:r w:rsidR="005949BD">
        <w:t xml:space="preserve"> and ap</w:t>
      </w:r>
      <w:r w:rsidR="00240607">
        <w:t xml:space="preserve">petite for risk </w:t>
      </w:r>
      <w:r w:rsidR="005949BD">
        <w:t>(which must not be inconsistent with the Finance Minister’s directions).</w:t>
      </w:r>
    </w:p>
    <w:p w14:paraId="12E0E692" w14:textId="77777777" w:rsidR="005949BD" w:rsidRDefault="00FF45F4" w:rsidP="00240607">
      <w:pPr>
        <w:pStyle w:val="NumberedList1"/>
        <w:ind w:left="426" w:hanging="426"/>
      </w:pPr>
      <w:r>
        <w:t xml:space="preserve">An accountable authority or their </w:t>
      </w:r>
      <w:r w:rsidR="00C00CC3">
        <w:t>sub-</w:t>
      </w:r>
      <w:r>
        <w:t>delegate must consider whether granting an indemnity is appropriate in the circumstances.</w:t>
      </w:r>
      <w:r w:rsidR="005949BD">
        <w:t xml:space="preserve"> </w:t>
      </w:r>
    </w:p>
    <w:p w14:paraId="58FA2E34" w14:textId="026F9C84" w:rsidR="004D49DC" w:rsidRPr="00EF783A" w:rsidRDefault="004D49DC" w:rsidP="00EF783A">
      <w:pPr>
        <w:pStyle w:val="Heading2"/>
      </w:pPr>
      <w:bookmarkStart w:id="36" w:name="_Toc468365680"/>
      <w:bookmarkStart w:id="37" w:name="_Toc462324784"/>
      <w:r w:rsidRPr="00EF783A">
        <w:t xml:space="preserve">When can a </w:t>
      </w:r>
      <w:r w:rsidR="00370A44">
        <w:t xml:space="preserve">delegate (or </w:t>
      </w:r>
      <w:r w:rsidRPr="00EF783A">
        <w:t>sub-delegate</w:t>
      </w:r>
      <w:r w:rsidR="00370A44">
        <w:t>)</w:t>
      </w:r>
      <w:r w:rsidRPr="00EF783A">
        <w:t xml:space="preserve"> grant an indemnity?</w:t>
      </w:r>
      <w:bookmarkEnd w:id="36"/>
    </w:p>
    <w:p w14:paraId="5DD88F6F" w14:textId="7E341D37" w:rsidR="00370A44" w:rsidRDefault="00370A44" w:rsidP="00370A44">
      <w:pPr>
        <w:pStyle w:val="NumberedList1"/>
        <w:keepNext/>
        <w:keepLines/>
        <w:ind w:left="426" w:hanging="426"/>
      </w:pPr>
      <w:r>
        <w:t xml:space="preserve">The delegation requires a delegate to consider two overarching policy principles before granting an indemnity: </w:t>
      </w:r>
    </w:p>
    <w:p w14:paraId="58037036" w14:textId="77777777" w:rsidR="00370A44" w:rsidRDefault="00370A44" w:rsidP="00370A44">
      <w:pPr>
        <w:pStyle w:val="NumberedList1"/>
        <w:numPr>
          <w:ilvl w:val="0"/>
          <w:numId w:val="15"/>
        </w:numPr>
        <w:ind w:left="851" w:hanging="425"/>
      </w:pPr>
      <w:r>
        <w:t>that risks be borne by the party best placed to manage them and</w:t>
      </w:r>
    </w:p>
    <w:p w14:paraId="16F4AE1F" w14:textId="77777777" w:rsidR="00370A44" w:rsidRDefault="00370A44" w:rsidP="00370A44">
      <w:pPr>
        <w:pStyle w:val="NumberedList1"/>
        <w:numPr>
          <w:ilvl w:val="0"/>
          <w:numId w:val="15"/>
        </w:numPr>
        <w:ind w:left="851" w:hanging="425"/>
      </w:pPr>
      <w:proofErr w:type="gramStart"/>
      <w:r>
        <w:t>benefits</w:t>
      </w:r>
      <w:proofErr w:type="gramEnd"/>
      <w:r>
        <w:t xml:space="preserve"> to the Commonwealth need to outweigh the risks involved.</w:t>
      </w:r>
    </w:p>
    <w:p w14:paraId="10CB5F74" w14:textId="370D6201" w:rsidR="00EF783A" w:rsidRDefault="004D49DC" w:rsidP="00EF783A">
      <w:pPr>
        <w:pStyle w:val="NumberedList1"/>
        <w:ind w:left="426" w:hanging="426"/>
      </w:pPr>
      <w:r w:rsidRPr="00EF783A">
        <w:t xml:space="preserve">A </w:t>
      </w:r>
      <w:r w:rsidRPr="00EF783A">
        <w:rPr>
          <w:rFonts w:cstheme="minorHAnsi"/>
        </w:rPr>
        <w:t xml:space="preserve">delegate </w:t>
      </w:r>
      <w:r w:rsidR="00C64EFA">
        <w:rPr>
          <w:rFonts w:cstheme="minorHAnsi"/>
        </w:rPr>
        <w:t>can</w:t>
      </w:r>
      <w:r w:rsidRPr="00EF783A">
        <w:rPr>
          <w:rFonts w:cstheme="minorHAnsi"/>
        </w:rPr>
        <w:t xml:space="preserve"> grant an indemnity, guarantee or warranty on behalf of the Commonwealth, if: </w:t>
      </w:r>
    </w:p>
    <w:p w14:paraId="6519A175" w14:textId="77777777" w:rsidR="004D49DC" w:rsidRPr="00EF783A" w:rsidRDefault="00C00CC3" w:rsidP="008438FD">
      <w:pPr>
        <w:pStyle w:val="ListParagraph"/>
        <w:numPr>
          <w:ilvl w:val="0"/>
          <w:numId w:val="24"/>
        </w:numPr>
        <w:rPr>
          <w:rFonts w:asciiTheme="minorHAnsi" w:hAnsiTheme="minorHAnsi" w:cstheme="minorHAnsi"/>
        </w:rPr>
      </w:pPr>
      <w:r w:rsidRPr="00EF783A">
        <w:rPr>
          <w:rFonts w:asciiTheme="minorHAnsi" w:hAnsiTheme="minorHAnsi" w:cstheme="minorHAnsi"/>
        </w:rPr>
        <w:t>T</w:t>
      </w:r>
      <w:r w:rsidR="004D49DC" w:rsidRPr="00EF783A">
        <w:rPr>
          <w:rFonts w:asciiTheme="minorHAnsi" w:hAnsiTheme="minorHAnsi" w:cstheme="minorHAnsi"/>
        </w:rPr>
        <w:t>he</w:t>
      </w:r>
      <w:r w:rsidRPr="00EF783A">
        <w:rPr>
          <w:rFonts w:asciiTheme="minorHAnsi" w:hAnsiTheme="minorHAnsi" w:cstheme="minorHAnsi"/>
        </w:rPr>
        <w:t>y are</w:t>
      </w:r>
      <w:r w:rsidR="004D49DC" w:rsidRPr="00EF783A">
        <w:rPr>
          <w:rFonts w:asciiTheme="minorHAnsi" w:hAnsiTheme="minorHAnsi" w:cstheme="minorHAnsi"/>
        </w:rPr>
        <w:t xml:space="preserve"> satisfied that the likelihood of the event occurring is remote, i.e. it has a less than 5% chance of occurring and </w:t>
      </w:r>
    </w:p>
    <w:p w14:paraId="2353E7D0" w14:textId="77777777" w:rsidR="004D49DC" w:rsidRPr="00EF783A" w:rsidRDefault="004D49DC" w:rsidP="008438FD">
      <w:pPr>
        <w:pStyle w:val="ListParagraph"/>
        <w:numPr>
          <w:ilvl w:val="0"/>
          <w:numId w:val="24"/>
        </w:numPr>
        <w:rPr>
          <w:rFonts w:asciiTheme="minorHAnsi" w:hAnsiTheme="minorHAnsi" w:cstheme="minorHAnsi"/>
        </w:rPr>
      </w:pPr>
      <w:proofErr w:type="gramStart"/>
      <w:r w:rsidRPr="00EF783A">
        <w:rPr>
          <w:rFonts w:asciiTheme="minorHAnsi" w:hAnsiTheme="minorHAnsi" w:cstheme="minorHAnsi"/>
        </w:rPr>
        <w:t>the</w:t>
      </w:r>
      <w:proofErr w:type="gramEnd"/>
      <w:r w:rsidRPr="00EF783A">
        <w:rPr>
          <w:rFonts w:asciiTheme="minorHAnsi" w:hAnsiTheme="minorHAnsi" w:cstheme="minorHAnsi"/>
        </w:rPr>
        <w:t xml:space="preserve"> most probable expenditure if the event occurred is not significant, i.e. it would be less than $30 million.</w:t>
      </w:r>
    </w:p>
    <w:p w14:paraId="64F0D606" w14:textId="6168BBA8" w:rsidR="00EF783A" w:rsidRDefault="004D49DC" w:rsidP="00EF783A">
      <w:pPr>
        <w:pStyle w:val="NumberedList1"/>
        <w:ind w:left="426" w:hanging="426"/>
      </w:pPr>
      <w:r w:rsidRPr="00EF783A">
        <w:rPr>
          <w:rFonts w:cstheme="minorHAnsi"/>
        </w:rPr>
        <w:t xml:space="preserve">In order to be satisfied, </w:t>
      </w:r>
      <w:r w:rsidR="00C00CC3" w:rsidRPr="00EF783A">
        <w:rPr>
          <w:rFonts w:cstheme="minorHAnsi"/>
        </w:rPr>
        <w:t>the</w:t>
      </w:r>
      <w:r w:rsidR="00C00CC3" w:rsidRPr="00EF783A">
        <w:t xml:space="preserve"> </w:t>
      </w:r>
      <w:r w:rsidRPr="00EF783A">
        <w:t xml:space="preserve">delegate </w:t>
      </w:r>
      <w:r w:rsidRPr="00EF783A">
        <w:rPr>
          <w:b/>
        </w:rPr>
        <w:t xml:space="preserve">must </w:t>
      </w:r>
      <w:r w:rsidRPr="00EF783A">
        <w:t xml:space="preserve">make reasonable inquiries to determine the likelihood and amount of any contingent liability. A </w:t>
      </w:r>
      <w:r w:rsidR="00C00CC3" w:rsidRPr="00EF783A">
        <w:t>sub-</w:t>
      </w:r>
      <w:r w:rsidRPr="00EF783A">
        <w:t xml:space="preserve">delegate may wish to take a proportionate approach, i.e. consider the complexity, risks and materiality of the proposed arrangement. The greater these factors are, the more extensive the inquiry. </w:t>
      </w:r>
    </w:p>
    <w:p w14:paraId="064F9E9E" w14:textId="7FF0166F" w:rsidR="00EF783A" w:rsidRDefault="004D49DC" w:rsidP="00EF783A">
      <w:pPr>
        <w:pStyle w:val="NumberedList1"/>
        <w:ind w:left="426" w:hanging="426"/>
      </w:pPr>
      <w:r w:rsidRPr="00EF783A">
        <w:t xml:space="preserve">When determining the most probable cost in relation to an indemnity, the potential proceeds of insurance </w:t>
      </w:r>
      <w:r w:rsidRPr="00EF783A">
        <w:rPr>
          <w:b/>
        </w:rPr>
        <w:t>must not</w:t>
      </w:r>
      <w:r w:rsidRPr="00EF783A">
        <w:t xml:space="preserve"> be taken into account. The availability of insurance to cover a contingent liability may not reduce the most probable expenditure by the Commonwealth as a whole </w:t>
      </w:r>
      <w:r w:rsidRPr="00EF783A">
        <w:lastRenderedPageBreak/>
        <w:t xml:space="preserve">(whether by the NCE, by </w:t>
      </w:r>
      <w:proofErr w:type="spellStart"/>
      <w:r w:rsidRPr="00EF783A">
        <w:t>Comcover</w:t>
      </w:r>
      <w:proofErr w:type="spellEnd"/>
      <w:r w:rsidRPr="00EF783A">
        <w:t xml:space="preserve">, and/or from Budget measures). It cannot be assumed that an insurance claim will result in a payment by an insurer. However, accountable authorities may direct that decisions made in relation to indemnities be recorded in accordance with insurance requirements, such as in </w:t>
      </w:r>
      <w:r w:rsidR="0079701E">
        <w:t xml:space="preserve">the </w:t>
      </w:r>
      <w:hyperlink r:id="rId35" w:history="1">
        <w:proofErr w:type="spellStart"/>
        <w:r w:rsidRPr="0079701E">
          <w:rPr>
            <w:rStyle w:val="Hyperlink"/>
            <w:rFonts w:cstheme="minorBidi"/>
          </w:rPr>
          <w:t>Comcover</w:t>
        </w:r>
        <w:proofErr w:type="spellEnd"/>
        <w:r w:rsidRPr="0079701E">
          <w:rPr>
            <w:rStyle w:val="Hyperlink"/>
            <w:rFonts w:cstheme="minorBidi"/>
          </w:rPr>
          <w:t xml:space="preserve"> Statement of Cover</w:t>
        </w:r>
      </w:hyperlink>
      <w:r w:rsidRPr="00EF783A">
        <w:t xml:space="preserve">. </w:t>
      </w:r>
    </w:p>
    <w:p w14:paraId="171782B7" w14:textId="22DA713D" w:rsidR="00C248B6" w:rsidRDefault="00C248B6" w:rsidP="00C248B6">
      <w:pPr>
        <w:pStyle w:val="NumberedList1"/>
        <w:ind w:left="426" w:hanging="426"/>
      </w:pPr>
      <w:r w:rsidRPr="00C248B6">
        <w:t>A delegate can grant an indemnity beyond the above thresholds if it:</w:t>
      </w:r>
    </w:p>
    <w:p w14:paraId="1C0EDEB5" w14:textId="77777777" w:rsidR="00C248B6" w:rsidRDefault="00C248B6" w:rsidP="008438FD">
      <w:pPr>
        <w:pStyle w:val="NumberedList1"/>
        <w:numPr>
          <w:ilvl w:val="0"/>
          <w:numId w:val="18"/>
        </w:numPr>
      </w:pPr>
      <w:r>
        <w:t xml:space="preserve">has </w:t>
      </w:r>
      <w:r w:rsidRPr="00685078">
        <w:t>been explicitly agreed in a decision of Cabinet, the National Security Committee of Cabinet (NSC) or its successor or the Prime Minister or</w:t>
      </w:r>
    </w:p>
    <w:p w14:paraId="01827B68" w14:textId="77777777" w:rsidR="00C248B6" w:rsidRPr="00D33D32" w:rsidRDefault="00C248B6" w:rsidP="008438FD">
      <w:pPr>
        <w:pStyle w:val="NumberedList1"/>
        <w:numPr>
          <w:ilvl w:val="0"/>
          <w:numId w:val="18"/>
        </w:numPr>
      </w:pPr>
      <w:proofErr w:type="gramStart"/>
      <w:r>
        <w:t>is</w:t>
      </w:r>
      <w:proofErr w:type="gramEnd"/>
      <w:r>
        <w:t xml:space="preserve"> </w:t>
      </w:r>
      <w:r w:rsidRPr="00685078">
        <w:t>in accordance with a written determination of the Finance Minister</w:t>
      </w:r>
      <w:r>
        <w:t>.</w:t>
      </w:r>
    </w:p>
    <w:bookmarkEnd w:id="37"/>
    <w:p w14:paraId="671C53D0" w14:textId="77777777" w:rsidR="004C443B" w:rsidRDefault="004C443B" w:rsidP="004C443B">
      <w:pPr>
        <w:pStyle w:val="NumberedList1"/>
        <w:ind w:left="426" w:hanging="426"/>
      </w:pPr>
      <w:r>
        <w:t xml:space="preserve">The limits in the delegation of the power in </w:t>
      </w:r>
      <w:hyperlink r:id="rId36" w:history="1">
        <w:r w:rsidRPr="00C26B50">
          <w:rPr>
            <w:rStyle w:val="Hyperlink"/>
            <w:rFonts w:cstheme="minorBidi"/>
          </w:rPr>
          <w:t>section 60</w:t>
        </w:r>
      </w:hyperlink>
      <w:r>
        <w:t xml:space="preserve"> by the Finance Minister expressly direct that</w:t>
      </w:r>
      <w:r w:rsidRPr="00CF2F6B">
        <w:t xml:space="preserve"> </w:t>
      </w:r>
      <w:r>
        <w:t>a delegate:</w:t>
      </w:r>
    </w:p>
    <w:p w14:paraId="44C83492" w14:textId="77777777" w:rsidR="004C443B" w:rsidRPr="00EF783A" w:rsidRDefault="004C443B" w:rsidP="008438FD">
      <w:pPr>
        <w:pStyle w:val="NumberedList1"/>
        <w:numPr>
          <w:ilvl w:val="0"/>
          <w:numId w:val="18"/>
        </w:numPr>
      </w:pPr>
      <w:r w:rsidRPr="00EF783A">
        <w:t xml:space="preserve">cannot grant a guarantee for the payment of any amount of principal or interest due on a loan an </w:t>
      </w:r>
    </w:p>
    <w:p w14:paraId="4F958EFE" w14:textId="77777777" w:rsidR="004C443B" w:rsidRPr="00EF783A" w:rsidRDefault="004C443B" w:rsidP="008438FD">
      <w:pPr>
        <w:pStyle w:val="NumberedList1"/>
        <w:numPr>
          <w:ilvl w:val="0"/>
          <w:numId w:val="18"/>
        </w:numPr>
      </w:pPr>
      <w:r w:rsidRPr="00EF783A">
        <w:t>cannot grant an indemnity that</w:t>
      </w:r>
      <w:r w:rsidRPr="00EF783A" w:rsidDel="001F7630">
        <w:t xml:space="preserve"> </w:t>
      </w:r>
      <w:r w:rsidRPr="00EF783A">
        <w:t xml:space="preserve">would expressly meet the costs of civil or criminal penalties of the indemnified party </w:t>
      </w:r>
    </w:p>
    <w:p w14:paraId="379B8AD4" w14:textId="77777777" w:rsidR="004C443B" w:rsidRPr="00C64556" w:rsidRDefault="004C443B" w:rsidP="008438FD">
      <w:pPr>
        <w:pStyle w:val="NumberedList1"/>
        <w:numPr>
          <w:ilvl w:val="0"/>
          <w:numId w:val="18"/>
        </w:numPr>
      </w:pPr>
      <w:r w:rsidRPr="00EF783A">
        <w:t>must consider the following two overarching policy principles before exercising the delegation</w:t>
      </w:r>
      <w:r>
        <w:t>, that</w:t>
      </w:r>
      <w:r w:rsidRPr="00C64556">
        <w:t>:</w:t>
      </w:r>
    </w:p>
    <w:p w14:paraId="6529B7B6" w14:textId="77777777" w:rsidR="004C443B" w:rsidRDefault="004C443B" w:rsidP="004C443B">
      <w:pPr>
        <w:pStyle w:val="NumberedList1"/>
        <w:numPr>
          <w:ilvl w:val="1"/>
          <w:numId w:val="15"/>
        </w:numPr>
        <w:ind w:left="1276"/>
      </w:pPr>
      <w:r w:rsidRPr="00C64556">
        <w:t>risks be borne by the p</w:t>
      </w:r>
      <w:r>
        <w:t>arty best placed to manage them</w:t>
      </w:r>
      <w:r w:rsidRPr="00C64556">
        <w:t xml:space="preserve"> and</w:t>
      </w:r>
    </w:p>
    <w:p w14:paraId="0C79B303" w14:textId="77777777" w:rsidR="004C443B" w:rsidRPr="00C64556" w:rsidRDefault="004C443B" w:rsidP="004C443B">
      <w:pPr>
        <w:pStyle w:val="NumberedList1"/>
        <w:numPr>
          <w:ilvl w:val="1"/>
          <w:numId w:val="15"/>
        </w:numPr>
        <w:ind w:left="1276"/>
      </w:pPr>
      <w:proofErr w:type="gramStart"/>
      <w:r w:rsidRPr="00C64556">
        <w:t>benefits</w:t>
      </w:r>
      <w:proofErr w:type="gramEnd"/>
      <w:r w:rsidRPr="00C64556">
        <w:t xml:space="preserve"> to the Commonwealth outweigh the risks involved.</w:t>
      </w:r>
    </w:p>
    <w:p w14:paraId="2D243FD4" w14:textId="6A64C8B7" w:rsidR="00D16F27" w:rsidRDefault="00D16F27" w:rsidP="00D16F27">
      <w:pPr>
        <w:pStyle w:val="Heading2"/>
      </w:pPr>
      <w:bookmarkStart w:id="38" w:name="_Toc468365682"/>
      <w:r>
        <w:t>What amounts to explicit agreement by Cabinet or the Prime Minister?</w:t>
      </w:r>
      <w:bookmarkEnd w:id="38"/>
    </w:p>
    <w:p w14:paraId="3CE352D2" w14:textId="6A40E782" w:rsidR="006F442E" w:rsidRPr="006F442E" w:rsidRDefault="00BF7FD4" w:rsidP="006F442E">
      <w:pPr>
        <w:pStyle w:val="NumberedList1"/>
        <w:ind w:left="426" w:hanging="426"/>
      </w:pPr>
      <w:r>
        <w:t xml:space="preserve">To rely on a decision of </w:t>
      </w:r>
      <w:r w:rsidR="00D16F27" w:rsidRPr="006F442E">
        <w:t>Cabinet</w:t>
      </w:r>
      <w:r w:rsidR="00D16F27">
        <w:t xml:space="preserve">, </w:t>
      </w:r>
      <w:r w:rsidR="00D16F27" w:rsidRPr="006F442E">
        <w:t xml:space="preserve">the NSC </w:t>
      </w:r>
      <w:r w:rsidR="00D16F27">
        <w:t>(</w:t>
      </w:r>
      <w:r w:rsidR="00D16F27" w:rsidRPr="006F442E">
        <w:t>or its successor</w:t>
      </w:r>
      <w:r w:rsidR="00D16F27">
        <w:t>)</w:t>
      </w:r>
      <w:r w:rsidR="00D16F27" w:rsidRPr="006F442E">
        <w:t xml:space="preserve"> or</w:t>
      </w:r>
      <w:r w:rsidR="00D16F27">
        <w:t xml:space="preserve"> </w:t>
      </w:r>
      <w:r w:rsidR="00D16F27" w:rsidRPr="006F442E">
        <w:t>the Prime Minister</w:t>
      </w:r>
      <w:r w:rsidR="00D16F27">
        <w:t xml:space="preserve"> </w:t>
      </w:r>
      <w:r>
        <w:t xml:space="preserve">to grant an indemnity, the </w:t>
      </w:r>
      <w:r w:rsidR="006F442E" w:rsidRPr="006F442E">
        <w:t xml:space="preserve">decision </w:t>
      </w:r>
      <w:r>
        <w:t xml:space="preserve">must </w:t>
      </w:r>
      <w:r w:rsidR="006F442E" w:rsidRPr="006F442E">
        <w:t>explicitly provide details on:</w:t>
      </w:r>
    </w:p>
    <w:p w14:paraId="77ED159B" w14:textId="77777777" w:rsidR="006F442E" w:rsidRPr="006F442E" w:rsidRDefault="006F442E" w:rsidP="006F442E">
      <w:pPr>
        <w:pStyle w:val="NumberedList1"/>
        <w:numPr>
          <w:ilvl w:val="0"/>
          <w:numId w:val="15"/>
        </w:numPr>
        <w:ind w:left="851" w:hanging="425"/>
      </w:pPr>
      <w:r w:rsidRPr="006F442E">
        <w:t>who the party is that the Commonwealth will make the arrangement with</w:t>
      </w:r>
    </w:p>
    <w:p w14:paraId="5D62DAE9" w14:textId="77777777" w:rsidR="006F442E" w:rsidRPr="006F442E" w:rsidRDefault="006F442E" w:rsidP="006F442E">
      <w:pPr>
        <w:pStyle w:val="NumberedList1"/>
        <w:numPr>
          <w:ilvl w:val="0"/>
          <w:numId w:val="15"/>
        </w:numPr>
        <w:ind w:left="851" w:hanging="425"/>
      </w:pPr>
      <w:r w:rsidRPr="006F442E">
        <w:t>the time period covered by the arrangement</w:t>
      </w:r>
    </w:p>
    <w:p w14:paraId="3475035F" w14:textId="77777777" w:rsidR="006F442E" w:rsidRPr="006F442E" w:rsidRDefault="006F442E" w:rsidP="006F442E">
      <w:pPr>
        <w:pStyle w:val="NumberedList1"/>
        <w:numPr>
          <w:ilvl w:val="0"/>
          <w:numId w:val="15"/>
        </w:numPr>
        <w:ind w:left="851" w:hanging="425"/>
      </w:pPr>
      <w:r w:rsidRPr="006F442E">
        <w:t>the risk of the contingent event occurring and</w:t>
      </w:r>
    </w:p>
    <w:p w14:paraId="080F2E7A" w14:textId="77777777" w:rsidR="006F442E" w:rsidRPr="006F442E" w:rsidRDefault="006F442E" w:rsidP="006F442E">
      <w:pPr>
        <w:pStyle w:val="NumberedList1"/>
        <w:numPr>
          <w:ilvl w:val="0"/>
          <w:numId w:val="15"/>
        </w:numPr>
        <w:ind w:left="851" w:hanging="425"/>
      </w:pPr>
      <w:proofErr w:type="gramStart"/>
      <w:r w:rsidRPr="006F442E">
        <w:t>the</w:t>
      </w:r>
      <w:proofErr w:type="gramEnd"/>
      <w:r w:rsidRPr="006F442E">
        <w:t xml:space="preserve"> most probable cost to the Commonwealth.</w:t>
      </w:r>
    </w:p>
    <w:p w14:paraId="4976C56D" w14:textId="39C70793" w:rsidR="00851A77" w:rsidRDefault="00851A77" w:rsidP="00851A77">
      <w:pPr>
        <w:pStyle w:val="Heading2"/>
      </w:pPr>
      <w:bookmarkStart w:id="39" w:name="_Toc468365683"/>
      <w:r>
        <w:t xml:space="preserve">How to ask the Finance Minister to </w:t>
      </w:r>
      <w:r w:rsidR="00C248B6">
        <w:t xml:space="preserve">approve </w:t>
      </w:r>
      <w:r>
        <w:t>grant</w:t>
      </w:r>
      <w:r w:rsidR="00C248B6">
        <w:t>ing</w:t>
      </w:r>
      <w:r>
        <w:t xml:space="preserve"> an indemnity?</w:t>
      </w:r>
      <w:bookmarkEnd w:id="39"/>
    </w:p>
    <w:p w14:paraId="6517058C" w14:textId="77777777" w:rsidR="00C248B6" w:rsidRPr="00C248B6" w:rsidRDefault="00C248B6" w:rsidP="00C248B6">
      <w:pPr>
        <w:pStyle w:val="NumberedList1"/>
        <w:keepNext/>
        <w:keepLines/>
        <w:ind w:left="425" w:hanging="425"/>
      </w:pPr>
      <w:r w:rsidRPr="00C248B6">
        <w:t>The NCE’s responsible minister should write to the Finance Minister to request that the Finance Minister give approval to the relevant accountable authority, or its delegate, to grant the indemnity. This request should:</w:t>
      </w:r>
    </w:p>
    <w:p w14:paraId="248E2167" w14:textId="36AB6493" w:rsidR="00851A77" w:rsidRDefault="00851A77" w:rsidP="008438FD">
      <w:pPr>
        <w:pStyle w:val="NumberedList1"/>
        <w:numPr>
          <w:ilvl w:val="0"/>
          <w:numId w:val="19"/>
        </w:numPr>
        <w:ind w:left="777" w:hanging="357"/>
      </w:pPr>
      <w:r>
        <w:t xml:space="preserve">identify why the accountable authority of the entity cannot grant the </w:t>
      </w:r>
      <w:r w:rsidRPr="00240607">
        <w:t>indemnity</w:t>
      </w:r>
      <w:r>
        <w:t xml:space="preserve"> (e.g.</w:t>
      </w:r>
      <w:r w:rsidR="00E97259">
        <w:t> </w:t>
      </w:r>
      <w:r w:rsidRPr="00C40A88">
        <w:t>the granting of the indemnity involving a contingent liability falls outside the scope of the directions of the Finance Minister’s delegation to accountable authorities</w:t>
      </w:r>
      <w:r>
        <w:t>)</w:t>
      </w:r>
    </w:p>
    <w:p w14:paraId="7BA429C8" w14:textId="2396EDD0" w:rsidR="00851A77" w:rsidRDefault="00851A77" w:rsidP="008438FD">
      <w:pPr>
        <w:pStyle w:val="NumberedList1"/>
        <w:numPr>
          <w:ilvl w:val="0"/>
          <w:numId w:val="19"/>
        </w:numPr>
        <w:ind w:left="777" w:hanging="357"/>
      </w:pPr>
      <w:proofErr w:type="gramStart"/>
      <w:r>
        <w:t>contain</w:t>
      </w:r>
      <w:proofErr w:type="gramEnd"/>
      <w:r>
        <w:t xml:space="preserve"> the model Indemnity Grant Request Form </w:t>
      </w:r>
      <w:r w:rsidR="000E37E0">
        <w:t xml:space="preserve">in the </w:t>
      </w:r>
      <w:r w:rsidRPr="00742FC5">
        <w:rPr>
          <w:u w:val="single"/>
        </w:rPr>
        <w:t>Appendix</w:t>
      </w:r>
      <w:r w:rsidR="003320BD" w:rsidRPr="003320BD">
        <w:t xml:space="preserve"> </w:t>
      </w:r>
      <w:r w:rsidR="003320BD">
        <w:t>b</w:t>
      </w:r>
      <w:r w:rsidR="003320BD" w:rsidRPr="003320BD">
        <w:t>elow.</w:t>
      </w:r>
    </w:p>
    <w:p w14:paraId="63E3D4CA" w14:textId="266CFCDD" w:rsidR="00851A77" w:rsidRDefault="00851A77" w:rsidP="008438FD">
      <w:pPr>
        <w:pStyle w:val="NumberedList1"/>
        <w:numPr>
          <w:ilvl w:val="0"/>
          <w:numId w:val="19"/>
        </w:numPr>
        <w:ind w:left="777" w:hanging="357"/>
      </w:pPr>
      <w:proofErr w:type="gramStart"/>
      <w:r w:rsidRPr="00C40A88">
        <w:t>provide</w:t>
      </w:r>
      <w:proofErr w:type="gramEnd"/>
      <w:r w:rsidRPr="00C40A88">
        <w:t xml:space="preserve"> reasons why the indemnity is </w:t>
      </w:r>
      <w:r>
        <w:t>needed.</w:t>
      </w:r>
    </w:p>
    <w:p w14:paraId="36674265" w14:textId="453E672A" w:rsidR="00851A77" w:rsidRDefault="00851A77" w:rsidP="00851A77">
      <w:pPr>
        <w:pStyle w:val="NumberedList1"/>
        <w:keepNext/>
        <w:keepLines/>
        <w:ind w:left="425" w:hanging="425"/>
      </w:pPr>
      <w:r w:rsidRPr="00C40A88">
        <w:lastRenderedPageBreak/>
        <w:t xml:space="preserve">Entities that </w:t>
      </w:r>
      <w:r>
        <w:t>consider</w:t>
      </w:r>
      <w:r w:rsidRPr="00C40A88">
        <w:t xml:space="preserve"> they may need the Finance Minister</w:t>
      </w:r>
      <w:r>
        <w:t>’s</w:t>
      </w:r>
      <w:r w:rsidRPr="00C40A88">
        <w:t xml:space="preserve"> approval to </w:t>
      </w:r>
      <w:r w:rsidR="00C248B6">
        <w:t xml:space="preserve">authorise them to </w:t>
      </w:r>
      <w:r w:rsidRPr="00C40A88">
        <w:t xml:space="preserve">grant an indemnity </w:t>
      </w:r>
      <w:r>
        <w:t>can</w:t>
      </w:r>
      <w:r w:rsidRPr="00C40A88">
        <w:t xml:space="preserve"> contact their Agency Advice Unit (AAU) in Finance in the first instance.</w:t>
      </w:r>
      <w:r>
        <w:t xml:space="preserve"> </w:t>
      </w:r>
      <w:r w:rsidRPr="000E0524">
        <w:t xml:space="preserve">Where the proposed arrangement </w:t>
      </w:r>
      <w:r>
        <w:t>will</w:t>
      </w:r>
      <w:r w:rsidRPr="000E0524">
        <w:t xml:space="preserve"> constitute new policy</w:t>
      </w:r>
      <w:r>
        <w:t xml:space="preserve"> </w:t>
      </w:r>
      <w:r w:rsidRPr="000E0524">
        <w:t xml:space="preserve">it </w:t>
      </w:r>
      <w:r w:rsidRPr="00240607">
        <w:t>must</w:t>
      </w:r>
      <w:r>
        <w:t xml:space="preserve"> be considered in accordance with the Budget process</w:t>
      </w:r>
      <w:r w:rsidRPr="000E0524">
        <w:t>.</w:t>
      </w:r>
      <w:r>
        <w:t xml:space="preserve"> To assist the Finance Minister’s decision, officials can provide Finance copies of any:</w:t>
      </w:r>
    </w:p>
    <w:p w14:paraId="326ADD95" w14:textId="77777777" w:rsidR="00851A77" w:rsidRDefault="00851A77" w:rsidP="008438FD">
      <w:pPr>
        <w:pStyle w:val="NumberedList1"/>
        <w:numPr>
          <w:ilvl w:val="0"/>
          <w:numId w:val="19"/>
        </w:numPr>
        <w:ind w:left="777" w:hanging="357"/>
      </w:pPr>
      <w:r>
        <w:t>legal advice it has received on the matter</w:t>
      </w:r>
    </w:p>
    <w:p w14:paraId="48C35C25" w14:textId="77777777" w:rsidR="00851A77" w:rsidRDefault="00851A77" w:rsidP="008438FD">
      <w:pPr>
        <w:pStyle w:val="NumberedList1"/>
        <w:numPr>
          <w:ilvl w:val="0"/>
          <w:numId w:val="19"/>
        </w:numPr>
        <w:ind w:left="777" w:hanging="357"/>
      </w:pPr>
      <w:r>
        <w:t>risk assessments and</w:t>
      </w:r>
    </w:p>
    <w:p w14:paraId="09B2C811" w14:textId="4A26676A" w:rsidR="00851A77" w:rsidRDefault="00851A77" w:rsidP="008438FD">
      <w:pPr>
        <w:pStyle w:val="NumberedList1"/>
        <w:numPr>
          <w:ilvl w:val="0"/>
          <w:numId w:val="19"/>
        </w:numPr>
        <w:ind w:left="777" w:hanging="357"/>
      </w:pPr>
      <w:proofErr w:type="gramStart"/>
      <w:r>
        <w:t>draft</w:t>
      </w:r>
      <w:proofErr w:type="gramEnd"/>
      <w:r>
        <w:t xml:space="preserve"> agreements, contracts or other relevant documents.</w:t>
      </w:r>
    </w:p>
    <w:p w14:paraId="37E391F1" w14:textId="544A6DC8" w:rsidR="004E1122" w:rsidRPr="00C248B6" w:rsidRDefault="004E1122" w:rsidP="0027274F">
      <w:pPr>
        <w:pStyle w:val="NumberedList1"/>
        <w:ind w:left="426" w:hanging="426"/>
      </w:pPr>
      <w:r w:rsidRPr="00C248B6">
        <w:t xml:space="preserve">The Finance Minister will reply, by letter, to the NCE’s responsible Minister. If the Finance Minister agrees </w:t>
      </w:r>
      <w:r w:rsidR="00C248B6" w:rsidRPr="00C248B6">
        <w:t xml:space="preserve">to approve </w:t>
      </w:r>
      <w:r w:rsidRPr="00C248B6">
        <w:t>grant</w:t>
      </w:r>
      <w:r w:rsidR="00C248B6" w:rsidRPr="00C248B6">
        <w:t>ing</w:t>
      </w:r>
      <w:r w:rsidRPr="00C248B6">
        <w:t xml:space="preserve"> the indemnity</w:t>
      </w:r>
      <w:r w:rsidR="00D717BA">
        <w:t>, t</w:t>
      </w:r>
      <w:bookmarkStart w:id="40" w:name="_GoBack"/>
      <w:bookmarkEnd w:id="40"/>
      <w:r w:rsidRPr="00C248B6">
        <w:t xml:space="preserve">he letter will provide authority </w:t>
      </w:r>
      <w:r w:rsidR="00C248B6" w:rsidRPr="00C248B6">
        <w:rPr>
          <w:rFonts w:ascii="Arial" w:eastAsia="Times New Roman" w:hAnsi="Arial" w:cs="Arial"/>
          <w:lang w:eastAsia="en-AU"/>
        </w:rPr>
        <w:t>(essentially as a ‘one-off’ delegation of power) for the accountable authority of the relevant entity, or its delegate, to grant the indemnity. The indemnity will only be granted when the accountable authority, or its delegate, enters the arrangement containing the indemnity.</w:t>
      </w:r>
    </w:p>
    <w:p w14:paraId="75991323" w14:textId="6FB040B0" w:rsidR="004E1122" w:rsidRPr="0027274F" w:rsidRDefault="004E1122" w:rsidP="0027274F">
      <w:pPr>
        <w:pBdr>
          <w:top w:val="single" w:sz="4" w:space="1" w:color="B4B5E9"/>
          <w:left w:val="single" w:sz="4" w:space="4" w:color="B4B5E9"/>
          <w:bottom w:val="single" w:sz="4" w:space="1" w:color="B4B5E9"/>
          <w:right w:val="single" w:sz="4" w:space="4" w:color="B4B5E9"/>
        </w:pBdr>
        <w:shd w:val="clear" w:color="auto" w:fill="B4B5E9"/>
        <w:rPr>
          <w:b/>
        </w:rPr>
      </w:pPr>
      <w:r w:rsidRPr="0027274F">
        <w:rPr>
          <w:b/>
        </w:rPr>
        <w:t>Case study:</w:t>
      </w:r>
    </w:p>
    <w:p w14:paraId="0C801DE7"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pPr>
      <w:r>
        <w:t xml:space="preserve">An accountable authority wants to establish streamlined processes for officials entering routine arrangements for venue hire. Venue hire arrangements typically contain indemnity clauses covering damage while being used by the hirer. </w:t>
      </w:r>
    </w:p>
    <w:p w14:paraId="2A07E7E2" w14:textId="0F7C9D96"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pPr>
      <w:r>
        <w:t xml:space="preserve">The accountable authority sub-delegates his/her power under </w:t>
      </w:r>
      <w:hyperlink r:id="rId37" w:history="1">
        <w:r w:rsidRPr="00842C61">
          <w:rPr>
            <w:rStyle w:val="Hyperlink"/>
            <w:rFonts w:cstheme="minorBidi"/>
          </w:rPr>
          <w:t>section 60</w:t>
        </w:r>
      </w:hyperlink>
      <w:r>
        <w:t xml:space="preserve"> of the PGPA Act to all officials that have the power to enter into arrangements (i.e. </w:t>
      </w:r>
      <w:hyperlink r:id="rId38" w:history="1">
        <w:r w:rsidRPr="00842C61">
          <w:rPr>
            <w:rStyle w:val="Hyperlink"/>
            <w:rFonts w:cstheme="minorBidi"/>
          </w:rPr>
          <w:t>subsection 23(1)</w:t>
        </w:r>
      </w:hyperlink>
      <w:r>
        <w:t xml:space="preserve"> delegates) where the chance of triggering the indemnity is assessed as remote and the most likely cost, if a contingent event occurs, would be less than, $5 million. This will mean that when considering entering into arrangements, </w:t>
      </w:r>
      <w:hyperlink r:id="rId39" w:history="1">
        <w:r w:rsidRPr="00842C61">
          <w:rPr>
            <w:rStyle w:val="Hyperlink"/>
            <w:rFonts w:cstheme="minorBidi"/>
          </w:rPr>
          <w:t>subsection 23(1)</w:t>
        </w:r>
      </w:hyperlink>
      <w:r>
        <w:t xml:space="preserve"> delegates can also use their powers under section 60 of the PGPA Act to grant the indemnity.</w:t>
      </w:r>
    </w:p>
    <w:p w14:paraId="0C578F17"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pPr>
      <w:r>
        <w:t>The accountable authority may also provide a checklist in relation to venue hire, through the internal controls of the entity, to guide officials with a delegation to grant an indemnity and a delegation to enter an arrangement.</w:t>
      </w:r>
    </w:p>
    <w:p w14:paraId="16190B7F"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pPr>
      <w:r>
        <w:t>That checklist may set risk parameters such as:</w:t>
      </w:r>
    </w:p>
    <w:p w14:paraId="59DACC12"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r>
      <w:proofErr w:type="gramStart"/>
      <w:r>
        <w:t>the</w:t>
      </w:r>
      <w:proofErr w:type="gramEnd"/>
      <w:r>
        <w:t xml:space="preserve"> venue is within Australia</w:t>
      </w:r>
    </w:p>
    <w:p w14:paraId="39D3AC93"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r>
      <w:proofErr w:type="gramStart"/>
      <w:r>
        <w:t>the</w:t>
      </w:r>
      <w:proofErr w:type="gramEnd"/>
      <w:r>
        <w:t xml:space="preserve"> function will be attended by fewer than 150 people</w:t>
      </w:r>
    </w:p>
    <w:p w14:paraId="08905BAC" w14:textId="1488A1C8"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r>
      <w:proofErr w:type="gramStart"/>
      <w:r>
        <w:t>the</w:t>
      </w:r>
      <w:proofErr w:type="gramEnd"/>
      <w:r>
        <w:t xml:space="preserve"> venue is to be used for the purposes of events attended by public servants and/or reputable external people</w:t>
      </w:r>
    </w:p>
    <w:p w14:paraId="251987EA" w14:textId="0D524DC9"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r>
      <w:proofErr w:type="gramStart"/>
      <w:r>
        <w:t>the</w:t>
      </w:r>
      <w:proofErr w:type="gramEnd"/>
      <w:r>
        <w:t xml:space="preserve"> likelihood of unsociable behaviour is remote</w:t>
      </w:r>
    </w:p>
    <w:p w14:paraId="5F7FD8D9"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t>where subcontractors are engaged, the services provided are limited to the provision of facilitation services, scribing services, catering services or the provision of audio/visual services</w:t>
      </w:r>
    </w:p>
    <w:p w14:paraId="46AEE98E"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r>
      <w:proofErr w:type="gramStart"/>
      <w:r>
        <w:t>the</w:t>
      </w:r>
      <w:proofErr w:type="gramEnd"/>
      <w:r>
        <w:t xml:space="preserve"> contract does not provide an indemnity that would expressly meet the costs of civil or criminal penalties of the indemnified party.</w:t>
      </w:r>
    </w:p>
    <w:p w14:paraId="3F42B591"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pPr>
      <w:r>
        <w:t>The accountable authority may also decide to provide risk mitigation strategies as part of their internal controls, such as:</w:t>
      </w:r>
    </w:p>
    <w:p w14:paraId="7D3C525D"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r>
      <w:proofErr w:type="gramStart"/>
      <w:r>
        <w:t>officials</w:t>
      </w:r>
      <w:proofErr w:type="gramEnd"/>
      <w:r>
        <w:t xml:space="preserve"> granting an indemnity are encouraged to vet attendees</w:t>
      </w:r>
    </w:p>
    <w:p w14:paraId="0E30C00F"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lastRenderedPageBreak/>
        <w:t>•</w:t>
      </w:r>
      <w:r>
        <w:tab/>
      </w:r>
      <w:proofErr w:type="gramStart"/>
      <w:r>
        <w:t>officials</w:t>
      </w:r>
      <w:proofErr w:type="gramEnd"/>
      <w:r>
        <w:t xml:space="preserve"> are encouraged to advise attendees that they are responsible for their personal equipment and ensure adequate physical security of valuable equipment</w:t>
      </w:r>
    </w:p>
    <w:p w14:paraId="7F44C61A"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r>
      <w:proofErr w:type="gramStart"/>
      <w:r>
        <w:t>officials</w:t>
      </w:r>
      <w:proofErr w:type="gramEnd"/>
      <w:r>
        <w:t xml:space="preserve"> are encouraged to ensure there is appropriate security at the venue</w:t>
      </w:r>
    </w:p>
    <w:p w14:paraId="0C70DEAA" w14:textId="77777777"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r>
      <w:proofErr w:type="gramStart"/>
      <w:r>
        <w:t>officials</w:t>
      </w:r>
      <w:proofErr w:type="gramEnd"/>
      <w:r>
        <w:t xml:space="preserve"> are encouraged to ensure alcohol service (if included) is controlled</w:t>
      </w:r>
    </w:p>
    <w:p w14:paraId="57AE3509" w14:textId="611AE61D" w:rsidR="004E1122" w:rsidRDefault="004E1122" w:rsidP="0027274F">
      <w:pPr>
        <w:pBdr>
          <w:top w:val="single" w:sz="4" w:space="1" w:color="B4B5E9"/>
          <w:left w:val="single" w:sz="4" w:space="4" w:color="B4B5E9"/>
          <w:bottom w:val="single" w:sz="4" w:space="1" w:color="B4B5E9"/>
          <w:right w:val="single" w:sz="4" w:space="4" w:color="B4B5E9"/>
        </w:pBdr>
        <w:shd w:val="clear" w:color="auto" w:fill="B4B5E9"/>
        <w:ind w:left="567" w:hanging="567"/>
      </w:pPr>
      <w:r>
        <w:t>•</w:t>
      </w:r>
      <w:r>
        <w:tab/>
      </w:r>
      <w:proofErr w:type="gramStart"/>
      <w:r>
        <w:t>officials</w:t>
      </w:r>
      <w:proofErr w:type="gramEnd"/>
      <w:r>
        <w:t xml:space="preserve"> are encouraged to incorporate contingent liabilities into subcontractor arrangements (where applicable) and ensure the use of reputable subcontractors.</w:t>
      </w:r>
    </w:p>
    <w:p w14:paraId="4C0FB83F" w14:textId="019525F8" w:rsidR="004E1122" w:rsidRDefault="004E1122" w:rsidP="0027274F"/>
    <w:p w14:paraId="26F01140" w14:textId="77777777" w:rsidR="00240607" w:rsidRPr="0015437B" w:rsidRDefault="00EA7336" w:rsidP="00742FC5">
      <w:pPr>
        <w:pStyle w:val="Heading1"/>
        <w:shd w:val="clear" w:color="auto" w:fill="BDDCDF" w:themeFill="accent1"/>
      </w:pPr>
      <w:bookmarkStart w:id="41" w:name="_Toc468365684"/>
      <w:r>
        <w:t>Who is responsible for m</w:t>
      </w:r>
      <w:r w:rsidR="00742FC5" w:rsidRPr="0015437B">
        <w:t xml:space="preserve">anaging </w:t>
      </w:r>
      <w:r>
        <w:t xml:space="preserve">an </w:t>
      </w:r>
      <w:r w:rsidR="00742FC5" w:rsidRPr="0015437B">
        <w:t>indemnit</w:t>
      </w:r>
      <w:r>
        <w:t>y?</w:t>
      </w:r>
      <w:bookmarkEnd w:id="41"/>
    </w:p>
    <w:p w14:paraId="62D2885C" w14:textId="44A375DE" w:rsidR="00F04E0E" w:rsidRDefault="002F58B6" w:rsidP="0027274F">
      <w:pPr>
        <w:pStyle w:val="NumberedList1"/>
        <w:ind w:left="426" w:hanging="426"/>
      </w:pPr>
      <w:r>
        <w:t>An</w:t>
      </w:r>
      <w:r w:rsidR="00EA7336">
        <w:t xml:space="preserve"> officia</w:t>
      </w:r>
      <w:r>
        <w:t>l</w:t>
      </w:r>
      <w:r w:rsidR="00EA7336">
        <w:t xml:space="preserve"> who </w:t>
      </w:r>
      <w:r>
        <w:t xml:space="preserve">is </w:t>
      </w:r>
      <w:r w:rsidR="00EA7336">
        <w:t xml:space="preserve">responsible for managing an arrangement that contains an indemnity must </w:t>
      </w:r>
      <w:r w:rsidR="00DC773D" w:rsidRPr="002E06D7">
        <w:t>exercis</w:t>
      </w:r>
      <w:r w:rsidR="00DC773D">
        <w:t>e this</w:t>
      </w:r>
      <w:r w:rsidR="00DC773D" w:rsidRPr="002E06D7">
        <w:t xml:space="preserve"> power</w:t>
      </w:r>
      <w:r w:rsidR="00DC773D">
        <w:t xml:space="preserve"> </w:t>
      </w:r>
      <w:r w:rsidR="00DC773D" w:rsidRPr="002E06D7">
        <w:t>with the degree of care and diligence that a reasonable person would</w:t>
      </w:r>
      <w:r w:rsidR="00DC773D">
        <w:t xml:space="preserve"> exercise in the same position (</w:t>
      </w:r>
      <w:hyperlink r:id="rId40" w:history="1">
        <w:r w:rsidR="00DC773D" w:rsidRPr="0027274F">
          <w:rPr>
            <w:rStyle w:val="Hyperlink"/>
            <w:rFonts w:cstheme="minorBidi"/>
          </w:rPr>
          <w:t>section 25</w:t>
        </w:r>
      </w:hyperlink>
      <w:r w:rsidR="00DC773D" w:rsidRPr="002E06D7">
        <w:t xml:space="preserve"> of the PGPA Act</w:t>
      </w:r>
      <w:r w:rsidR="00DC773D">
        <w:t>) and act honestly, in good faith and for a proper purpose (</w:t>
      </w:r>
      <w:hyperlink r:id="rId41" w:history="1">
        <w:r w:rsidR="00DC773D" w:rsidRPr="0027274F">
          <w:rPr>
            <w:rStyle w:val="Hyperlink"/>
            <w:rFonts w:cstheme="minorBidi"/>
          </w:rPr>
          <w:t>section 26</w:t>
        </w:r>
      </w:hyperlink>
      <w:r w:rsidR="00DC773D">
        <w:t xml:space="preserve"> of the PGPA A</w:t>
      </w:r>
      <w:r w:rsidR="00AD081F">
        <w:t xml:space="preserve">ct). </w:t>
      </w:r>
      <w:r w:rsidR="00DC773D">
        <w:t>This means being aware of and complying with the directions or instructions of their a</w:t>
      </w:r>
      <w:r w:rsidR="00DC773D" w:rsidRPr="0027274F">
        <w:rPr>
          <w:rFonts w:cstheme="minorHAnsi"/>
        </w:rPr>
        <w:t xml:space="preserve">ccountable authority, </w:t>
      </w:r>
      <w:r w:rsidR="00DC773D">
        <w:rPr>
          <w:rFonts w:cstheme="minorHAnsi"/>
        </w:rPr>
        <w:t xml:space="preserve">and </w:t>
      </w:r>
      <w:r w:rsidR="008A481C">
        <w:t>seek</w:t>
      </w:r>
      <w:r w:rsidR="00DC773D">
        <w:t>ing</w:t>
      </w:r>
      <w:r w:rsidR="008A481C">
        <w:t xml:space="preserve"> to p</w:t>
      </w:r>
      <w:r>
        <w:t xml:space="preserve">revent </w:t>
      </w:r>
      <w:r w:rsidR="00EA7336">
        <w:t xml:space="preserve">events </w:t>
      </w:r>
      <w:r>
        <w:t xml:space="preserve">from </w:t>
      </w:r>
      <w:r w:rsidR="00EA7336">
        <w:t>occur</w:t>
      </w:r>
      <w:r>
        <w:t>ring</w:t>
      </w:r>
      <w:r w:rsidR="00EA7336">
        <w:t xml:space="preserve"> that </w:t>
      </w:r>
      <w:r>
        <w:t>could generate additional financial costs for the Commonwealth</w:t>
      </w:r>
      <w:r w:rsidR="00EA7336">
        <w:t xml:space="preserve">.  </w:t>
      </w:r>
      <w:r w:rsidR="00F531AB">
        <w:t xml:space="preserve">An event occurring that activates an </w:t>
      </w:r>
      <w:r w:rsidR="00F531AB" w:rsidRPr="00C40A88">
        <w:t>indemnit</w:t>
      </w:r>
      <w:r w:rsidR="00F531AB">
        <w:t>y</w:t>
      </w:r>
      <w:r w:rsidR="00F531AB" w:rsidRPr="00C40A88">
        <w:t xml:space="preserve"> can place financial obligations on the Commonwealth, </w:t>
      </w:r>
      <w:r w:rsidR="00F531AB">
        <w:t xml:space="preserve">and potentially </w:t>
      </w:r>
      <w:r w:rsidR="00F531AB" w:rsidRPr="00C40A88">
        <w:t xml:space="preserve">constrain </w:t>
      </w:r>
      <w:r w:rsidR="00F531AB">
        <w:t xml:space="preserve">its ability to allocate resources. </w:t>
      </w:r>
      <w:r w:rsidR="00C06D13">
        <w:t>In this case,</w:t>
      </w:r>
      <w:r w:rsidR="00FE0BE3" w:rsidRPr="0015437B">
        <w:t xml:space="preserve"> </w:t>
      </w:r>
      <w:r w:rsidR="00C06D13">
        <w:t xml:space="preserve">the official needs </w:t>
      </w:r>
      <w:r w:rsidR="003E7A15">
        <w:t xml:space="preserve">to </w:t>
      </w:r>
      <w:r w:rsidR="00FE0BE3" w:rsidRPr="0015437B">
        <w:t>manage risks and ensure the proper use and management of public</w:t>
      </w:r>
      <w:r w:rsidR="00F531AB">
        <w:t xml:space="preserve"> resources.</w:t>
      </w:r>
    </w:p>
    <w:p w14:paraId="41C60F88" w14:textId="79C19DB4" w:rsidR="00CD16BC" w:rsidRDefault="00CD16BC" w:rsidP="00CD16BC">
      <w:pPr>
        <w:pStyle w:val="NumberedList1"/>
        <w:ind w:left="426" w:hanging="426"/>
      </w:pPr>
      <w:r w:rsidRPr="004757FC">
        <w:t xml:space="preserve">Sound risk management is fundamental to the effective management of exposures that result from granting </w:t>
      </w:r>
      <w:r w:rsidR="008A481C">
        <w:t>an</w:t>
      </w:r>
      <w:r w:rsidRPr="004757FC">
        <w:t xml:space="preserve"> indemnit</w:t>
      </w:r>
      <w:r w:rsidR="008A481C">
        <w:t>y</w:t>
      </w:r>
      <w:r>
        <w:t>.</w:t>
      </w:r>
      <w:r w:rsidRPr="004757FC">
        <w:t xml:space="preserve"> </w:t>
      </w:r>
      <w:r>
        <w:t>U</w:t>
      </w:r>
      <w:r w:rsidRPr="004757FC">
        <w:t>nder the PGPA Act</w:t>
      </w:r>
      <w:r>
        <w:t>,</w:t>
      </w:r>
      <w:r w:rsidRPr="004757FC">
        <w:t xml:space="preserve"> responsibility for risk management resides with the accountable authority.</w:t>
      </w:r>
      <w:r>
        <w:t xml:space="preserve"> </w:t>
      </w:r>
      <w:r w:rsidRPr="004757FC">
        <w:t xml:space="preserve">The </w:t>
      </w:r>
      <w:hyperlink r:id="rId42" w:history="1">
        <w:r w:rsidR="00753A86" w:rsidRPr="00753A86">
          <w:rPr>
            <w:rStyle w:val="Hyperlink"/>
            <w:rFonts w:cstheme="minorBidi"/>
          </w:rPr>
          <w:t>Commonwealth Risk Management Policy</w:t>
        </w:r>
      </w:hyperlink>
      <w:r w:rsidRPr="004757FC">
        <w:t xml:space="preserve"> </w:t>
      </w:r>
      <w:r w:rsidR="00F531AB">
        <w:t>requires accountable authorities</w:t>
      </w:r>
      <w:r w:rsidRPr="004757FC">
        <w:t xml:space="preserve"> to embed risk manag</w:t>
      </w:r>
      <w:r>
        <w:t xml:space="preserve">ement as part of the culture of </w:t>
      </w:r>
      <w:r w:rsidR="00F531AB">
        <w:t xml:space="preserve">the </w:t>
      </w:r>
      <w:r w:rsidRPr="004757FC">
        <w:t>entit</w:t>
      </w:r>
      <w:r w:rsidR="00F531AB">
        <w:t>y</w:t>
      </w:r>
      <w:r w:rsidRPr="004757FC">
        <w:t xml:space="preserve"> so that the shared understanding of risk leads to well informed decision making</w:t>
      </w:r>
      <w:r>
        <w:t>,</w:t>
      </w:r>
      <w:r w:rsidRPr="004757FC">
        <w:t xml:space="preserve"> in a way that</w:t>
      </w:r>
      <w:r>
        <w:t>:</w:t>
      </w:r>
    </w:p>
    <w:p w14:paraId="664EB3A3" w14:textId="77777777" w:rsidR="00CD16BC" w:rsidRPr="004757FC" w:rsidRDefault="00CD16BC" w:rsidP="008438FD">
      <w:pPr>
        <w:pStyle w:val="NumberedList1"/>
        <w:numPr>
          <w:ilvl w:val="0"/>
          <w:numId w:val="28"/>
        </w:numPr>
      </w:pPr>
      <w:r w:rsidRPr="004757FC">
        <w:t>minimises the long term costs to the Commonwealth</w:t>
      </w:r>
    </w:p>
    <w:p w14:paraId="744E6F3F" w14:textId="77777777" w:rsidR="00CD16BC" w:rsidRPr="004757FC" w:rsidRDefault="00CD16BC" w:rsidP="008438FD">
      <w:pPr>
        <w:pStyle w:val="NumberedList1"/>
        <w:numPr>
          <w:ilvl w:val="0"/>
          <w:numId w:val="28"/>
        </w:numPr>
      </w:pPr>
      <w:r w:rsidRPr="004757FC">
        <w:t>manage</w:t>
      </w:r>
      <w:r>
        <w:t>s</w:t>
      </w:r>
      <w:r w:rsidRPr="004757FC">
        <w:t xml:space="preserve"> the relationship with the indemnified party to reduce the likelihood that a co</w:t>
      </w:r>
      <w:r w:rsidR="008A481C">
        <w:t>ntingency is triggered</w:t>
      </w:r>
      <w:r w:rsidRPr="004757FC">
        <w:t xml:space="preserve"> and</w:t>
      </w:r>
    </w:p>
    <w:p w14:paraId="000EA778" w14:textId="77777777" w:rsidR="00CD16BC" w:rsidRPr="004757FC" w:rsidRDefault="00CD16BC" w:rsidP="008438FD">
      <w:pPr>
        <w:pStyle w:val="NumberedList1"/>
        <w:numPr>
          <w:ilvl w:val="0"/>
          <w:numId w:val="28"/>
        </w:numPr>
      </w:pPr>
      <w:r w:rsidRPr="004757FC">
        <w:t>manage</w:t>
      </w:r>
      <w:r>
        <w:t>s</w:t>
      </w:r>
      <w:r w:rsidRPr="004757FC">
        <w:t xml:space="preserve"> the risks from an entity perspective, by:</w:t>
      </w:r>
    </w:p>
    <w:p w14:paraId="4D3B6981" w14:textId="77777777" w:rsidR="00CD16BC" w:rsidRPr="004757FC" w:rsidRDefault="00CD16BC" w:rsidP="00CD16BC">
      <w:pPr>
        <w:pStyle w:val="NumberedList1"/>
        <w:numPr>
          <w:ilvl w:val="1"/>
          <w:numId w:val="15"/>
        </w:numPr>
        <w:ind w:left="1134"/>
      </w:pPr>
      <w:r w:rsidRPr="004757FC">
        <w:t>identifying the context the risk is to be managed in</w:t>
      </w:r>
    </w:p>
    <w:p w14:paraId="7B4B5B91" w14:textId="77777777" w:rsidR="00CD16BC" w:rsidRPr="004757FC" w:rsidRDefault="00CD16BC" w:rsidP="00CD16BC">
      <w:pPr>
        <w:pStyle w:val="NumberedList1"/>
        <w:numPr>
          <w:ilvl w:val="1"/>
          <w:numId w:val="15"/>
        </w:numPr>
        <w:ind w:left="1134"/>
      </w:pPr>
      <w:r w:rsidRPr="004757FC">
        <w:t>identifying the risks to be managed, this can be done in consultation with other parties who may have a greater understanding of the risk</w:t>
      </w:r>
    </w:p>
    <w:p w14:paraId="1504D220" w14:textId="77777777" w:rsidR="00CD16BC" w:rsidRPr="004757FC" w:rsidRDefault="00CD16BC" w:rsidP="00CD16BC">
      <w:pPr>
        <w:pStyle w:val="NumberedList1"/>
        <w:numPr>
          <w:ilvl w:val="1"/>
          <w:numId w:val="15"/>
        </w:numPr>
        <w:ind w:left="1134"/>
      </w:pPr>
      <w:r w:rsidRPr="004757FC">
        <w:t xml:space="preserve">analysing the risks, possible consequences and likelihood </w:t>
      </w:r>
      <w:r>
        <w:t>of</w:t>
      </w:r>
      <w:r w:rsidRPr="004757FC">
        <w:t xml:space="preserve"> occur</w:t>
      </w:r>
      <w:r>
        <w:t>rence</w:t>
      </w:r>
    </w:p>
    <w:p w14:paraId="74FDC042" w14:textId="77777777" w:rsidR="00CD16BC" w:rsidRPr="004757FC" w:rsidRDefault="00CD16BC" w:rsidP="00CD16BC">
      <w:pPr>
        <w:pStyle w:val="NumberedList1"/>
        <w:numPr>
          <w:ilvl w:val="1"/>
          <w:numId w:val="15"/>
        </w:numPr>
        <w:ind w:left="1134"/>
      </w:pPr>
      <w:r w:rsidRPr="004757FC">
        <w:t>identify the need to retain the risk or whether the risk may be transferred</w:t>
      </w:r>
    </w:p>
    <w:p w14:paraId="45C58B61" w14:textId="77777777" w:rsidR="00CD16BC" w:rsidRPr="004757FC" w:rsidRDefault="00CD16BC" w:rsidP="00CD16BC">
      <w:pPr>
        <w:pStyle w:val="NumberedList1"/>
        <w:numPr>
          <w:ilvl w:val="1"/>
          <w:numId w:val="15"/>
        </w:numPr>
        <w:ind w:left="1134"/>
      </w:pPr>
      <w:proofErr w:type="gramStart"/>
      <w:r w:rsidRPr="004757FC">
        <w:t>if</w:t>
      </w:r>
      <w:proofErr w:type="gramEnd"/>
      <w:r w:rsidRPr="004757FC">
        <w:t xml:space="preserve"> the risk is to be retained how is the risk to be treated.</w:t>
      </w:r>
    </w:p>
    <w:p w14:paraId="4680D531" w14:textId="77777777" w:rsidR="00CD16BC" w:rsidRDefault="00CD16BC" w:rsidP="00CD16BC">
      <w:pPr>
        <w:pStyle w:val="NumberedList1"/>
        <w:ind w:left="426" w:hanging="426"/>
      </w:pPr>
      <w:r>
        <w:t>S</w:t>
      </w:r>
      <w:r w:rsidRPr="004757FC">
        <w:t>ystematic review</w:t>
      </w:r>
      <w:r>
        <w:t>s are</w:t>
      </w:r>
      <w:r w:rsidRPr="004757FC">
        <w:t xml:space="preserve"> essential to ensure the changing profile of the risks do not expose the Commonwealth to an increased level of risk. </w:t>
      </w:r>
    </w:p>
    <w:p w14:paraId="518BAD62" w14:textId="77777777" w:rsidR="00CD16BC" w:rsidRDefault="00CD16BC" w:rsidP="00CD16BC">
      <w:pPr>
        <w:pStyle w:val="Heading2"/>
      </w:pPr>
      <w:bookmarkStart w:id="42" w:name="_Toc468365685"/>
      <w:r>
        <w:t>Do indemnities need to be reported?</w:t>
      </w:r>
      <w:bookmarkEnd w:id="42"/>
    </w:p>
    <w:p w14:paraId="7687631D" w14:textId="1A00F7A5" w:rsidR="00433348" w:rsidRDefault="00240607" w:rsidP="004F29D6">
      <w:pPr>
        <w:pStyle w:val="NumberedList1"/>
        <w:ind w:left="425" w:hanging="425"/>
      </w:pPr>
      <w:r>
        <w:t xml:space="preserve">Legislative requirements for reporting contingent liabilities, such as </w:t>
      </w:r>
      <w:r w:rsidRPr="004757FC">
        <w:t>indemnities</w:t>
      </w:r>
      <w:r>
        <w:t xml:space="preserve">, are contained in the </w:t>
      </w:r>
      <w:hyperlink r:id="rId43" w:history="1">
        <w:r w:rsidRPr="00753A86">
          <w:rPr>
            <w:rStyle w:val="Hyperlink"/>
            <w:rFonts w:cstheme="minorBidi"/>
          </w:rPr>
          <w:t>Charter of Budget Honesty Act 1998</w:t>
        </w:r>
      </w:hyperlink>
      <w:r>
        <w:t xml:space="preserve">. Contingent liabilities with a possible impact on the forward estimates greater than $20 million in any one year, or $50 million over the forward </w:t>
      </w:r>
      <w:r>
        <w:lastRenderedPageBreak/>
        <w:t xml:space="preserve">estimates period are disclosed in </w:t>
      </w:r>
      <w:r w:rsidRPr="000A436F">
        <w:t>Budget Paper 1 – Budget Strategy and Outlook</w:t>
      </w:r>
      <w:r>
        <w:t xml:space="preserve">. </w:t>
      </w:r>
      <w:r w:rsidR="00433348">
        <w:t>(e.g.</w:t>
      </w:r>
      <w:r w:rsidR="00433348" w:rsidRPr="00433348">
        <w:t xml:space="preserve"> </w:t>
      </w:r>
      <w:hyperlink r:id="rId44" w:history="1">
        <w:r w:rsidR="00433348" w:rsidRPr="0079701E">
          <w:rPr>
            <w:rStyle w:val="Hyperlink"/>
            <w:rFonts w:cstheme="minorBidi"/>
          </w:rPr>
          <w:t>201</w:t>
        </w:r>
        <w:r w:rsidR="0079701E" w:rsidRPr="0079701E">
          <w:rPr>
            <w:rStyle w:val="Hyperlink"/>
            <w:rFonts w:cstheme="minorBidi"/>
          </w:rPr>
          <w:t>6</w:t>
        </w:r>
        <w:r w:rsidR="0079701E" w:rsidRPr="0079701E">
          <w:rPr>
            <w:rStyle w:val="Hyperlink"/>
            <w:rFonts w:cstheme="minorBidi"/>
          </w:rPr>
          <w:noBreakHyphen/>
        </w:r>
        <w:r w:rsidR="00433348" w:rsidRPr="0079701E">
          <w:rPr>
            <w:rStyle w:val="Hyperlink"/>
            <w:rFonts w:cstheme="minorBidi"/>
          </w:rPr>
          <w:t>1</w:t>
        </w:r>
        <w:r w:rsidR="0079701E" w:rsidRPr="0079701E">
          <w:rPr>
            <w:rStyle w:val="Hyperlink"/>
            <w:rFonts w:cstheme="minorBidi"/>
          </w:rPr>
          <w:t>7</w:t>
        </w:r>
        <w:r w:rsidR="00433348" w:rsidRPr="0079701E">
          <w:rPr>
            <w:rStyle w:val="Hyperlink"/>
            <w:rFonts w:cstheme="minorBidi"/>
          </w:rPr>
          <w:t xml:space="preserve"> Budget Paper No. 1: Budget Strategy a</w:t>
        </w:r>
        <w:r w:rsidR="000A436F" w:rsidRPr="0079701E">
          <w:rPr>
            <w:rStyle w:val="Hyperlink"/>
            <w:rFonts w:cstheme="minorBidi"/>
          </w:rPr>
          <w:t>nd Outlook</w:t>
        </w:r>
      </w:hyperlink>
      <w:r w:rsidR="000A436F">
        <w:t>, Statement </w:t>
      </w:r>
      <w:r w:rsidR="00433348" w:rsidRPr="00433348">
        <w:t>8: Statement of Risks</w:t>
      </w:r>
      <w:r w:rsidR="00433348">
        <w:t>)</w:t>
      </w:r>
      <w:r w:rsidR="00CD16BC">
        <w:t>.</w:t>
      </w:r>
      <w:r w:rsidR="004F29D6" w:rsidRPr="004F29D6">
        <w:t xml:space="preserve"> </w:t>
      </w:r>
      <w:r w:rsidR="004F29D6" w:rsidRPr="0005003F">
        <w:t>Indemnities do not impact fiscal or underlying cash balances unless the contingent event occurs, creating a liability.</w:t>
      </w:r>
    </w:p>
    <w:p w14:paraId="42F2398F" w14:textId="6E7AE5A8" w:rsidR="00240607" w:rsidRDefault="00240607" w:rsidP="0005003F">
      <w:pPr>
        <w:pStyle w:val="NumberedList1"/>
        <w:ind w:left="425" w:hanging="425"/>
      </w:pPr>
      <w:r>
        <w:t xml:space="preserve">NCEs are also </w:t>
      </w:r>
      <w:r w:rsidRPr="004757FC">
        <w:t>required</w:t>
      </w:r>
      <w:r>
        <w:t xml:space="preserve"> to report contingent liabilities in their annual financial statements in accordance with </w:t>
      </w:r>
      <w:r w:rsidR="00433348" w:rsidRPr="00CD16BC">
        <w:t>the</w:t>
      </w:r>
      <w:r w:rsidR="00433348" w:rsidRPr="00433348">
        <w:rPr>
          <w:i/>
        </w:rPr>
        <w:t xml:space="preserve"> </w:t>
      </w:r>
      <w:hyperlink r:id="rId45" w:history="1">
        <w:r w:rsidR="00CD16BC" w:rsidRPr="00753A86">
          <w:rPr>
            <w:rStyle w:val="Hyperlink"/>
            <w:rFonts w:cstheme="minorBidi"/>
          </w:rPr>
          <w:t>PGPA</w:t>
        </w:r>
        <w:r w:rsidR="00433348" w:rsidRPr="00753A86">
          <w:rPr>
            <w:rStyle w:val="Hyperlink"/>
            <w:rFonts w:cstheme="minorBidi"/>
          </w:rPr>
          <w:t xml:space="preserve"> Financial Reporting Rule</w:t>
        </w:r>
        <w:r w:rsidR="000A436F" w:rsidRPr="00753A86">
          <w:rPr>
            <w:rStyle w:val="Hyperlink"/>
            <w:rFonts w:cstheme="minorBidi"/>
          </w:rPr>
          <w:t xml:space="preserve"> 2015</w:t>
        </w:r>
      </w:hyperlink>
      <w:r w:rsidR="00433348" w:rsidRPr="00433348">
        <w:t>.</w:t>
      </w:r>
    </w:p>
    <w:p w14:paraId="6196FDB0" w14:textId="77777777" w:rsidR="00240607" w:rsidRDefault="00240607" w:rsidP="00240607">
      <w:pPr>
        <w:pStyle w:val="Numberedpara1stindent"/>
        <w:sectPr w:rsidR="00240607" w:rsidSect="00664387">
          <w:headerReference w:type="default" r:id="rId46"/>
          <w:footerReference w:type="default" r:id="rId47"/>
          <w:pgSz w:w="11900" w:h="16840" w:code="9"/>
          <w:pgMar w:top="1247" w:right="851" w:bottom="510" w:left="1418" w:header="510" w:footer="510" w:gutter="0"/>
          <w:pgNumType w:start="1"/>
          <w:cols w:space="708"/>
          <w:docGrid w:linePitch="360"/>
        </w:sectPr>
      </w:pPr>
    </w:p>
    <w:p w14:paraId="788F2180" w14:textId="4B0E895C" w:rsidR="00240607" w:rsidRDefault="00240607" w:rsidP="00433348">
      <w:pPr>
        <w:pStyle w:val="Heading1"/>
        <w:shd w:val="clear" w:color="auto" w:fill="BDDCDF" w:themeFill="accent1"/>
      </w:pPr>
      <w:bookmarkStart w:id="43" w:name="_Toc462324788"/>
      <w:bookmarkStart w:id="44" w:name="_Toc468365686"/>
      <w:r>
        <w:lastRenderedPageBreak/>
        <w:t xml:space="preserve">Appendix </w:t>
      </w:r>
      <w:r w:rsidR="00742FC5" w:rsidRPr="00AB51CE">
        <w:t>—</w:t>
      </w:r>
      <w:r w:rsidR="00664387">
        <w:t xml:space="preserve"> </w:t>
      </w:r>
      <w:r>
        <w:t xml:space="preserve">Indemnity </w:t>
      </w:r>
      <w:r w:rsidR="002946CD">
        <w:t>g</w:t>
      </w:r>
      <w:r>
        <w:t xml:space="preserve">rant </w:t>
      </w:r>
      <w:r w:rsidR="002946CD">
        <w:t>r</w:t>
      </w:r>
      <w:r>
        <w:t xml:space="preserve">equest </w:t>
      </w:r>
      <w:r w:rsidR="002946CD">
        <w:t>f</w:t>
      </w:r>
      <w:r>
        <w:t>orm</w:t>
      </w:r>
      <w:bookmarkEnd w:id="43"/>
      <w:bookmarkEnd w:id="44"/>
    </w:p>
    <w:p w14:paraId="2605202A" w14:textId="77777777" w:rsidR="00240607" w:rsidRPr="00664387" w:rsidRDefault="00240607" w:rsidP="00240607">
      <w:pPr>
        <w:spacing w:after="0"/>
        <w:rPr>
          <w:rFonts w:cstheme="minorHAnsi"/>
        </w:rPr>
      </w:pPr>
    </w:p>
    <w:p w14:paraId="2DAFBE0E" w14:textId="77777777" w:rsidR="00240607" w:rsidRDefault="00240607" w:rsidP="00433348">
      <w:pPr>
        <w:pStyle w:val="Numberedpara1stindent"/>
        <w:numPr>
          <w:ilvl w:val="0"/>
          <w:numId w:val="0"/>
        </w:numPr>
        <w:rPr>
          <w:rFonts w:asciiTheme="minorHAnsi" w:hAnsiTheme="minorHAnsi" w:cstheme="minorHAnsi"/>
          <w:i/>
        </w:rPr>
      </w:pPr>
      <w:r w:rsidRPr="00664387">
        <w:rPr>
          <w:rFonts w:asciiTheme="minorHAnsi" w:hAnsiTheme="minorHAnsi" w:cstheme="minorHAnsi"/>
          <w:u w:val="single"/>
        </w:rPr>
        <w:t>Note:</w:t>
      </w:r>
      <w:r w:rsidRPr="00664387">
        <w:rPr>
          <w:rFonts w:asciiTheme="minorHAnsi" w:hAnsiTheme="minorHAnsi" w:cstheme="minorHAnsi"/>
        </w:rPr>
        <w:t xml:space="preserve"> </w:t>
      </w:r>
      <w:r w:rsidRPr="00664387">
        <w:rPr>
          <w:rFonts w:asciiTheme="minorHAnsi" w:hAnsiTheme="minorHAnsi" w:cstheme="minorHAnsi"/>
          <w:i/>
        </w:rPr>
        <w:t>In completing this form, please be succinct, but provide sufficient information to enable the Finance Minister to understand the issues and probable cost involved.</w:t>
      </w:r>
    </w:p>
    <w:p w14:paraId="4A1AEDE9" w14:textId="77777777" w:rsidR="00664387" w:rsidRPr="00664387" w:rsidRDefault="00664387" w:rsidP="00433348">
      <w:pPr>
        <w:pStyle w:val="Numberedpara1stindent"/>
        <w:numPr>
          <w:ilvl w:val="0"/>
          <w:numId w:val="0"/>
        </w:numPr>
        <w:rPr>
          <w:rFonts w:asciiTheme="minorHAnsi" w:hAnsiTheme="minorHAnsi" w:cstheme="minorHAnsi"/>
        </w:rPr>
      </w:pPr>
    </w:p>
    <w:p w14:paraId="0625E0C9" w14:textId="77777777" w:rsidR="00240607" w:rsidRPr="00664387" w:rsidRDefault="00240607" w:rsidP="00433348">
      <w:pPr>
        <w:pStyle w:val="Numberedpara1stindent"/>
        <w:numPr>
          <w:ilvl w:val="0"/>
          <w:numId w:val="0"/>
        </w:numPr>
        <w:rPr>
          <w:rFonts w:asciiTheme="minorHAnsi" w:hAnsiTheme="minorHAnsi" w:cstheme="minorHAnsi"/>
        </w:rPr>
      </w:pPr>
      <w:r w:rsidRPr="00664387">
        <w:rPr>
          <w:rFonts w:asciiTheme="minorHAnsi" w:hAnsiTheme="minorHAnsi" w:cstheme="minorHAnsi"/>
        </w:rPr>
        <w:t>1. Brief description of the proposed arrangement and contingent liability.</w:t>
      </w:r>
    </w:p>
    <w:p w14:paraId="762D2A07" w14:textId="77777777" w:rsidR="000A436F" w:rsidRDefault="000A436F" w:rsidP="00664387">
      <w:pPr>
        <w:pStyle w:val="FCList"/>
        <w:numPr>
          <w:ilvl w:val="0"/>
          <w:numId w:val="0"/>
        </w:numPr>
        <w:pBdr>
          <w:top w:val="single" w:sz="4" w:space="1" w:color="auto"/>
          <w:left w:val="single" w:sz="4" w:space="4" w:color="auto"/>
          <w:bottom w:val="single" w:sz="4" w:space="2" w:color="auto"/>
          <w:right w:val="single" w:sz="4" w:space="4" w:color="auto"/>
        </w:pBdr>
        <w:spacing w:after="120"/>
        <w:rPr>
          <w:rFonts w:asciiTheme="minorHAnsi" w:hAnsiTheme="minorHAnsi" w:cstheme="minorHAnsi"/>
          <w:color w:val="000000" w:themeColor="text1"/>
          <w:sz w:val="22"/>
          <w:szCs w:val="22"/>
        </w:rPr>
      </w:pPr>
    </w:p>
    <w:p w14:paraId="3DB2326C" w14:textId="77777777" w:rsidR="000A436F" w:rsidRDefault="000A436F" w:rsidP="00664387">
      <w:pPr>
        <w:pStyle w:val="FCList"/>
        <w:numPr>
          <w:ilvl w:val="0"/>
          <w:numId w:val="0"/>
        </w:numPr>
        <w:pBdr>
          <w:top w:val="single" w:sz="4" w:space="1" w:color="auto"/>
          <w:left w:val="single" w:sz="4" w:space="4" w:color="auto"/>
          <w:bottom w:val="single" w:sz="4" w:space="2" w:color="auto"/>
          <w:right w:val="single" w:sz="4" w:space="4" w:color="auto"/>
        </w:pBdr>
        <w:spacing w:after="120"/>
        <w:rPr>
          <w:rFonts w:asciiTheme="minorHAnsi" w:hAnsiTheme="minorHAnsi" w:cstheme="minorHAnsi"/>
          <w:color w:val="000000" w:themeColor="text1"/>
          <w:sz w:val="22"/>
          <w:szCs w:val="22"/>
        </w:rPr>
      </w:pPr>
    </w:p>
    <w:p w14:paraId="78453804" w14:textId="77777777" w:rsidR="00664387" w:rsidRPr="00664387" w:rsidRDefault="00664387" w:rsidP="00664387">
      <w:pPr>
        <w:pStyle w:val="FCList"/>
        <w:numPr>
          <w:ilvl w:val="0"/>
          <w:numId w:val="0"/>
        </w:numPr>
        <w:pBdr>
          <w:top w:val="single" w:sz="4" w:space="1" w:color="auto"/>
          <w:left w:val="single" w:sz="4" w:space="4" w:color="auto"/>
          <w:bottom w:val="single" w:sz="4" w:space="2" w:color="auto"/>
          <w:right w:val="single" w:sz="4" w:space="4" w:color="auto"/>
        </w:pBdr>
        <w:spacing w:after="120"/>
        <w:rPr>
          <w:rFonts w:asciiTheme="minorHAnsi" w:hAnsiTheme="minorHAnsi" w:cstheme="minorHAnsi"/>
          <w:color w:val="000000" w:themeColor="text1"/>
          <w:sz w:val="22"/>
          <w:szCs w:val="22"/>
        </w:rPr>
      </w:pPr>
    </w:p>
    <w:p w14:paraId="1282E90B" w14:textId="77777777" w:rsidR="00664387" w:rsidRDefault="00664387" w:rsidP="00433348">
      <w:pPr>
        <w:pStyle w:val="Numberedpara1stindent"/>
        <w:numPr>
          <w:ilvl w:val="0"/>
          <w:numId w:val="0"/>
        </w:numPr>
        <w:rPr>
          <w:rFonts w:asciiTheme="minorHAnsi" w:hAnsiTheme="minorHAnsi" w:cstheme="minorHAnsi"/>
        </w:rPr>
      </w:pPr>
    </w:p>
    <w:p w14:paraId="4332FA93" w14:textId="77777777" w:rsidR="00240607" w:rsidRPr="00664387" w:rsidRDefault="00240607" w:rsidP="00433348">
      <w:pPr>
        <w:pStyle w:val="Numberedpara1stindent"/>
        <w:numPr>
          <w:ilvl w:val="0"/>
          <w:numId w:val="0"/>
        </w:numPr>
        <w:rPr>
          <w:rFonts w:asciiTheme="minorHAnsi" w:hAnsiTheme="minorHAnsi" w:cstheme="minorHAnsi"/>
        </w:rPr>
      </w:pPr>
      <w:r w:rsidRPr="00664387">
        <w:rPr>
          <w:rFonts w:asciiTheme="minorHAnsi" w:hAnsiTheme="minorHAnsi" w:cstheme="minorHAnsi"/>
        </w:rPr>
        <w:t>2. Explanation of why the arrangement requires agreement from the Finance Minister.</w:t>
      </w:r>
    </w:p>
    <w:p w14:paraId="15C3C05B" w14:textId="77777777" w:rsidR="000A436F" w:rsidRDefault="000A436F" w:rsidP="00664387">
      <w:pPr>
        <w:pStyle w:val="FCList"/>
        <w:numPr>
          <w:ilvl w:val="0"/>
          <w:numId w:val="0"/>
        </w:numPr>
        <w:pBdr>
          <w:top w:val="single" w:sz="4" w:space="1" w:color="auto"/>
          <w:left w:val="single" w:sz="4" w:space="4" w:color="auto"/>
          <w:bottom w:val="single" w:sz="4" w:space="10" w:color="auto"/>
          <w:right w:val="single" w:sz="4" w:space="4" w:color="auto"/>
        </w:pBdr>
        <w:spacing w:after="120"/>
        <w:rPr>
          <w:rFonts w:asciiTheme="minorHAnsi" w:hAnsiTheme="minorHAnsi" w:cstheme="minorHAnsi"/>
          <w:color w:val="000000" w:themeColor="text1"/>
          <w:sz w:val="22"/>
          <w:szCs w:val="22"/>
        </w:rPr>
      </w:pPr>
    </w:p>
    <w:p w14:paraId="11B72C91" w14:textId="77777777" w:rsidR="000A436F" w:rsidRDefault="000A436F" w:rsidP="00664387">
      <w:pPr>
        <w:pStyle w:val="FCList"/>
        <w:numPr>
          <w:ilvl w:val="0"/>
          <w:numId w:val="0"/>
        </w:numPr>
        <w:pBdr>
          <w:top w:val="single" w:sz="4" w:space="1" w:color="auto"/>
          <w:left w:val="single" w:sz="4" w:space="4" w:color="auto"/>
          <w:bottom w:val="single" w:sz="4" w:space="10" w:color="auto"/>
          <w:right w:val="single" w:sz="4" w:space="4" w:color="auto"/>
        </w:pBdr>
        <w:spacing w:after="120"/>
        <w:rPr>
          <w:rFonts w:asciiTheme="minorHAnsi" w:hAnsiTheme="minorHAnsi" w:cstheme="minorHAnsi"/>
          <w:color w:val="000000" w:themeColor="text1"/>
          <w:sz w:val="22"/>
          <w:szCs w:val="22"/>
        </w:rPr>
      </w:pPr>
    </w:p>
    <w:p w14:paraId="3B35716C" w14:textId="77777777" w:rsidR="00664387" w:rsidRPr="00664387" w:rsidRDefault="00664387" w:rsidP="00664387">
      <w:pPr>
        <w:pStyle w:val="FCList"/>
        <w:numPr>
          <w:ilvl w:val="0"/>
          <w:numId w:val="0"/>
        </w:numPr>
        <w:pBdr>
          <w:top w:val="single" w:sz="4" w:space="1" w:color="auto"/>
          <w:left w:val="single" w:sz="4" w:space="4" w:color="auto"/>
          <w:bottom w:val="single" w:sz="4" w:space="10" w:color="auto"/>
          <w:right w:val="single" w:sz="4" w:space="4" w:color="auto"/>
        </w:pBdr>
        <w:spacing w:after="120"/>
        <w:rPr>
          <w:rFonts w:asciiTheme="minorHAnsi" w:hAnsiTheme="minorHAnsi" w:cstheme="minorHAnsi"/>
          <w:color w:val="000000" w:themeColor="text1"/>
          <w:sz w:val="22"/>
          <w:szCs w:val="22"/>
        </w:rPr>
      </w:pPr>
    </w:p>
    <w:p w14:paraId="0C4CFF4C" w14:textId="77777777" w:rsidR="00664387" w:rsidRDefault="00664387" w:rsidP="00433348">
      <w:pPr>
        <w:pStyle w:val="Numberedpara1stindent"/>
        <w:numPr>
          <w:ilvl w:val="0"/>
          <w:numId w:val="0"/>
        </w:numPr>
        <w:rPr>
          <w:rFonts w:asciiTheme="minorHAnsi" w:hAnsiTheme="minorHAnsi" w:cstheme="minorHAnsi"/>
        </w:rPr>
      </w:pPr>
    </w:p>
    <w:p w14:paraId="00EACFE5" w14:textId="77777777" w:rsidR="00240607" w:rsidRPr="00664387" w:rsidRDefault="00240607" w:rsidP="00433348">
      <w:pPr>
        <w:pStyle w:val="Numberedpara1stindent"/>
        <w:numPr>
          <w:ilvl w:val="0"/>
          <w:numId w:val="0"/>
        </w:numPr>
        <w:rPr>
          <w:rFonts w:asciiTheme="minorHAnsi" w:hAnsiTheme="minorHAnsi" w:cstheme="minorHAnsi"/>
        </w:rPr>
      </w:pPr>
      <w:r w:rsidRPr="00664387">
        <w:rPr>
          <w:rFonts w:asciiTheme="minorHAnsi" w:hAnsiTheme="minorHAnsi" w:cstheme="minorHAnsi"/>
        </w:rPr>
        <w:t>3. Name of the relevant outcome and program (if applicable).</w:t>
      </w:r>
    </w:p>
    <w:p w14:paraId="4B362A08" w14:textId="77777777" w:rsidR="00240607" w:rsidRDefault="00240607" w:rsidP="00664387">
      <w:pPr>
        <w:pStyle w:val="FCList"/>
        <w:numPr>
          <w:ilvl w:val="0"/>
          <w:numId w:val="0"/>
        </w:numPr>
        <w:pBdr>
          <w:top w:val="single" w:sz="4" w:space="1" w:color="auto"/>
          <w:left w:val="single" w:sz="4" w:space="4" w:color="auto"/>
          <w:bottom w:val="single" w:sz="4" w:space="9" w:color="auto"/>
          <w:right w:val="single" w:sz="4" w:space="4" w:color="auto"/>
        </w:pBdr>
        <w:spacing w:after="120"/>
        <w:rPr>
          <w:rFonts w:asciiTheme="minorHAnsi" w:hAnsiTheme="minorHAnsi" w:cstheme="minorHAnsi"/>
          <w:strike/>
          <w:color w:val="000000" w:themeColor="text1"/>
          <w:sz w:val="22"/>
          <w:szCs w:val="22"/>
        </w:rPr>
      </w:pPr>
    </w:p>
    <w:p w14:paraId="77F74454" w14:textId="77777777" w:rsidR="000A436F" w:rsidRDefault="000A436F" w:rsidP="00664387">
      <w:pPr>
        <w:pStyle w:val="FCList"/>
        <w:numPr>
          <w:ilvl w:val="0"/>
          <w:numId w:val="0"/>
        </w:numPr>
        <w:pBdr>
          <w:top w:val="single" w:sz="4" w:space="1" w:color="auto"/>
          <w:left w:val="single" w:sz="4" w:space="4" w:color="auto"/>
          <w:bottom w:val="single" w:sz="4" w:space="9" w:color="auto"/>
          <w:right w:val="single" w:sz="4" w:space="4" w:color="auto"/>
        </w:pBdr>
        <w:spacing w:after="120"/>
        <w:rPr>
          <w:rFonts w:asciiTheme="minorHAnsi" w:hAnsiTheme="minorHAnsi" w:cstheme="minorHAnsi"/>
          <w:strike/>
          <w:color w:val="000000" w:themeColor="text1"/>
          <w:sz w:val="22"/>
          <w:szCs w:val="22"/>
        </w:rPr>
      </w:pPr>
    </w:p>
    <w:p w14:paraId="6405447F" w14:textId="77777777" w:rsidR="00664387" w:rsidRPr="00664387" w:rsidRDefault="00664387" w:rsidP="00664387">
      <w:pPr>
        <w:pStyle w:val="FCList"/>
        <w:numPr>
          <w:ilvl w:val="0"/>
          <w:numId w:val="0"/>
        </w:numPr>
        <w:pBdr>
          <w:top w:val="single" w:sz="4" w:space="1" w:color="auto"/>
          <w:left w:val="single" w:sz="4" w:space="4" w:color="auto"/>
          <w:bottom w:val="single" w:sz="4" w:space="9" w:color="auto"/>
          <w:right w:val="single" w:sz="4" w:space="4" w:color="auto"/>
        </w:pBdr>
        <w:spacing w:after="120"/>
        <w:rPr>
          <w:rFonts w:asciiTheme="minorHAnsi" w:hAnsiTheme="minorHAnsi" w:cstheme="minorHAnsi"/>
          <w:strike/>
          <w:color w:val="000000" w:themeColor="text1"/>
          <w:sz w:val="22"/>
          <w:szCs w:val="22"/>
        </w:rPr>
      </w:pPr>
    </w:p>
    <w:p w14:paraId="3921B140" w14:textId="77777777" w:rsidR="00664387" w:rsidRDefault="00664387" w:rsidP="00433348">
      <w:pPr>
        <w:pStyle w:val="Numberedpara1stindent"/>
        <w:numPr>
          <w:ilvl w:val="0"/>
          <w:numId w:val="0"/>
        </w:numPr>
        <w:rPr>
          <w:rFonts w:asciiTheme="minorHAnsi" w:hAnsiTheme="minorHAnsi" w:cstheme="minorHAnsi"/>
        </w:rPr>
      </w:pPr>
    </w:p>
    <w:p w14:paraId="5C99BA6B" w14:textId="77777777" w:rsidR="00240607" w:rsidRPr="00664387" w:rsidRDefault="00240607" w:rsidP="00433348">
      <w:pPr>
        <w:pStyle w:val="Numberedpara1stindent"/>
        <w:numPr>
          <w:ilvl w:val="0"/>
          <w:numId w:val="0"/>
        </w:numPr>
        <w:rPr>
          <w:rFonts w:asciiTheme="minorHAnsi" w:hAnsiTheme="minorHAnsi" w:cstheme="minorHAnsi"/>
        </w:rPr>
      </w:pPr>
      <w:r w:rsidRPr="00664387">
        <w:rPr>
          <w:rFonts w:asciiTheme="minorHAnsi" w:hAnsiTheme="minorHAnsi" w:cstheme="minorHAnsi"/>
        </w:rPr>
        <w:t>4. Date by which agreement is required and reason.</w:t>
      </w:r>
    </w:p>
    <w:p w14:paraId="1091705E" w14:textId="77777777" w:rsidR="000A436F" w:rsidRDefault="000A436F" w:rsidP="00664387">
      <w:pPr>
        <w:pStyle w:val="FCList"/>
        <w:numPr>
          <w:ilvl w:val="0"/>
          <w:numId w:val="0"/>
        </w:numPr>
        <w:pBdr>
          <w:top w:val="single" w:sz="4" w:space="1" w:color="auto"/>
          <w:left w:val="single" w:sz="4" w:space="4" w:color="auto"/>
          <w:bottom w:val="single" w:sz="4" w:space="9" w:color="auto"/>
          <w:right w:val="single" w:sz="4" w:space="4" w:color="auto"/>
        </w:pBdr>
        <w:spacing w:after="120"/>
        <w:rPr>
          <w:rFonts w:asciiTheme="minorHAnsi" w:hAnsiTheme="minorHAnsi" w:cstheme="minorHAnsi"/>
          <w:color w:val="000000" w:themeColor="text1"/>
          <w:sz w:val="22"/>
          <w:szCs w:val="22"/>
        </w:rPr>
      </w:pPr>
    </w:p>
    <w:p w14:paraId="3690834A" w14:textId="77777777" w:rsidR="000A436F" w:rsidRDefault="000A436F" w:rsidP="00664387">
      <w:pPr>
        <w:pStyle w:val="FCList"/>
        <w:numPr>
          <w:ilvl w:val="0"/>
          <w:numId w:val="0"/>
        </w:numPr>
        <w:pBdr>
          <w:top w:val="single" w:sz="4" w:space="1" w:color="auto"/>
          <w:left w:val="single" w:sz="4" w:space="4" w:color="auto"/>
          <w:bottom w:val="single" w:sz="4" w:space="9" w:color="auto"/>
          <w:right w:val="single" w:sz="4" w:space="4" w:color="auto"/>
        </w:pBdr>
        <w:spacing w:after="120"/>
        <w:rPr>
          <w:rFonts w:asciiTheme="minorHAnsi" w:hAnsiTheme="minorHAnsi" w:cstheme="minorHAnsi"/>
          <w:color w:val="000000" w:themeColor="text1"/>
          <w:sz w:val="22"/>
          <w:szCs w:val="22"/>
        </w:rPr>
      </w:pPr>
    </w:p>
    <w:p w14:paraId="6109901D" w14:textId="77777777" w:rsidR="00664387" w:rsidRPr="00664387" w:rsidRDefault="00664387" w:rsidP="00664387">
      <w:pPr>
        <w:pStyle w:val="FCList"/>
        <w:numPr>
          <w:ilvl w:val="0"/>
          <w:numId w:val="0"/>
        </w:numPr>
        <w:pBdr>
          <w:top w:val="single" w:sz="4" w:space="1" w:color="auto"/>
          <w:left w:val="single" w:sz="4" w:space="4" w:color="auto"/>
          <w:bottom w:val="single" w:sz="4" w:space="9" w:color="auto"/>
          <w:right w:val="single" w:sz="4" w:space="4" w:color="auto"/>
        </w:pBdr>
        <w:spacing w:after="120"/>
        <w:rPr>
          <w:rFonts w:asciiTheme="minorHAnsi" w:hAnsiTheme="minorHAnsi" w:cstheme="minorHAnsi"/>
          <w:color w:val="000000" w:themeColor="text1"/>
          <w:sz w:val="22"/>
          <w:szCs w:val="22"/>
        </w:rPr>
      </w:pPr>
    </w:p>
    <w:p w14:paraId="46EA8765" w14:textId="77777777" w:rsidR="00664387" w:rsidRDefault="00664387" w:rsidP="00433348">
      <w:pPr>
        <w:pStyle w:val="Numberedpara1stindent"/>
        <w:numPr>
          <w:ilvl w:val="0"/>
          <w:numId w:val="0"/>
        </w:numPr>
        <w:rPr>
          <w:rFonts w:asciiTheme="minorHAnsi" w:hAnsiTheme="minorHAnsi" w:cstheme="minorHAnsi"/>
        </w:rPr>
      </w:pPr>
    </w:p>
    <w:p w14:paraId="2E5905E2" w14:textId="77777777" w:rsidR="00240607" w:rsidRPr="00664387" w:rsidRDefault="00240607" w:rsidP="00433348">
      <w:pPr>
        <w:pStyle w:val="Numberedpara1stindent"/>
        <w:numPr>
          <w:ilvl w:val="0"/>
          <w:numId w:val="0"/>
        </w:numPr>
        <w:rPr>
          <w:rFonts w:asciiTheme="minorHAnsi" w:hAnsiTheme="minorHAnsi" w:cstheme="minorHAnsi"/>
        </w:rPr>
      </w:pPr>
      <w:r w:rsidRPr="00664387">
        <w:rPr>
          <w:rFonts w:asciiTheme="minorHAnsi" w:hAnsiTheme="minorHAnsi" w:cstheme="minorHAnsi"/>
        </w:rPr>
        <w:t>5. Term of agreement (including detail on options for extension) including specific term of all contingent liabilities.</w:t>
      </w:r>
    </w:p>
    <w:p w14:paraId="284380ED" w14:textId="77777777" w:rsidR="00240607" w:rsidRDefault="00240607" w:rsidP="00664387">
      <w:pPr>
        <w:pStyle w:val="FCList"/>
        <w:numPr>
          <w:ilvl w:val="0"/>
          <w:numId w:val="0"/>
        </w:numPr>
        <w:pBdr>
          <w:top w:val="single" w:sz="4" w:space="1" w:color="auto"/>
          <w:left w:val="single" w:sz="4" w:space="4" w:color="auto"/>
          <w:bottom w:val="single" w:sz="4" w:space="9" w:color="auto"/>
          <w:right w:val="single" w:sz="4" w:space="4" w:color="auto"/>
        </w:pBdr>
        <w:spacing w:after="120"/>
        <w:rPr>
          <w:rFonts w:asciiTheme="minorHAnsi" w:hAnsiTheme="minorHAnsi" w:cstheme="minorHAnsi"/>
          <w:color w:val="000000" w:themeColor="text1"/>
          <w:sz w:val="22"/>
          <w:szCs w:val="22"/>
        </w:rPr>
      </w:pPr>
    </w:p>
    <w:p w14:paraId="40B5C510" w14:textId="77777777" w:rsidR="000A436F" w:rsidRDefault="000A436F" w:rsidP="00664387">
      <w:pPr>
        <w:pStyle w:val="FCList"/>
        <w:numPr>
          <w:ilvl w:val="0"/>
          <w:numId w:val="0"/>
        </w:numPr>
        <w:pBdr>
          <w:top w:val="single" w:sz="4" w:space="1" w:color="auto"/>
          <w:left w:val="single" w:sz="4" w:space="4" w:color="auto"/>
          <w:bottom w:val="single" w:sz="4" w:space="9" w:color="auto"/>
          <w:right w:val="single" w:sz="4" w:space="4" w:color="auto"/>
        </w:pBdr>
        <w:spacing w:after="120"/>
        <w:rPr>
          <w:rFonts w:asciiTheme="minorHAnsi" w:hAnsiTheme="minorHAnsi" w:cstheme="minorHAnsi"/>
          <w:color w:val="000000" w:themeColor="text1"/>
          <w:sz w:val="22"/>
          <w:szCs w:val="22"/>
        </w:rPr>
      </w:pPr>
    </w:p>
    <w:p w14:paraId="1855BCCC" w14:textId="77777777" w:rsidR="00664387" w:rsidRPr="00664387" w:rsidRDefault="00664387" w:rsidP="00664387">
      <w:pPr>
        <w:pStyle w:val="FCList"/>
        <w:numPr>
          <w:ilvl w:val="0"/>
          <w:numId w:val="0"/>
        </w:numPr>
        <w:pBdr>
          <w:top w:val="single" w:sz="4" w:space="1" w:color="auto"/>
          <w:left w:val="single" w:sz="4" w:space="4" w:color="auto"/>
          <w:bottom w:val="single" w:sz="4" w:space="9" w:color="auto"/>
          <w:right w:val="single" w:sz="4" w:space="4" w:color="auto"/>
        </w:pBdr>
        <w:spacing w:after="120"/>
        <w:rPr>
          <w:rFonts w:asciiTheme="minorHAnsi" w:hAnsiTheme="minorHAnsi" w:cstheme="minorHAnsi"/>
          <w:color w:val="000000" w:themeColor="text1"/>
          <w:sz w:val="22"/>
          <w:szCs w:val="22"/>
        </w:rPr>
      </w:pPr>
    </w:p>
    <w:p w14:paraId="2C38AA9D" w14:textId="77777777" w:rsidR="000A436F" w:rsidRDefault="000A436F">
      <w:pPr>
        <w:suppressAutoHyphens w:val="0"/>
        <w:spacing w:before="0" w:after="120" w:line="440" w:lineRule="atLeast"/>
        <w:rPr>
          <w:rFonts w:eastAsia="Cambria" w:cstheme="minorHAnsi"/>
        </w:rPr>
      </w:pPr>
      <w:r>
        <w:rPr>
          <w:rFonts w:cstheme="minorHAnsi"/>
        </w:rPr>
        <w:br w:type="page"/>
      </w:r>
    </w:p>
    <w:p w14:paraId="14F60DF9" w14:textId="77777777" w:rsidR="00240607" w:rsidRPr="00664387" w:rsidRDefault="00240607" w:rsidP="00433348">
      <w:pPr>
        <w:pStyle w:val="Numberedpara1stindent"/>
        <w:numPr>
          <w:ilvl w:val="0"/>
          <w:numId w:val="0"/>
        </w:numPr>
        <w:rPr>
          <w:rFonts w:asciiTheme="minorHAnsi" w:hAnsiTheme="minorHAnsi" w:cstheme="minorHAnsi"/>
        </w:rPr>
      </w:pPr>
      <w:r w:rsidRPr="00664387">
        <w:rPr>
          <w:rFonts w:asciiTheme="minorHAnsi" w:hAnsiTheme="minorHAnsi" w:cstheme="minorHAnsi"/>
        </w:rPr>
        <w:lastRenderedPageBreak/>
        <w:t>6. Attach a copy of the risk assessment (if complex, please provide a summary. However, you will need to have a comprehensive risk assessment in place for your own records)</w:t>
      </w:r>
    </w:p>
    <w:p w14:paraId="3E82C121" w14:textId="77777777" w:rsidR="00240607" w:rsidRPr="00664387" w:rsidRDefault="00240607" w:rsidP="000A436F">
      <w:pPr>
        <w:pStyle w:val="FCList"/>
        <w:numPr>
          <w:ilvl w:val="0"/>
          <w:numId w:val="17"/>
        </w:numPr>
        <w:tabs>
          <w:tab w:val="clear" w:pos="1080"/>
          <w:tab w:val="num" w:pos="720"/>
        </w:tabs>
        <w:spacing w:before="240" w:after="240"/>
        <w:ind w:left="720"/>
        <w:rPr>
          <w:rFonts w:asciiTheme="minorHAnsi" w:hAnsiTheme="minorHAnsi" w:cstheme="minorHAnsi"/>
          <w:color w:val="000000" w:themeColor="text1"/>
          <w:sz w:val="22"/>
          <w:szCs w:val="22"/>
        </w:rPr>
      </w:pPr>
      <w:r w:rsidRPr="00664387">
        <w:rPr>
          <w:rFonts w:asciiTheme="minorHAnsi" w:eastAsia="Cambria" w:hAnsiTheme="minorHAnsi" w:cstheme="minorHAnsi"/>
          <w:sz w:val="22"/>
          <w:szCs w:val="22"/>
        </w:rPr>
        <w:t>Has a risk management plan been established?</w:t>
      </w:r>
      <w:r w:rsidRPr="00664387">
        <w:rPr>
          <w:rFonts w:asciiTheme="minorHAnsi" w:hAnsiTheme="minorHAnsi" w:cstheme="minorHAnsi"/>
          <w:color w:val="000000" w:themeColor="text1"/>
          <w:sz w:val="22"/>
          <w:szCs w:val="22"/>
          <w:lang w:val="en-GB"/>
        </w:rPr>
        <w:t xml:space="preserve">  </w:t>
      </w:r>
      <w:r w:rsidRPr="00664387">
        <w:rPr>
          <w:rFonts w:asciiTheme="minorHAnsi" w:hAnsiTheme="minorHAnsi" w:cstheme="minorHAnsi"/>
          <w:color w:val="000000" w:themeColor="text1"/>
          <w:sz w:val="22"/>
          <w:szCs w:val="22"/>
          <w:bdr w:val="single" w:sz="4" w:space="0" w:color="auto"/>
          <w:lang w:val="en-GB"/>
        </w:rPr>
        <w:t xml:space="preserve">          </w:t>
      </w:r>
      <w:r w:rsidRPr="00664387">
        <w:rPr>
          <w:rFonts w:asciiTheme="minorHAnsi" w:hAnsiTheme="minorHAnsi" w:cstheme="minorHAnsi"/>
          <w:color w:val="000000" w:themeColor="text1"/>
          <w:sz w:val="22"/>
          <w:szCs w:val="22"/>
          <w:lang w:val="en-GB"/>
        </w:rPr>
        <w:t xml:space="preserve"> </w:t>
      </w:r>
      <w:r w:rsidRPr="00664387">
        <w:rPr>
          <w:rFonts w:asciiTheme="minorHAnsi" w:eastAsia="Cambria" w:hAnsiTheme="minorHAnsi" w:cstheme="minorHAnsi"/>
          <w:sz w:val="22"/>
          <w:szCs w:val="22"/>
        </w:rPr>
        <w:t>(yes or no)</w:t>
      </w:r>
    </w:p>
    <w:p w14:paraId="3937E741" w14:textId="3B5A4273" w:rsidR="00240607" w:rsidRPr="00664387" w:rsidRDefault="00B54480" w:rsidP="000A436F">
      <w:pPr>
        <w:pStyle w:val="FCList"/>
        <w:numPr>
          <w:ilvl w:val="0"/>
          <w:numId w:val="17"/>
        </w:numPr>
        <w:tabs>
          <w:tab w:val="clear" w:pos="1080"/>
          <w:tab w:val="num" w:pos="720"/>
        </w:tabs>
        <w:spacing w:before="240" w:after="240"/>
        <w:ind w:left="720"/>
        <w:rPr>
          <w:rFonts w:asciiTheme="minorHAnsi" w:hAnsiTheme="minorHAnsi" w:cstheme="minorHAnsi"/>
          <w:color w:val="000000" w:themeColor="text1"/>
          <w:sz w:val="22"/>
          <w:szCs w:val="22"/>
          <w:lang w:val="en-GB"/>
        </w:rPr>
      </w:pPr>
      <w:r>
        <w:rPr>
          <w:rFonts w:asciiTheme="minorHAnsi" w:eastAsia="Cambria" w:hAnsiTheme="minorHAnsi" w:cstheme="minorHAnsi"/>
          <w:noProof/>
          <w:sz w:val="22"/>
          <w:szCs w:val="22"/>
          <w:lang w:eastAsia="en-AU"/>
        </w:rPr>
        <mc:AlternateContent>
          <mc:Choice Requires="wps">
            <w:drawing>
              <wp:anchor distT="0" distB="0" distL="114300" distR="114300" simplePos="0" relativeHeight="251660288" behindDoc="0" locked="0" layoutInCell="1" allowOverlap="1" wp14:anchorId="0B024BF0" wp14:editId="6F556D98">
                <wp:simplePos x="0" y="0"/>
                <wp:positionH relativeFrom="column">
                  <wp:posOffset>3343910</wp:posOffset>
                </wp:positionH>
                <wp:positionV relativeFrom="paragraph">
                  <wp:posOffset>225425</wp:posOffset>
                </wp:positionV>
                <wp:extent cx="2081530" cy="211455"/>
                <wp:effectExtent l="0" t="0" r="13970" b="1714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211455"/>
                        </a:xfrm>
                        <a:prstGeom prst="rect">
                          <a:avLst/>
                        </a:prstGeom>
                        <a:solidFill>
                          <a:srgbClr val="FFFFFF"/>
                        </a:solidFill>
                        <a:ln w="9525">
                          <a:solidFill>
                            <a:srgbClr val="000000"/>
                          </a:solidFill>
                          <a:miter lim="800000"/>
                          <a:headEnd/>
                          <a:tailEnd/>
                        </a:ln>
                      </wps:spPr>
                      <wps:txbx>
                        <w:txbxContent>
                          <w:p w14:paraId="41632FA5" w14:textId="77777777" w:rsidR="00753A86" w:rsidRDefault="00753A86" w:rsidP="00240607">
                            <w:pPr>
                              <w:rPr>
                                <w:sz w:val="20"/>
                                <w:szCs w:val="20"/>
                                <w:bdr w:val="single" w:sz="4" w:space="0" w:color="auto"/>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24BF0" id="_x0000_t202" coordsize="21600,21600" o:spt="202" path="m,l,21600r21600,l21600,xe">
                <v:stroke joinstyle="miter"/>
                <v:path gradientshapeok="t" o:connecttype="rect"/>
              </v:shapetype>
              <v:shape id="Text Box 14" o:spid="_x0000_s1026" type="#_x0000_t202" style="position:absolute;left:0;text-align:left;margin-left:263.3pt;margin-top:17.75pt;width:163.9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">
                <v:textbox>
                  <w:txbxContent>
                    <w:p w14:paraId="41632FA5" w14:textId="77777777" w:rsidR="00753A86" w:rsidRDefault="00753A86" w:rsidP="00240607">
                      <w:pPr>
                        <w:rPr>
                          <w:sz w:val="20"/>
                          <w:szCs w:val="20"/>
                          <w:bdr w:val="single" w:sz="4" w:space="0" w:color="auto"/>
                          <w:lang w:val="en-GB"/>
                        </w:rPr>
                      </w:pPr>
                    </w:p>
                  </w:txbxContent>
                </v:textbox>
              </v:shape>
            </w:pict>
          </mc:Fallback>
        </mc:AlternateContent>
      </w:r>
      <w:r w:rsidR="00240607" w:rsidRPr="00664387">
        <w:rPr>
          <w:rFonts w:asciiTheme="minorHAnsi" w:eastAsia="Cambria" w:hAnsiTheme="minorHAnsi" w:cstheme="minorHAnsi"/>
          <w:sz w:val="22"/>
          <w:szCs w:val="22"/>
        </w:rPr>
        <w:t>Is there a liability cap in place?</w:t>
      </w:r>
      <w:r w:rsidR="00240607" w:rsidRPr="00664387">
        <w:rPr>
          <w:rFonts w:asciiTheme="minorHAnsi" w:hAnsiTheme="minorHAnsi" w:cstheme="minorHAnsi"/>
          <w:color w:val="000000" w:themeColor="text1"/>
          <w:sz w:val="22"/>
          <w:szCs w:val="22"/>
          <w:lang w:val="en-GB"/>
        </w:rPr>
        <w:t xml:space="preserve"> </w:t>
      </w:r>
      <w:r w:rsidR="00240607" w:rsidRPr="00664387">
        <w:rPr>
          <w:rFonts w:asciiTheme="minorHAnsi" w:hAnsiTheme="minorHAnsi" w:cstheme="minorHAnsi"/>
          <w:color w:val="000000" w:themeColor="text1"/>
          <w:sz w:val="22"/>
          <w:szCs w:val="22"/>
          <w:bdr w:val="single" w:sz="4" w:space="0" w:color="auto"/>
          <w:lang w:val="en-GB"/>
        </w:rPr>
        <w:t xml:space="preserve">          </w:t>
      </w:r>
      <w:r w:rsidR="00240607" w:rsidRPr="00664387">
        <w:rPr>
          <w:rFonts w:asciiTheme="minorHAnsi" w:hAnsiTheme="minorHAnsi" w:cstheme="minorHAnsi"/>
          <w:color w:val="000000" w:themeColor="text1"/>
          <w:sz w:val="22"/>
          <w:szCs w:val="22"/>
          <w:lang w:val="en-GB"/>
        </w:rPr>
        <w:t xml:space="preserve"> </w:t>
      </w:r>
      <w:r w:rsidR="00240607" w:rsidRPr="00664387">
        <w:rPr>
          <w:rFonts w:asciiTheme="minorHAnsi" w:eastAsia="Cambria" w:hAnsiTheme="minorHAnsi" w:cstheme="minorHAnsi"/>
          <w:sz w:val="22"/>
          <w:szCs w:val="22"/>
        </w:rPr>
        <w:t xml:space="preserve">(yes or no) </w:t>
      </w:r>
    </w:p>
    <w:p w14:paraId="30AF8168" w14:textId="325428E3" w:rsidR="00240607" w:rsidRPr="00664387" w:rsidRDefault="00B54480" w:rsidP="000A436F">
      <w:pPr>
        <w:pStyle w:val="FCList"/>
        <w:numPr>
          <w:ilvl w:val="0"/>
          <w:numId w:val="17"/>
        </w:numPr>
        <w:tabs>
          <w:tab w:val="clear" w:pos="1080"/>
          <w:tab w:val="num" w:pos="720"/>
        </w:tabs>
        <w:spacing w:before="240" w:after="240"/>
        <w:ind w:left="720"/>
        <w:rPr>
          <w:rFonts w:asciiTheme="minorHAnsi" w:hAnsiTheme="minorHAnsi" w:cstheme="minorHAnsi"/>
          <w:color w:val="000000" w:themeColor="text1"/>
          <w:sz w:val="22"/>
          <w:szCs w:val="22"/>
          <w:lang w:val="en-GB"/>
        </w:rPr>
      </w:pPr>
      <w:r>
        <w:rPr>
          <w:rFonts w:asciiTheme="minorHAnsi" w:eastAsia="Cambria" w:hAnsiTheme="minorHAnsi" w:cstheme="minorHAnsi"/>
          <w:noProof/>
          <w:sz w:val="22"/>
          <w:szCs w:val="22"/>
          <w:lang w:eastAsia="en-AU"/>
        </w:rPr>
        <mc:AlternateContent>
          <mc:Choice Requires="wps">
            <w:drawing>
              <wp:anchor distT="0" distB="0" distL="114300" distR="114300" simplePos="0" relativeHeight="251659264" behindDoc="0" locked="0" layoutInCell="1" allowOverlap="1" wp14:anchorId="7227F114" wp14:editId="1EF82FF2">
                <wp:simplePos x="0" y="0"/>
                <wp:positionH relativeFrom="column">
                  <wp:posOffset>4455160</wp:posOffset>
                </wp:positionH>
                <wp:positionV relativeFrom="paragraph">
                  <wp:posOffset>238125</wp:posOffset>
                </wp:positionV>
                <wp:extent cx="1155065" cy="205105"/>
                <wp:effectExtent l="0" t="0" r="26035" b="2349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205105"/>
                        </a:xfrm>
                        <a:prstGeom prst="rect">
                          <a:avLst/>
                        </a:prstGeom>
                        <a:solidFill>
                          <a:srgbClr val="FFFFFF"/>
                        </a:solidFill>
                        <a:ln w="9525">
                          <a:solidFill>
                            <a:srgbClr val="000000"/>
                          </a:solidFill>
                          <a:miter lim="800000"/>
                          <a:headEnd/>
                          <a:tailEnd/>
                        </a:ln>
                      </wps:spPr>
                      <wps:txbx>
                        <w:txbxContent>
                          <w:p w14:paraId="2A61B8EB" w14:textId="77777777" w:rsidR="00753A86" w:rsidRDefault="00753A86" w:rsidP="00240607">
                            <w:pPr>
                              <w:rPr>
                                <w:sz w:val="20"/>
                                <w:szCs w:val="20"/>
                                <w:bdr w:val="single" w:sz="4" w:space="0" w:color="auto"/>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7F114" id="Text Box 11" o:spid="_x0000_s1027" type="#_x0000_t202" style="position:absolute;left:0;text-align:left;margin-left:350.8pt;margin-top:18.75pt;width:90.9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">
                <v:textbox>
                  <w:txbxContent>
                    <w:p w14:paraId="2A61B8EB" w14:textId="77777777" w:rsidR="00753A86" w:rsidRDefault="00753A86" w:rsidP="00240607">
                      <w:pPr>
                        <w:rPr>
                          <w:sz w:val="20"/>
                          <w:szCs w:val="20"/>
                          <w:bdr w:val="single" w:sz="4" w:space="0" w:color="auto"/>
                          <w:lang w:val="en-GB"/>
                        </w:rPr>
                      </w:pPr>
                    </w:p>
                  </w:txbxContent>
                </v:textbox>
              </v:shape>
            </w:pict>
          </mc:Fallback>
        </mc:AlternateContent>
      </w:r>
      <w:r w:rsidR="00240607" w:rsidRPr="00664387">
        <w:rPr>
          <w:rFonts w:asciiTheme="minorHAnsi" w:eastAsia="Cambria" w:hAnsiTheme="minorHAnsi" w:cstheme="minorHAnsi"/>
          <w:sz w:val="22"/>
          <w:szCs w:val="22"/>
        </w:rPr>
        <w:t>If yes to b) what is the amount of the cap?</w:t>
      </w:r>
      <w:r w:rsidR="00240607" w:rsidRPr="00664387">
        <w:rPr>
          <w:rFonts w:asciiTheme="minorHAnsi" w:hAnsiTheme="minorHAnsi" w:cstheme="minorHAnsi"/>
          <w:color w:val="000000" w:themeColor="text1"/>
          <w:sz w:val="22"/>
          <w:szCs w:val="22"/>
          <w:lang w:val="en-GB"/>
        </w:rPr>
        <w:tab/>
        <w:t>$</w:t>
      </w:r>
    </w:p>
    <w:p w14:paraId="58042F9F" w14:textId="77777777" w:rsidR="00240607" w:rsidRPr="00664387" w:rsidRDefault="00240607" w:rsidP="000A436F">
      <w:pPr>
        <w:pStyle w:val="FCList"/>
        <w:numPr>
          <w:ilvl w:val="0"/>
          <w:numId w:val="17"/>
        </w:numPr>
        <w:tabs>
          <w:tab w:val="clear" w:pos="1080"/>
          <w:tab w:val="num" w:pos="720"/>
        </w:tabs>
        <w:spacing w:before="240" w:after="240"/>
        <w:ind w:left="720"/>
        <w:rPr>
          <w:rFonts w:asciiTheme="minorHAnsi" w:hAnsiTheme="minorHAnsi" w:cstheme="minorHAnsi"/>
          <w:color w:val="000000" w:themeColor="text1"/>
          <w:sz w:val="22"/>
          <w:szCs w:val="22"/>
        </w:rPr>
      </w:pPr>
      <w:r w:rsidRPr="00664387">
        <w:rPr>
          <w:rFonts w:asciiTheme="minorHAnsi" w:eastAsia="Cambria" w:hAnsiTheme="minorHAnsi" w:cstheme="minorHAnsi"/>
          <w:sz w:val="22"/>
          <w:szCs w:val="22"/>
        </w:rPr>
        <w:t>What is the most probable total cost of all contingent liabilities?</w:t>
      </w:r>
      <w:r w:rsidRPr="00664387">
        <w:rPr>
          <w:rFonts w:asciiTheme="minorHAnsi" w:hAnsiTheme="minorHAnsi" w:cstheme="minorHAnsi"/>
          <w:color w:val="000000" w:themeColor="text1"/>
          <w:sz w:val="22"/>
          <w:szCs w:val="22"/>
        </w:rPr>
        <w:t xml:space="preserve">    $</w:t>
      </w:r>
    </w:p>
    <w:p w14:paraId="33A3D37C" w14:textId="77777777" w:rsidR="00240607" w:rsidRPr="00664387" w:rsidRDefault="00240607" w:rsidP="000A436F">
      <w:pPr>
        <w:pStyle w:val="FCList"/>
        <w:numPr>
          <w:ilvl w:val="0"/>
          <w:numId w:val="17"/>
        </w:numPr>
        <w:tabs>
          <w:tab w:val="clear" w:pos="1080"/>
          <w:tab w:val="num" w:pos="720"/>
        </w:tabs>
        <w:spacing w:before="240" w:after="240"/>
        <w:ind w:left="714" w:hanging="357"/>
        <w:rPr>
          <w:rFonts w:asciiTheme="minorHAnsi" w:hAnsiTheme="minorHAnsi" w:cstheme="minorHAnsi"/>
          <w:noProof/>
          <w:color w:val="000000" w:themeColor="text1"/>
          <w:sz w:val="22"/>
          <w:szCs w:val="22"/>
          <w:lang w:eastAsia="en-AU"/>
        </w:rPr>
      </w:pPr>
      <w:r w:rsidRPr="00664387">
        <w:rPr>
          <w:rFonts w:asciiTheme="minorHAnsi" w:eastAsia="Cambria" w:hAnsiTheme="minorHAnsi" w:cstheme="minorHAnsi"/>
          <w:sz w:val="22"/>
          <w:szCs w:val="22"/>
        </w:rPr>
        <w:t xml:space="preserve">Is the most probable cost that might be payable under any contingent liability </w:t>
      </w:r>
      <w:proofErr w:type="gramStart"/>
      <w:r w:rsidRPr="00664387">
        <w:rPr>
          <w:rFonts w:asciiTheme="minorHAnsi" w:eastAsia="Cambria" w:hAnsiTheme="minorHAnsi" w:cstheme="minorHAnsi"/>
          <w:sz w:val="22"/>
          <w:szCs w:val="22"/>
        </w:rPr>
        <w:t>significant</w:t>
      </w:r>
      <w:r w:rsidR="000A436F">
        <w:rPr>
          <w:rFonts w:asciiTheme="minorHAnsi" w:eastAsia="Cambria" w:hAnsiTheme="minorHAnsi" w:cstheme="minorHAnsi"/>
          <w:sz w:val="22"/>
          <w:szCs w:val="22"/>
        </w:rPr>
        <w:t>(</w:t>
      </w:r>
      <w:proofErr w:type="gramEnd"/>
      <w:r w:rsidRPr="00664387">
        <w:rPr>
          <w:rFonts w:asciiTheme="minorHAnsi" w:eastAsia="Cambria" w:hAnsiTheme="minorHAnsi" w:cstheme="minorHAnsi"/>
          <w:sz w:val="22"/>
          <w:szCs w:val="22"/>
        </w:rPr>
        <w:t>*</w:t>
      </w:r>
      <w:r w:rsidR="000A436F">
        <w:rPr>
          <w:rFonts w:asciiTheme="minorHAnsi" w:eastAsia="Cambria" w:hAnsiTheme="minorHAnsi" w:cstheme="minorHAnsi"/>
          <w:sz w:val="22"/>
          <w:szCs w:val="22"/>
        </w:rPr>
        <w:t>)</w:t>
      </w:r>
      <w:r w:rsidRPr="00664387">
        <w:rPr>
          <w:rFonts w:asciiTheme="minorHAnsi" w:eastAsia="Cambria" w:hAnsiTheme="minorHAnsi" w:cstheme="minorHAnsi"/>
          <w:sz w:val="22"/>
          <w:szCs w:val="22"/>
        </w:rPr>
        <w:t>?</w:t>
      </w:r>
      <w:r w:rsidRPr="00664387">
        <w:rPr>
          <w:rFonts w:asciiTheme="minorHAnsi" w:hAnsiTheme="minorHAnsi" w:cstheme="minorHAnsi"/>
          <w:noProof/>
          <w:color w:val="000000" w:themeColor="text1"/>
          <w:sz w:val="22"/>
          <w:szCs w:val="22"/>
          <w:lang w:eastAsia="en-AU"/>
        </w:rPr>
        <w:t xml:space="preserve">   </w:t>
      </w:r>
      <w:r w:rsidRPr="00664387">
        <w:rPr>
          <w:rFonts w:asciiTheme="minorHAnsi" w:hAnsiTheme="minorHAnsi" w:cstheme="minorHAnsi"/>
          <w:color w:val="000000" w:themeColor="text1"/>
          <w:sz w:val="22"/>
          <w:szCs w:val="22"/>
          <w:lang w:val="en-GB"/>
        </w:rPr>
        <w:t xml:space="preserve"> </w:t>
      </w:r>
      <w:r w:rsidRPr="00664387">
        <w:rPr>
          <w:rFonts w:asciiTheme="minorHAnsi" w:hAnsiTheme="minorHAnsi" w:cstheme="minorHAnsi"/>
          <w:color w:val="000000" w:themeColor="text1"/>
          <w:sz w:val="22"/>
          <w:szCs w:val="22"/>
          <w:bdr w:val="single" w:sz="4" w:space="0" w:color="auto"/>
          <w:lang w:val="en-GB"/>
        </w:rPr>
        <w:t xml:space="preserve">          </w:t>
      </w:r>
      <w:r w:rsidRPr="00664387">
        <w:rPr>
          <w:rFonts w:asciiTheme="minorHAnsi" w:hAnsiTheme="minorHAnsi" w:cstheme="minorHAnsi"/>
          <w:color w:val="000000" w:themeColor="text1"/>
          <w:sz w:val="22"/>
          <w:szCs w:val="22"/>
          <w:lang w:val="en-GB"/>
        </w:rPr>
        <w:t xml:space="preserve"> </w:t>
      </w:r>
      <w:r w:rsidRPr="00664387">
        <w:rPr>
          <w:rFonts w:asciiTheme="minorHAnsi" w:eastAsia="Cambria" w:hAnsiTheme="minorHAnsi" w:cstheme="minorHAnsi"/>
          <w:sz w:val="22"/>
          <w:szCs w:val="22"/>
        </w:rPr>
        <w:t>(yes or no)</w:t>
      </w:r>
      <w:r w:rsidRPr="00664387">
        <w:rPr>
          <w:rFonts w:asciiTheme="minorHAnsi" w:hAnsiTheme="minorHAnsi" w:cstheme="minorHAnsi"/>
          <w:i/>
          <w:color w:val="000000" w:themeColor="text1"/>
          <w:sz w:val="22"/>
          <w:szCs w:val="22"/>
          <w:lang w:val="en-GB"/>
        </w:rPr>
        <w:t xml:space="preserve">  </w:t>
      </w:r>
    </w:p>
    <w:p w14:paraId="2EF50507" w14:textId="77777777" w:rsidR="00240607" w:rsidRPr="00664387" w:rsidRDefault="00240607" w:rsidP="000A436F">
      <w:pPr>
        <w:pStyle w:val="FCList"/>
        <w:numPr>
          <w:ilvl w:val="0"/>
          <w:numId w:val="17"/>
        </w:numPr>
        <w:tabs>
          <w:tab w:val="clear" w:pos="1080"/>
          <w:tab w:val="num" w:pos="720"/>
        </w:tabs>
        <w:spacing w:before="240" w:after="240"/>
        <w:ind w:left="714" w:hanging="357"/>
        <w:rPr>
          <w:rFonts w:asciiTheme="minorHAnsi" w:hAnsiTheme="minorHAnsi" w:cstheme="minorHAnsi"/>
          <w:noProof/>
          <w:color w:val="000000" w:themeColor="text1"/>
          <w:sz w:val="22"/>
          <w:szCs w:val="22"/>
          <w:lang w:eastAsia="en-AU"/>
        </w:rPr>
      </w:pPr>
      <w:r w:rsidRPr="00664387">
        <w:rPr>
          <w:rFonts w:asciiTheme="minorHAnsi" w:eastAsia="Cambria" w:hAnsiTheme="minorHAnsi" w:cstheme="minorHAnsi"/>
          <w:sz w:val="22"/>
          <w:szCs w:val="22"/>
        </w:rPr>
        <w:t xml:space="preserve">Is the likelihood of the contingencies occurring </w:t>
      </w:r>
      <w:proofErr w:type="gramStart"/>
      <w:r w:rsidRPr="00664387">
        <w:rPr>
          <w:rFonts w:asciiTheme="minorHAnsi" w:eastAsia="Cambria" w:hAnsiTheme="minorHAnsi" w:cstheme="minorHAnsi"/>
          <w:sz w:val="22"/>
          <w:szCs w:val="22"/>
        </w:rPr>
        <w:t>remote</w:t>
      </w:r>
      <w:r w:rsidR="000A436F">
        <w:rPr>
          <w:rFonts w:asciiTheme="minorHAnsi" w:eastAsia="Cambria" w:hAnsiTheme="minorHAnsi" w:cstheme="minorHAnsi"/>
          <w:sz w:val="22"/>
          <w:szCs w:val="22"/>
        </w:rPr>
        <w:t>(</w:t>
      </w:r>
      <w:proofErr w:type="gramEnd"/>
      <w:r w:rsidRPr="00664387">
        <w:rPr>
          <w:rFonts w:asciiTheme="minorHAnsi" w:eastAsia="Cambria" w:hAnsiTheme="minorHAnsi" w:cstheme="minorHAnsi"/>
          <w:sz w:val="22"/>
          <w:szCs w:val="22"/>
        </w:rPr>
        <w:t>#</w:t>
      </w:r>
      <w:r w:rsidR="000A436F">
        <w:rPr>
          <w:rFonts w:asciiTheme="minorHAnsi" w:eastAsia="Cambria" w:hAnsiTheme="minorHAnsi" w:cstheme="minorHAnsi"/>
          <w:sz w:val="22"/>
          <w:szCs w:val="22"/>
        </w:rPr>
        <w:t>)</w:t>
      </w:r>
      <w:r w:rsidRPr="00664387">
        <w:rPr>
          <w:rFonts w:asciiTheme="minorHAnsi" w:eastAsia="Cambria" w:hAnsiTheme="minorHAnsi" w:cstheme="minorHAnsi"/>
          <w:sz w:val="22"/>
          <w:szCs w:val="22"/>
        </w:rPr>
        <w:t>?</w:t>
      </w:r>
      <w:r w:rsidRPr="00664387">
        <w:rPr>
          <w:rFonts w:asciiTheme="minorHAnsi" w:hAnsiTheme="minorHAnsi" w:cstheme="minorHAnsi"/>
          <w:noProof/>
          <w:color w:val="000000" w:themeColor="text1"/>
          <w:sz w:val="22"/>
          <w:szCs w:val="22"/>
          <w:lang w:eastAsia="en-AU"/>
        </w:rPr>
        <w:t xml:space="preserve"> </w:t>
      </w:r>
      <w:r w:rsidRPr="00664387">
        <w:rPr>
          <w:rFonts w:asciiTheme="minorHAnsi" w:hAnsiTheme="minorHAnsi" w:cstheme="minorHAnsi"/>
          <w:noProof/>
          <w:color w:val="000000" w:themeColor="text1"/>
          <w:sz w:val="22"/>
          <w:szCs w:val="22"/>
          <w:lang w:val="en-GB" w:eastAsia="en-AU"/>
        </w:rPr>
        <w:t xml:space="preserve"> </w:t>
      </w:r>
      <w:r w:rsidRPr="00664387">
        <w:rPr>
          <w:rFonts w:asciiTheme="minorHAnsi" w:hAnsiTheme="minorHAnsi" w:cstheme="minorHAnsi"/>
          <w:color w:val="000000" w:themeColor="text1"/>
          <w:sz w:val="22"/>
          <w:szCs w:val="22"/>
          <w:bdr w:val="single" w:sz="4" w:space="0" w:color="auto"/>
          <w:lang w:val="en-GB"/>
        </w:rPr>
        <w:t xml:space="preserve">           </w:t>
      </w:r>
      <w:r w:rsidRPr="00664387">
        <w:rPr>
          <w:rFonts w:asciiTheme="minorHAnsi" w:hAnsiTheme="minorHAnsi" w:cstheme="minorHAnsi"/>
          <w:i/>
          <w:color w:val="000000" w:themeColor="text1"/>
          <w:sz w:val="22"/>
          <w:szCs w:val="22"/>
          <w:lang w:val="en-GB"/>
        </w:rPr>
        <w:t xml:space="preserve"> </w:t>
      </w:r>
      <w:r w:rsidRPr="00664387">
        <w:rPr>
          <w:rFonts w:asciiTheme="minorHAnsi" w:eastAsia="Cambria" w:hAnsiTheme="minorHAnsi" w:cstheme="minorHAnsi"/>
          <w:sz w:val="22"/>
          <w:szCs w:val="22"/>
        </w:rPr>
        <w:t>(yes or no)</w:t>
      </w:r>
    </w:p>
    <w:p w14:paraId="08CEB43D" w14:textId="77777777" w:rsidR="00240607" w:rsidRPr="00664387" w:rsidRDefault="00240607" w:rsidP="000A436F">
      <w:pPr>
        <w:pStyle w:val="FCList"/>
        <w:numPr>
          <w:ilvl w:val="0"/>
          <w:numId w:val="17"/>
        </w:numPr>
        <w:tabs>
          <w:tab w:val="clear" w:pos="1080"/>
          <w:tab w:val="num" w:pos="720"/>
        </w:tabs>
        <w:spacing w:before="240" w:after="240"/>
        <w:ind w:left="714" w:hanging="357"/>
        <w:rPr>
          <w:rFonts w:asciiTheme="minorHAnsi" w:eastAsia="Cambria" w:hAnsiTheme="minorHAnsi" w:cstheme="minorHAnsi"/>
          <w:sz w:val="22"/>
          <w:szCs w:val="22"/>
        </w:rPr>
      </w:pPr>
      <w:r w:rsidRPr="00664387">
        <w:rPr>
          <w:rFonts w:asciiTheme="minorHAnsi" w:eastAsia="Cambria" w:hAnsiTheme="minorHAnsi" w:cstheme="minorHAnsi"/>
          <w:sz w:val="22"/>
          <w:szCs w:val="22"/>
        </w:rPr>
        <w:t xml:space="preserve">Is there a guarantee for the payment of any amount of principal or interest due on a loan? </w:t>
      </w:r>
      <w:r w:rsidRPr="00664387">
        <w:rPr>
          <w:rFonts w:asciiTheme="minorHAnsi" w:hAnsiTheme="minorHAnsi" w:cstheme="minorHAnsi"/>
          <w:color w:val="000000" w:themeColor="text1"/>
          <w:sz w:val="22"/>
          <w:szCs w:val="22"/>
          <w:bdr w:val="single" w:sz="4" w:space="0" w:color="auto"/>
          <w:lang w:val="en-GB"/>
        </w:rPr>
        <w:t xml:space="preserve">           </w:t>
      </w:r>
      <w:r w:rsidRPr="00664387">
        <w:rPr>
          <w:rFonts w:asciiTheme="minorHAnsi" w:hAnsiTheme="minorHAnsi" w:cstheme="minorHAnsi"/>
          <w:i/>
          <w:color w:val="000000" w:themeColor="text1"/>
          <w:sz w:val="22"/>
          <w:szCs w:val="22"/>
          <w:lang w:val="en-GB"/>
        </w:rPr>
        <w:t xml:space="preserve"> </w:t>
      </w:r>
      <w:r w:rsidRPr="00664387">
        <w:rPr>
          <w:rFonts w:asciiTheme="minorHAnsi" w:eastAsia="Cambria" w:hAnsiTheme="minorHAnsi" w:cstheme="minorHAnsi"/>
          <w:sz w:val="22"/>
          <w:szCs w:val="22"/>
        </w:rPr>
        <w:t>(yes or no)</w:t>
      </w:r>
    </w:p>
    <w:p w14:paraId="7CE541B4" w14:textId="77777777" w:rsidR="00240607" w:rsidRPr="00664387" w:rsidRDefault="00240607" w:rsidP="000A436F">
      <w:pPr>
        <w:pStyle w:val="FCList"/>
        <w:numPr>
          <w:ilvl w:val="0"/>
          <w:numId w:val="17"/>
        </w:numPr>
        <w:tabs>
          <w:tab w:val="clear" w:pos="1080"/>
          <w:tab w:val="num" w:pos="720"/>
        </w:tabs>
        <w:spacing w:before="240" w:after="240"/>
        <w:ind w:left="720"/>
        <w:rPr>
          <w:rFonts w:asciiTheme="minorHAnsi" w:hAnsiTheme="minorHAnsi" w:cstheme="minorHAnsi"/>
          <w:noProof/>
          <w:color w:val="000000" w:themeColor="text1"/>
          <w:sz w:val="22"/>
          <w:szCs w:val="22"/>
          <w:lang w:eastAsia="en-AU"/>
        </w:rPr>
      </w:pPr>
      <w:r w:rsidRPr="00664387">
        <w:rPr>
          <w:rFonts w:asciiTheme="minorHAnsi" w:eastAsia="Cambria" w:hAnsiTheme="minorHAnsi" w:cstheme="minorHAnsi"/>
          <w:sz w:val="22"/>
          <w:szCs w:val="22"/>
        </w:rPr>
        <w:t>Is there an indemnity by the Commonwealth to expressly meet the costs of civil or criminal penalties of the indemnified party?</w:t>
      </w:r>
      <w:r w:rsidRPr="00664387">
        <w:rPr>
          <w:rFonts w:asciiTheme="minorHAnsi" w:hAnsiTheme="minorHAnsi" w:cstheme="minorHAnsi"/>
          <w:color w:val="000000" w:themeColor="text1"/>
          <w:sz w:val="22"/>
          <w:szCs w:val="22"/>
        </w:rPr>
        <w:t xml:space="preserve"> </w:t>
      </w:r>
      <w:r w:rsidRPr="00664387">
        <w:rPr>
          <w:rFonts w:asciiTheme="minorHAnsi" w:hAnsiTheme="minorHAnsi" w:cstheme="minorHAnsi"/>
          <w:color w:val="000000" w:themeColor="text1"/>
          <w:sz w:val="22"/>
          <w:szCs w:val="22"/>
          <w:lang w:val="en-GB"/>
        </w:rPr>
        <w:t xml:space="preserve"> </w:t>
      </w:r>
      <w:r w:rsidRPr="00664387">
        <w:rPr>
          <w:rFonts w:asciiTheme="minorHAnsi" w:hAnsiTheme="minorHAnsi" w:cstheme="minorHAnsi"/>
          <w:color w:val="000000" w:themeColor="text1"/>
          <w:sz w:val="22"/>
          <w:szCs w:val="22"/>
          <w:bdr w:val="single" w:sz="4" w:space="0" w:color="auto"/>
          <w:lang w:val="en-GB"/>
        </w:rPr>
        <w:t xml:space="preserve">          </w:t>
      </w:r>
      <w:r w:rsidRPr="00664387">
        <w:rPr>
          <w:rFonts w:asciiTheme="minorHAnsi" w:hAnsiTheme="minorHAnsi" w:cstheme="minorHAnsi"/>
          <w:color w:val="000000" w:themeColor="text1"/>
          <w:sz w:val="22"/>
          <w:szCs w:val="22"/>
          <w:lang w:val="en-GB"/>
        </w:rPr>
        <w:t xml:space="preserve"> </w:t>
      </w:r>
      <w:r w:rsidRPr="00664387">
        <w:rPr>
          <w:rFonts w:asciiTheme="minorHAnsi" w:eastAsia="Cambria" w:hAnsiTheme="minorHAnsi" w:cstheme="minorHAnsi"/>
          <w:sz w:val="22"/>
          <w:szCs w:val="22"/>
        </w:rPr>
        <w:t>(yes or no)</w:t>
      </w:r>
    </w:p>
    <w:p w14:paraId="0216836A" w14:textId="77777777" w:rsidR="000A436F" w:rsidRDefault="000A436F" w:rsidP="000A436F">
      <w:pPr>
        <w:pStyle w:val="FCList"/>
        <w:numPr>
          <w:ilvl w:val="0"/>
          <w:numId w:val="0"/>
        </w:numPr>
        <w:spacing w:before="0" w:after="0"/>
        <w:ind w:left="284" w:hanging="284"/>
        <w:rPr>
          <w:rFonts w:asciiTheme="minorHAnsi" w:eastAsia="Cambria" w:hAnsiTheme="minorHAnsi" w:cstheme="minorHAnsi"/>
          <w:sz w:val="22"/>
          <w:szCs w:val="22"/>
        </w:rPr>
      </w:pPr>
    </w:p>
    <w:p w14:paraId="34BC3813" w14:textId="77777777" w:rsidR="000A436F" w:rsidRDefault="000A436F" w:rsidP="000A436F">
      <w:pPr>
        <w:pStyle w:val="FCList"/>
        <w:numPr>
          <w:ilvl w:val="0"/>
          <w:numId w:val="0"/>
        </w:numPr>
        <w:spacing w:before="0" w:after="0"/>
        <w:ind w:left="284" w:hanging="284"/>
        <w:rPr>
          <w:rFonts w:asciiTheme="minorHAnsi" w:eastAsia="Cambria" w:hAnsiTheme="minorHAnsi" w:cstheme="minorHAnsi"/>
          <w:sz w:val="22"/>
          <w:szCs w:val="22"/>
        </w:rPr>
      </w:pPr>
    </w:p>
    <w:p w14:paraId="33BFFE15" w14:textId="77777777" w:rsidR="000A436F" w:rsidRPr="00664387" w:rsidRDefault="000A436F" w:rsidP="000A436F">
      <w:pPr>
        <w:pStyle w:val="FCList"/>
        <w:numPr>
          <w:ilvl w:val="0"/>
          <w:numId w:val="0"/>
        </w:numPr>
        <w:spacing w:before="0" w:after="0"/>
        <w:ind w:left="284" w:hanging="284"/>
        <w:rPr>
          <w:rFonts w:asciiTheme="minorHAnsi" w:hAnsiTheme="minorHAnsi" w:cstheme="minorHAnsi"/>
          <w:color w:val="000000" w:themeColor="text1"/>
          <w:sz w:val="22"/>
          <w:szCs w:val="22"/>
          <w:lang w:val="en-GB"/>
        </w:rPr>
      </w:pPr>
      <w:r w:rsidRPr="00664387">
        <w:rPr>
          <w:rFonts w:asciiTheme="minorHAnsi" w:eastAsia="Cambria" w:hAnsiTheme="minorHAnsi" w:cstheme="minorHAnsi"/>
          <w:sz w:val="22"/>
          <w:szCs w:val="22"/>
        </w:rPr>
        <w:t>7. Has legal advice been obtained in relation to the contingent liability?</w:t>
      </w:r>
      <w:r w:rsidRPr="00664387">
        <w:rPr>
          <w:rFonts w:asciiTheme="minorHAnsi" w:hAnsiTheme="minorHAnsi" w:cstheme="minorHAnsi"/>
          <w:color w:val="000000" w:themeColor="text1"/>
          <w:sz w:val="22"/>
          <w:szCs w:val="22"/>
          <w:lang w:val="en-GB"/>
        </w:rPr>
        <w:t xml:space="preserve">  </w:t>
      </w:r>
      <w:r w:rsidRPr="00664387">
        <w:rPr>
          <w:rFonts w:asciiTheme="minorHAnsi" w:hAnsiTheme="minorHAnsi" w:cstheme="minorHAnsi"/>
          <w:color w:val="000000" w:themeColor="text1"/>
          <w:sz w:val="22"/>
          <w:szCs w:val="22"/>
          <w:bdr w:val="single" w:sz="4" w:space="0" w:color="auto"/>
          <w:lang w:val="en-GB"/>
        </w:rPr>
        <w:t xml:space="preserve">          </w:t>
      </w:r>
      <w:r w:rsidRPr="00664387">
        <w:rPr>
          <w:rFonts w:asciiTheme="minorHAnsi" w:hAnsiTheme="minorHAnsi" w:cstheme="minorHAnsi"/>
          <w:color w:val="000000" w:themeColor="text1"/>
          <w:sz w:val="22"/>
          <w:szCs w:val="22"/>
          <w:lang w:val="en-GB"/>
        </w:rPr>
        <w:t xml:space="preserve"> </w:t>
      </w:r>
      <w:r w:rsidRPr="00664387">
        <w:rPr>
          <w:rFonts w:asciiTheme="minorHAnsi" w:eastAsia="Cambria" w:hAnsiTheme="minorHAnsi" w:cstheme="minorHAnsi"/>
          <w:sz w:val="22"/>
          <w:szCs w:val="22"/>
        </w:rPr>
        <w:t>(</w:t>
      </w:r>
      <w:proofErr w:type="gramStart"/>
      <w:r w:rsidRPr="00664387">
        <w:rPr>
          <w:rFonts w:asciiTheme="minorHAnsi" w:eastAsia="Cambria" w:hAnsiTheme="minorHAnsi" w:cstheme="minorHAnsi"/>
          <w:sz w:val="22"/>
          <w:szCs w:val="22"/>
        </w:rPr>
        <w:t>yes</w:t>
      </w:r>
      <w:proofErr w:type="gramEnd"/>
      <w:r w:rsidRPr="00664387">
        <w:rPr>
          <w:rFonts w:asciiTheme="minorHAnsi" w:eastAsia="Cambria" w:hAnsiTheme="minorHAnsi" w:cstheme="minorHAnsi"/>
          <w:sz w:val="22"/>
          <w:szCs w:val="22"/>
        </w:rPr>
        <w:t xml:space="preserve"> or no)</w:t>
      </w:r>
      <w:r>
        <w:rPr>
          <w:rFonts w:asciiTheme="minorHAnsi" w:eastAsia="Cambria" w:hAnsiTheme="minorHAnsi" w:cstheme="minorHAnsi"/>
          <w:sz w:val="22"/>
          <w:szCs w:val="22"/>
        </w:rPr>
        <w:br/>
      </w:r>
    </w:p>
    <w:p w14:paraId="6783398D" w14:textId="77777777" w:rsidR="000A436F" w:rsidRPr="00664387" w:rsidRDefault="000A436F" w:rsidP="000A436F">
      <w:pPr>
        <w:pStyle w:val="FCList"/>
        <w:numPr>
          <w:ilvl w:val="0"/>
          <w:numId w:val="0"/>
        </w:numPr>
        <w:spacing w:before="240" w:after="120"/>
        <w:ind w:left="284" w:hanging="284"/>
        <w:rPr>
          <w:rFonts w:asciiTheme="minorHAnsi" w:eastAsia="Cambria" w:hAnsiTheme="minorHAnsi" w:cstheme="minorHAnsi"/>
          <w:sz w:val="22"/>
          <w:szCs w:val="22"/>
        </w:rPr>
      </w:pPr>
      <w:r w:rsidRPr="00664387">
        <w:rPr>
          <w:rFonts w:asciiTheme="minorHAnsi" w:eastAsia="Cambria" w:hAnsiTheme="minorHAnsi" w:cstheme="minorHAnsi"/>
          <w:sz w:val="22"/>
          <w:szCs w:val="22"/>
        </w:rPr>
        <w:t>Please attach a copy of the legal advice.</w:t>
      </w:r>
    </w:p>
    <w:p w14:paraId="3043D2D4" w14:textId="77777777" w:rsidR="00664387" w:rsidRDefault="00664387" w:rsidP="00664387">
      <w:pPr>
        <w:pStyle w:val="FCList"/>
        <w:numPr>
          <w:ilvl w:val="0"/>
          <w:numId w:val="0"/>
        </w:numPr>
        <w:spacing w:before="0" w:after="0"/>
        <w:rPr>
          <w:rFonts w:asciiTheme="minorHAnsi" w:eastAsia="Cambria" w:hAnsiTheme="minorHAnsi" w:cstheme="minorHAnsi"/>
          <w:sz w:val="22"/>
          <w:szCs w:val="22"/>
        </w:rPr>
      </w:pPr>
    </w:p>
    <w:p w14:paraId="34FBEB7A"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3F8586B4"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008D8A00"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50F3D6F9"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358AF868"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2F688CF1"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58F3C740"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1B2FC9F4"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1363581B"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6537BBB4"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2628D590"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0795C1BE"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173653FE"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1A40F312"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48B9AB11"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15E4877E"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7B2E97DB"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45849768"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0AB14B86" w14:textId="77777777" w:rsidR="000A436F" w:rsidRDefault="000A436F" w:rsidP="00664387">
      <w:pPr>
        <w:pStyle w:val="FCList"/>
        <w:numPr>
          <w:ilvl w:val="0"/>
          <w:numId w:val="0"/>
        </w:numPr>
        <w:spacing w:before="0" w:after="0"/>
        <w:rPr>
          <w:rFonts w:asciiTheme="minorHAnsi" w:eastAsia="Cambria" w:hAnsiTheme="minorHAnsi" w:cstheme="minorHAnsi"/>
          <w:sz w:val="22"/>
          <w:szCs w:val="22"/>
        </w:rPr>
      </w:pPr>
    </w:p>
    <w:p w14:paraId="4EAB05E2" w14:textId="77777777" w:rsidR="00240607" w:rsidRPr="00664387" w:rsidRDefault="00240607" w:rsidP="00664387">
      <w:pPr>
        <w:pStyle w:val="FCList"/>
        <w:numPr>
          <w:ilvl w:val="0"/>
          <w:numId w:val="0"/>
        </w:numPr>
        <w:spacing w:before="0" w:after="0"/>
        <w:rPr>
          <w:rFonts w:asciiTheme="minorHAnsi" w:eastAsia="Cambria" w:hAnsiTheme="minorHAnsi" w:cstheme="minorHAnsi"/>
          <w:sz w:val="22"/>
          <w:szCs w:val="22"/>
        </w:rPr>
      </w:pPr>
      <w:r w:rsidRPr="00664387">
        <w:rPr>
          <w:rFonts w:asciiTheme="minorHAnsi" w:eastAsia="Cambria" w:hAnsiTheme="minorHAnsi" w:cstheme="minorHAnsi"/>
          <w:sz w:val="22"/>
          <w:szCs w:val="22"/>
        </w:rPr>
        <w:t>*</w:t>
      </w:r>
      <w:r w:rsidRPr="00664387">
        <w:rPr>
          <w:rFonts w:asciiTheme="minorHAnsi" w:eastAsia="Cambria" w:hAnsiTheme="minorHAnsi" w:cstheme="minorHAnsi"/>
          <w:b/>
          <w:sz w:val="22"/>
          <w:szCs w:val="22"/>
        </w:rPr>
        <w:t>significant</w:t>
      </w:r>
      <w:r w:rsidRPr="00664387">
        <w:rPr>
          <w:rFonts w:asciiTheme="minorHAnsi" w:eastAsia="Cambria" w:hAnsiTheme="minorHAnsi" w:cstheme="minorHAnsi"/>
          <w:sz w:val="22"/>
          <w:szCs w:val="22"/>
        </w:rPr>
        <w:t xml:space="preserve"> and #</w:t>
      </w:r>
      <w:r w:rsidRPr="00664387">
        <w:rPr>
          <w:rFonts w:asciiTheme="minorHAnsi" w:eastAsia="Cambria" w:hAnsiTheme="minorHAnsi" w:cstheme="minorHAnsi"/>
          <w:b/>
          <w:sz w:val="22"/>
          <w:szCs w:val="22"/>
        </w:rPr>
        <w:t>remote</w:t>
      </w:r>
      <w:r w:rsidRPr="00664387">
        <w:rPr>
          <w:rFonts w:asciiTheme="minorHAnsi" w:eastAsia="Cambria" w:hAnsiTheme="minorHAnsi" w:cstheme="minorHAnsi"/>
          <w:sz w:val="22"/>
          <w:szCs w:val="22"/>
        </w:rPr>
        <w:t>:</w:t>
      </w:r>
      <w:r w:rsidRPr="00664387">
        <w:rPr>
          <w:rFonts w:asciiTheme="minorHAnsi" w:hAnsiTheme="minorHAnsi" w:cstheme="minorHAnsi"/>
          <w:color w:val="000000" w:themeColor="text1"/>
          <w:sz w:val="22"/>
          <w:szCs w:val="22"/>
        </w:rPr>
        <w:t xml:space="preserve"> </w:t>
      </w:r>
      <w:r w:rsidRPr="00664387">
        <w:rPr>
          <w:rFonts w:asciiTheme="minorHAnsi" w:eastAsia="Cambria" w:hAnsiTheme="minorHAnsi" w:cstheme="minorHAnsi"/>
          <w:sz w:val="22"/>
          <w:szCs w:val="22"/>
        </w:rPr>
        <w:t xml:space="preserve"> as defined in the Finance Minister’s Delegation to Accountable Authorities for </w:t>
      </w:r>
      <w:hyperlink r:id="rId48" w:history="1">
        <w:r w:rsidRPr="00C26B50">
          <w:rPr>
            <w:rStyle w:val="Hyperlink"/>
            <w:rFonts w:eastAsia="Cambria" w:cstheme="minorHAnsi"/>
            <w:sz w:val="22"/>
            <w:szCs w:val="22"/>
          </w:rPr>
          <w:t>section 60</w:t>
        </w:r>
      </w:hyperlink>
      <w:r w:rsidRPr="00664387">
        <w:rPr>
          <w:rFonts w:asciiTheme="minorHAnsi" w:eastAsia="Cambria" w:hAnsiTheme="minorHAnsi" w:cstheme="minorHAnsi"/>
          <w:sz w:val="22"/>
          <w:szCs w:val="22"/>
        </w:rPr>
        <w:t xml:space="preserve"> of the </w:t>
      </w:r>
      <w:r w:rsidRPr="00664387">
        <w:rPr>
          <w:rFonts w:asciiTheme="minorHAnsi" w:eastAsia="Cambria" w:hAnsiTheme="minorHAnsi" w:cstheme="minorHAnsi"/>
          <w:i/>
          <w:sz w:val="22"/>
          <w:szCs w:val="22"/>
        </w:rPr>
        <w:t>Public Governance, Performance and Accountability Act 2013</w:t>
      </w:r>
      <w:r w:rsidRPr="00664387">
        <w:rPr>
          <w:rFonts w:asciiTheme="minorHAnsi" w:eastAsia="Cambria" w:hAnsiTheme="minorHAnsi" w:cstheme="minorHAnsi"/>
          <w:sz w:val="22"/>
          <w:szCs w:val="22"/>
        </w:rPr>
        <w:t>.</w:t>
      </w:r>
    </w:p>
    <w:sectPr w:rsidR="00240607" w:rsidRPr="00664387" w:rsidSect="003E6098">
      <w:pgSz w:w="11906" w:h="16838" w:code="9"/>
      <w:pgMar w:top="1560"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BD213" w14:textId="77777777" w:rsidR="00B94B10" w:rsidRDefault="00B94B10" w:rsidP="00EF4574">
      <w:pPr>
        <w:spacing w:before="0" w:after="0" w:line="240" w:lineRule="auto"/>
      </w:pPr>
      <w:r>
        <w:separator/>
      </w:r>
    </w:p>
    <w:p w14:paraId="16A72009" w14:textId="77777777" w:rsidR="00B94B10" w:rsidRDefault="00B94B10"/>
  </w:endnote>
  <w:endnote w:type="continuationSeparator" w:id="0">
    <w:p w14:paraId="12DDD64D" w14:textId="77777777" w:rsidR="00B94B10" w:rsidRDefault="00B94B10" w:rsidP="00EF4574">
      <w:pPr>
        <w:spacing w:before="0" w:after="0" w:line="240" w:lineRule="auto"/>
      </w:pPr>
      <w:r>
        <w:continuationSeparator/>
      </w:r>
    </w:p>
    <w:p w14:paraId="6372FE98" w14:textId="77777777" w:rsidR="00B94B10" w:rsidRDefault="00B94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DINOT-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8262E" w14:textId="628890BE" w:rsidR="00753A86" w:rsidRDefault="00B54480" w:rsidP="005B696C">
    <w:pPr>
      <w:pStyle w:val="Footer"/>
    </w:pPr>
    <w:r>
      <w:rPr>
        <w:noProof/>
        <w:lang w:eastAsia="en-AU"/>
      </w:rPr>
      <mc:AlternateContent>
        <mc:Choice Requires="wps">
          <w:drawing>
            <wp:anchor distT="0" distB="0" distL="114300" distR="114300" simplePos="0" relativeHeight="251651065" behindDoc="1" locked="0" layoutInCell="1" allowOverlap="1" wp14:anchorId="75041229" wp14:editId="035EAFBD">
              <wp:simplePos x="0" y="0"/>
              <wp:positionH relativeFrom="page">
                <wp:posOffset>6341745</wp:posOffset>
              </wp:positionH>
              <wp:positionV relativeFrom="page">
                <wp:posOffset>10076815</wp:posOffset>
              </wp:positionV>
              <wp:extent cx="323850" cy="323850"/>
              <wp:effectExtent l="0" t="0" r="19050" b="190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prstGeom prst="ellipse">
                        <a:avLst/>
                      </a:prstGeom>
                      <a:solidFill>
                        <a:schemeClr val="accent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9EEFE" w14:textId="77777777" w:rsidR="00753A86" w:rsidRDefault="00753A86" w:rsidP="005B69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041229" id="Oval 5" o:spid="_x0000_s1028" style="position:absolute;margin-left:499.35pt;margin-top:793.45pt;width:25.5pt;height:25.5pt;z-index:-2516654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" fillcolor="#bddcdf [3204]" strokecolor="#1c1c1c [3215]" strokeweight=".5pt">
              <v:stroke joinstyle="miter"/>
              <v:path arrowok="t"/>
              <v:textbox>
                <w:txbxContent>
                  <w:p w14:paraId="5079EEFE" w14:textId="77777777" w:rsidR="00753A86" w:rsidRDefault="00753A86" w:rsidP="005B696C">
                    <w:pPr>
                      <w:jc w:val="center"/>
                    </w:pPr>
                  </w:p>
                </w:txbxContent>
              </v:textbox>
              <w10:wrap anchorx="page" anchory="page"/>
            </v:oval>
          </w:pict>
        </mc:Fallback>
      </mc:AlternateContent>
    </w:r>
    <w:r w:rsidR="00753A86">
      <w:tab/>
    </w:r>
    <w:r w:rsidR="00753A86">
      <w:tab/>
    </w:r>
    <w:r w:rsidR="00753A86">
      <w:fldChar w:fldCharType="begin"/>
    </w:r>
    <w:r w:rsidR="00753A86">
      <w:instrText xml:space="preserve"> PAGE   \* MERGEFORMAT </w:instrText>
    </w:r>
    <w:r w:rsidR="00753A86">
      <w:fldChar w:fldCharType="separate"/>
    </w:r>
    <w:r w:rsidR="00753A86">
      <w:rPr>
        <w:noProof/>
      </w:rPr>
      <w:t>3</w:t>
    </w:r>
    <w:r w:rsidR="00753A8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F2D6" w14:textId="77777777" w:rsidR="00753A86" w:rsidRDefault="00753A86">
    <w:pPr>
      <w:pStyle w:val="Footer"/>
    </w:pPr>
  </w:p>
  <w:p w14:paraId="4C09B8CF" w14:textId="73D21F2E" w:rsidR="00753A86" w:rsidRDefault="00753A86" w:rsidP="000A6A8B">
    <w:pPr>
      <w:pStyle w:val="Footer"/>
      <w:jc w:val="center"/>
      <w:rPr>
        <w:rStyle w:val="Classification"/>
      </w:rPr>
    </w:pPr>
  </w:p>
  <w:p w14:paraId="2C03B877" w14:textId="77777777" w:rsidR="00753A86" w:rsidRPr="000A6A8B" w:rsidRDefault="00753A86"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BFDF" w14:textId="77777777" w:rsidR="00753A86" w:rsidRDefault="00753A86" w:rsidP="009032F5">
    <w:pPr>
      <w:pStyle w:val="Footer"/>
      <w:ind w:right="-1004"/>
      <w:jc w:val="right"/>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06"/>
    </w:tblGrid>
    <w:tr w:rsidR="00753A86" w14:paraId="4CE41CC4" w14:textId="77777777" w:rsidTr="009032F5">
      <w:trPr>
        <w:trHeight w:val="397"/>
      </w:trPr>
      <w:tc>
        <w:tcPr>
          <w:tcW w:w="7225" w:type="dxa"/>
          <w:vAlign w:val="bottom"/>
        </w:tcPr>
        <w:p w14:paraId="299AB87D" w14:textId="77777777" w:rsidR="00753A86" w:rsidRPr="006262AD" w:rsidRDefault="00753A86" w:rsidP="00664E25">
          <w:pPr>
            <w:spacing w:after="0"/>
            <w:rPr>
              <w:rFonts w:ascii="Arial" w:hAnsi="Arial" w:cs="Arial"/>
              <w:b/>
              <w:sz w:val="18"/>
            </w:rPr>
          </w:pPr>
          <w:r>
            <w:rPr>
              <w:rFonts w:ascii="Arial" w:hAnsi="Arial" w:cs="Arial"/>
              <w:b/>
              <w:sz w:val="18"/>
            </w:rPr>
            <w:t>October 2016</w:t>
          </w:r>
        </w:p>
      </w:tc>
      <w:tc>
        <w:tcPr>
          <w:tcW w:w="7225" w:type="dxa"/>
          <w:vAlign w:val="bottom"/>
        </w:tcPr>
        <w:p w14:paraId="2FA44B28" w14:textId="77777777" w:rsidR="00753A86" w:rsidRPr="00E8535A" w:rsidRDefault="00753A86" w:rsidP="005949BD">
          <w:pPr>
            <w:pStyle w:val="Footer"/>
            <w:jc w:val="right"/>
          </w:pPr>
          <w:r>
            <w:rPr>
              <w:rFonts w:ascii="Arial Black" w:hAnsi="Arial Black" w:cs="Arial"/>
              <w:b/>
              <w:color w:val="005A77"/>
              <w:sz w:val="18"/>
            </w:rPr>
            <w:t>RMG-414</w:t>
          </w:r>
          <w:r>
            <w:rPr>
              <w:rFonts w:ascii="Arial" w:hAnsi="Arial" w:cs="Arial"/>
              <w:sz w:val="18"/>
            </w:rPr>
            <w:t xml:space="preserve">  </w:t>
          </w:r>
          <w:r w:rsidRPr="002C7003">
            <w:rPr>
              <w:rFonts w:ascii="Arial" w:hAnsi="Arial" w:cs="Arial"/>
              <w:sz w:val="18"/>
            </w:rPr>
            <w:t xml:space="preserve">|  </w:t>
          </w:r>
          <w:r w:rsidRPr="002C7003">
            <w:rPr>
              <w:rFonts w:ascii="Arial" w:hAnsi="Arial" w:cs="Arial"/>
              <w:sz w:val="18"/>
            </w:rPr>
            <w:fldChar w:fldCharType="begin"/>
          </w:r>
          <w:r w:rsidRPr="002C7003">
            <w:rPr>
              <w:rFonts w:ascii="Arial" w:hAnsi="Arial" w:cs="Arial"/>
              <w:sz w:val="18"/>
            </w:rPr>
            <w:instrText xml:space="preserve"> PAGE   \* MERGEFORMAT </w:instrText>
          </w:r>
          <w:r w:rsidRPr="002C7003">
            <w:rPr>
              <w:rFonts w:ascii="Arial" w:hAnsi="Arial" w:cs="Arial"/>
              <w:sz w:val="18"/>
            </w:rPr>
            <w:fldChar w:fldCharType="separate"/>
          </w:r>
          <w:r>
            <w:rPr>
              <w:rFonts w:ascii="Arial" w:hAnsi="Arial" w:cs="Arial"/>
              <w:noProof/>
              <w:sz w:val="18"/>
            </w:rPr>
            <w:t>21</w:t>
          </w:r>
          <w:r w:rsidRPr="002C7003">
            <w:rPr>
              <w:rFonts w:ascii="Arial" w:hAnsi="Arial" w:cs="Arial"/>
              <w:sz w:val="18"/>
            </w:rPr>
            <w:fldChar w:fldCharType="end"/>
          </w:r>
        </w:p>
      </w:tc>
    </w:tr>
  </w:tbl>
  <w:p w14:paraId="66305FDF" w14:textId="77777777" w:rsidR="00753A86" w:rsidRDefault="00753A86" w:rsidP="009032F5">
    <w:pPr>
      <w:pStyle w:val="Footer"/>
      <w:ind w:right="-1001"/>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E41D" w14:textId="23947BB4" w:rsidR="003320BD" w:rsidRDefault="003320BD" w:rsidP="003320BD">
    <w:pPr>
      <w:pStyle w:val="Footer"/>
    </w:pPr>
    <w:r>
      <w:rPr>
        <w:noProof/>
        <w:lang w:eastAsia="en-AU"/>
      </w:rPr>
      <mc:AlternateContent>
        <mc:Choice Requires="wps">
          <w:drawing>
            <wp:anchor distT="0" distB="0" distL="114300" distR="114300" simplePos="0" relativeHeight="251663872" behindDoc="1" locked="0" layoutInCell="1" allowOverlap="1" wp14:anchorId="4A4DD239" wp14:editId="2686BC8F">
              <wp:simplePos x="0" y="0"/>
              <wp:positionH relativeFrom="page">
                <wp:posOffset>6341926</wp:posOffset>
              </wp:positionH>
              <wp:positionV relativeFrom="page">
                <wp:posOffset>10076815</wp:posOffset>
              </wp:positionV>
              <wp:extent cx="324000" cy="324000"/>
              <wp:effectExtent l="0" t="0" r="19050" b="19050"/>
              <wp:wrapNone/>
              <wp:docPr id="9" name="Oval 9"/>
              <wp:cNvGraphicFramePr/>
              <a:graphic xmlns:a="http://schemas.openxmlformats.org/drawingml/2006/main">
                <a:graphicData uri="http://schemas.microsoft.com/office/word/2010/wordprocessingShape">
                  <wps:wsp>
                    <wps:cNvSpPr/>
                    <wps:spPr>
                      <a:xfrm>
                        <a:off x="0" y="0"/>
                        <a:ext cx="324000" cy="324000"/>
                      </a:xfrm>
                      <a:prstGeom prst="ellipse">
                        <a:avLst/>
                      </a:prstGeom>
                      <a:solidFill>
                        <a:schemeClr val="accent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B84F7" w14:textId="77777777" w:rsidR="003320BD" w:rsidRDefault="003320BD" w:rsidP="003320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4DD239" id="Oval 9" o:spid="_x0000_s1029" style="position:absolute;margin-left:499.35pt;margin-top:793.45pt;width:25.5pt;height:2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" fillcolor="#bddcdf [3204]" strokecolor="#1c1c1c [3215]" strokeweight=".5pt">
              <v:stroke joinstyle="miter"/>
              <v:textbox>
                <w:txbxContent>
                  <w:p w14:paraId="4B9B84F7" w14:textId="77777777" w:rsidR="003320BD" w:rsidRDefault="003320BD" w:rsidP="003320BD">
                    <w:pPr>
                      <w:jc w:val="center"/>
                    </w:pPr>
                  </w:p>
                </w:txbxContent>
              </v:textbox>
              <w10:wrap anchorx="page" anchory="page"/>
            </v:oval>
          </w:pict>
        </mc:Fallback>
      </mc:AlternateContent>
    </w:r>
    <w:r>
      <w:tab/>
    </w:r>
    <w:r>
      <w:tab/>
    </w:r>
    <w:r>
      <w:fldChar w:fldCharType="begin"/>
    </w:r>
    <w:r>
      <w:instrText xml:space="preserve"> PAGE   \* MERGEFORMAT </w:instrText>
    </w:r>
    <w:r>
      <w:fldChar w:fldCharType="separate"/>
    </w:r>
    <w:r w:rsidR="00D717BA">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660451"/>
      <w:docPartObj>
        <w:docPartGallery w:val="Page Numbers (Bottom of Page)"/>
        <w:docPartUnique/>
      </w:docPartObj>
    </w:sdtPr>
    <w:sdtEndPr>
      <w:rPr>
        <w:noProof/>
      </w:rPr>
    </w:sdtEndPr>
    <w:sdtContent>
      <w:p w14:paraId="5ACDF20D" w14:textId="3C41174F" w:rsidR="00753A86" w:rsidRDefault="003320BD" w:rsidP="003320BD">
        <w:pPr>
          <w:pStyle w:val="Footer"/>
        </w:pPr>
        <w:r>
          <w:rPr>
            <w:noProof/>
            <w:lang w:eastAsia="en-AU"/>
          </w:rPr>
          <mc:AlternateContent>
            <mc:Choice Requires="wps">
              <w:drawing>
                <wp:anchor distT="0" distB="0" distL="114300" distR="114300" simplePos="0" relativeHeight="251661824" behindDoc="1" locked="0" layoutInCell="1" allowOverlap="1" wp14:anchorId="56B9FF7E" wp14:editId="3166DD3C">
                  <wp:simplePos x="0" y="0"/>
                  <wp:positionH relativeFrom="page">
                    <wp:posOffset>6341745</wp:posOffset>
                  </wp:positionH>
                  <wp:positionV relativeFrom="page">
                    <wp:posOffset>10143490</wp:posOffset>
                  </wp:positionV>
                  <wp:extent cx="324000" cy="324000"/>
                  <wp:effectExtent l="0" t="0" r="19050" b="19050"/>
                  <wp:wrapNone/>
                  <wp:docPr id="8" name="Oval 8"/>
                  <wp:cNvGraphicFramePr/>
                  <a:graphic xmlns:a="http://schemas.openxmlformats.org/drawingml/2006/main">
                    <a:graphicData uri="http://schemas.microsoft.com/office/word/2010/wordprocessingShape">
                      <wps:wsp>
                        <wps:cNvSpPr/>
                        <wps:spPr>
                          <a:xfrm>
                            <a:off x="0" y="0"/>
                            <a:ext cx="324000" cy="324000"/>
                          </a:xfrm>
                          <a:prstGeom prst="ellipse">
                            <a:avLst/>
                          </a:prstGeom>
                          <a:solidFill>
                            <a:schemeClr val="accent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433AE" w14:textId="77777777" w:rsidR="003320BD" w:rsidRDefault="003320BD" w:rsidP="003320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9FF7E" id="Oval 8" o:spid="_x0000_s1030" style="position:absolute;margin-left:499.35pt;margin-top:798.7pt;width:25.5pt;height:2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" fillcolor="#bddcdf [3204]" strokecolor="#1c1c1c [3215]" strokeweight=".5pt">
                  <v:stroke joinstyle="miter"/>
                  <v:textbox>
                    <w:txbxContent>
                      <w:p w14:paraId="13F433AE" w14:textId="77777777" w:rsidR="003320BD" w:rsidRDefault="003320BD" w:rsidP="003320BD">
                        <w:pPr>
                          <w:jc w:val="center"/>
                        </w:pPr>
                      </w:p>
                    </w:txbxContent>
                  </v:textbox>
                  <w10:wrap anchorx="page" anchory="page"/>
                </v:oval>
              </w:pict>
            </mc:Fallback>
          </mc:AlternateContent>
        </w:r>
        <w:r>
          <w:tab/>
        </w:r>
        <w:r>
          <w:tab/>
        </w:r>
        <w:r>
          <w:fldChar w:fldCharType="begin"/>
        </w:r>
        <w:r>
          <w:instrText xml:space="preserve"> PAGE   \* MERGEFORMAT </w:instrText>
        </w:r>
        <w:r>
          <w:fldChar w:fldCharType="separate"/>
        </w:r>
        <w:r w:rsidR="00D717BA">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2B2F6" w14:textId="77777777" w:rsidR="00B94B10" w:rsidRDefault="00B94B10" w:rsidP="0020122A">
      <w:pPr>
        <w:pStyle w:val="FootnoteSeparator"/>
      </w:pPr>
    </w:p>
  </w:footnote>
  <w:footnote w:type="continuationSeparator" w:id="0">
    <w:p w14:paraId="6C935A5E" w14:textId="77777777" w:rsidR="00B94B10" w:rsidRDefault="00B94B10" w:rsidP="00EF4574">
      <w:pPr>
        <w:spacing w:before="0" w:after="0" w:line="240" w:lineRule="auto"/>
      </w:pPr>
      <w:r>
        <w:continuationSeparator/>
      </w:r>
    </w:p>
    <w:p w14:paraId="6BFEB34B" w14:textId="77777777" w:rsidR="00B94B10" w:rsidRDefault="00B94B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0CAF9" w14:textId="77777777" w:rsidR="00753A86" w:rsidRPr="00DB6D69" w:rsidRDefault="00753A86">
    <w:pPr>
      <w:pStyle w:val="Header"/>
      <w:rPr>
        <w:b/>
      </w:rPr>
    </w:pPr>
    <w:r w:rsidRPr="00DB6D69">
      <w:rPr>
        <w:b/>
      </w:rPr>
      <w:t>Department of Finance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6E81" w14:textId="5A7064CC" w:rsidR="00753A86" w:rsidRDefault="00753A86" w:rsidP="000A6A8B">
    <w:pPr>
      <w:pStyle w:val="Header"/>
      <w:jc w:val="center"/>
    </w:pPr>
    <w:r>
      <w:rPr>
        <w:noProof/>
        <w:lang w:eastAsia="en-AU"/>
      </w:rPr>
      <w:drawing>
        <wp:anchor distT="0" distB="0" distL="114300" distR="114300" simplePos="0" relativeHeight="251659776" behindDoc="1" locked="0" layoutInCell="1" allowOverlap="1" wp14:anchorId="3839B132" wp14:editId="184FA036">
          <wp:simplePos x="0" y="0"/>
          <wp:positionH relativeFrom="page">
            <wp:posOffset>0</wp:posOffset>
          </wp:positionH>
          <wp:positionV relativeFrom="page">
            <wp:posOffset>0</wp:posOffset>
          </wp:positionV>
          <wp:extent cx="7559640" cy="10694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nce_Long_Report_Mask.png"/>
                  <pic:cNvPicPr/>
                </pic:nvPicPr>
                <pic:blipFill>
                  <a:blip r:embed="rId1">
                    <a:extLst>
                      <a:ext uri="{28A0092B-C50C-407E-A947-70E740481C1C}">
                        <a14:useLocalDpi xmlns:a14="http://schemas.microsoft.com/office/drawing/2010/main" val="0"/>
                      </a:ext>
                    </a:extLst>
                  </a:blip>
                  <a:stretch>
                    <a:fillRect/>
                  </a:stretch>
                </pic:blipFill>
                <pic:spPr>
                  <a:xfrm>
                    <a:off x="0" y="0"/>
                    <a:ext cx="7559640" cy="10694160"/>
                  </a:xfrm>
                  <a:prstGeom prst="rect">
                    <a:avLst/>
                  </a:prstGeom>
                </pic:spPr>
              </pic:pic>
            </a:graphicData>
          </a:graphic>
        </wp:anchor>
      </w:drawing>
    </w:r>
    <w:r w:rsidR="00B54480">
      <w:rPr>
        <w:noProof/>
        <w:lang w:eastAsia="en-AU"/>
      </w:rPr>
      <mc:AlternateContent>
        <mc:Choice Requires="wps">
          <w:drawing>
            <wp:anchor distT="0" distB="0" distL="114300" distR="114300" simplePos="0" relativeHeight="251653115" behindDoc="1" locked="0" layoutInCell="1" allowOverlap="1" wp14:anchorId="41C1F150" wp14:editId="5D59D5EA">
              <wp:simplePos x="0" y="0"/>
              <wp:positionH relativeFrom="column">
                <wp:posOffset>-633730</wp:posOffset>
              </wp:positionH>
              <wp:positionV relativeFrom="paragraph">
                <wp:posOffset>2319655</wp:posOffset>
              </wp:positionV>
              <wp:extent cx="7086600" cy="3949700"/>
              <wp:effectExtent l="0" t="0" r="0" b="0"/>
              <wp:wrapNone/>
              <wp:docPr id="4"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3949700"/>
                      </a:xfrm>
                      <a:prstGeom prst="triangle">
                        <a:avLst>
                          <a:gd name="adj" fmla="val 100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4F82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49.9pt;margin-top:182.65pt;width:558pt;height:311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" adj="21600" fillcolor="#92c5c5 [3205]" stroked="f" strokeweight="1pt">
              <v:path arrowok="t"/>
            </v:shape>
          </w:pict>
        </mc:Fallback>
      </mc:AlternateContent>
    </w:r>
    <w:r w:rsidR="00B54480">
      <w:rPr>
        <w:noProof/>
        <w:lang w:eastAsia="en-AU"/>
      </w:rPr>
      <mc:AlternateContent>
        <mc:Choice Requires="wps">
          <w:drawing>
            <wp:anchor distT="0" distB="0" distL="114300" distR="114300" simplePos="0" relativeHeight="251652090" behindDoc="1" locked="0" layoutInCell="1" allowOverlap="1" wp14:anchorId="48535EA8" wp14:editId="4874DE58">
              <wp:simplePos x="0" y="0"/>
              <wp:positionH relativeFrom="column">
                <wp:posOffset>-633730</wp:posOffset>
              </wp:positionH>
              <wp:positionV relativeFrom="paragraph">
                <wp:posOffset>2624455</wp:posOffset>
              </wp:positionV>
              <wp:extent cx="7086600" cy="7467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7467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4898F" id="Rectangle 2" o:spid="_x0000_s1026" style="position:absolute;margin-left:-49.9pt;margin-top:206.65pt;width:558pt;height:588pt;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" fillcolor="#bddcdf [3204]" stroked="f" strokeweight="1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181A7" w14:textId="77777777" w:rsidR="00753A86" w:rsidRDefault="00753A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770E" w14:textId="77777777" w:rsidR="00753A86" w:rsidRDefault="00753A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F96A6" w14:textId="77777777" w:rsidR="003320BD" w:rsidRPr="003320BD" w:rsidRDefault="00753A86" w:rsidP="003320BD">
    <w:pPr>
      <w:pStyle w:val="Header"/>
      <w:rPr>
        <w:b/>
      </w:rPr>
    </w:pPr>
    <w:r>
      <w:rPr>
        <w:b/>
      </w:rPr>
      <w:tab/>
    </w:r>
    <w:r>
      <w:rPr>
        <w:b/>
      </w:rPr>
      <w:tab/>
    </w:r>
    <w:r w:rsidR="003320BD" w:rsidRPr="003320BD">
      <w:rPr>
        <w:b/>
      </w:rPr>
      <w:t>Department of Finance</w:t>
    </w:r>
  </w:p>
  <w:p w14:paraId="25632E1B" w14:textId="6023A6BA" w:rsidR="003320BD" w:rsidRDefault="003320BD" w:rsidP="003320BD">
    <w:pPr>
      <w:pStyle w:val="Header"/>
    </w:pPr>
    <w:r w:rsidRPr="003320BD">
      <w:t>RMG-</w:t>
    </w:r>
    <w:r>
      <w:t>414</w:t>
    </w:r>
    <w:r w:rsidRPr="003320BD">
      <w:t xml:space="preserve">: </w:t>
    </w:r>
    <w:r>
      <w:t>Indemnities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8FA"/>
    <w:multiLevelType w:val="hybridMultilevel"/>
    <w:tmpl w:val="B9661FCA"/>
    <w:lvl w:ilvl="0" w:tplc="FD425C50">
      <w:start w:val="1"/>
      <w:numFmt w:val="decimal"/>
      <w:pStyle w:val="Style5"/>
      <w:lvlText w:val="%1."/>
      <w:lvlJc w:val="left"/>
      <w:pPr>
        <w:tabs>
          <w:tab w:val="num" w:pos="1920"/>
        </w:tabs>
        <w:ind w:left="1920" w:hanging="360"/>
      </w:pPr>
      <w:rPr>
        <w:rFonts w:cs="Times New Roman" w:hint="default"/>
        <w:b w:val="0"/>
        <w:i w:val="0"/>
        <w:color w:val="auto"/>
        <w:sz w:val="22"/>
        <w:szCs w:val="22"/>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538753C"/>
    <w:multiLevelType w:val="hybridMultilevel"/>
    <w:tmpl w:val="C37A903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5F669A3"/>
    <w:multiLevelType w:val="hybridMultilevel"/>
    <w:tmpl w:val="B98A635A"/>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 w15:restartNumberingAfterBreak="0">
    <w:nsid w:val="0A2F6B80"/>
    <w:multiLevelType w:val="multilevel"/>
    <w:tmpl w:val="D7C2EA40"/>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C7E5CA3"/>
    <w:multiLevelType w:val="hybridMultilevel"/>
    <w:tmpl w:val="5DE6CEF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40249D7"/>
    <w:multiLevelType w:val="multilevel"/>
    <w:tmpl w:val="667AF4C4"/>
    <w:lvl w:ilvl="0">
      <w:start w:val="1"/>
      <w:numFmt w:val="bullet"/>
      <w:pStyle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268"/>
        </w:tabs>
        <w:ind w:left="2268" w:hanging="567"/>
      </w:pPr>
      <w:rPr>
        <w:rFonts w:ascii="Symbol" w:hAnsi="Symbol" w:hint="default"/>
      </w:rPr>
    </w:lvl>
    <w:lvl w:ilvl="7">
      <w:start w:val="1"/>
      <w:numFmt w:val="bullet"/>
      <w:lvlText w:val=""/>
      <w:lvlJc w:val="left"/>
      <w:pPr>
        <w:tabs>
          <w:tab w:val="num" w:pos="2835"/>
        </w:tabs>
        <w:ind w:left="2835" w:hanging="567"/>
      </w:pPr>
      <w:rPr>
        <w:rFonts w:ascii="Symbol" w:hAnsi="Symbol" w:hint="default"/>
      </w:rPr>
    </w:lvl>
    <w:lvl w:ilvl="8">
      <w:start w:val="1"/>
      <w:numFmt w:val="bullet"/>
      <w:lvlText w:val=""/>
      <w:lvlJc w:val="left"/>
      <w:pPr>
        <w:tabs>
          <w:tab w:val="num" w:pos="3402"/>
        </w:tabs>
        <w:ind w:left="3402" w:hanging="567"/>
      </w:pPr>
      <w:rPr>
        <w:rFonts w:ascii="Symbol" w:hAnsi="Symbol" w:hint="default"/>
      </w:rPr>
    </w:lvl>
  </w:abstractNum>
  <w:abstractNum w:abstractNumId="6" w15:restartNumberingAfterBreak="0">
    <w:nsid w:val="19D8176B"/>
    <w:multiLevelType w:val="hybridMultilevel"/>
    <w:tmpl w:val="8D4E8DE6"/>
    <w:lvl w:ilvl="0" w:tplc="2FCC1686">
      <w:start w:val="1"/>
      <w:numFmt w:val="bullet"/>
      <w:pStyle w:val="Bullets2ndinden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D84695"/>
    <w:multiLevelType w:val="hybridMultilevel"/>
    <w:tmpl w:val="FC6A144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E6B6D86"/>
    <w:multiLevelType w:val="multilevel"/>
    <w:tmpl w:val="EE908B20"/>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EDB3A45"/>
    <w:multiLevelType w:val="hybridMultilevel"/>
    <w:tmpl w:val="558EA35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301B3A14"/>
    <w:multiLevelType w:val="hybridMultilevel"/>
    <w:tmpl w:val="94EC95C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32FE7BB5"/>
    <w:multiLevelType w:val="hybridMultilevel"/>
    <w:tmpl w:val="4C6AEF5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373E7CEA"/>
    <w:multiLevelType w:val="hybridMultilevel"/>
    <w:tmpl w:val="F25C59A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467F3B32"/>
    <w:multiLevelType w:val="hybridMultilevel"/>
    <w:tmpl w:val="5F98D4F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487D31C8"/>
    <w:multiLevelType w:val="hybridMultilevel"/>
    <w:tmpl w:val="6C78A2C8"/>
    <w:lvl w:ilvl="0" w:tplc="77F6B5E2">
      <w:start w:val="1"/>
      <w:numFmt w:val="bullet"/>
      <w:pStyle w:val="Bullets1stindent"/>
      <w:lvlText w:val=""/>
      <w:lvlJc w:val="left"/>
      <w:pPr>
        <w:ind w:left="720" w:hanging="360"/>
      </w:pPr>
      <w:rPr>
        <w:rFonts w:ascii="Symbol" w:hAnsi="Symbol" w:hint="default"/>
      </w:rPr>
    </w:lvl>
    <w:lvl w:ilvl="1" w:tplc="0C090017">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7" w15:restartNumberingAfterBreak="0">
    <w:nsid w:val="4F1523F7"/>
    <w:multiLevelType w:val="multilevel"/>
    <w:tmpl w:val="1C5C7DB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18" w15:restartNumberingAfterBreak="0">
    <w:nsid w:val="53EC49A7"/>
    <w:multiLevelType w:val="hybridMultilevel"/>
    <w:tmpl w:val="EFC6007C"/>
    <w:lvl w:ilvl="0" w:tplc="93384DE0">
      <w:start w:val="1"/>
      <w:numFmt w:val="decimal"/>
      <w:pStyle w:val="ListParagraph"/>
      <w:lvlText w:val="%1."/>
      <w:lvlJc w:val="left"/>
      <w:pPr>
        <w:ind w:left="360" w:hanging="360"/>
      </w:pPr>
      <w:rPr>
        <w:rFonts w:hint="default"/>
      </w:rPr>
    </w:lvl>
    <w:lvl w:ilvl="1" w:tplc="A7ACFB9C">
      <w:start w:val="1"/>
      <w:numFmt w:val="lowerLetter"/>
      <w:pStyle w:val="Numberedpara1stindent"/>
      <w:lvlText w:val="%2."/>
      <w:lvlJc w:val="left"/>
      <w:pPr>
        <w:ind w:left="1440" w:hanging="360"/>
      </w:pPr>
      <w:rPr>
        <w:rFonts w:hint="default"/>
      </w:rPr>
    </w:lvl>
    <w:lvl w:ilvl="2" w:tplc="FDDA3FAC">
      <w:start w:val="1"/>
      <w:numFmt w:val="bullet"/>
      <w:lvlText w:val="–"/>
      <w:lvlJc w:val="left"/>
      <w:pPr>
        <w:ind w:left="2160" w:hanging="180"/>
      </w:pPr>
      <w:rPr>
        <w:rFonts w:ascii="Calibri" w:hAnsi="Calibri" w:hint="default"/>
      </w:rPr>
    </w:lvl>
    <w:lvl w:ilvl="3" w:tplc="0C09000F">
      <w:start w:val="1"/>
      <w:numFmt w:val="decimal"/>
      <w:lvlText w:val="%4."/>
      <w:lvlJc w:val="left"/>
      <w:pPr>
        <w:ind w:left="2880" w:hanging="360"/>
      </w:pPr>
    </w:lvl>
    <w:lvl w:ilvl="4" w:tplc="DDE67586">
      <w:numFmt w:val="bullet"/>
      <w:lvlText w:val="-"/>
      <w:lvlJc w:val="left"/>
      <w:pPr>
        <w:ind w:left="3600" w:hanging="360"/>
      </w:pPr>
      <w:rPr>
        <w:rFonts w:ascii="Cambria" w:eastAsia="Times New Roman" w:hAnsi="Cambria"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5C5037DA"/>
    <w:multiLevelType w:val="hybridMultilevel"/>
    <w:tmpl w:val="CCEE5346"/>
    <w:lvl w:ilvl="0" w:tplc="724C3ADE">
      <w:start w:val="1"/>
      <w:numFmt w:val="bullet"/>
      <w:pStyle w:val="Bullets3rdinden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1"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61430419"/>
    <w:multiLevelType w:val="hybridMultilevel"/>
    <w:tmpl w:val="AB32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FA5281"/>
    <w:multiLevelType w:val="multilevel"/>
    <w:tmpl w:val="52FE3B94"/>
    <w:lvl w:ilvl="0">
      <w:start w:val="1"/>
      <w:numFmt w:val="decimal"/>
      <w:pStyle w:val="Bulletsnumbers"/>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lvlText w:val="•"/>
      <w:lvlJc w:val="left"/>
      <w:pPr>
        <w:tabs>
          <w:tab w:val="num" w:pos="284"/>
        </w:tabs>
        <w:ind w:left="284" w:hanging="284"/>
      </w:pPr>
      <w:rPr>
        <w:rFonts w:ascii="Cambria" w:hAnsi="Cambria" w:hint="default"/>
        <w:color w:val="C2B000"/>
      </w:rPr>
    </w:lvl>
    <w:lvl w:ilvl="3">
      <w:start w:val="1"/>
      <w:numFmt w:val="bulle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Cambria" w:hAnsi="Cambria" w:hint="default"/>
        <w:color w:val="C2B000"/>
      </w:rPr>
    </w:lvl>
    <w:lvl w:ilvl="6">
      <w:start w:val="1"/>
      <w:numFmt w:val="bullet"/>
      <w:lvlText w:val="•"/>
      <w:lvlJc w:val="left"/>
      <w:pPr>
        <w:tabs>
          <w:tab w:val="num" w:pos="437"/>
        </w:tabs>
        <w:ind w:left="437" w:hanging="171"/>
      </w:pPr>
      <w:rPr>
        <w:rFonts w:ascii="Cambria" w:hAnsi="Cambria" w:hint="default"/>
        <w:color w:val="C2B000"/>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73107305"/>
    <w:multiLevelType w:val="multilevel"/>
    <w:tmpl w:val="AB08E414"/>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o"/>
      <w:lvlJc w:val="left"/>
      <w:pPr>
        <w:ind w:left="568" w:hanging="284"/>
      </w:pPr>
      <w:rPr>
        <w:rFonts w:ascii="Courier New" w:hAnsi="Courier New" w:cs="Courier New"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A0430E8"/>
    <w:multiLevelType w:val="hybridMultilevel"/>
    <w:tmpl w:val="BDAAC15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7E514F41"/>
    <w:multiLevelType w:val="hybridMultilevel"/>
    <w:tmpl w:val="85989624"/>
    <w:lvl w:ilvl="0" w:tplc="78E0B68E">
      <w:start w:val="1"/>
      <w:numFmt w:val="lowerLetter"/>
      <w:lvlText w:val="%1)"/>
      <w:lvlJc w:val="left"/>
      <w:pPr>
        <w:tabs>
          <w:tab w:val="num" w:pos="1080"/>
        </w:tabs>
        <w:ind w:left="1080" w:hanging="360"/>
      </w:pPr>
      <w:rPr>
        <w:rFonts w:asciiTheme="majorHAnsi" w:hAnsiTheme="majorHAnsi" w:cs="Times New Roman" w:hint="default"/>
        <w:b w:val="0"/>
        <w:i w:val="0"/>
        <w:color w:val="auto"/>
      </w:rPr>
    </w:lvl>
    <w:lvl w:ilvl="1" w:tplc="0C090003" w:tentative="1">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7F716C9A"/>
    <w:multiLevelType w:val="hybridMultilevel"/>
    <w:tmpl w:val="8E7A60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3"/>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
    <w:abstractNumId w:val="9"/>
  </w:num>
  <w:num w:numId="4">
    <w:abstractNumId w:val="19"/>
  </w:num>
  <w:num w:numId="5">
    <w:abstractNumId w:val="21"/>
  </w:num>
  <w:num w:numId="6">
    <w:abstractNumId w:val="17"/>
  </w:num>
  <w:num w:numId="7">
    <w:abstractNumId w:val="8"/>
  </w:num>
  <w:num w:numId="8">
    <w:abstractNumId w:val="23"/>
  </w:num>
  <w:num w:numId="9">
    <w:abstractNumId w:val="16"/>
  </w:num>
  <w:num w:numId="10">
    <w:abstractNumId w:val="6"/>
  </w:num>
  <w:num w:numId="11">
    <w:abstractNumId w:val="18"/>
  </w:num>
  <w:num w:numId="12">
    <w:abstractNumId w:val="20"/>
  </w:num>
  <w:num w:numId="13">
    <w:abstractNumId w:val="3"/>
  </w:num>
  <w:num w:numId="14">
    <w:abstractNumId w:val="5"/>
  </w:num>
  <w:num w:numId="15">
    <w:abstractNumId w:val="27"/>
  </w:num>
  <w:num w:numId="16">
    <w:abstractNumId w:val="0"/>
  </w:num>
  <w:num w:numId="17">
    <w:abstractNumId w:val="26"/>
  </w:num>
  <w:num w:numId="18">
    <w:abstractNumId w:val="2"/>
  </w:num>
  <w:num w:numId="19">
    <w:abstractNumId w:val="7"/>
  </w:num>
  <w:num w:numId="20">
    <w:abstractNumId w:val="22"/>
  </w:num>
  <w:num w:numId="21">
    <w:abstractNumId w:val="25"/>
  </w:num>
  <w:num w:numId="22">
    <w:abstractNumId w:val="11"/>
  </w:num>
  <w:num w:numId="23">
    <w:abstractNumId w:val="14"/>
  </w:num>
  <w:num w:numId="24">
    <w:abstractNumId w:val="4"/>
  </w:num>
  <w:num w:numId="25">
    <w:abstractNumId w:val="15"/>
  </w:num>
  <w:num w:numId="26">
    <w:abstractNumId w:val="12"/>
  </w:num>
  <w:num w:numId="27">
    <w:abstractNumId w:val="1"/>
  </w:num>
  <w:num w:numId="28">
    <w:abstractNumId w:val="13"/>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03F3C"/>
    <w:rsid w:val="000205B7"/>
    <w:rsid w:val="0002782F"/>
    <w:rsid w:val="0003233F"/>
    <w:rsid w:val="0005003F"/>
    <w:rsid w:val="000539E7"/>
    <w:rsid w:val="00054E4D"/>
    <w:rsid w:val="00060073"/>
    <w:rsid w:val="000603C7"/>
    <w:rsid w:val="00074576"/>
    <w:rsid w:val="00076DA8"/>
    <w:rsid w:val="000829F4"/>
    <w:rsid w:val="000965F4"/>
    <w:rsid w:val="000A436F"/>
    <w:rsid w:val="000A4B30"/>
    <w:rsid w:val="000A6A8B"/>
    <w:rsid w:val="000A724E"/>
    <w:rsid w:val="000B13B5"/>
    <w:rsid w:val="000B7D91"/>
    <w:rsid w:val="000C1E52"/>
    <w:rsid w:val="000C2A48"/>
    <w:rsid w:val="000C3A8C"/>
    <w:rsid w:val="000C5F75"/>
    <w:rsid w:val="000D55A4"/>
    <w:rsid w:val="000D60B1"/>
    <w:rsid w:val="000E37E0"/>
    <w:rsid w:val="001118CB"/>
    <w:rsid w:val="00123AAF"/>
    <w:rsid w:val="001350E9"/>
    <w:rsid w:val="00136530"/>
    <w:rsid w:val="00142076"/>
    <w:rsid w:val="0015074D"/>
    <w:rsid w:val="0015092F"/>
    <w:rsid w:val="001541EA"/>
    <w:rsid w:val="0015437B"/>
    <w:rsid w:val="0015539B"/>
    <w:rsid w:val="001612A4"/>
    <w:rsid w:val="00164270"/>
    <w:rsid w:val="001732E4"/>
    <w:rsid w:val="00174938"/>
    <w:rsid w:val="00192EF0"/>
    <w:rsid w:val="001935DA"/>
    <w:rsid w:val="00197D28"/>
    <w:rsid w:val="001B703F"/>
    <w:rsid w:val="001B772C"/>
    <w:rsid w:val="001C6EA7"/>
    <w:rsid w:val="001D7985"/>
    <w:rsid w:val="001D7EB4"/>
    <w:rsid w:val="001E1200"/>
    <w:rsid w:val="001E1DC0"/>
    <w:rsid w:val="001E2069"/>
    <w:rsid w:val="0020122A"/>
    <w:rsid w:val="00212584"/>
    <w:rsid w:val="00212D3E"/>
    <w:rsid w:val="002245CE"/>
    <w:rsid w:val="00240607"/>
    <w:rsid w:val="00242D30"/>
    <w:rsid w:val="00247BBF"/>
    <w:rsid w:val="00255FD7"/>
    <w:rsid w:val="00261F2A"/>
    <w:rsid w:val="002676C9"/>
    <w:rsid w:val="00267BF3"/>
    <w:rsid w:val="0027274F"/>
    <w:rsid w:val="002810D8"/>
    <w:rsid w:val="00281F72"/>
    <w:rsid w:val="0028602A"/>
    <w:rsid w:val="002919A5"/>
    <w:rsid w:val="002921AF"/>
    <w:rsid w:val="002941CC"/>
    <w:rsid w:val="002946CD"/>
    <w:rsid w:val="002A5C09"/>
    <w:rsid w:val="002A6312"/>
    <w:rsid w:val="002B559F"/>
    <w:rsid w:val="002B5C6A"/>
    <w:rsid w:val="002C6290"/>
    <w:rsid w:val="002D06D0"/>
    <w:rsid w:val="002D7560"/>
    <w:rsid w:val="002F58B6"/>
    <w:rsid w:val="00301144"/>
    <w:rsid w:val="003109AB"/>
    <w:rsid w:val="003140C3"/>
    <w:rsid w:val="003148B7"/>
    <w:rsid w:val="003158C3"/>
    <w:rsid w:val="003164C5"/>
    <w:rsid w:val="003274CD"/>
    <w:rsid w:val="003320BD"/>
    <w:rsid w:val="00336DBF"/>
    <w:rsid w:val="00344994"/>
    <w:rsid w:val="0035119D"/>
    <w:rsid w:val="0035645A"/>
    <w:rsid w:val="00360E00"/>
    <w:rsid w:val="00362D50"/>
    <w:rsid w:val="00365C5B"/>
    <w:rsid w:val="00370A44"/>
    <w:rsid w:val="00373420"/>
    <w:rsid w:val="00380F99"/>
    <w:rsid w:val="003825CC"/>
    <w:rsid w:val="00390B07"/>
    <w:rsid w:val="00395DD9"/>
    <w:rsid w:val="00396E11"/>
    <w:rsid w:val="003A71C5"/>
    <w:rsid w:val="003B08E3"/>
    <w:rsid w:val="003B4F12"/>
    <w:rsid w:val="003C0E5E"/>
    <w:rsid w:val="003C7CC1"/>
    <w:rsid w:val="003D295A"/>
    <w:rsid w:val="003D4335"/>
    <w:rsid w:val="003E6098"/>
    <w:rsid w:val="003E7A15"/>
    <w:rsid w:val="00401A0F"/>
    <w:rsid w:val="00410906"/>
    <w:rsid w:val="004162F7"/>
    <w:rsid w:val="00423F31"/>
    <w:rsid w:val="004301E4"/>
    <w:rsid w:val="00431899"/>
    <w:rsid w:val="00433348"/>
    <w:rsid w:val="0044100F"/>
    <w:rsid w:val="0044444A"/>
    <w:rsid w:val="004540AD"/>
    <w:rsid w:val="0046056E"/>
    <w:rsid w:val="00462171"/>
    <w:rsid w:val="00462267"/>
    <w:rsid w:val="00472A7B"/>
    <w:rsid w:val="004757FC"/>
    <w:rsid w:val="00476D74"/>
    <w:rsid w:val="004822FD"/>
    <w:rsid w:val="00485FEA"/>
    <w:rsid w:val="00486804"/>
    <w:rsid w:val="00492043"/>
    <w:rsid w:val="004946A0"/>
    <w:rsid w:val="004A4B0F"/>
    <w:rsid w:val="004A741A"/>
    <w:rsid w:val="004B3775"/>
    <w:rsid w:val="004C2A06"/>
    <w:rsid w:val="004C3636"/>
    <w:rsid w:val="004C3D75"/>
    <w:rsid w:val="004C443B"/>
    <w:rsid w:val="004C5E5E"/>
    <w:rsid w:val="004C7199"/>
    <w:rsid w:val="004D17F8"/>
    <w:rsid w:val="004D4559"/>
    <w:rsid w:val="004D49DC"/>
    <w:rsid w:val="004E058F"/>
    <w:rsid w:val="004E1122"/>
    <w:rsid w:val="004E3B87"/>
    <w:rsid w:val="004F035E"/>
    <w:rsid w:val="004F29D6"/>
    <w:rsid w:val="004F3444"/>
    <w:rsid w:val="004F68A6"/>
    <w:rsid w:val="005106EC"/>
    <w:rsid w:val="00510921"/>
    <w:rsid w:val="00510AD3"/>
    <w:rsid w:val="005111F5"/>
    <w:rsid w:val="0051199A"/>
    <w:rsid w:val="00513348"/>
    <w:rsid w:val="00533B5D"/>
    <w:rsid w:val="005356A0"/>
    <w:rsid w:val="00542276"/>
    <w:rsid w:val="0055240F"/>
    <w:rsid w:val="00556868"/>
    <w:rsid w:val="005570E8"/>
    <w:rsid w:val="00566CF9"/>
    <w:rsid w:val="00567A0F"/>
    <w:rsid w:val="00570B7C"/>
    <w:rsid w:val="005761E0"/>
    <w:rsid w:val="00576A57"/>
    <w:rsid w:val="00582D93"/>
    <w:rsid w:val="005949BD"/>
    <w:rsid w:val="00595563"/>
    <w:rsid w:val="005970EA"/>
    <w:rsid w:val="005B64B2"/>
    <w:rsid w:val="005B696C"/>
    <w:rsid w:val="005C37F0"/>
    <w:rsid w:val="005D2D36"/>
    <w:rsid w:val="00620AD7"/>
    <w:rsid w:val="00622A59"/>
    <w:rsid w:val="00623BA1"/>
    <w:rsid w:val="006346BC"/>
    <w:rsid w:val="006458F1"/>
    <w:rsid w:val="00645BAB"/>
    <w:rsid w:val="0066050C"/>
    <w:rsid w:val="0066437D"/>
    <w:rsid w:val="00664387"/>
    <w:rsid w:val="00664E25"/>
    <w:rsid w:val="00666291"/>
    <w:rsid w:val="0066652A"/>
    <w:rsid w:val="00667099"/>
    <w:rsid w:val="00670172"/>
    <w:rsid w:val="00682167"/>
    <w:rsid w:val="00682624"/>
    <w:rsid w:val="0068519E"/>
    <w:rsid w:val="006A1AF5"/>
    <w:rsid w:val="006A1DB4"/>
    <w:rsid w:val="006A4AC7"/>
    <w:rsid w:val="006B1465"/>
    <w:rsid w:val="006B7795"/>
    <w:rsid w:val="006C42AF"/>
    <w:rsid w:val="006C4C51"/>
    <w:rsid w:val="006C4DD1"/>
    <w:rsid w:val="006C65C2"/>
    <w:rsid w:val="006C7468"/>
    <w:rsid w:val="006D5A57"/>
    <w:rsid w:val="006D66FA"/>
    <w:rsid w:val="006E2DED"/>
    <w:rsid w:val="006E4D56"/>
    <w:rsid w:val="006F3056"/>
    <w:rsid w:val="006F3058"/>
    <w:rsid w:val="006F3A1C"/>
    <w:rsid w:val="006F442E"/>
    <w:rsid w:val="006F4A26"/>
    <w:rsid w:val="00706CE1"/>
    <w:rsid w:val="00711D8E"/>
    <w:rsid w:val="00712672"/>
    <w:rsid w:val="00727295"/>
    <w:rsid w:val="00727C9A"/>
    <w:rsid w:val="00734E3F"/>
    <w:rsid w:val="00736985"/>
    <w:rsid w:val="00737A13"/>
    <w:rsid w:val="00740BE1"/>
    <w:rsid w:val="00741E47"/>
    <w:rsid w:val="00742FC5"/>
    <w:rsid w:val="00753A86"/>
    <w:rsid w:val="00763C2A"/>
    <w:rsid w:val="00764BAC"/>
    <w:rsid w:val="00772193"/>
    <w:rsid w:val="0079701E"/>
    <w:rsid w:val="007B0DF7"/>
    <w:rsid w:val="007B6200"/>
    <w:rsid w:val="007C0BA7"/>
    <w:rsid w:val="007C2E98"/>
    <w:rsid w:val="007C3578"/>
    <w:rsid w:val="007D4D14"/>
    <w:rsid w:val="007E10B5"/>
    <w:rsid w:val="007F400F"/>
    <w:rsid w:val="00800799"/>
    <w:rsid w:val="00801B9F"/>
    <w:rsid w:val="0081126C"/>
    <w:rsid w:val="0081624C"/>
    <w:rsid w:val="00816F6E"/>
    <w:rsid w:val="00827487"/>
    <w:rsid w:val="00836F35"/>
    <w:rsid w:val="0084135B"/>
    <w:rsid w:val="00842C61"/>
    <w:rsid w:val="008436BE"/>
    <w:rsid w:val="008438FD"/>
    <w:rsid w:val="0084520B"/>
    <w:rsid w:val="00851A77"/>
    <w:rsid w:val="00861384"/>
    <w:rsid w:val="00861FBE"/>
    <w:rsid w:val="00863494"/>
    <w:rsid w:val="00873D7E"/>
    <w:rsid w:val="00880B3F"/>
    <w:rsid w:val="00882639"/>
    <w:rsid w:val="00893D26"/>
    <w:rsid w:val="00895F2E"/>
    <w:rsid w:val="008A05DD"/>
    <w:rsid w:val="008A3964"/>
    <w:rsid w:val="008A481C"/>
    <w:rsid w:val="008A51B0"/>
    <w:rsid w:val="008B3676"/>
    <w:rsid w:val="008B62C7"/>
    <w:rsid w:val="008C37C1"/>
    <w:rsid w:val="008C39DC"/>
    <w:rsid w:val="008D4A99"/>
    <w:rsid w:val="008F5FE8"/>
    <w:rsid w:val="00902127"/>
    <w:rsid w:val="009032F5"/>
    <w:rsid w:val="00906328"/>
    <w:rsid w:val="00923F38"/>
    <w:rsid w:val="009262D4"/>
    <w:rsid w:val="009369E7"/>
    <w:rsid w:val="0095270D"/>
    <w:rsid w:val="00953F91"/>
    <w:rsid w:val="00955214"/>
    <w:rsid w:val="009763B6"/>
    <w:rsid w:val="00986BC0"/>
    <w:rsid w:val="009A2DA7"/>
    <w:rsid w:val="009A2DD0"/>
    <w:rsid w:val="009A7C63"/>
    <w:rsid w:val="009B4D3B"/>
    <w:rsid w:val="009C3084"/>
    <w:rsid w:val="009D7407"/>
    <w:rsid w:val="009E0866"/>
    <w:rsid w:val="009E1AAB"/>
    <w:rsid w:val="009E2850"/>
    <w:rsid w:val="009E76C1"/>
    <w:rsid w:val="00A03408"/>
    <w:rsid w:val="00A061B9"/>
    <w:rsid w:val="00A120E1"/>
    <w:rsid w:val="00A20E8E"/>
    <w:rsid w:val="00A222C6"/>
    <w:rsid w:val="00A24A62"/>
    <w:rsid w:val="00A264E5"/>
    <w:rsid w:val="00A31C9F"/>
    <w:rsid w:val="00A332C9"/>
    <w:rsid w:val="00A34EDC"/>
    <w:rsid w:val="00A57A9E"/>
    <w:rsid w:val="00A71B49"/>
    <w:rsid w:val="00A7631A"/>
    <w:rsid w:val="00A77540"/>
    <w:rsid w:val="00A82B42"/>
    <w:rsid w:val="00A860DC"/>
    <w:rsid w:val="00A868E8"/>
    <w:rsid w:val="00AA5A97"/>
    <w:rsid w:val="00AB19CF"/>
    <w:rsid w:val="00AC164A"/>
    <w:rsid w:val="00AC2940"/>
    <w:rsid w:val="00AD081F"/>
    <w:rsid w:val="00AD13C3"/>
    <w:rsid w:val="00AF2050"/>
    <w:rsid w:val="00AF5BED"/>
    <w:rsid w:val="00AF6D1A"/>
    <w:rsid w:val="00AF7EDE"/>
    <w:rsid w:val="00B13B6E"/>
    <w:rsid w:val="00B21962"/>
    <w:rsid w:val="00B30F69"/>
    <w:rsid w:val="00B32F99"/>
    <w:rsid w:val="00B3337F"/>
    <w:rsid w:val="00B34BDB"/>
    <w:rsid w:val="00B54480"/>
    <w:rsid w:val="00B55A9E"/>
    <w:rsid w:val="00B901B9"/>
    <w:rsid w:val="00B94B10"/>
    <w:rsid w:val="00BA7C45"/>
    <w:rsid w:val="00BB26C5"/>
    <w:rsid w:val="00BC0C63"/>
    <w:rsid w:val="00BE2535"/>
    <w:rsid w:val="00BE7218"/>
    <w:rsid w:val="00BF4DE6"/>
    <w:rsid w:val="00BF7FD4"/>
    <w:rsid w:val="00C00CC3"/>
    <w:rsid w:val="00C04038"/>
    <w:rsid w:val="00C06D13"/>
    <w:rsid w:val="00C15CE8"/>
    <w:rsid w:val="00C22C5C"/>
    <w:rsid w:val="00C248B6"/>
    <w:rsid w:val="00C26390"/>
    <w:rsid w:val="00C26B50"/>
    <w:rsid w:val="00C27BF2"/>
    <w:rsid w:val="00C30746"/>
    <w:rsid w:val="00C3720A"/>
    <w:rsid w:val="00C373BC"/>
    <w:rsid w:val="00C40A88"/>
    <w:rsid w:val="00C42CDE"/>
    <w:rsid w:val="00C61A15"/>
    <w:rsid w:val="00C64EFA"/>
    <w:rsid w:val="00C7231D"/>
    <w:rsid w:val="00C746C8"/>
    <w:rsid w:val="00C76AC1"/>
    <w:rsid w:val="00C81087"/>
    <w:rsid w:val="00C831B4"/>
    <w:rsid w:val="00C87A54"/>
    <w:rsid w:val="00C93A68"/>
    <w:rsid w:val="00CA37B1"/>
    <w:rsid w:val="00CA537C"/>
    <w:rsid w:val="00CA7227"/>
    <w:rsid w:val="00CB1959"/>
    <w:rsid w:val="00CB61F4"/>
    <w:rsid w:val="00CB7636"/>
    <w:rsid w:val="00CD16BC"/>
    <w:rsid w:val="00CD57ED"/>
    <w:rsid w:val="00CD7ACB"/>
    <w:rsid w:val="00CF2F6B"/>
    <w:rsid w:val="00CF3314"/>
    <w:rsid w:val="00D0296C"/>
    <w:rsid w:val="00D04B9A"/>
    <w:rsid w:val="00D1013C"/>
    <w:rsid w:val="00D10364"/>
    <w:rsid w:val="00D16F27"/>
    <w:rsid w:val="00D17EC6"/>
    <w:rsid w:val="00D22869"/>
    <w:rsid w:val="00D4159E"/>
    <w:rsid w:val="00D46D82"/>
    <w:rsid w:val="00D47CBC"/>
    <w:rsid w:val="00D71430"/>
    <w:rsid w:val="00D717BA"/>
    <w:rsid w:val="00D7288F"/>
    <w:rsid w:val="00DA1BE1"/>
    <w:rsid w:val="00DA2296"/>
    <w:rsid w:val="00DB4B34"/>
    <w:rsid w:val="00DB6D69"/>
    <w:rsid w:val="00DC430B"/>
    <w:rsid w:val="00DC773D"/>
    <w:rsid w:val="00DD00A2"/>
    <w:rsid w:val="00DE2641"/>
    <w:rsid w:val="00DF25F7"/>
    <w:rsid w:val="00E02371"/>
    <w:rsid w:val="00E357B7"/>
    <w:rsid w:val="00E40D77"/>
    <w:rsid w:val="00E51C40"/>
    <w:rsid w:val="00E53800"/>
    <w:rsid w:val="00E604CB"/>
    <w:rsid w:val="00E6081F"/>
    <w:rsid w:val="00E60A81"/>
    <w:rsid w:val="00E60FC8"/>
    <w:rsid w:val="00E6422F"/>
    <w:rsid w:val="00E7335D"/>
    <w:rsid w:val="00E97259"/>
    <w:rsid w:val="00EA04B2"/>
    <w:rsid w:val="00EA20F3"/>
    <w:rsid w:val="00EA21DD"/>
    <w:rsid w:val="00EA7336"/>
    <w:rsid w:val="00EB2233"/>
    <w:rsid w:val="00EB778D"/>
    <w:rsid w:val="00EC7F63"/>
    <w:rsid w:val="00ED43D1"/>
    <w:rsid w:val="00EE4EE1"/>
    <w:rsid w:val="00EF1293"/>
    <w:rsid w:val="00EF4574"/>
    <w:rsid w:val="00EF467C"/>
    <w:rsid w:val="00EF783A"/>
    <w:rsid w:val="00F01793"/>
    <w:rsid w:val="00F04E0E"/>
    <w:rsid w:val="00F139C9"/>
    <w:rsid w:val="00F2684E"/>
    <w:rsid w:val="00F42B3A"/>
    <w:rsid w:val="00F531AB"/>
    <w:rsid w:val="00F5466F"/>
    <w:rsid w:val="00F552F3"/>
    <w:rsid w:val="00F62922"/>
    <w:rsid w:val="00F729EF"/>
    <w:rsid w:val="00F75067"/>
    <w:rsid w:val="00F77CAE"/>
    <w:rsid w:val="00F80913"/>
    <w:rsid w:val="00F87431"/>
    <w:rsid w:val="00F96BB9"/>
    <w:rsid w:val="00FA4B3D"/>
    <w:rsid w:val="00FB44AA"/>
    <w:rsid w:val="00FB7FAF"/>
    <w:rsid w:val="00FD7C4E"/>
    <w:rsid w:val="00FE0BE3"/>
    <w:rsid w:val="00FE24EF"/>
    <w:rsid w:val="00FE681E"/>
    <w:rsid w:val="00FE6D51"/>
    <w:rsid w:val="00FF125A"/>
    <w:rsid w:val="00FF3A59"/>
    <w:rsid w:val="00FF4371"/>
    <w:rsid w:val="00FF4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4D6167"/>
  <w15:docId w15:val="{F1E5EB55-0410-4C1B-B4CF-B2514BAD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nhideWhenUsed/>
    <w:qFormat/>
    <w:rsid w:val="00D46D82"/>
    <w:pPr>
      <w:spacing w:line="340" w:lineRule="atLeast"/>
      <w:outlineLvl w:val="2"/>
    </w:pPr>
    <w:rPr>
      <w:bCs/>
      <w:sz w:val="30"/>
    </w:rPr>
  </w:style>
  <w:style w:type="paragraph" w:styleId="Heading4">
    <w:name w:val="heading 4"/>
    <w:basedOn w:val="Heading3"/>
    <w:next w:val="Normal"/>
    <w:link w:val="Heading4Char"/>
    <w:unhideWhenUsed/>
    <w:qFormat/>
    <w:rsid w:val="00D46D82"/>
    <w:pPr>
      <w:spacing w:before="240" w:line="300" w:lineRule="atLeast"/>
      <w:outlineLvl w:val="3"/>
    </w:pPr>
    <w:rPr>
      <w:iCs/>
      <w:sz w:val="26"/>
    </w:rPr>
  </w:style>
  <w:style w:type="paragraph" w:styleId="Heading5">
    <w:name w:val="heading 5"/>
    <w:basedOn w:val="Heading4"/>
    <w:next w:val="Normal"/>
    <w:link w:val="Heading5Char"/>
    <w:unhideWhenUsed/>
    <w:qFormat/>
    <w:rsid w:val="00623BA1"/>
    <w:pPr>
      <w:outlineLvl w:val="4"/>
    </w:pPr>
    <w:rPr>
      <w:i/>
      <w:color w:val="77B6BD"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2"/>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46056E"/>
    <w:pPr>
      <w:numPr>
        <w:numId w:val="2"/>
      </w:numPr>
    </w:pPr>
  </w:style>
  <w:style w:type="paragraph" w:customStyle="1" w:styleId="NumberedList2">
    <w:name w:val="Numbered List 2"/>
    <w:basedOn w:val="NumberedList1"/>
    <w:qFormat/>
    <w:rsid w:val="0046056E"/>
    <w:pPr>
      <w:numPr>
        <w:ilvl w:val="1"/>
      </w:numPr>
      <w:spacing w:before="120"/>
      <w:ind w:left="851"/>
    </w:pPr>
  </w:style>
  <w:style w:type="paragraph" w:customStyle="1" w:styleId="NumberedList3">
    <w:name w:val="Numbered List 3"/>
    <w:basedOn w:val="NumberedList2"/>
    <w:qFormat/>
    <w:rsid w:val="00FB44AA"/>
    <w:pPr>
      <w:numPr>
        <w:ilvl w:val="2"/>
      </w:numPr>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D46D82"/>
    <w:pPr>
      <w:numPr>
        <w:ilvl w:val="1"/>
        <w:numId w:val="3"/>
      </w:numPr>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13"/>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4D49DC"/>
    <w:pPr>
      <w:tabs>
        <w:tab w:val="left" w:pos="454"/>
        <w:tab w:val="right" w:pos="9072"/>
      </w:tabs>
      <w:spacing w:after="180" w:line="230" w:lineRule="atLeast"/>
    </w:pPr>
    <w:rPr>
      <w:rFonts w:cs="MuseoSans-500"/>
      <w:b/>
      <w:noProof/>
      <w:sz w:val="23"/>
      <w:u w:val="single" w:color="0070C0"/>
    </w:rPr>
  </w:style>
  <w:style w:type="paragraph" w:styleId="TOC2">
    <w:name w:val="toc 2"/>
    <w:basedOn w:val="Normal"/>
    <w:next w:val="Normal"/>
    <w:autoRedefine/>
    <w:uiPriority w:val="39"/>
    <w:unhideWhenUsed/>
    <w:rsid w:val="002946CD"/>
    <w:pPr>
      <w:tabs>
        <w:tab w:val="left" w:pos="454"/>
        <w:tab w:val="right" w:pos="9072"/>
      </w:tabs>
      <w:spacing w:after="180" w:line="230" w:lineRule="atLeast"/>
      <w:ind w:left="454" w:hanging="170"/>
    </w:pPr>
  </w:style>
  <w:style w:type="paragraph" w:styleId="TOC3">
    <w:name w:val="toc 3"/>
    <w:basedOn w:val="Normal"/>
    <w:next w:val="Normal"/>
    <w:autoRedefine/>
    <w:uiPriority w:val="39"/>
    <w:unhideWhenUsed/>
    <w:rsid w:val="0046056E"/>
    <w:pPr>
      <w:tabs>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BDDCDF" w:themeColor="accent1"/>
      </w:pBdr>
    </w:pPr>
    <w:rPr>
      <w:sz w:val="24"/>
    </w:rPr>
  </w:style>
  <w:style w:type="table" w:styleId="TableGrid">
    <w:name w:val="Table Grid"/>
    <w:basedOn w:val="TableNormal"/>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CD57ED"/>
    <w:rPr>
      <w:rFonts w:asciiTheme="minorHAnsi" w:hAnsiTheme="minorHAnsi" w:cs="MuseoSans-500"/>
      <w:i/>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rsid w:val="00486804"/>
    <w:rPr>
      <w:rFonts w:asciiTheme="majorHAnsi" w:eastAsiaTheme="majorEastAsia" w:hAnsiTheme="majorHAnsi" w:cstheme="majorBidi"/>
      <w:bCs/>
      <w:iCs/>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3838A"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3838A"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qFormat/>
    <w:rsid w:val="00DB6D69"/>
  </w:style>
  <w:style w:type="table" w:customStyle="1" w:styleId="TableGridLight1">
    <w:name w:val="Table Grid Light1"/>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Afterbox">
    <w:name w:val="After box"/>
    <w:next w:val="BodyText1"/>
    <w:semiHidden/>
    <w:qFormat/>
    <w:rsid w:val="00396E11"/>
    <w:pPr>
      <w:spacing w:after="57" w:line="113" w:lineRule="exact"/>
    </w:pPr>
    <w:rPr>
      <w:rFonts w:ascii="Cambria" w:eastAsia="Times New Roman" w:hAnsi="Cambria" w:cs="Times New Roman"/>
      <w:sz w:val="2"/>
      <w:szCs w:val="24"/>
    </w:rPr>
  </w:style>
  <w:style w:type="paragraph" w:customStyle="1" w:styleId="Bodytextbeforebullets">
    <w:name w:val="Body text (before bullets)"/>
    <w:basedOn w:val="BodyText1"/>
    <w:semiHidden/>
    <w:rsid w:val="00396E11"/>
    <w:pPr>
      <w:spacing w:after="57"/>
    </w:pPr>
  </w:style>
  <w:style w:type="paragraph" w:customStyle="1" w:styleId="BodyText1">
    <w:name w:val="Body Text1"/>
    <w:link w:val="BodyText1Char"/>
    <w:semiHidden/>
    <w:rsid w:val="00396E11"/>
    <w:pPr>
      <w:spacing w:after="113" w:line="260" w:lineRule="atLeast"/>
    </w:pPr>
    <w:rPr>
      <w:rFonts w:ascii="Cambria" w:eastAsia="Times New Roman" w:hAnsi="Cambria" w:cs="Times New Roman"/>
      <w:szCs w:val="24"/>
    </w:rPr>
  </w:style>
  <w:style w:type="paragraph" w:customStyle="1" w:styleId="Bullets1stindent">
    <w:name w:val="Bullets (1st indent)"/>
    <w:basedOn w:val="BodyText1"/>
    <w:link w:val="Bullets1stindentChar"/>
    <w:semiHidden/>
    <w:rsid w:val="002676C9"/>
    <w:pPr>
      <w:numPr>
        <w:numId w:val="9"/>
      </w:numPr>
      <w:spacing w:after="120" w:line="240" w:lineRule="auto"/>
    </w:pPr>
    <w:rPr>
      <w:rFonts w:asciiTheme="minorHAnsi" w:eastAsiaTheme="minorHAnsi" w:hAnsiTheme="minorHAnsi" w:cstheme="minorBidi"/>
      <w:szCs w:val="22"/>
    </w:rPr>
  </w:style>
  <w:style w:type="paragraph" w:customStyle="1" w:styleId="Bullets2ndindent">
    <w:name w:val="Bullets (2nd indent)"/>
    <w:basedOn w:val="Bullets1stindent"/>
    <w:semiHidden/>
    <w:rsid w:val="00396E11"/>
    <w:pPr>
      <w:numPr>
        <w:numId w:val="10"/>
      </w:numPr>
      <w:tabs>
        <w:tab w:val="right" w:pos="794"/>
      </w:tabs>
      <w:spacing w:after="60"/>
    </w:pPr>
    <w:rPr>
      <w:rFonts w:asciiTheme="majorHAnsi" w:hAnsiTheme="majorHAnsi"/>
    </w:rPr>
  </w:style>
  <w:style w:type="numbering" w:customStyle="1" w:styleId="Bullets">
    <w:name w:val="Bullets"/>
    <w:basedOn w:val="NoList"/>
    <w:uiPriority w:val="99"/>
    <w:rsid w:val="00396E11"/>
    <w:pPr>
      <w:numPr>
        <w:numId w:val="7"/>
      </w:numPr>
    </w:pPr>
  </w:style>
  <w:style w:type="paragraph" w:customStyle="1" w:styleId="Figuretitle">
    <w:name w:val="Figure title"/>
    <w:next w:val="BodyText1"/>
    <w:qFormat/>
    <w:rsid w:val="00396E11"/>
    <w:pPr>
      <w:keepNext/>
      <w:keepLines/>
      <w:numPr>
        <w:ilvl w:val="6"/>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Footertext">
    <w:name w:val="Footer text"/>
    <w:semiHidden/>
    <w:rsid w:val="00396E11"/>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qFormat/>
    <w:rsid w:val="00396E11"/>
    <w:pPr>
      <w:spacing w:before="85" w:after="85" w:line="240" w:lineRule="auto"/>
    </w:pPr>
    <w:rPr>
      <w:rFonts w:ascii="Arial" w:eastAsia="Times New Roman" w:hAnsi="Arial" w:cs="Arial"/>
      <w:i/>
      <w:sz w:val="12"/>
      <w:szCs w:val="12"/>
    </w:rPr>
  </w:style>
  <w:style w:type="paragraph" w:customStyle="1" w:styleId="Bulletslast1stindent">
    <w:name w:val="Bullets last (1st indent)"/>
    <w:basedOn w:val="BodyText1"/>
    <w:semiHidden/>
    <w:rsid w:val="00396E11"/>
    <w:pPr>
      <w:numPr>
        <w:ilvl w:val="2"/>
        <w:numId w:val="7"/>
      </w:numPr>
      <w:tabs>
        <w:tab w:val="clear" w:pos="284"/>
      </w:tabs>
      <w:ind w:left="852"/>
    </w:pPr>
  </w:style>
  <w:style w:type="numbering" w:customStyle="1" w:styleId="Numbers">
    <w:name w:val="Numbers"/>
    <w:basedOn w:val="NoList"/>
    <w:rsid w:val="00396E11"/>
    <w:pPr>
      <w:numPr>
        <w:numId w:val="6"/>
      </w:numPr>
    </w:pPr>
  </w:style>
  <w:style w:type="paragraph" w:customStyle="1" w:styleId="Bulletslast2ndindent">
    <w:name w:val="Bullets last (2nd indent)"/>
    <w:basedOn w:val="BodyText1"/>
    <w:semiHidden/>
    <w:rsid w:val="00396E11"/>
    <w:pPr>
      <w:numPr>
        <w:ilvl w:val="3"/>
        <w:numId w:val="7"/>
      </w:numPr>
      <w:tabs>
        <w:tab w:val="clear" w:pos="567"/>
      </w:tabs>
      <w:ind w:left="568" w:hanging="284"/>
    </w:pPr>
  </w:style>
  <w:style w:type="paragraph" w:customStyle="1" w:styleId="Tablebodytext">
    <w:name w:val="Table body text"/>
    <w:qFormat/>
    <w:rsid w:val="00396E11"/>
    <w:pPr>
      <w:spacing w:before="57" w:after="57" w:line="240" w:lineRule="auto"/>
      <w:ind w:left="96" w:right="96"/>
    </w:pPr>
    <w:rPr>
      <w:rFonts w:ascii="Arial" w:eastAsia="Times New Roman" w:hAnsi="Arial" w:cs="Times New Roman"/>
      <w:sz w:val="18"/>
      <w:szCs w:val="24"/>
    </w:rPr>
  </w:style>
  <w:style w:type="paragraph" w:customStyle="1" w:styleId="Tablebullets2ndindent">
    <w:name w:val="Table bullets (2nd indent)"/>
    <w:basedOn w:val="Tablebodytext"/>
    <w:qFormat/>
    <w:rsid w:val="00396E11"/>
    <w:pPr>
      <w:numPr>
        <w:ilvl w:val="6"/>
        <w:numId w:val="7"/>
      </w:numPr>
    </w:pPr>
  </w:style>
  <w:style w:type="paragraph" w:customStyle="1" w:styleId="Tablebullets1stindent">
    <w:name w:val="Table bullets (1st indent)"/>
    <w:basedOn w:val="Tablebodytext"/>
    <w:qFormat/>
    <w:rsid w:val="00396E11"/>
    <w:pPr>
      <w:numPr>
        <w:ilvl w:val="5"/>
        <w:numId w:val="7"/>
      </w:numPr>
    </w:pPr>
  </w:style>
  <w:style w:type="paragraph" w:customStyle="1" w:styleId="Tablecolumnheading">
    <w:name w:val="Table column heading"/>
    <w:basedOn w:val="Tablebodytext"/>
    <w:qFormat/>
    <w:rsid w:val="00396E11"/>
    <w:pPr>
      <w:keepNext/>
    </w:pPr>
    <w:rPr>
      <w:b/>
      <w:szCs w:val="18"/>
    </w:rPr>
  </w:style>
  <w:style w:type="paragraph" w:customStyle="1" w:styleId="Title2">
    <w:name w:val="Title 2"/>
    <w:basedOn w:val="Title"/>
    <w:uiPriority w:val="2"/>
    <w:semiHidden/>
    <w:rsid w:val="00396E11"/>
    <w:pPr>
      <w:keepLines w:val="0"/>
      <w:pBdr>
        <w:bottom w:val="single" w:sz="8" w:space="4" w:color="C2B000"/>
      </w:pBdr>
      <w:suppressAutoHyphens w:val="0"/>
      <w:spacing w:before="200" w:after="300" w:line="260" w:lineRule="atLeast"/>
      <w:jc w:val="left"/>
      <w:outlineLvl w:val="9"/>
    </w:pPr>
    <w:rPr>
      <w:rFonts w:ascii="Arial" w:eastAsia="MS Gothic" w:hAnsi="Arial" w:cs="Times New Roman"/>
      <w:bCs w:val="0"/>
      <w:color w:val="615800"/>
      <w:spacing w:val="5"/>
      <w:sz w:val="52"/>
    </w:rPr>
  </w:style>
  <w:style w:type="paragraph" w:customStyle="1" w:styleId="Tabletitle">
    <w:name w:val="Table title"/>
    <w:next w:val="BodyText1"/>
    <w:qFormat/>
    <w:rsid w:val="00396E11"/>
    <w:pPr>
      <w:keepNext/>
      <w:numPr>
        <w:ilvl w:val="8"/>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396E11"/>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396E11"/>
    <w:pPr>
      <w:suppressAutoHyphens w:val="0"/>
      <w:spacing w:before="200" w:after="0" w:line="26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396E11"/>
    <w:rPr>
      <w:rFonts w:ascii="Tahoma" w:eastAsia="Cambria" w:hAnsi="Tahoma" w:cs="Tahoma"/>
      <w:sz w:val="16"/>
      <w:szCs w:val="16"/>
    </w:rPr>
  </w:style>
  <w:style w:type="paragraph" w:customStyle="1" w:styleId="Subtitle2">
    <w:name w:val="Subtitle 2"/>
    <w:uiPriority w:val="2"/>
    <w:semiHidden/>
    <w:rsid w:val="00396E11"/>
    <w:pPr>
      <w:spacing w:before="200" w:after="0" w:line="240" w:lineRule="auto"/>
      <w:contextualSpacing/>
    </w:pPr>
    <w:rPr>
      <w:rFonts w:ascii="Arial" w:eastAsia="Times New Roman" w:hAnsi="Arial" w:cs="Times New Roman"/>
      <w:caps/>
      <w:color w:val="1C2735"/>
      <w:kern w:val="28"/>
      <w:szCs w:val="32"/>
    </w:rPr>
  </w:style>
  <w:style w:type="character" w:customStyle="1" w:styleId="Blue">
    <w:name w:val="Blue"/>
    <w:basedOn w:val="DefaultParagraphFont"/>
    <w:semiHidden/>
    <w:qFormat/>
    <w:rsid w:val="00396E11"/>
    <w:rPr>
      <w:color w:val="C2B000"/>
    </w:rPr>
  </w:style>
  <w:style w:type="paragraph" w:customStyle="1" w:styleId="Boxtext">
    <w:name w:val="Box text"/>
    <w:basedOn w:val="Tablebodytext"/>
    <w:uiPriority w:val="1"/>
    <w:unhideWhenUsed/>
    <w:rsid w:val="00396E11"/>
    <w:pPr>
      <w:spacing w:before="113" w:after="113" w:line="240" w:lineRule="atLeast"/>
      <w:ind w:left="0" w:right="0"/>
    </w:pPr>
    <w:rPr>
      <w:color w:val="37424A"/>
    </w:rPr>
  </w:style>
  <w:style w:type="paragraph" w:styleId="Quote">
    <w:name w:val="Quote"/>
    <w:link w:val="QuoteChar"/>
    <w:qFormat/>
    <w:rsid w:val="00396E11"/>
    <w:pPr>
      <w:spacing w:before="170" w:after="170" w:line="240" w:lineRule="auto"/>
      <w:ind w:left="284" w:right="284"/>
    </w:pPr>
    <w:rPr>
      <w:rFonts w:ascii="Cambria" w:eastAsia="Times New Roman" w:hAnsi="Cambria" w:cs="Times New Roman"/>
      <w:i/>
      <w:iCs/>
      <w:color w:val="000000"/>
      <w:spacing w:val="-2"/>
      <w:szCs w:val="24"/>
    </w:rPr>
  </w:style>
  <w:style w:type="character" w:customStyle="1" w:styleId="QuoteChar">
    <w:name w:val="Quote Char"/>
    <w:basedOn w:val="DefaultParagraphFont"/>
    <w:link w:val="Quote"/>
    <w:rsid w:val="00396E11"/>
    <w:rPr>
      <w:rFonts w:ascii="Cambria" w:eastAsia="Times New Roman" w:hAnsi="Cambria" w:cs="Times New Roman"/>
      <w:i/>
      <w:iCs/>
      <w:color w:val="000000"/>
      <w:spacing w:val="-2"/>
      <w:szCs w:val="24"/>
    </w:rPr>
  </w:style>
  <w:style w:type="table" w:customStyle="1" w:styleId="DOFDwithheader">
    <w:name w:val="DOFD with header"/>
    <w:basedOn w:val="TableNormal"/>
    <w:uiPriority w:val="99"/>
    <w:qFormat/>
    <w:rsid w:val="00396E11"/>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basedOn w:val="DefaultParagraphFont"/>
    <w:uiPriority w:val="1"/>
    <w:semiHidden/>
    <w:qFormat/>
    <w:rsid w:val="00396E11"/>
    <w:rPr>
      <w:rFonts w:ascii="Arial Black" w:hAnsi="Arial Black"/>
      <w:color w:val="005A77"/>
      <w:sz w:val="18"/>
      <w:szCs w:val="18"/>
    </w:rPr>
  </w:style>
  <w:style w:type="paragraph" w:customStyle="1" w:styleId="Chapternumber">
    <w:name w:val="Chapter number"/>
    <w:qFormat/>
    <w:rsid w:val="00396E11"/>
    <w:pPr>
      <w:spacing w:after="0" w:line="940" w:lineRule="exact"/>
      <w:jc w:val="center"/>
    </w:pPr>
    <w:rPr>
      <w:rFonts w:ascii="Arial" w:eastAsia="Times New Roman" w:hAnsi="Arial" w:cs="Arial"/>
      <w:b/>
      <w:color w:val="A7B4BE"/>
      <w:sz w:val="94"/>
      <w:szCs w:val="94"/>
    </w:rPr>
  </w:style>
  <w:style w:type="paragraph" w:customStyle="1" w:styleId="Boxheading">
    <w:name w:val="Box heading"/>
    <w:basedOn w:val="Simpletableheading"/>
    <w:uiPriority w:val="1"/>
    <w:unhideWhenUsed/>
    <w:rsid w:val="00396E11"/>
    <w:pPr>
      <w:spacing w:before="113" w:after="113"/>
    </w:pPr>
    <w:rPr>
      <w:color w:val="005A77"/>
    </w:rPr>
  </w:style>
  <w:style w:type="paragraph" w:customStyle="1" w:styleId="Notetitle">
    <w:name w:val="Note title"/>
    <w:qFormat/>
    <w:rsid w:val="00396E11"/>
    <w:pPr>
      <w:keepNext/>
      <w:numPr>
        <w:ilvl w:val="7"/>
        <w:numId w:val="6"/>
      </w:numPr>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basedOn w:val="DefaultParagraphFont"/>
    <w:uiPriority w:val="1"/>
    <w:semiHidden/>
    <w:qFormat/>
    <w:rsid w:val="00396E11"/>
    <w:rPr>
      <w:color w:val="1C2735"/>
      <w:lang w:val="en-AU"/>
    </w:rPr>
  </w:style>
  <w:style w:type="paragraph" w:customStyle="1" w:styleId="Numberedpara1stindent">
    <w:name w:val="Numbered para (1st indent)"/>
    <w:basedOn w:val="ListParagraph"/>
    <w:rsid w:val="00396E11"/>
    <w:pPr>
      <w:numPr>
        <w:ilvl w:val="1"/>
      </w:numPr>
      <w:spacing w:before="120"/>
    </w:pPr>
  </w:style>
  <w:style w:type="paragraph" w:customStyle="1" w:styleId="Numberedpara2ndindent">
    <w:name w:val="Numbered para (2nd indent)"/>
    <w:basedOn w:val="BodyText1"/>
    <w:rsid w:val="00396E11"/>
    <w:pPr>
      <w:numPr>
        <w:ilvl w:val="4"/>
        <w:numId w:val="6"/>
      </w:numPr>
      <w:tabs>
        <w:tab w:val="clear" w:pos="851"/>
      </w:tabs>
      <w:spacing w:after="0" w:line="240" w:lineRule="auto"/>
      <w:ind w:left="1420"/>
    </w:pPr>
  </w:style>
  <w:style w:type="paragraph" w:customStyle="1" w:styleId="Numberedpara3rdindent">
    <w:name w:val="Numbered para (3rd indent)"/>
    <w:basedOn w:val="BodyText1"/>
    <w:rsid w:val="00396E11"/>
    <w:pPr>
      <w:spacing w:before="120" w:after="0" w:line="240" w:lineRule="auto"/>
      <w:ind w:left="1644" w:hanging="720"/>
    </w:pPr>
  </w:style>
  <w:style w:type="paragraph" w:customStyle="1" w:styleId="Heading2nonumbers">
    <w:name w:val="Heading 2 (no numbers)"/>
    <w:basedOn w:val="Normal"/>
    <w:next w:val="BodyText1"/>
    <w:qFormat/>
    <w:rsid w:val="00396E11"/>
    <w:pPr>
      <w:keepNext/>
      <w:pBdr>
        <w:top w:val="single" w:sz="4" w:space="1" w:color="293137"/>
        <w:left w:val="single" w:sz="4" w:space="4" w:color="293137"/>
        <w:bottom w:val="single" w:sz="4" w:space="1" w:color="293137"/>
        <w:right w:val="single" w:sz="4" w:space="4" w:color="293137"/>
      </w:pBdr>
      <w:shd w:val="clear" w:color="auto" w:fill="293137"/>
      <w:suppressAutoHyphens w:val="0"/>
      <w:spacing w:before="360" w:after="120" w:line="260" w:lineRule="exact"/>
      <w:outlineLvl w:val="1"/>
    </w:pPr>
    <w:rPr>
      <w:rFonts w:ascii="Arial" w:eastAsia="Times New Roman" w:hAnsi="Arial" w:cs="Times New Roman"/>
      <w:b/>
      <w:spacing w:val="-6"/>
      <w:sz w:val="26"/>
      <w:szCs w:val="26"/>
    </w:rPr>
  </w:style>
  <w:style w:type="paragraph" w:customStyle="1" w:styleId="Heading3nonumbers">
    <w:name w:val="Heading 3 (no numbers)"/>
    <w:basedOn w:val="Heading3"/>
    <w:next w:val="BodyText1"/>
    <w:qFormat/>
    <w:rsid w:val="00396E11"/>
    <w:pPr>
      <w:suppressAutoHyphens w:val="0"/>
      <w:spacing w:before="240" w:line="260" w:lineRule="atLeast"/>
      <w:contextualSpacing w:val="0"/>
    </w:pPr>
    <w:rPr>
      <w:rFonts w:ascii="Arial" w:eastAsia="Times New Roman" w:hAnsi="Arial" w:cs="Times New Roman"/>
      <w:b/>
      <w:bCs w:val="0"/>
      <w:color w:val="005A77"/>
      <w:spacing w:val="-6"/>
      <w:sz w:val="22"/>
    </w:rPr>
  </w:style>
  <w:style w:type="paragraph" w:customStyle="1" w:styleId="Heading4nonumbers">
    <w:name w:val="Heading 4 (no numbers)"/>
    <w:basedOn w:val="Heading4"/>
    <w:next w:val="BodyText1"/>
    <w:link w:val="Heading4nonumbersChar"/>
    <w:qFormat/>
    <w:rsid w:val="00396E11"/>
    <w:pPr>
      <w:keepLines w:val="0"/>
      <w:suppressAutoHyphens w:val="0"/>
      <w:spacing w:before="360" w:line="260" w:lineRule="exact"/>
      <w:contextualSpacing w:val="0"/>
    </w:pPr>
    <w:rPr>
      <w:rFonts w:ascii="Arial" w:eastAsia="Times New Roman" w:hAnsi="Arial" w:cs="Times New Roman"/>
      <w:b/>
      <w:bCs w:val="0"/>
      <w:iCs w:val="0"/>
      <w:spacing w:val="-6"/>
    </w:rPr>
  </w:style>
  <w:style w:type="character" w:customStyle="1" w:styleId="Heading4nonumbersChar">
    <w:name w:val="Heading 4 (no numbers) Char"/>
    <w:basedOn w:val="Heading4Char"/>
    <w:link w:val="Heading4nonumbers"/>
    <w:rsid w:val="00396E11"/>
    <w:rPr>
      <w:rFonts w:ascii="Arial" w:eastAsia="Times New Roman" w:hAnsi="Arial" w:cs="Times New Roman"/>
      <w:b/>
      <w:bCs w:val="0"/>
      <w:iCs w:val="0"/>
      <w:color w:val="1C1C1C" w:themeColor="text2"/>
      <w:spacing w:val="-6"/>
      <w:sz w:val="26"/>
      <w:szCs w:val="26"/>
    </w:rPr>
  </w:style>
  <w:style w:type="paragraph" w:customStyle="1" w:styleId="Boxtitle">
    <w:name w:val="Box title"/>
    <w:basedOn w:val="Boxheading"/>
    <w:uiPriority w:val="1"/>
    <w:unhideWhenUsed/>
    <w:rsid w:val="00396E11"/>
  </w:style>
  <w:style w:type="table" w:customStyle="1" w:styleId="DOFDplain">
    <w:name w:val="DOFD plain"/>
    <w:basedOn w:val="TableNormal"/>
    <w:uiPriority w:val="99"/>
    <w:qFormat/>
    <w:rsid w:val="00396E11"/>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396E11"/>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shd w:val="clear" w:color="auto" w:fill="DDF3FA"/>
      </w:tcPr>
    </w:tblStylePr>
  </w:style>
  <w:style w:type="paragraph" w:styleId="BodyText">
    <w:name w:val="Body Text"/>
    <w:basedOn w:val="Normal"/>
    <w:link w:val="BodyTextChar"/>
    <w:qFormat/>
    <w:rsid w:val="00396E11"/>
    <w:pPr>
      <w:suppressAutoHyphens w:val="0"/>
      <w:spacing w:before="200" w:after="120" w:line="260" w:lineRule="atLeast"/>
    </w:pPr>
    <w:rPr>
      <w:rFonts w:ascii="Cambria" w:eastAsia="Cambria" w:hAnsi="Cambria" w:cs="Times New Roman"/>
    </w:rPr>
  </w:style>
  <w:style w:type="character" w:customStyle="1" w:styleId="BodyTextChar">
    <w:name w:val="Body Text Char"/>
    <w:basedOn w:val="DefaultParagraphFont"/>
    <w:link w:val="BodyText"/>
    <w:rsid w:val="00396E11"/>
    <w:rPr>
      <w:rFonts w:ascii="Cambria" w:eastAsia="Cambria" w:hAnsi="Cambria" w:cs="Times New Roman"/>
    </w:rPr>
  </w:style>
  <w:style w:type="paragraph" w:customStyle="1" w:styleId="Bulletsnumbers">
    <w:name w:val="Bullets (numbers)"/>
    <w:basedOn w:val="Bullets1stindent"/>
    <w:link w:val="BulletsnumbersChar"/>
    <w:semiHidden/>
    <w:rsid w:val="00396E11"/>
    <w:pPr>
      <w:numPr>
        <w:numId w:val="8"/>
      </w:numPr>
    </w:pPr>
    <w:rPr>
      <w:lang w:val="en-US"/>
    </w:rPr>
  </w:style>
  <w:style w:type="character" w:customStyle="1" w:styleId="BodyText1Char">
    <w:name w:val="Body Text1 Char"/>
    <w:basedOn w:val="DefaultParagraphFont"/>
    <w:link w:val="BodyText1"/>
    <w:semiHidden/>
    <w:rsid w:val="00396E11"/>
    <w:rPr>
      <w:rFonts w:ascii="Cambria" w:eastAsia="Times New Roman" w:hAnsi="Cambria" w:cs="Times New Roman"/>
      <w:szCs w:val="24"/>
    </w:rPr>
  </w:style>
  <w:style w:type="character" w:customStyle="1" w:styleId="Bullets1stindentChar">
    <w:name w:val="Bullets (1st indent) Char"/>
    <w:basedOn w:val="BodyText1Char"/>
    <w:link w:val="Bullets1stindent"/>
    <w:semiHidden/>
    <w:rsid w:val="002676C9"/>
    <w:rPr>
      <w:rFonts w:ascii="Cambria" w:eastAsia="Times New Roman" w:hAnsi="Cambria" w:cs="Times New Roman"/>
      <w:szCs w:val="24"/>
    </w:rPr>
  </w:style>
  <w:style w:type="character" w:customStyle="1" w:styleId="BulletsnumbersChar">
    <w:name w:val="Bullets (numbers) Char"/>
    <w:basedOn w:val="Bullets1stindentChar"/>
    <w:link w:val="Bulletsnumbers"/>
    <w:semiHidden/>
    <w:rsid w:val="00396E11"/>
    <w:rPr>
      <w:rFonts w:ascii="Cambria" w:eastAsia="Times New Roman" w:hAnsi="Cambria" w:cs="Times New Roman"/>
      <w:szCs w:val="24"/>
      <w:lang w:val="en-US"/>
    </w:rPr>
  </w:style>
  <w:style w:type="character" w:styleId="CommentReference">
    <w:name w:val="annotation reference"/>
    <w:basedOn w:val="DefaultParagraphFont"/>
    <w:uiPriority w:val="99"/>
    <w:semiHidden/>
    <w:rsid w:val="00396E11"/>
    <w:rPr>
      <w:sz w:val="16"/>
      <w:szCs w:val="16"/>
    </w:rPr>
  </w:style>
  <w:style w:type="paragraph" w:styleId="CommentText">
    <w:name w:val="annotation text"/>
    <w:basedOn w:val="Normal"/>
    <w:link w:val="CommentTextChar"/>
    <w:uiPriority w:val="99"/>
    <w:semiHidden/>
    <w:rsid w:val="00396E11"/>
    <w:pPr>
      <w:suppressAutoHyphens w:val="0"/>
      <w:spacing w:before="200" w:after="0" w:line="260" w:lineRule="atLeast"/>
    </w:pPr>
    <w:rPr>
      <w:rFonts w:ascii="Cambria" w:eastAsia="Cambria" w:hAnsi="Cambria" w:cs="Times New Roman"/>
      <w:szCs w:val="20"/>
    </w:rPr>
  </w:style>
  <w:style w:type="character" w:customStyle="1" w:styleId="CommentTextChar">
    <w:name w:val="Comment Text Char"/>
    <w:basedOn w:val="DefaultParagraphFont"/>
    <w:link w:val="CommentText"/>
    <w:uiPriority w:val="99"/>
    <w:semiHidden/>
    <w:rsid w:val="00396E11"/>
    <w:rPr>
      <w:rFonts w:ascii="Cambria" w:eastAsia="Cambria" w:hAnsi="Cambria" w:cs="Times New Roman"/>
      <w:szCs w:val="20"/>
    </w:rPr>
  </w:style>
  <w:style w:type="paragraph" w:styleId="ListNumber">
    <w:name w:val="List Number"/>
    <w:basedOn w:val="Normal"/>
    <w:qFormat/>
    <w:rsid w:val="00396E11"/>
    <w:pPr>
      <w:tabs>
        <w:tab w:val="num" w:pos="360"/>
      </w:tabs>
      <w:suppressAutoHyphens w:val="0"/>
      <w:spacing w:before="200" w:after="240" w:line="260" w:lineRule="atLeast"/>
      <w:ind w:left="357" w:hanging="357"/>
      <w:contextualSpacing/>
    </w:pPr>
    <w:rPr>
      <w:rFonts w:ascii="Cambria" w:eastAsia="Cambria" w:hAnsi="Cambria" w:cs="Times New Roman"/>
    </w:rPr>
  </w:style>
  <w:style w:type="paragraph" w:styleId="ListNumber2">
    <w:name w:val="List Number 2"/>
    <w:basedOn w:val="Normal"/>
    <w:rsid w:val="00396E11"/>
    <w:pPr>
      <w:tabs>
        <w:tab w:val="num" w:pos="643"/>
      </w:tabs>
      <w:suppressAutoHyphens w:val="0"/>
      <w:spacing w:before="200" w:after="0" w:line="260" w:lineRule="atLeast"/>
      <w:ind w:left="643" w:hanging="360"/>
      <w:contextualSpacing/>
    </w:pPr>
    <w:rPr>
      <w:rFonts w:ascii="Cambria" w:eastAsia="Cambria" w:hAnsi="Cambria" w:cs="Times New Roman"/>
    </w:rPr>
  </w:style>
  <w:style w:type="paragraph" w:styleId="ListBullet">
    <w:name w:val="List Bullet"/>
    <w:basedOn w:val="Normal"/>
    <w:qFormat/>
    <w:rsid w:val="00396E11"/>
    <w:pPr>
      <w:suppressAutoHyphens w:val="0"/>
      <w:spacing w:before="200" w:after="240" w:line="260" w:lineRule="atLeast"/>
      <w:ind w:left="360" w:hanging="360"/>
      <w:contextualSpacing/>
    </w:pPr>
    <w:rPr>
      <w:rFonts w:ascii="Cambria" w:eastAsia="Cambria" w:hAnsi="Cambria" w:cs="Times New Roman"/>
    </w:rPr>
  </w:style>
  <w:style w:type="table" w:customStyle="1" w:styleId="DOFDtexttable">
    <w:name w:val="DOFD_text table"/>
    <w:basedOn w:val="TableNormal"/>
    <w:uiPriority w:val="99"/>
    <w:qFormat/>
    <w:rsid w:val="00396E11"/>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887B1B"/>
        <w:tcMar>
          <w:top w:w="113" w:type="dxa"/>
          <w:left w:w="0" w:type="nil"/>
          <w:bottom w:w="113" w:type="dxa"/>
          <w:right w:w="0" w:type="nil"/>
        </w:tcMar>
      </w:tcPr>
    </w:tblStylePr>
  </w:style>
  <w:style w:type="paragraph" w:styleId="EndnoteText">
    <w:name w:val="endnote text"/>
    <w:basedOn w:val="Normal"/>
    <w:link w:val="EndnoteTextChar"/>
    <w:uiPriority w:val="99"/>
    <w:semiHidden/>
    <w:rsid w:val="00396E11"/>
    <w:pPr>
      <w:suppressAutoHyphens w:val="0"/>
      <w:spacing w:before="200" w:after="0" w:line="260" w:lineRule="atLeast"/>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396E11"/>
    <w:rPr>
      <w:rFonts w:ascii="Cambria" w:eastAsia="Cambria" w:hAnsi="Cambria" w:cs="Times New Roman"/>
      <w:szCs w:val="20"/>
    </w:rPr>
  </w:style>
  <w:style w:type="character" w:styleId="EndnoteReference">
    <w:name w:val="endnote reference"/>
    <w:basedOn w:val="DefaultParagraphFont"/>
    <w:uiPriority w:val="99"/>
    <w:semiHidden/>
    <w:rsid w:val="00396E11"/>
    <w:rPr>
      <w:vertAlign w:val="superscript"/>
    </w:rPr>
  </w:style>
  <w:style w:type="paragraph" w:styleId="List">
    <w:name w:val="List"/>
    <w:basedOn w:val="Numberedpara1stindent"/>
    <w:qFormat/>
    <w:rsid w:val="00396E11"/>
    <w:pPr>
      <w:spacing w:after="240"/>
    </w:pPr>
  </w:style>
  <w:style w:type="paragraph" w:styleId="List2">
    <w:name w:val="List 2"/>
    <w:basedOn w:val="Numberedpara2ndindent"/>
    <w:qFormat/>
    <w:rsid w:val="00396E11"/>
  </w:style>
  <w:style w:type="paragraph" w:styleId="List3">
    <w:name w:val="List 3"/>
    <w:basedOn w:val="Numberedpara3rdindent"/>
    <w:qFormat/>
    <w:rsid w:val="00396E11"/>
  </w:style>
  <w:style w:type="numbering" w:customStyle="1" w:styleId="Numbers1">
    <w:name w:val="Numbers1"/>
    <w:basedOn w:val="NoList"/>
    <w:rsid w:val="00396E11"/>
  </w:style>
  <w:style w:type="paragraph" w:customStyle="1" w:styleId="NumberedParagraph">
    <w:name w:val="Numbered Paragraph"/>
    <w:basedOn w:val="Numberedpara1stindent"/>
    <w:qFormat/>
    <w:rsid w:val="00396E11"/>
    <w:pPr>
      <w:numPr>
        <w:numId w:val="0"/>
      </w:numPr>
      <w:tabs>
        <w:tab w:val="num" w:pos="360"/>
      </w:tabs>
      <w:spacing w:after="120"/>
      <w:ind w:left="360" w:hanging="360"/>
    </w:pPr>
    <w:rPr>
      <w:bCs/>
      <w:color w:val="000000"/>
    </w:rPr>
  </w:style>
  <w:style w:type="paragraph" w:styleId="ListParagraph">
    <w:name w:val="List Paragraph"/>
    <w:aliases w:val="List Paragraph1,List Paragraph11,Bullet point,NFP GP Bulleted List,L,bullet point list,1 heading,Bulleted Para,Bullet points,Content descriptions,Bullet Point,NAST Quote,FooterText,numbered,Paragraphe de liste1,列出段落,列出段落1"/>
    <w:basedOn w:val="Normal"/>
    <w:link w:val="ListParagraphChar"/>
    <w:uiPriority w:val="34"/>
    <w:qFormat/>
    <w:rsid w:val="00396E11"/>
    <w:pPr>
      <w:numPr>
        <w:numId w:val="11"/>
      </w:numPr>
      <w:suppressAutoHyphens w:val="0"/>
      <w:spacing w:before="200" w:after="0" w:line="260" w:lineRule="exact"/>
    </w:pPr>
    <w:rPr>
      <w:rFonts w:ascii="Cambria" w:eastAsia="Cambria" w:hAnsi="Cambria" w:cs="Times New Roman"/>
    </w:rPr>
  </w:style>
  <w:style w:type="character" w:styleId="FollowedHyperlink">
    <w:name w:val="FollowedHyperlink"/>
    <w:basedOn w:val="DefaultParagraphFont"/>
    <w:uiPriority w:val="99"/>
    <w:semiHidden/>
    <w:rsid w:val="00396E11"/>
    <w:rPr>
      <w:color w:val="954F72" w:themeColor="followedHyperlink"/>
      <w:u w:val="single"/>
    </w:rPr>
  </w:style>
  <w:style w:type="paragraph" w:styleId="NormalIndent">
    <w:name w:val="Normal Indent"/>
    <w:basedOn w:val="Normal"/>
    <w:uiPriority w:val="99"/>
    <w:semiHidden/>
    <w:rsid w:val="00396E11"/>
    <w:pPr>
      <w:suppressAutoHyphens w:val="0"/>
      <w:spacing w:before="200" w:after="0" w:line="260" w:lineRule="atLeast"/>
      <w:ind w:left="720"/>
    </w:pPr>
    <w:rPr>
      <w:rFonts w:ascii="Cambria" w:eastAsia="Cambria" w:hAnsi="Cambria" w:cs="Times New Roman"/>
    </w:rPr>
  </w:style>
  <w:style w:type="paragraph" w:customStyle="1" w:styleId="Boxnumberedparaindent1">
    <w:name w:val="Box numbered para indent 1"/>
    <w:basedOn w:val="NormalIndent"/>
    <w:rsid w:val="00396E11"/>
    <w:pPr>
      <w:tabs>
        <w:tab w:val="left" w:pos="284"/>
        <w:tab w:val="left" w:pos="1281"/>
        <w:tab w:val="left" w:pos="1418"/>
      </w:tabs>
    </w:pPr>
    <w:rPr>
      <w:lang w:eastAsia="en-AU"/>
    </w:rPr>
  </w:style>
  <w:style w:type="paragraph" w:styleId="NoSpacing">
    <w:name w:val="No Spacing"/>
    <w:uiPriority w:val="1"/>
    <w:qFormat/>
    <w:rsid w:val="00396E11"/>
    <w:pPr>
      <w:spacing w:after="0" w:line="240" w:lineRule="auto"/>
    </w:pPr>
    <w:rPr>
      <w:rFonts w:ascii="Cambria" w:eastAsia="Cambria" w:hAnsi="Cambria" w:cs="Times New Roman"/>
    </w:rPr>
  </w:style>
  <w:style w:type="paragraph" w:customStyle="1" w:styleId="Bullets3rdindent">
    <w:name w:val="Bullets (3rd indent)"/>
    <w:basedOn w:val="Bullets2ndindent"/>
    <w:rsid w:val="00396E11"/>
    <w:pPr>
      <w:numPr>
        <w:numId w:val="12"/>
      </w:numPr>
      <w:tabs>
        <w:tab w:val="right" w:pos="1191"/>
      </w:tabs>
      <w:ind w:left="1701" w:hanging="425"/>
    </w:pPr>
    <w:rPr>
      <w:rFonts w:ascii="Cambria" w:hAnsi="Cambria"/>
    </w:rPr>
  </w:style>
  <w:style w:type="paragraph" w:customStyle="1" w:styleId="Bullets1stindentlast">
    <w:name w:val="Bullets (1st indent) last"/>
    <w:basedOn w:val="Bullets1stindent"/>
    <w:rsid w:val="00396E11"/>
    <w:pPr>
      <w:spacing w:before="120" w:after="0" w:line="260" w:lineRule="atLeast"/>
    </w:pPr>
  </w:style>
  <w:style w:type="paragraph" w:customStyle="1" w:styleId="Bulletintro">
    <w:name w:val="Bullet intro"/>
    <w:basedOn w:val="Normal"/>
    <w:rsid w:val="00396E11"/>
    <w:pPr>
      <w:suppressAutoHyphens w:val="0"/>
      <w:spacing w:before="200" w:after="120" w:line="260" w:lineRule="atLeast"/>
    </w:pPr>
    <w:rPr>
      <w:rFonts w:ascii="Cambria" w:eastAsia="Cambria" w:hAnsi="Cambria" w:cs="Times New Roman"/>
    </w:rPr>
  </w:style>
  <w:style w:type="paragraph" w:styleId="Index1">
    <w:name w:val="index 1"/>
    <w:basedOn w:val="Normal"/>
    <w:next w:val="Normal"/>
    <w:autoRedefine/>
    <w:uiPriority w:val="99"/>
    <w:semiHidden/>
    <w:rsid w:val="00396E11"/>
    <w:pPr>
      <w:suppressAutoHyphens w:val="0"/>
      <w:spacing w:before="200" w:after="0" w:line="260" w:lineRule="atLeast"/>
      <w:ind w:left="220" w:hanging="220"/>
    </w:pPr>
    <w:rPr>
      <w:rFonts w:ascii="Cambria" w:eastAsia="Cambria" w:hAnsi="Cambria" w:cs="Times New Roman"/>
    </w:rPr>
  </w:style>
  <w:style w:type="paragraph" w:customStyle="1" w:styleId="BodyText2">
    <w:name w:val="Body Text2"/>
    <w:basedOn w:val="Normal"/>
    <w:qFormat/>
    <w:rsid w:val="00396E11"/>
    <w:pPr>
      <w:suppressAutoHyphens w:val="0"/>
      <w:spacing w:before="120" w:after="0" w:line="260" w:lineRule="atLeast"/>
    </w:pPr>
  </w:style>
  <w:style w:type="paragraph" w:styleId="CommentSubject">
    <w:name w:val="annotation subject"/>
    <w:basedOn w:val="CommentText"/>
    <w:next w:val="CommentText"/>
    <w:link w:val="CommentSubjectChar"/>
    <w:uiPriority w:val="99"/>
    <w:semiHidden/>
    <w:unhideWhenUsed/>
    <w:rsid w:val="00396E11"/>
    <w:pPr>
      <w:spacing w:line="240" w:lineRule="auto"/>
    </w:pPr>
    <w:rPr>
      <w:b/>
      <w:bCs/>
      <w:sz w:val="20"/>
    </w:rPr>
  </w:style>
  <w:style w:type="character" w:customStyle="1" w:styleId="CommentSubjectChar">
    <w:name w:val="Comment Subject Char"/>
    <w:basedOn w:val="CommentTextChar"/>
    <w:link w:val="CommentSubject"/>
    <w:uiPriority w:val="99"/>
    <w:semiHidden/>
    <w:rsid w:val="00396E11"/>
    <w:rPr>
      <w:rFonts w:ascii="Cambria" w:eastAsia="Cambria" w:hAnsi="Cambria" w:cs="Times New Roman"/>
      <w:b/>
      <w:bCs/>
      <w:sz w:val="20"/>
      <w:szCs w:val="20"/>
    </w:rPr>
  </w:style>
  <w:style w:type="paragraph" w:customStyle="1" w:styleId="FCList">
    <w:name w:val="FC_List"/>
    <w:basedOn w:val="Header"/>
    <w:rsid w:val="00396E11"/>
    <w:pPr>
      <w:numPr>
        <w:numId w:val="7"/>
      </w:numPr>
      <w:tabs>
        <w:tab w:val="clear" w:pos="4513"/>
        <w:tab w:val="clear" w:pos="9026"/>
      </w:tabs>
      <w:suppressAutoHyphens w:val="0"/>
      <w:spacing w:before="60" w:after="60" w:line="240" w:lineRule="auto"/>
      <w:jc w:val="left"/>
    </w:pPr>
    <w:rPr>
      <w:rFonts w:ascii="Times New Roman" w:eastAsia="Times New Roman" w:hAnsi="Times New Roman" w:cs="Times New Roman"/>
      <w:sz w:val="24"/>
      <w:szCs w:val="24"/>
    </w:rPr>
  </w:style>
  <w:style w:type="paragraph" w:customStyle="1" w:styleId="DefaultText1">
    <w:name w:val="Default_Text_1"/>
    <w:basedOn w:val="Normal"/>
    <w:link w:val="DefaultText1Char"/>
    <w:qFormat/>
    <w:rsid w:val="00396E11"/>
    <w:pPr>
      <w:suppressAutoHyphens w:val="0"/>
      <w:autoSpaceDE w:val="0"/>
      <w:autoSpaceDN w:val="0"/>
      <w:adjustRightInd w:val="0"/>
      <w:spacing w:before="60" w:after="180" w:line="240" w:lineRule="auto"/>
    </w:pPr>
    <w:rPr>
      <w:rFonts w:ascii="Arial" w:eastAsia="Times New Roman" w:hAnsi="Arial" w:cs="Times-Roman"/>
      <w:color w:val="FFFFFF" w:themeColor="background1"/>
      <w:kern w:val="32"/>
      <w:sz w:val="48"/>
      <w:szCs w:val="32"/>
      <w:lang w:val="en-US"/>
    </w:rPr>
  </w:style>
  <w:style w:type="character" w:customStyle="1" w:styleId="DefaultText1Char">
    <w:name w:val="Default_Text_1 Char"/>
    <w:basedOn w:val="Heading1Char"/>
    <w:link w:val="DefaultText1"/>
    <w:rsid w:val="00396E11"/>
    <w:rPr>
      <w:rFonts w:ascii="Arial" w:eastAsia="Times New Roman" w:hAnsi="Arial" w:cs="Times-Roman"/>
      <w:bCs w:val="0"/>
      <w:color w:val="FFFFFF" w:themeColor="background1"/>
      <w:kern w:val="32"/>
      <w:sz w:val="48"/>
      <w:szCs w:val="32"/>
      <w:lang w:val="en-US"/>
    </w:rPr>
  </w:style>
  <w:style w:type="paragraph" w:styleId="Revision">
    <w:name w:val="Revision"/>
    <w:hidden/>
    <w:uiPriority w:val="99"/>
    <w:semiHidden/>
    <w:rsid w:val="00396E11"/>
    <w:pPr>
      <w:spacing w:after="0" w:line="240" w:lineRule="auto"/>
    </w:pPr>
    <w:rPr>
      <w:rFonts w:ascii="Cambria" w:eastAsia="Cambria" w:hAnsi="Cambria" w:cs="Times New Roman"/>
    </w:rPr>
  </w:style>
  <w:style w:type="paragraph" w:styleId="BodyText3">
    <w:name w:val="Body Text 3"/>
    <w:basedOn w:val="Normal"/>
    <w:link w:val="BodyText3Char"/>
    <w:uiPriority w:val="99"/>
    <w:semiHidden/>
    <w:unhideWhenUsed/>
    <w:rsid w:val="00A868E8"/>
    <w:pPr>
      <w:spacing w:after="120"/>
    </w:pPr>
    <w:rPr>
      <w:sz w:val="16"/>
      <w:szCs w:val="16"/>
    </w:rPr>
  </w:style>
  <w:style w:type="character" w:customStyle="1" w:styleId="BodyText3Char">
    <w:name w:val="Body Text 3 Char"/>
    <w:basedOn w:val="DefaultParagraphFont"/>
    <w:link w:val="BodyText3"/>
    <w:uiPriority w:val="99"/>
    <w:semiHidden/>
    <w:rsid w:val="00A868E8"/>
    <w:rPr>
      <w:sz w:val="16"/>
      <w:szCs w:val="16"/>
    </w:rPr>
  </w:style>
  <w:style w:type="paragraph" w:customStyle="1" w:styleId="Single">
    <w:name w:val="Single"/>
    <w:basedOn w:val="Normal"/>
    <w:rsid w:val="00A868E8"/>
    <w:pPr>
      <w:suppressAutoHyphens w:val="0"/>
      <w:spacing w:before="0" w:after="0" w:line="240" w:lineRule="auto"/>
    </w:pPr>
    <w:rPr>
      <w:rFonts w:ascii="Times New Roman" w:eastAsia="Times New Roman" w:hAnsi="Times New Roman" w:cs="Times New Roman"/>
      <w:sz w:val="24"/>
      <w:szCs w:val="20"/>
    </w:rPr>
  </w:style>
  <w:style w:type="paragraph" w:customStyle="1" w:styleId="Pa16">
    <w:name w:val="Pa16"/>
    <w:basedOn w:val="Normal"/>
    <w:next w:val="Normal"/>
    <w:uiPriority w:val="99"/>
    <w:rsid w:val="009032F5"/>
    <w:pPr>
      <w:suppressAutoHyphens w:val="0"/>
      <w:autoSpaceDE w:val="0"/>
      <w:autoSpaceDN w:val="0"/>
      <w:adjustRightInd w:val="0"/>
      <w:spacing w:before="0" w:after="0" w:line="181" w:lineRule="atLeast"/>
    </w:pPr>
    <w:rPr>
      <w:rFonts w:ascii="DINOT-Bold" w:eastAsia="Times New Roman" w:hAnsi="DINOT-Bold" w:cs="Times New Roman"/>
      <w:sz w:val="24"/>
      <w:szCs w:val="24"/>
      <w:lang w:eastAsia="en-AU"/>
    </w:rPr>
  </w:style>
  <w:style w:type="paragraph" w:customStyle="1" w:styleId="Pa20">
    <w:name w:val="Pa20"/>
    <w:basedOn w:val="Normal"/>
    <w:next w:val="Normal"/>
    <w:uiPriority w:val="99"/>
    <w:rsid w:val="009032F5"/>
    <w:pPr>
      <w:suppressAutoHyphens w:val="0"/>
      <w:autoSpaceDE w:val="0"/>
      <w:autoSpaceDN w:val="0"/>
      <w:adjustRightInd w:val="0"/>
      <w:spacing w:before="0" w:after="0" w:line="181" w:lineRule="atLeast"/>
    </w:pPr>
    <w:rPr>
      <w:rFonts w:ascii="DINOT-Bold" w:eastAsia="Times New Roman" w:hAnsi="DINOT-Bold" w:cs="Times New Roman"/>
      <w:sz w:val="24"/>
      <w:szCs w:val="24"/>
      <w:lang w:eastAsia="en-AU"/>
    </w:rPr>
  </w:style>
  <w:style w:type="table" w:customStyle="1" w:styleId="LightGrid-Accent11">
    <w:name w:val="Light Grid - Accent 11"/>
    <w:basedOn w:val="TableNormal"/>
    <w:uiPriority w:val="62"/>
    <w:rsid w:val="009032F5"/>
    <w:pPr>
      <w:spacing w:after="0" w:line="240" w:lineRule="auto"/>
      <w:ind w:left="284" w:hanging="284"/>
    </w:pPr>
    <w:rPr>
      <w:rFonts w:ascii="Courier" w:eastAsia="Times New Roman" w:hAnsi="Courier" w:cs="Times New Roman"/>
      <w:sz w:val="20"/>
      <w:szCs w:val="20"/>
      <w:lang w:eastAsia="en-AU"/>
    </w:rPr>
    <w:tblPr>
      <w:tblStyleRowBandSize w:val="1"/>
      <w:tblStyleColBandSize w:val="1"/>
      <w:tblBorders>
        <w:top w:val="single" w:sz="8" w:space="0" w:color="BDDCDF" w:themeColor="accent1"/>
        <w:left w:val="single" w:sz="8" w:space="0" w:color="BDDCDF" w:themeColor="accent1"/>
        <w:bottom w:val="single" w:sz="8" w:space="0" w:color="BDDCDF" w:themeColor="accent1"/>
        <w:right w:val="single" w:sz="8" w:space="0" w:color="BDDCDF" w:themeColor="accent1"/>
        <w:insideH w:val="single" w:sz="8" w:space="0" w:color="BDDCDF" w:themeColor="accent1"/>
        <w:insideV w:val="single" w:sz="8" w:space="0" w:color="BDDCD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DCDF" w:themeColor="accent1"/>
          <w:left w:val="single" w:sz="8" w:space="0" w:color="BDDCDF" w:themeColor="accent1"/>
          <w:bottom w:val="single" w:sz="18" w:space="0" w:color="BDDCDF" w:themeColor="accent1"/>
          <w:right w:val="single" w:sz="8" w:space="0" w:color="BDDCDF" w:themeColor="accent1"/>
          <w:insideH w:val="nil"/>
          <w:insideV w:val="single" w:sz="8" w:space="0" w:color="BDDCD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DCDF" w:themeColor="accent1"/>
          <w:left w:val="single" w:sz="8" w:space="0" w:color="BDDCDF" w:themeColor="accent1"/>
          <w:bottom w:val="single" w:sz="8" w:space="0" w:color="BDDCDF" w:themeColor="accent1"/>
          <w:right w:val="single" w:sz="8" w:space="0" w:color="BDDCDF" w:themeColor="accent1"/>
          <w:insideH w:val="nil"/>
          <w:insideV w:val="single" w:sz="8" w:space="0" w:color="BDDCD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DCDF" w:themeColor="accent1"/>
          <w:left w:val="single" w:sz="8" w:space="0" w:color="BDDCDF" w:themeColor="accent1"/>
          <w:bottom w:val="single" w:sz="8" w:space="0" w:color="BDDCDF" w:themeColor="accent1"/>
          <w:right w:val="single" w:sz="8" w:space="0" w:color="BDDCDF" w:themeColor="accent1"/>
        </w:tcBorders>
      </w:tcPr>
    </w:tblStylePr>
    <w:tblStylePr w:type="band1Vert">
      <w:tblPr/>
      <w:tcPr>
        <w:tcBorders>
          <w:top w:val="single" w:sz="8" w:space="0" w:color="BDDCDF" w:themeColor="accent1"/>
          <w:left w:val="single" w:sz="8" w:space="0" w:color="BDDCDF" w:themeColor="accent1"/>
          <w:bottom w:val="single" w:sz="8" w:space="0" w:color="BDDCDF" w:themeColor="accent1"/>
          <w:right w:val="single" w:sz="8" w:space="0" w:color="BDDCDF" w:themeColor="accent1"/>
        </w:tcBorders>
        <w:shd w:val="clear" w:color="auto" w:fill="EEF6F7" w:themeFill="accent1" w:themeFillTint="3F"/>
      </w:tcPr>
    </w:tblStylePr>
    <w:tblStylePr w:type="band1Horz">
      <w:tblPr/>
      <w:tcPr>
        <w:tcBorders>
          <w:top w:val="single" w:sz="8" w:space="0" w:color="BDDCDF" w:themeColor="accent1"/>
          <w:left w:val="single" w:sz="8" w:space="0" w:color="BDDCDF" w:themeColor="accent1"/>
          <w:bottom w:val="single" w:sz="8" w:space="0" w:color="BDDCDF" w:themeColor="accent1"/>
          <w:right w:val="single" w:sz="8" w:space="0" w:color="BDDCDF" w:themeColor="accent1"/>
          <w:insideV w:val="single" w:sz="8" w:space="0" w:color="BDDCDF" w:themeColor="accent1"/>
        </w:tcBorders>
        <w:shd w:val="clear" w:color="auto" w:fill="EEF6F7" w:themeFill="accent1" w:themeFillTint="3F"/>
      </w:tcPr>
    </w:tblStylePr>
    <w:tblStylePr w:type="band2Horz">
      <w:tblPr/>
      <w:tcPr>
        <w:tcBorders>
          <w:top w:val="single" w:sz="8" w:space="0" w:color="BDDCDF" w:themeColor="accent1"/>
          <w:left w:val="single" w:sz="8" w:space="0" w:color="BDDCDF" w:themeColor="accent1"/>
          <w:bottom w:val="single" w:sz="8" w:space="0" w:color="BDDCDF" w:themeColor="accent1"/>
          <w:right w:val="single" w:sz="8" w:space="0" w:color="BDDCDF" w:themeColor="accent1"/>
          <w:insideV w:val="single" w:sz="8" w:space="0" w:color="BDDCDF" w:themeColor="accent1"/>
        </w:tcBorders>
      </w:tcPr>
    </w:tblStylePr>
  </w:style>
  <w:style w:type="table" w:customStyle="1" w:styleId="LightList-Accent11">
    <w:name w:val="Light List - Accent 11"/>
    <w:basedOn w:val="TableNormal"/>
    <w:uiPriority w:val="61"/>
    <w:rsid w:val="0066437D"/>
    <w:pPr>
      <w:spacing w:after="0" w:line="240" w:lineRule="auto"/>
      <w:ind w:left="284" w:hanging="284"/>
    </w:pPr>
    <w:rPr>
      <w:rFonts w:ascii="Courier" w:eastAsia="Times New Roman" w:hAnsi="Courier" w:cs="Times New Roman"/>
      <w:sz w:val="20"/>
      <w:szCs w:val="20"/>
      <w:lang w:eastAsia="en-AU"/>
    </w:rPr>
    <w:tblPr>
      <w:tblStyleRowBandSize w:val="1"/>
      <w:tblStyleColBandSize w:val="1"/>
      <w:tblBorders>
        <w:top w:val="single" w:sz="8" w:space="0" w:color="5BC6E8"/>
        <w:left w:val="single" w:sz="8" w:space="0" w:color="5BC6E8"/>
        <w:bottom w:val="single" w:sz="8" w:space="0" w:color="5BC6E8"/>
        <w:right w:val="single" w:sz="8" w:space="0" w:color="5BC6E8"/>
      </w:tblBorders>
    </w:tblPr>
    <w:tblStylePr w:type="firstRow">
      <w:pPr>
        <w:spacing w:before="0" w:after="0" w:line="240" w:lineRule="auto"/>
      </w:pPr>
      <w:rPr>
        <w:b/>
        <w:bCs/>
        <w:color w:val="FFFFFF"/>
      </w:rPr>
      <w:tblPr/>
      <w:tcPr>
        <w:shd w:val="clear" w:color="auto" w:fill="5BC6E8"/>
      </w:tcPr>
    </w:tblStylePr>
    <w:tblStylePr w:type="lastRow">
      <w:pPr>
        <w:spacing w:before="0" w:after="0" w:line="240" w:lineRule="auto"/>
      </w:pPr>
      <w:rPr>
        <w:b/>
        <w:bCs/>
      </w:rPr>
      <w:tblPr/>
      <w:tcPr>
        <w:tcBorders>
          <w:top w:val="double" w:sz="6" w:space="0" w:color="5BC6E8"/>
          <w:left w:val="single" w:sz="8" w:space="0" w:color="5BC6E8"/>
          <w:bottom w:val="single" w:sz="8" w:space="0" w:color="5BC6E8"/>
          <w:right w:val="single" w:sz="8" w:space="0" w:color="5BC6E8"/>
        </w:tcBorders>
      </w:tcPr>
    </w:tblStylePr>
    <w:tblStylePr w:type="firstCol">
      <w:rPr>
        <w:b/>
        <w:bCs/>
      </w:rPr>
    </w:tblStylePr>
    <w:tblStylePr w:type="lastCol">
      <w:rPr>
        <w:b/>
        <w:bCs/>
      </w:rPr>
    </w:tblStylePr>
    <w:tblStylePr w:type="band1Vert">
      <w:tblPr/>
      <w:tcPr>
        <w:tcBorders>
          <w:top w:val="single" w:sz="8" w:space="0" w:color="5BC6E8"/>
          <w:left w:val="single" w:sz="8" w:space="0" w:color="5BC6E8"/>
          <w:bottom w:val="single" w:sz="8" w:space="0" w:color="5BC6E8"/>
          <w:right w:val="single" w:sz="8" w:space="0" w:color="5BC6E8"/>
        </w:tcBorders>
      </w:tcPr>
    </w:tblStylePr>
    <w:tblStylePr w:type="band1Horz">
      <w:tblPr/>
      <w:tcPr>
        <w:tcBorders>
          <w:top w:val="single" w:sz="8" w:space="0" w:color="5BC6E8"/>
          <w:left w:val="single" w:sz="8" w:space="0" w:color="5BC6E8"/>
          <w:bottom w:val="single" w:sz="8" w:space="0" w:color="5BC6E8"/>
          <w:right w:val="single" w:sz="8" w:space="0" w:color="5BC6E8"/>
        </w:tcBorders>
      </w:tcPr>
    </w:tblStylePr>
  </w:style>
  <w:style w:type="table" w:customStyle="1" w:styleId="LightList-Accent111">
    <w:name w:val="Light List - Accent 111"/>
    <w:basedOn w:val="TableNormal"/>
    <w:uiPriority w:val="61"/>
    <w:rsid w:val="00CB61F4"/>
    <w:pPr>
      <w:spacing w:after="0" w:line="240" w:lineRule="auto"/>
      <w:ind w:left="284" w:hanging="284"/>
    </w:pPr>
    <w:rPr>
      <w:rFonts w:ascii="Courier" w:eastAsia="Times New Roman" w:hAnsi="Courier" w:cs="Times New Roman"/>
      <w:sz w:val="20"/>
      <w:szCs w:val="20"/>
      <w:lang w:eastAsia="en-AU"/>
    </w:rPr>
    <w:tblPr>
      <w:tblStyleRowBandSize w:val="1"/>
      <w:tblStyleColBandSize w:val="1"/>
      <w:tblBorders>
        <w:top w:val="single" w:sz="8" w:space="0" w:color="BDDCDF" w:themeColor="accent1"/>
        <w:left w:val="single" w:sz="8" w:space="0" w:color="BDDCDF" w:themeColor="accent1"/>
        <w:bottom w:val="single" w:sz="8" w:space="0" w:color="BDDCDF" w:themeColor="accent1"/>
        <w:right w:val="single" w:sz="8" w:space="0" w:color="BDDCDF" w:themeColor="accent1"/>
      </w:tblBorders>
    </w:tblPr>
    <w:tblStylePr w:type="firstRow">
      <w:pPr>
        <w:spacing w:before="0" w:after="0" w:line="240" w:lineRule="auto"/>
      </w:pPr>
      <w:rPr>
        <w:b/>
        <w:bCs/>
        <w:color w:val="FFFFFF" w:themeColor="background1"/>
      </w:rPr>
      <w:tblPr/>
      <w:tcPr>
        <w:shd w:val="clear" w:color="auto" w:fill="BDDCDF" w:themeFill="accent1"/>
      </w:tcPr>
    </w:tblStylePr>
    <w:tblStylePr w:type="lastRow">
      <w:pPr>
        <w:spacing w:before="0" w:after="0" w:line="240" w:lineRule="auto"/>
      </w:pPr>
      <w:rPr>
        <w:b/>
        <w:bCs/>
      </w:rPr>
      <w:tblPr/>
      <w:tcPr>
        <w:tcBorders>
          <w:top w:val="double" w:sz="6" w:space="0" w:color="BDDCDF" w:themeColor="accent1"/>
          <w:left w:val="single" w:sz="8" w:space="0" w:color="BDDCDF" w:themeColor="accent1"/>
          <w:bottom w:val="single" w:sz="8" w:space="0" w:color="BDDCDF" w:themeColor="accent1"/>
          <w:right w:val="single" w:sz="8" w:space="0" w:color="BDDCDF" w:themeColor="accent1"/>
        </w:tcBorders>
      </w:tcPr>
    </w:tblStylePr>
    <w:tblStylePr w:type="firstCol">
      <w:rPr>
        <w:b/>
        <w:bCs/>
      </w:rPr>
    </w:tblStylePr>
    <w:tblStylePr w:type="lastCol">
      <w:rPr>
        <w:b/>
        <w:bCs/>
      </w:rPr>
    </w:tblStylePr>
    <w:tblStylePr w:type="band1Vert">
      <w:tblPr/>
      <w:tcPr>
        <w:tcBorders>
          <w:top w:val="single" w:sz="8" w:space="0" w:color="BDDCDF" w:themeColor="accent1"/>
          <w:left w:val="single" w:sz="8" w:space="0" w:color="BDDCDF" w:themeColor="accent1"/>
          <w:bottom w:val="single" w:sz="8" w:space="0" w:color="BDDCDF" w:themeColor="accent1"/>
          <w:right w:val="single" w:sz="8" w:space="0" w:color="BDDCDF" w:themeColor="accent1"/>
        </w:tcBorders>
      </w:tcPr>
    </w:tblStylePr>
    <w:tblStylePr w:type="band1Horz">
      <w:tblPr/>
      <w:tcPr>
        <w:tcBorders>
          <w:top w:val="single" w:sz="8" w:space="0" w:color="BDDCDF" w:themeColor="accent1"/>
          <w:left w:val="single" w:sz="8" w:space="0" w:color="BDDCDF" w:themeColor="accent1"/>
          <w:bottom w:val="single" w:sz="8" w:space="0" w:color="BDDCDF" w:themeColor="accent1"/>
          <w:right w:val="single" w:sz="8" w:space="0" w:color="BDDCDF" w:themeColor="accent1"/>
        </w:tcBorders>
      </w:tcPr>
    </w:tblStylePr>
  </w:style>
  <w:style w:type="character" w:customStyle="1" w:styleId="A2">
    <w:name w:val="A2"/>
    <w:uiPriority w:val="99"/>
    <w:rsid w:val="00827487"/>
    <w:rPr>
      <w:rFonts w:cs="Minion Pro"/>
      <w:color w:val="000000"/>
      <w:sz w:val="15"/>
      <w:szCs w:val="15"/>
    </w:rPr>
  </w:style>
  <w:style w:type="paragraph" w:customStyle="1" w:styleId="Pa15">
    <w:name w:val="Pa15"/>
    <w:basedOn w:val="Normal"/>
    <w:next w:val="Normal"/>
    <w:uiPriority w:val="99"/>
    <w:rsid w:val="00827487"/>
    <w:pPr>
      <w:suppressAutoHyphens w:val="0"/>
      <w:autoSpaceDE w:val="0"/>
      <w:autoSpaceDN w:val="0"/>
      <w:adjustRightInd w:val="0"/>
      <w:spacing w:before="0" w:after="0" w:line="241" w:lineRule="atLeast"/>
    </w:pPr>
    <w:rPr>
      <w:rFonts w:ascii="DINOT-Bold" w:eastAsia="Times New Roman" w:hAnsi="DINOT-Bold" w:cs="Times New Roman"/>
      <w:sz w:val="24"/>
      <w:szCs w:val="24"/>
      <w:lang w:eastAsia="en-AU"/>
    </w:rPr>
  </w:style>
  <w:style w:type="paragraph" w:customStyle="1" w:styleId="Pa25">
    <w:name w:val="Pa25"/>
    <w:basedOn w:val="Normal"/>
    <w:next w:val="Normal"/>
    <w:uiPriority w:val="99"/>
    <w:rsid w:val="00827487"/>
    <w:pPr>
      <w:suppressAutoHyphens w:val="0"/>
      <w:autoSpaceDE w:val="0"/>
      <w:autoSpaceDN w:val="0"/>
      <w:adjustRightInd w:val="0"/>
      <w:spacing w:before="0" w:after="0" w:line="221" w:lineRule="atLeast"/>
    </w:pPr>
    <w:rPr>
      <w:rFonts w:ascii="Minion Pro" w:eastAsia="Times New Roman" w:hAnsi="Minion Pro" w:cs="Times New Roman"/>
      <w:sz w:val="24"/>
      <w:szCs w:val="24"/>
      <w:lang w:eastAsia="en-AU"/>
    </w:rPr>
  </w:style>
  <w:style w:type="paragraph" w:customStyle="1" w:styleId="Default">
    <w:name w:val="Default"/>
    <w:rsid w:val="00827487"/>
    <w:pPr>
      <w:autoSpaceDE w:val="0"/>
      <w:autoSpaceDN w:val="0"/>
      <w:adjustRightInd w:val="0"/>
      <w:spacing w:after="0" w:line="240" w:lineRule="auto"/>
    </w:pPr>
    <w:rPr>
      <w:rFonts w:ascii="Cambria" w:eastAsia="Times New Roman" w:hAnsi="Cambria" w:cs="Cambria"/>
      <w:color w:val="000000"/>
      <w:sz w:val="24"/>
      <w:szCs w:val="24"/>
      <w:lang w:eastAsia="en-AU"/>
    </w:rPr>
  </w:style>
  <w:style w:type="paragraph" w:styleId="BodyText20">
    <w:name w:val="Body Text 2"/>
    <w:basedOn w:val="Normal"/>
    <w:link w:val="BodyText2Char"/>
    <w:uiPriority w:val="99"/>
    <w:semiHidden/>
    <w:rsid w:val="00542276"/>
    <w:pPr>
      <w:suppressAutoHyphens w:val="0"/>
      <w:autoSpaceDE w:val="0"/>
      <w:autoSpaceDN w:val="0"/>
      <w:adjustRightInd w:val="0"/>
      <w:spacing w:before="0" w:after="0" w:line="240" w:lineRule="auto"/>
    </w:pPr>
    <w:rPr>
      <w:rFonts w:eastAsia="Times New Roman" w:cs="Cambria"/>
      <w:color w:val="000000"/>
      <w:szCs w:val="23"/>
      <w:lang w:eastAsia="en-AU"/>
    </w:rPr>
  </w:style>
  <w:style w:type="character" w:customStyle="1" w:styleId="BodyText2Char">
    <w:name w:val="Body Text 2 Char"/>
    <w:basedOn w:val="DefaultParagraphFont"/>
    <w:link w:val="BodyText20"/>
    <w:uiPriority w:val="99"/>
    <w:semiHidden/>
    <w:rsid w:val="00542276"/>
    <w:rPr>
      <w:rFonts w:eastAsia="Times New Roman" w:cs="Cambria"/>
      <w:color w:val="000000"/>
      <w:szCs w:val="23"/>
      <w:lang w:eastAsia="en-AU"/>
    </w:rPr>
  </w:style>
  <w:style w:type="paragraph" w:customStyle="1" w:styleId="Bullet">
    <w:name w:val="Bullet"/>
    <w:basedOn w:val="Normal"/>
    <w:qFormat/>
    <w:rsid w:val="00542276"/>
    <w:pPr>
      <w:numPr>
        <w:numId w:val="14"/>
      </w:numPr>
      <w:suppressAutoHyphens w:val="0"/>
      <w:spacing w:before="0" w:after="240" w:line="240" w:lineRule="atLeast"/>
    </w:pPr>
    <w:rPr>
      <w:rFonts w:ascii="Times New Roman" w:hAnsi="Times New Roman"/>
      <w:sz w:val="24"/>
      <w:szCs w:val="20"/>
    </w:rPr>
  </w:style>
  <w:style w:type="paragraph" w:styleId="NormalWeb">
    <w:name w:val="Normal (Web)"/>
    <w:basedOn w:val="Normal"/>
    <w:uiPriority w:val="99"/>
    <w:semiHidden/>
    <w:unhideWhenUsed/>
    <w:rsid w:val="00542276"/>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Paragraph1 Char,List Paragraph11 Char,Bullet point Char,NFP GP Bulleted List Char,L Char,bullet point list Char,1 heading Char,Bulleted Para Char,Bullet points Char,Content descriptions Char,Bullet Point Char,NAST Quote Char"/>
    <w:basedOn w:val="DefaultParagraphFont"/>
    <w:link w:val="ListParagraph"/>
    <w:uiPriority w:val="34"/>
    <w:locked/>
    <w:rsid w:val="00542276"/>
    <w:rPr>
      <w:rFonts w:ascii="Cambria" w:eastAsia="Cambria" w:hAnsi="Cambria" w:cs="Times New Roman"/>
    </w:rPr>
  </w:style>
  <w:style w:type="paragraph" w:customStyle="1" w:styleId="Style5">
    <w:name w:val="Style5"/>
    <w:basedOn w:val="Normal"/>
    <w:uiPriority w:val="99"/>
    <w:qFormat/>
    <w:rsid w:val="00240607"/>
    <w:pPr>
      <w:numPr>
        <w:numId w:val="16"/>
      </w:numPr>
      <w:suppressAutoHyphens w:val="0"/>
      <w:spacing w:before="0"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3.xml"/><Relationship Id="rId26" Type="http://schemas.openxmlformats.org/officeDocument/2006/relationships/hyperlink" Target="http://www.finance.gov.au/resource-management/pgpa-act/60" TargetMode="External"/><Relationship Id="rId39" Type="http://schemas.openxmlformats.org/officeDocument/2006/relationships/hyperlink" Target="http://www.finance.gov.au/resource-management/pgpa-act/23/" TargetMode="External"/><Relationship Id="rId3" Type="http://schemas.openxmlformats.org/officeDocument/2006/relationships/styles" Target="styles.xml"/><Relationship Id="rId21" Type="http://schemas.openxmlformats.org/officeDocument/2006/relationships/hyperlink" Target="http://www.finance.gov.au/resource-management/pgpa-delegations" TargetMode="External"/><Relationship Id="rId34" Type="http://schemas.openxmlformats.org/officeDocument/2006/relationships/hyperlink" Target="http://www.finance.gov.au/resource-management/pgpa-act/110" TargetMode="External"/><Relationship Id="rId42" Type="http://schemas.openxmlformats.org/officeDocument/2006/relationships/hyperlink" Target="http://www.finance.gov.au/comcover/risk-management/the-commonwealth-risk-management-policy/"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3.0/au/" TargetMode="External"/><Relationship Id="rId17" Type="http://schemas.openxmlformats.org/officeDocument/2006/relationships/header" Target="header3.xml"/><Relationship Id="rId25" Type="http://schemas.openxmlformats.org/officeDocument/2006/relationships/hyperlink" Target="http://www.finance.gov.au/comcover/risk-management/the-commonwealth-risk-management-policy/" TargetMode="External"/><Relationship Id="rId33" Type="http://schemas.openxmlformats.org/officeDocument/2006/relationships/hyperlink" Target="https://www.finance.gov.au/resource-management/pgpa-legislation/delegations/" TargetMode="External"/><Relationship Id="rId38" Type="http://schemas.openxmlformats.org/officeDocument/2006/relationships/hyperlink" Target="http://www.finance.gov.au/resource-management/pgpa-act/23/"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finance.gov.au/resource-management/" TargetMode="External"/><Relationship Id="rId20" Type="http://schemas.openxmlformats.org/officeDocument/2006/relationships/footer" Target="footer4.xml"/><Relationship Id="rId29" Type="http://schemas.openxmlformats.org/officeDocument/2006/relationships/hyperlink" Target="http://www.finance.gov.au/comcover/insurance/" TargetMode="External"/><Relationship Id="rId41" Type="http://schemas.openxmlformats.org/officeDocument/2006/relationships/hyperlink" Target="http://www.finance.gov.au/resource-management/pgpa-act/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inance.gov.au/resource-management/spending/" TargetMode="External"/><Relationship Id="rId32" Type="http://schemas.openxmlformats.org/officeDocument/2006/relationships/hyperlink" Target="http://www.finance.gov.au/resource-management/pgpa-act/60" TargetMode="External"/><Relationship Id="rId37" Type="http://schemas.openxmlformats.org/officeDocument/2006/relationships/hyperlink" Target="http://www.finance.gov.au/resource-management/pgpa-act/60/" TargetMode="External"/><Relationship Id="rId40" Type="http://schemas.openxmlformats.org/officeDocument/2006/relationships/hyperlink" Target="http://www.finance.gov.au/resource-management/pgpa-act/25" TargetMode="External"/><Relationship Id="rId45" Type="http://schemas.openxmlformats.org/officeDocument/2006/relationships/hyperlink" Target="http://www.finance.gov.au/resource-management/reporting-accounting/financial-reporting/" TargetMode="External"/><Relationship Id="rId5" Type="http://schemas.openxmlformats.org/officeDocument/2006/relationships/webSettings" Target="webSettings.xml"/><Relationship Id="rId15" Type="http://schemas.openxmlformats.org/officeDocument/2006/relationships/hyperlink" Target="mailto:pgpa@finance.gov.au" TargetMode="External"/><Relationship Id="rId23" Type="http://schemas.openxmlformats.org/officeDocument/2006/relationships/hyperlink" Target="http://www.finance.gov.au/resource-management/accountability/accountable-authority-instructions/" TargetMode="External"/><Relationship Id="rId28" Type="http://schemas.openxmlformats.org/officeDocument/2006/relationships/hyperlink" Target="https://www.legislation.gov.au/Series/C2004A00109" TargetMode="External"/><Relationship Id="rId36" Type="http://schemas.openxmlformats.org/officeDocument/2006/relationships/hyperlink" Target="http://www.finance.gov.au/resource-management/pgpa-act/60"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mailto:comcover@comcover.com.au" TargetMode="External"/><Relationship Id="rId44" Type="http://schemas.openxmlformats.org/officeDocument/2006/relationships/hyperlink" Target="http://www.budget.gov.au/2016-17/content/bp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tsanhonour.gov.au/coat-arms/" TargetMode="External"/><Relationship Id="rId22" Type="http://schemas.openxmlformats.org/officeDocument/2006/relationships/hyperlink" Target="http://www.finance.gov.au/resource-management/accountability/officials/" TargetMode="External"/><Relationship Id="rId27" Type="http://schemas.openxmlformats.org/officeDocument/2006/relationships/hyperlink" Target="https://www.finance.gov.au/resource-management/pgpa-legislation/delegations/" TargetMode="External"/><Relationship Id="rId30" Type="http://schemas.openxmlformats.org/officeDocument/2006/relationships/hyperlink" Target="http://www.finance.gov.au/comcover/insurance/" TargetMode="External"/><Relationship Id="rId35" Type="http://schemas.openxmlformats.org/officeDocument/2006/relationships/hyperlink" Target="http://www.finance.gov.au/comcover/insurance/" TargetMode="External"/><Relationship Id="rId43" Type="http://schemas.openxmlformats.org/officeDocument/2006/relationships/hyperlink" Target="https://www.legislation.gov.au/Series/C2004A05333" TargetMode="External"/><Relationship Id="rId48" Type="http://schemas.openxmlformats.org/officeDocument/2006/relationships/hyperlink" Target="http://www.finance.gov.au/resource-management/pgpa-act/60"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0FAC-96A0-4DA2-9EA7-1C89534F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4400</Words>
  <Characters>25083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Indemnities, guarantees and warranties</vt:lpstr>
    </vt:vector>
  </TitlesOfParts>
  <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Indemnities, guarantees and warranties</dc:title>
  <dc:subject/>
  <dc:creator>DepartmentofFinance@finance.gov.au</dc:creator>
  <cp:keywords/>
  <dc:description/>
  <cp:lastModifiedBy>Druett, Terri</cp:lastModifiedBy>
  <cp:revision>4</cp:revision>
  <cp:lastPrinted>2021-06-01T05:02:00Z</cp:lastPrinted>
  <dcterms:created xsi:type="dcterms:W3CDTF">2021-06-01T04:20:00Z</dcterms:created>
  <dcterms:modified xsi:type="dcterms:W3CDTF">2021-06-01T05:26:00Z</dcterms:modified>
  <cp:contentStatus/>
</cp:coreProperties>
</file>