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45" w:rsidRDefault="00837145">
      <w:pPr>
        <w:pStyle w:val="BodyText"/>
        <w:rPr>
          <w:rFonts w:ascii="Times New Roman"/>
          <w:sz w:val="20"/>
        </w:rPr>
      </w:pPr>
    </w:p>
    <w:p w:rsidR="00837145" w:rsidRDefault="00837145">
      <w:pPr>
        <w:pStyle w:val="BodyText"/>
        <w:rPr>
          <w:sz w:val="20"/>
        </w:rPr>
      </w:pPr>
    </w:p>
    <w:p w:rsidR="00837145" w:rsidRDefault="00837145">
      <w:pPr>
        <w:pStyle w:val="BodyText"/>
        <w:rPr>
          <w:sz w:val="20"/>
        </w:rPr>
      </w:pPr>
    </w:p>
    <w:p w:rsidR="00837145" w:rsidRDefault="0092692F">
      <w:pPr>
        <w:pStyle w:val="Heading1"/>
        <w:spacing w:before="233"/>
      </w:pPr>
      <w:r>
        <w:rPr>
          <w:color w:val="1C1C1C"/>
        </w:rPr>
        <w:t>Ap</w:t>
      </w:r>
      <w:r>
        <w:rPr>
          <w:color w:val="1C1C1C"/>
        </w:rPr>
        <w:t>pendix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A: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Calculations</w:t>
      </w:r>
    </w:p>
    <w:p w:rsidR="00837145" w:rsidRDefault="0092692F">
      <w:pPr>
        <w:pStyle w:val="BodyText"/>
        <w:spacing w:before="207" w:line="266" w:lineRule="auto"/>
        <w:ind w:left="1418" w:right="1423"/>
      </w:pPr>
      <w:r>
        <w:t>This table is an example of calculating which organisations should be reported in an annual</w:t>
      </w:r>
      <w:r>
        <w:rPr>
          <w:spacing w:val="1"/>
        </w:rPr>
        <w:t xml:space="preserve"> </w:t>
      </w:r>
      <w:r>
        <w:t>report to satisfy the requirements in sections 17AGA(2) and 17AGA(3) (i.e. organisations that</w:t>
      </w:r>
      <w:r>
        <w:rPr>
          <w:spacing w:val="-59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shares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consultancy</w:t>
      </w:r>
      <w:r>
        <w:rPr>
          <w:spacing w:val="-3"/>
        </w:rPr>
        <w:t xml:space="preserve"> </w:t>
      </w:r>
      <w:r>
        <w:t>and non-consultancy</w:t>
      </w:r>
      <w:r>
        <w:rPr>
          <w:spacing w:val="-3"/>
        </w:rPr>
        <w:t xml:space="preserve"> </w:t>
      </w:r>
      <w:r>
        <w:t>reporting expen</w:t>
      </w:r>
      <w:r>
        <w:t>diture).</w:t>
      </w:r>
    </w:p>
    <w:p w:rsidR="00837145" w:rsidRDefault="0092692F">
      <w:pPr>
        <w:spacing w:before="175"/>
        <w:ind w:left="1418"/>
        <w:rPr>
          <w:b/>
        </w:rPr>
      </w:pP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reporting;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for illustrative</w:t>
      </w:r>
      <w:r>
        <w:rPr>
          <w:b/>
          <w:spacing w:val="-2"/>
        </w:rPr>
        <w:t xml:space="preserve"> </w:t>
      </w:r>
      <w:r>
        <w:rPr>
          <w:b/>
        </w:rPr>
        <w:t>purposes</w:t>
      </w:r>
      <w:r>
        <w:rPr>
          <w:b/>
          <w:spacing w:val="-5"/>
        </w:rPr>
        <w:t xml:space="preserve"> </w:t>
      </w:r>
      <w:r>
        <w:rPr>
          <w:b/>
        </w:rPr>
        <w:t>only.</w:t>
      </w:r>
    </w:p>
    <w:p w:rsidR="00837145" w:rsidRDefault="00837145">
      <w:pPr>
        <w:pStyle w:val="BodyText"/>
        <w:spacing w:before="11"/>
        <w:rPr>
          <w:b/>
          <w:sz w:val="29"/>
        </w:r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2450"/>
        <w:gridCol w:w="2716"/>
      </w:tblGrid>
      <w:tr w:rsidR="00837145">
        <w:trPr>
          <w:trHeight w:val="678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C5C5C5"/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C5C5C5"/>
          </w:tcPr>
          <w:p w:rsidR="00837145" w:rsidRDefault="0092692F">
            <w:pPr>
              <w:pStyle w:val="TableParagraph"/>
              <w:spacing w:before="53" w:line="280" w:lineRule="atLeast"/>
              <w:ind w:left="463" w:right="183" w:hanging="257"/>
              <w:rPr>
                <w:b/>
                <w:sz w:val="18"/>
              </w:rPr>
            </w:pPr>
            <w:r>
              <w:rPr>
                <w:b/>
                <w:sz w:val="18"/>
              </w:rPr>
              <w:t>Reportable consultancy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expenditure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C5C5C5"/>
          </w:tcPr>
          <w:p w:rsidR="00837145" w:rsidRDefault="0092692F">
            <w:pPr>
              <w:pStyle w:val="TableParagraph"/>
              <w:spacing w:before="53" w:line="280" w:lineRule="atLeast"/>
              <w:ind w:left="848" w:right="68" w:hanging="651"/>
              <w:rPr>
                <w:b/>
                <w:sz w:val="18"/>
              </w:rPr>
            </w:pPr>
            <w:r>
              <w:rPr>
                <w:b/>
                <w:sz w:val="18"/>
              </w:rPr>
              <w:t>Reportable non-consultancy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expenditure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E1E2E1"/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E1E2E1"/>
          </w:tcPr>
          <w:p w:rsidR="00837145" w:rsidRDefault="0092692F">
            <w:pPr>
              <w:pStyle w:val="TableParagraph"/>
              <w:ind w:right="2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E1E2E1"/>
          </w:tcPr>
          <w:p w:rsidR="00837145" w:rsidRDefault="0092692F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spacing w:before="134"/>
              <w:ind w:left="98"/>
              <w:rPr>
                <w:sz w:val="18"/>
              </w:rPr>
            </w:pPr>
            <w:r>
              <w:rPr>
                <w:sz w:val="18"/>
              </w:rPr>
              <w:t>Finest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(Evaluations)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spacing w:before="134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$2,500,000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Finest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$1,800,000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$3,000,000</w:t>
            </w:r>
          </w:p>
        </w:tc>
      </w:tr>
      <w:tr w:rsidR="00837145">
        <w:trPr>
          <w:trHeight w:val="398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Consultants R 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$500,000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spacing w:before="135"/>
              <w:ind w:left="98"/>
              <w:rPr>
                <w:sz w:val="18"/>
              </w:rPr>
            </w:pP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spacing w:before="135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$200,000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Assistants-On-Call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$1,500,000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Genius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Communications 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$4,000,000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Skilful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$2,000,000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Advisors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 Sons Pty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$8,000,000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7145">
        <w:trPr>
          <w:trHeight w:val="397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Specialists 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$80,000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spacing w:before="136"/>
              <w:ind w:left="98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spacing w:before="136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$2,300,000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Genius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$900,000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Holdings Pty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8371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$500,000</w:t>
            </w:r>
          </w:p>
        </w:tc>
      </w:tr>
      <w:tr w:rsidR="00837145">
        <w:trPr>
          <w:trHeight w:val="400"/>
        </w:trPr>
        <w:tc>
          <w:tcPr>
            <w:tcW w:w="3922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C5C5C5"/>
          </w:tcPr>
          <w:p w:rsidR="00837145" w:rsidRDefault="0092692F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expenditure</w:t>
            </w:r>
          </w:p>
        </w:tc>
        <w:tc>
          <w:tcPr>
            <w:tcW w:w="2450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C5C5C5"/>
          </w:tcPr>
          <w:p w:rsidR="00837145" w:rsidRDefault="0092692F"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$13,080,000</w:t>
            </w:r>
          </w:p>
        </w:tc>
        <w:tc>
          <w:tcPr>
            <w:tcW w:w="2716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C5C5C5"/>
          </w:tcPr>
          <w:p w:rsidR="00837145" w:rsidRDefault="0092692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$14,200,000</w:t>
            </w:r>
          </w:p>
        </w:tc>
      </w:tr>
    </w:tbl>
    <w:p w:rsidR="00837145" w:rsidRDefault="00837145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3462"/>
        <w:gridCol w:w="1879"/>
      </w:tblGrid>
      <w:tr w:rsidR="00837145">
        <w:trPr>
          <w:trHeight w:val="400"/>
        </w:trPr>
        <w:tc>
          <w:tcPr>
            <w:tcW w:w="3747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E1E2E1"/>
          </w:tcPr>
          <w:p w:rsidR="00837145" w:rsidRDefault="0092692F">
            <w:pPr>
              <w:pStyle w:val="TableParagraph"/>
              <w:spacing w:before="128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5%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of total expenditure</w:t>
            </w:r>
          </w:p>
        </w:tc>
        <w:tc>
          <w:tcPr>
            <w:tcW w:w="3462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E1E2E1"/>
          </w:tcPr>
          <w:p w:rsidR="00837145" w:rsidRDefault="0092692F">
            <w:pPr>
              <w:pStyle w:val="TableParagraph"/>
              <w:spacing w:before="128"/>
              <w:ind w:left="1668"/>
              <w:rPr>
                <w:b/>
                <w:sz w:val="18"/>
              </w:rPr>
            </w:pPr>
            <w:r>
              <w:rPr>
                <w:b/>
                <w:sz w:val="18"/>
              </w:rPr>
              <w:t>$654,000</w:t>
            </w:r>
          </w:p>
        </w:tc>
        <w:tc>
          <w:tcPr>
            <w:tcW w:w="1879" w:type="dxa"/>
            <w:tcBorders>
              <w:top w:val="single" w:sz="4" w:space="0" w:color="1C1C1C"/>
              <w:bottom w:val="single" w:sz="4" w:space="0" w:color="1C1C1C"/>
            </w:tcBorders>
            <w:shd w:val="clear" w:color="auto" w:fill="E1E2E1"/>
          </w:tcPr>
          <w:p w:rsidR="00837145" w:rsidRDefault="0092692F">
            <w:pPr>
              <w:pStyle w:val="TableParagraph"/>
              <w:spacing w:before="128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$710,000</w:t>
            </w:r>
          </w:p>
        </w:tc>
      </w:tr>
    </w:tbl>
    <w:p w:rsidR="00837145" w:rsidRDefault="00837145">
      <w:pPr>
        <w:pStyle w:val="BodyText"/>
        <w:spacing w:before="2"/>
        <w:rPr>
          <w:b/>
          <w:sz w:val="31"/>
        </w:rPr>
      </w:pPr>
    </w:p>
    <w:p w:rsidR="00837145" w:rsidRDefault="0092692F">
      <w:pPr>
        <w:spacing w:before="1"/>
        <w:ind w:left="1418"/>
        <w:rPr>
          <w:sz w:val="30"/>
        </w:rPr>
      </w:pPr>
      <w:r>
        <w:rPr>
          <w:color w:val="1C1C1C"/>
          <w:sz w:val="30"/>
        </w:rPr>
        <w:t>Reportable</w:t>
      </w:r>
      <w:r>
        <w:rPr>
          <w:color w:val="1C1C1C"/>
          <w:spacing w:val="-2"/>
          <w:sz w:val="30"/>
        </w:rPr>
        <w:t xml:space="preserve"> </w:t>
      </w:r>
      <w:r>
        <w:rPr>
          <w:color w:val="1C1C1C"/>
          <w:sz w:val="30"/>
        </w:rPr>
        <w:t>consultancy</w:t>
      </w:r>
      <w:r>
        <w:rPr>
          <w:color w:val="1C1C1C"/>
          <w:spacing w:val="-6"/>
          <w:sz w:val="30"/>
        </w:rPr>
        <w:t xml:space="preserve"> </w:t>
      </w:r>
      <w:r>
        <w:rPr>
          <w:color w:val="1C1C1C"/>
          <w:sz w:val="30"/>
        </w:rPr>
        <w:t>contracts</w:t>
      </w:r>
    </w:p>
    <w:p w:rsidR="00837145" w:rsidRDefault="0092692F">
      <w:pPr>
        <w:pStyle w:val="BodyText"/>
        <w:spacing w:before="205" w:line="266" w:lineRule="auto"/>
        <w:ind w:left="1418" w:right="1410"/>
      </w:pPr>
      <w:r>
        <w:t>In this example, Department A has 6 new and ongoing consultancy contacts in the 2020-21</w:t>
      </w:r>
      <w:r>
        <w:rPr>
          <w:spacing w:val="1"/>
        </w:rPr>
        <w:t xml:space="preserve"> </w:t>
      </w:r>
      <w:r>
        <w:t>reporting period. To meet its reporting requirements under section 17AGA(2), Department A</w:t>
      </w:r>
      <w:r>
        <w:rPr>
          <w:spacing w:val="1"/>
        </w:rPr>
        <w:t xml:space="preserve"> </w:t>
      </w:r>
      <w:r>
        <w:t xml:space="preserve">would need to report the organisations that received the 5 largest shares AND </w:t>
      </w:r>
      <w:r>
        <w:t>all those</w:t>
      </w:r>
      <w:r>
        <w:rPr>
          <w:spacing w:val="1"/>
        </w:rPr>
        <w:t xml:space="preserve"> </w:t>
      </w:r>
      <w:r>
        <w:t>organisations that received at least 5% of the total expenditure on consultancy contracts. The</w:t>
      </w:r>
      <w:r>
        <w:rPr>
          <w:spacing w:val="-59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reporting table is on page</w:t>
      </w:r>
      <w:r>
        <w:rPr>
          <w:spacing w:val="-2"/>
        </w:rPr>
        <w:t xml:space="preserve"> </w:t>
      </w:r>
      <w:r>
        <w:t>5.</w:t>
      </w:r>
    </w:p>
    <w:p w:rsidR="00837145" w:rsidRDefault="0092692F">
      <w:pPr>
        <w:pStyle w:val="BodyText"/>
        <w:spacing w:before="176" w:line="266" w:lineRule="auto"/>
        <w:ind w:left="1418" w:right="1483"/>
      </w:pPr>
      <w:r>
        <w:t>Consultants R Us Pty Ltd and Best Expert Advice Pty Ltd are reported because they are one</w:t>
      </w:r>
      <w:r>
        <w:rPr>
          <w:spacing w:val="-59"/>
        </w:rPr>
        <w:t xml:space="preserve"> </w:t>
      </w:r>
      <w:r>
        <w:t xml:space="preserve">of the organisations </w:t>
      </w:r>
      <w:r>
        <w:t>that received the 5 largest shares, even if they did not receive at least</w:t>
      </w:r>
      <w:r>
        <w:rPr>
          <w:spacing w:val="1"/>
        </w:rPr>
        <w:t xml:space="preserve"> </w:t>
      </w:r>
      <w:r>
        <w:t>5% of the total expenditure on reportable consultancy contracts. IT Specialists Ltd is not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criteria.</w:t>
      </w:r>
    </w:p>
    <w:p w:rsidR="00837145" w:rsidRDefault="00837145">
      <w:pPr>
        <w:spacing w:line="266" w:lineRule="auto"/>
        <w:sectPr w:rsidR="00837145">
          <w:headerReference w:type="default" r:id="rId7"/>
          <w:footerReference w:type="default" r:id="rId8"/>
          <w:pgSz w:w="11910" w:h="16840"/>
          <w:pgMar w:top="1180" w:right="0" w:bottom="1160" w:left="0" w:header="863" w:footer="975" w:gutter="0"/>
          <w:cols w:space="720"/>
        </w:sectPr>
      </w:pPr>
    </w:p>
    <w:p w:rsidR="00837145" w:rsidRDefault="00837145">
      <w:pPr>
        <w:pStyle w:val="BodyText"/>
        <w:rPr>
          <w:sz w:val="20"/>
        </w:rPr>
      </w:pPr>
    </w:p>
    <w:p w:rsidR="00837145" w:rsidRDefault="00837145">
      <w:pPr>
        <w:pStyle w:val="BodyText"/>
        <w:rPr>
          <w:sz w:val="20"/>
        </w:rPr>
      </w:pPr>
    </w:p>
    <w:p w:rsidR="00837145" w:rsidRDefault="0092692F">
      <w:pPr>
        <w:pStyle w:val="Heading2"/>
        <w:spacing w:before="225"/>
      </w:pPr>
      <w:r>
        <w:rPr>
          <w:color w:val="1C1C1C"/>
        </w:rPr>
        <w:t>Reportable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non-consu</w:t>
      </w:r>
      <w:r>
        <w:rPr>
          <w:color w:val="1C1C1C"/>
        </w:rPr>
        <w:t>ltancy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contracts</w:t>
      </w:r>
    </w:p>
    <w:p w:rsidR="00837145" w:rsidRDefault="0092692F">
      <w:pPr>
        <w:pStyle w:val="BodyText"/>
        <w:spacing w:before="206" w:line="266" w:lineRule="auto"/>
        <w:ind w:left="1418" w:right="1484"/>
      </w:pPr>
      <w:r>
        <w:t>In this example, Department A had 8 new and ongoing non-consultancy contracts in the</w:t>
      </w:r>
      <w:r>
        <w:rPr>
          <w:spacing w:val="1"/>
        </w:rPr>
        <w:t xml:space="preserve"> </w:t>
      </w:r>
      <w:r>
        <w:t>2020-21 reporting period. To meet its reporting requirements under section 17AGA(3),</w:t>
      </w:r>
      <w:r>
        <w:rPr>
          <w:spacing w:val="1"/>
        </w:rPr>
        <w:t xml:space="preserve"> </w:t>
      </w:r>
      <w:r>
        <w:t>Department A would need to report the organisations that received the</w:t>
      </w:r>
      <w:r>
        <w:t xml:space="preserve"> 5 largest shares AND</w:t>
      </w:r>
      <w:r>
        <w:rPr>
          <w:spacing w:val="-59"/>
        </w:rPr>
        <w:t xml:space="preserve"> </w:t>
      </w:r>
      <w:r>
        <w:t>all those organisations that received at least 5% of the total expenditure on non-consultancy</w:t>
      </w:r>
      <w:r>
        <w:rPr>
          <w:spacing w:val="1"/>
        </w:rPr>
        <w:t xml:space="preserve"> </w:t>
      </w:r>
      <w:r>
        <w:t>contracts.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 reporting table is on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6.</w:t>
      </w:r>
    </w:p>
    <w:p w:rsidR="00837145" w:rsidRDefault="0092692F">
      <w:pPr>
        <w:pStyle w:val="BodyText"/>
        <w:spacing w:before="175" w:line="266" w:lineRule="auto"/>
        <w:ind w:left="1418" w:right="1520"/>
      </w:pPr>
      <w:r>
        <w:t xml:space="preserve">Property Holdings Pty Ltd is not reported in the annual report because it is not one </w:t>
      </w:r>
      <w:r>
        <w:t>of the</w:t>
      </w:r>
      <w:r>
        <w:rPr>
          <w:spacing w:val="1"/>
        </w:rPr>
        <w:t xml:space="preserve"> </w:t>
      </w:r>
      <w:r>
        <w:t>organisations that received the 5 largest shares and it did not receive at least 5% of the total</w:t>
      </w:r>
      <w:r>
        <w:rPr>
          <w:spacing w:val="-59"/>
        </w:rPr>
        <w:t xml:space="preserve"> </w:t>
      </w:r>
      <w:r>
        <w:t>expenditure on non-consultancy</w:t>
      </w:r>
      <w:r>
        <w:rPr>
          <w:spacing w:val="-2"/>
        </w:rPr>
        <w:t xml:space="preserve"> </w:t>
      </w:r>
      <w:r>
        <w:t>contrac</w:t>
      </w:r>
      <w:bookmarkStart w:id="0" w:name="_GoBack"/>
      <w:bookmarkEnd w:id="0"/>
      <w:r>
        <w:t>ts.</w:t>
      </w:r>
    </w:p>
    <w:sectPr w:rsidR="00837145">
      <w:pgSz w:w="11910" w:h="16840"/>
      <w:pgMar w:top="1180" w:right="0" w:bottom="1160" w:left="0" w:header="863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692F">
      <w:r>
        <w:separator/>
      </w:r>
    </w:p>
  </w:endnote>
  <w:endnote w:type="continuationSeparator" w:id="0">
    <w:p w:rsidR="00000000" w:rsidRDefault="009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45" w:rsidRDefault="0092692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5pt;margin-top:782.15pt;width:9.9pt;height:9.8pt;z-index:-16162304;mso-position-horizontal-relative:page;mso-position-vertical-relative:page" filled="f" stroked="f">
          <v:textbox inset="0,0,0,0">
            <w:txbxContent>
              <w:p w:rsidR="00837145" w:rsidRDefault="0092692F">
                <w:pPr>
                  <w:spacing w:before="14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692F">
      <w:r>
        <w:separator/>
      </w:r>
    </w:p>
  </w:footnote>
  <w:footnote w:type="continuationSeparator" w:id="0">
    <w:p w:rsidR="00000000" w:rsidRDefault="0092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45" w:rsidRDefault="0083714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2AC2"/>
    <w:multiLevelType w:val="hybridMultilevel"/>
    <w:tmpl w:val="36EA2E80"/>
    <w:lvl w:ilvl="0" w:tplc="311ED6DE">
      <w:numFmt w:val="bullet"/>
      <w:lvlText w:val=""/>
      <w:lvlJc w:val="left"/>
      <w:pPr>
        <w:ind w:left="1702" w:hanging="284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863E8580">
      <w:numFmt w:val="bullet"/>
      <w:lvlText w:val=""/>
      <w:lvlJc w:val="left"/>
      <w:pPr>
        <w:ind w:left="2270" w:hanging="286"/>
      </w:pPr>
      <w:rPr>
        <w:rFonts w:ascii="Symbol" w:eastAsia="Symbol" w:hAnsi="Symbol" w:cs="Symbol" w:hint="default"/>
        <w:color w:val="1C1C1C"/>
        <w:w w:val="100"/>
        <w:sz w:val="22"/>
        <w:szCs w:val="22"/>
        <w:lang w:val="en-AU" w:eastAsia="en-US" w:bidi="ar-SA"/>
      </w:rPr>
    </w:lvl>
    <w:lvl w:ilvl="2" w:tplc="F990B3B6">
      <w:numFmt w:val="bullet"/>
      <w:lvlText w:val="•"/>
      <w:lvlJc w:val="left"/>
      <w:pPr>
        <w:ind w:left="3349" w:hanging="286"/>
      </w:pPr>
      <w:rPr>
        <w:rFonts w:hint="default"/>
        <w:lang w:val="en-AU" w:eastAsia="en-US" w:bidi="ar-SA"/>
      </w:rPr>
    </w:lvl>
    <w:lvl w:ilvl="3" w:tplc="04BE5F34">
      <w:numFmt w:val="bullet"/>
      <w:lvlText w:val="•"/>
      <w:lvlJc w:val="left"/>
      <w:pPr>
        <w:ind w:left="4419" w:hanging="286"/>
      </w:pPr>
      <w:rPr>
        <w:rFonts w:hint="default"/>
        <w:lang w:val="en-AU" w:eastAsia="en-US" w:bidi="ar-SA"/>
      </w:rPr>
    </w:lvl>
    <w:lvl w:ilvl="4" w:tplc="BC60238A">
      <w:numFmt w:val="bullet"/>
      <w:lvlText w:val="•"/>
      <w:lvlJc w:val="left"/>
      <w:pPr>
        <w:ind w:left="5488" w:hanging="286"/>
      </w:pPr>
      <w:rPr>
        <w:rFonts w:hint="default"/>
        <w:lang w:val="en-AU" w:eastAsia="en-US" w:bidi="ar-SA"/>
      </w:rPr>
    </w:lvl>
    <w:lvl w:ilvl="5" w:tplc="B142BB38">
      <w:numFmt w:val="bullet"/>
      <w:lvlText w:val="•"/>
      <w:lvlJc w:val="left"/>
      <w:pPr>
        <w:ind w:left="6558" w:hanging="286"/>
      </w:pPr>
      <w:rPr>
        <w:rFonts w:hint="default"/>
        <w:lang w:val="en-AU" w:eastAsia="en-US" w:bidi="ar-SA"/>
      </w:rPr>
    </w:lvl>
    <w:lvl w:ilvl="6" w:tplc="FD9AA870">
      <w:numFmt w:val="bullet"/>
      <w:lvlText w:val="•"/>
      <w:lvlJc w:val="left"/>
      <w:pPr>
        <w:ind w:left="7628" w:hanging="286"/>
      </w:pPr>
      <w:rPr>
        <w:rFonts w:hint="default"/>
        <w:lang w:val="en-AU" w:eastAsia="en-US" w:bidi="ar-SA"/>
      </w:rPr>
    </w:lvl>
    <w:lvl w:ilvl="7" w:tplc="53680C80">
      <w:numFmt w:val="bullet"/>
      <w:lvlText w:val="•"/>
      <w:lvlJc w:val="left"/>
      <w:pPr>
        <w:ind w:left="8697" w:hanging="286"/>
      </w:pPr>
      <w:rPr>
        <w:rFonts w:hint="default"/>
        <w:lang w:val="en-AU" w:eastAsia="en-US" w:bidi="ar-SA"/>
      </w:rPr>
    </w:lvl>
    <w:lvl w:ilvl="8" w:tplc="0984811C">
      <w:numFmt w:val="bullet"/>
      <w:lvlText w:val="•"/>
      <w:lvlJc w:val="left"/>
      <w:pPr>
        <w:ind w:left="9767" w:hanging="286"/>
      </w:pPr>
      <w:rPr>
        <w:rFonts w:hint="default"/>
        <w:lang w:val="en-AU" w:eastAsia="en-US" w:bidi="ar-SA"/>
      </w:rPr>
    </w:lvl>
  </w:abstractNum>
  <w:abstractNum w:abstractNumId="1" w15:restartNumberingAfterBreak="0">
    <w:nsid w:val="49174924"/>
    <w:multiLevelType w:val="hybridMultilevel"/>
    <w:tmpl w:val="40240B76"/>
    <w:lvl w:ilvl="0" w:tplc="FDD2E480">
      <w:start w:val="1"/>
      <w:numFmt w:val="decimal"/>
      <w:lvlText w:val="%1."/>
      <w:lvlJc w:val="left"/>
      <w:pPr>
        <w:ind w:left="170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D124A2A">
      <w:numFmt w:val="bullet"/>
      <w:lvlText w:val="•"/>
      <w:lvlJc w:val="left"/>
      <w:pPr>
        <w:ind w:left="2720" w:hanging="284"/>
      </w:pPr>
      <w:rPr>
        <w:rFonts w:hint="default"/>
        <w:lang w:val="en-AU" w:eastAsia="en-US" w:bidi="ar-SA"/>
      </w:rPr>
    </w:lvl>
    <w:lvl w:ilvl="2" w:tplc="A26A3AD4">
      <w:numFmt w:val="bullet"/>
      <w:lvlText w:val="•"/>
      <w:lvlJc w:val="left"/>
      <w:pPr>
        <w:ind w:left="3741" w:hanging="284"/>
      </w:pPr>
      <w:rPr>
        <w:rFonts w:hint="default"/>
        <w:lang w:val="en-AU" w:eastAsia="en-US" w:bidi="ar-SA"/>
      </w:rPr>
    </w:lvl>
    <w:lvl w:ilvl="3" w:tplc="61E2B92A">
      <w:numFmt w:val="bullet"/>
      <w:lvlText w:val="•"/>
      <w:lvlJc w:val="left"/>
      <w:pPr>
        <w:ind w:left="4761" w:hanging="284"/>
      </w:pPr>
      <w:rPr>
        <w:rFonts w:hint="default"/>
        <w:lang w:val="en-AU" w:eastAsia="en-US" w:bidi="ar-SA"/>
      </w:rPr>
    </w:lvl>
    <w:lvl w:ilvl="4" w:tplc="311A115C">
      <w:numFmt w:val="bullet"/>
      <w:lvlText w:val="•"/>
      <w:lvlJc w:val="left"/>
      <w:pPr>
        <w:ind w:left="5782" w:hanging="284"/>
      </w:pPr>
      <w:rPr>
        <w:rFonts w:hint="default"/>
        <w:lang w:val="en-AU" w:eastAsia="en-US" w:bidi="ar-SA"/>
      </w:rPr>
    </w:lvl>
    <w:lvl w:ilvl="5" w:tplc="62C818C0">
      <w:numFmt w:val="bullet"/>
      <w:lvlText w:val="•"/>
      <w:lvlJc w:val="left"/>
      <w:pPr>
        <w:ind w:left="6803" w:hanging="284"/>
      </w:pPr>
      <w:rPr>
        <w:rFonts w:hint="default"/>
        <w:lang w:val="en-AU" w:eastAsia="en-US" w:bidi="ar-SA"/>
      </w:rPr>
    </w:lvl>
    <w:lvl w:ilvl="6" w:tplc="E5C8AE46">
      <w:numFmt w:val="bullet"/>
      <w:lvlText w:val="•"/>
      <w:lvlJc w:val="left"/>
      <w:pPr>
        <w:ind w:left="7823" w:hanging="284"/>
      </w:pPr>
      <w:rPr>
        <w:rFonts w:hint="default"/>
        <w:lang w:val="en-AU" w:eastAsia="en-US" w:bidi="ar-SA"/>
      </w:rPr>
    </w:lvl>
    <w:lvl w:ilvl="7" w:tplc="66FEB72C">
      <w:numFmt w:val="bullet"/>
      <w:lvlText w:val="•"/>
      <w:lvlJc w:val="left"/>
      <w:pPr>
        <w:ind w:left="8844" w:hanging="284"/>
      </w:pPr>
      <w:rPr>
        <w:rFonts w:hint="default"/>
        <w:lang w:val="en-AU" w:eastAsia="en-US" w:bidi="ar-SA"/>
      </w:rPr>
    </w:lvl>
    <w:lvl w:ilvl="8" w:tplc="8CB6A736">
      <w:numFmt w:val="bullet"/>
      <w:lvlText w:val="•"/>
      <w:lvlJc w:val="left"/>
      <w:pPr>
        <w:ind w:left="9865" w:hanging="284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37145"/>
    <w:rsid w:val="00837145"/>
    <w:rsid w:val="009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347CBDD"/>
  <w15:docId w15:val="{5BF8B027-D1A9-4169-8D79-D178286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90"/>
      <w:ind w:left="1418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1"/>
    <w:qFormat/>
    <w:pPr>
      <w:ind w:left="1418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7"/>
      <w:ind w:left="1418" w:right="149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0"/>
      <w:ind w:left="1702" w:hanging="284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926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2F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26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92F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Cox, Anthony</cp:lastModifiedBy>
  <cp:revision>2</cp:revision>
  <dcterms:created xsi:type="dcterms:W3CDTF">2021-03-26T00:07:00Z</dcterms:created>
  <dcterms:modified xsi:type="dcterms:W3CDTF">2021-03-26T00:08:00Z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