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50F4C" w14:textId="5E5F583A" w:rsidR="000C2A48" w:rsidRDefault="00B250EE" w:rsidP="000C2A48">
      <w:r>
        <w:tab/>
      </w:r>
    </w:p>
    <w:p w14:paraId="1988945A" w14:textId="20E6CC7A" w:rsidR="004E058F" w:rsidRPr="00E54ECA" w:rsidRDefault="007650D1" w:rsidP="007650D1">
      <w:pPr>
        <w:pStyle w:val="Title"/>
        <w:rPr>
          <w:rFonts w:cstheme="majorHAnsi"/>
          <w:b/>
          <w:color w:val="000000" w:themeColor="text1"/>
          <w:szCs w:val="40"/>
        </w:rPr>
      </w:pPr>
      <w:r>
        <w:rPr>
          <w:rFonts w:ascii="Calibri" w:hAnsi="Calibri"/>
          <w:b/>
          <w:color w:val="000000" w:themeColor="text1"/>
          <w:szCs w:val="40"/>
        </w:rPr>
        <w:br/>
      </w:r>
      <w:r>
        <w:rPr>
          <w:rFonts w:ascii="Calibri" w:hAnsi="Calibri"/>
          <w:b/>
          <w:color w:val="000000" w:themeColor="text1"/>
          <w:szCs w:val="40"/>
        </w:rPr>
        <w:br/>
      </w:r>
      <w:bookmarkStart w:id="0" w:name="_Toc72501387"/>
      <w:r w:rsidR="00D865E8" w:rsidRPr="00E54ECA">
        <w:rPr>
          <w:rFonts w:cstheme="majorHAnsi"/>
          <w:b/>
          <w:color w:val="000000" w:themeColor="text1"/>
          <w:szCs w:val="40"/>
        </w:rPr>
        <w:t>Australian Government f</w:t>
      </w:r>
      <w:r w:rsidR="007665E9" w:rsidRPr="00E54ECA">
        <w:rPr>
          <w:rFonts w:cstheme="majorHAnsi"/>
          <w:b/>
          <w:color w:val="000000" w:themeColor="text1"/>
          <w:szCs w:val="40"/>
        </w:rPr>
        <w:t xml:space="preserve">oreign </w:t>
      </w:r>
      <w:r w:rsidR="00CC0417" w:rsidRPr="00E54ECA">
        <w:rPr>
          <w:rFonts w:cstheme="majorHAnsi"/>
          <w:b/>
          <w:color w:val="000000" w:themeColor="text1"/>
          <w:szCs w:val="40"/>
        </w:rPr>
        <w:t>exchange risk</w:t>
      </w:r>
      <w:r w:rsidR="00D865E8" w:rsidRPr="00E54ECA">
        <w:rPr>
          <w:rFonts w:cstheme="majorHAnsi"/>
          <w:b/>
          <w:color w:val="000000" w:themeColor="text1"/>
          <w:szCs w:val="40"/>
        </w:rPr>
        <w:t> </w:t>
      </w:r>
      <w:r w:rsidR="00CC0417" w:rsidRPr="00E54ECA">
        <w:rPr>
          <w:rFonts w:cstheme="majorHAnsi"/>
          <w:b/>
          <w:color w:val="000000" w:themeColor="text1"/>
          <w:szCs w:val="40"/>
        </w:rPr>
        <w:t>management</w:t>
      </w:r>
      <w:r w:rsidR="00513092" w:rsidRPr="00E54ECA">
        <w:rPr>
          <w:rFonts w:cstheme="majorHAnsi"/>
          <w:b/>
          <w:color w:val="000000" w:themeColor="text1"/>
          <w:szCs w:val="40"/>
        </w:rPr>
        <w:t xml:space="preserve"> </w:t>
      </w:r>
      <w:r w:rsidR="0075708D" w:rsidRPr="00E54ECA">
        <w:rPr>
          <w:rFonts w:cstheme="majorHAnsi"/>
          <w:b/>
          <w:color w:val="000000" w:themeColor="text1"/>
          <w:szCs w:val="40"/>
        </w:rPr>
        <w:t>- guidelines</w:t>
      </w:r>
      <w:r w:rsidR="00B858BD" w:rsidRPr="00E54ECA">
        <w:rPr>
          <w:rFonts w:cstheme="majorHAnsi"/>
          <w:b/>
          <w:color w:val="000000" w:themeColor="text1"/>
          <w:szCs w:val="40"/>
        </w:rPr>
        <w:t xml:space="preserve"> for entities</w:t>
      </w:r>
      <w:bookmarkEnd w:id="0"/>
    </w:p>
    <w:p w14:paraId="27B00DF3" w14:textId="21EB4A5F" w:rsidR="005E5CB9" w:rsidRPr="00A67757" w:rsidRDefault="007D6C21" w:rsidP="00753F4F">
      <w:pPr>
        <w:jc w:val="right"/>
      </w:pPr>
      <w:r w:rsidRPr="00A67757">
        <w:rPr>
          <w:sz w:val="34"/>
          <w:szCs w:val="34"/>
        </w:rPr>
        <w:t>Resource Management Guide (RMG)</w:t>
      </w:r>
      <w:r w:rsidR="00D26DF4" w:rsidRPr="00A67757">
        <w:rPr>
          <w:sz w:val="34"/>
          <w:szCs w:val="34"/>
        </w:rPr>
        <w:t xml:space="preserve"> </w:t>
      </w:r>
      <w:r w:rsidR="0068491C" w:rsidRPr="00A67757">
        <w:rPr>
          <w:sz w:val="34"/>
          <w:szCs w:val="34"/>
        </w:rPr>
        <w:t>120</w:t>
      </w:r>
    </w:p>
    <w:p w14:paraId="2813E12B" w14:textId="77777777" w:rsidR="005E5CB9" w:rsidRPr="00A67757" w:rsidRDefault="005E5CB9" w:rsidP="006C4DD1"/>
    <w:p w14:paraId="1DB209D0" w14:textId="77777777" w:rsidR="005E5CB9" w:rsidRPr="00A67757" w:rsidRDefault="005E5CB9" w:rsidP="006C4DD1"/>
    <w:p w14:paraId="522F2636" w14:textId="0BBA6FFE" w:rsidR="000C2A48" w:rsidRPr="00A67757" w:rsidRDefault="00693F97" w:rsidP="006C4DD1">
      <w:r>
        <w:t>May</w:t>
      </w:r>
      <w:r w:rsidR="00805B8C" w:rsidRPr="00A67757">
        <w:t xml:space="preserve"> 2021</w:t>
      </w:r>
    </w:p>
    <w:p w14:paraId="75D9C18D" w14:textId="77777777" w:rsidR="005E5CB9" w:rsidRPr="00A67757" w:rsidRDefault="005E5CB9" w:rsidP="006C4DD1"/>
    <w:p w14:paraId="28DA121C" w14:textId="0BDC9849" w:rsidR="005E5CB9" w:rsidRPr="00A67757" w:rsidRDefault="005E5CB9" w:rsidP="005E5CB9">
      <w:r w:rsidRPr="00A67757">
        <w:lastRenderedPageBreak/>
        <w:t xml:space="preserve">© Commonwealth of Australia </w:t>
      </w:r>
      <w:r w:rsidR="00302512" w:rsidRPr="00A67757">
        <w:t>202</w:t>
      </w:r>
      <w:r w:rsidR="002E735D" w:rsidRPr="00A67757">
        <w:t>1</w:t>
      </w:r>
    </w:p>
    <w:p w14:paraId="50F57DBC" w14:textId="7399C4EC" w:rsidR="005E5CB9" w:rsidRPr="00A67757" w:rsidRDefault="005E5CB9" w:rsidP="005E5CB9">
      <w:r w:rsidRPr="00A67757">
        <w:t xml:space="preserve">ISBN: </w:t>
      </w:r>
      <w:r w:rsidR="0068491C" w:rsidRPr="00A67757">
        <w:t>978</w:t>
      </w:r>
      <w:r w:rsidR="009A08BD" w:rsidRPr="00A67757">
        <w:t>-</w:t>
      </w:r>
      <w:r w:rsidR="0068491C" w:rsidRPr="00A67757">
        <w:t>1</w:t>
      </w:r>
      <w:r w:rsidR="009A08BD" w:rsidRPr="00A67757">
        <w:t>-</w:t>
      </w:r>
      <w:r w:rsidR="0068491C" w:rsidRPr="00A67757">
        <w:t>925537</w:t>
      </w:r>
      <w:r w:rsidR="009A08BD" w:rsidRPr="00A67757">
        <w:t>-</w:t>
      </w:r>
      <w:r w:rsidR="0068491C" w:rsidRPr="00A67757">
        <w:t>69</w:t>
      </w:r>
      <w:r w:rsidR="009A08BD" w:rsidRPr="00A67757">
        <w:t>-</w:t>
      </w:r>
      <w:r w:rsidR="0068491C" w:rsidRPr="00A67757">
        <w:t>7</w:t>
      </w:r>
      <w:r w:rsidR="009A08BD" w:rsidRPr="00A67757">
        <w:t xml:space="preserve"> (Online)</w:t>
      </w:r>
    </w:p>
    <w:p w14:paraId="74E56CA9" w14:textId="77777777" w:rsidR="005E5CB9" w:rsidRPr="00A67757" w:rsidRDefault="005E5CB9" w:rsidP="005E5CB9">
      <w:r w:rsidRPr="00A67757">
        <w:t>With the exception of the Commonwealth Coat of Arms and where otherwise noted, all material presented in this document is provided under a Creative Commons Attribution 3.0 Australia (</w:t>
      </w:r>
      <w:hyperlink r:id="rId13" w:history="1">
        <w:r w:rsidRPr="00A67757">
          <w:rPr>
            <w:rStyle w:val="Hyperlink"/>
          </w:rPr>
          <w:t>http://creativecommons.org/licenses/by/3.0/au</w:t>
        </w:r>
      </w:hyperlink>
      <w:r w:rsidRPr="00A67757">
        <w:t>) licence.</w:t>
      </w:r>
    </w:p>
    <w:p w14:paraId="208687A8" w14:textId="77777777" w:rsidR="005E5CB9" w:rsidRPr="00A67757" w:rsidRDefault="005E5CB9" w:rsidP="005E5CB9">
      <w:r w:rsidRPr="00A67757">
        <w:rPr>
          <w:noProof/>
          <w:lang w:eastAsia="en-AU"/>
        </w:rPr>
        <w:drawing>
          <wp:inline distT="0" distB="0" distL="0" distR="0" wp14:anchorId="494C687C" wp14:editId="135143A0">
            <wp:extent cx="1152525" cy="397422"/>
            <wp:effectExtent l="0" t="0" r="0" b="3175"/>
            <wp:docPr id="3"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153897" cy="397895"/>
                    </a:xfrm>
                    <a:prstGeom prst="rect">
                      <a:avLst/>
                    </a:prstGeom>
                    <a:noFill/>
                    <a:ln w="9525">
                      <a:noFill/>
                      <a:miter lim="800000"/>
                      <a:headEnd/>
                      <a:tailEnd/>
                    </a:ln>
                  </pic:spPr>
                </pic:pic>
              </a:graphicData>
            </a:graphic>
          </wp:inline>
        </w:drawing>
      </w:r>
    </w:p>
    <w:p w14:paraId="640F0009" w14:textId="77777777" w:rsidR="005E5CB9" w:rsidRPr="00A67757" w:rsidRDefault="005E5CB9" w:rsidP="005E5CB9">
      <w:pPr>
        <w:rPr>
          <w:rFonts w:eastAsia="Times New Roman"/>
          <w:szCs w:val="24"/>
        </w:rPr>
      </w:pPr>
      <w:r w:rsidRPr="00A67757">
        <w:rPr>
          <w:rFonts w:eastAsia="Times New Roman"/>
          <w:szCs w:val="24"/>
        </w:rPr>
        <w:t>The details of the relevant licence conditions are available on the Creative Commons website (accessible using the links provided) as is the full legal code for the CC BY 3 AU licence.</w:t>
      </w:r>
    </w:p>
    <w:p w14:paraId="2E814877" w14:textId="77777777" w:rsidR="005E5CB9" w:rsidRPr="00A67757" w:rsidRDefault="005E5CB9" w:rsidP="005E5CB9">
      <w:pPr>
        <w:spacing w:before="240"/>
        <w:rPr>
          <w:rFonts w:eastAsia="Times New Roman"/>
          <w:b/>
          <w:szCs w:val="24"/>
        </w:rPr>
      </w:pPr>
      <w:r w:rsidRPr="00A67757">
        <w:rPr>
          <w:rFonts w:eastAsia="Times New Roman"/>
          <w:b/>
          <w:szCs w:val="24"/>
        </w:rPr>
        <w:t>Use of the Coat of Arms</w:t>
      </w:r>
    </w:p>
    <w:p w14:paraId="30C5C5FD" w14:textId="66B744B8" w:rsidR="005E5CB9" w:rsidRPr="00A67757" w:rsidRDefault="005E5CB9" w:rsidP="005E5CB9">
      <w:pPr>
        <w:rPr>
          <w:rFonts w:eastAsia="Times New Roman"/>
          <w:szCs w:val="24"/>
        </w:rPr>
      </w:pPr>
      <w:r w:rsidRPr="00A67757">
        <w:rPr>
          <w:rFonts w:eastAsia="Times New Roman"/>
          <w:szCs w:val="24"/>
        </w:rPr>
        <w:t xml:space="preserve">The terms under which the Coat of Arms can be used are detailed on the following website: </w:t>
      </w:r>
      <w:hyperlink r:id="rId15" w:history="1">
        <w:r w:rsidR="00144B01" w:rsidRPr="00A67757">
          <w:rPr>
            <w:rStyle w:val="Hyperlink"/>
            <w:rFonts w:eastAsia="Times New Roman" w:cstheme="minorBidi"/>
            <w:szCs w:val="24"/>
          </w:rPr>
          <w:t>https://pmc.gov.au/government/commonwealth-coat-arms</w:t>
        </w:r>
      </w:hyperlink>
      <w:r w:rsidR="00144B01" w:rsidRPr="00A67757">
        <w:rPr>
          <w:rFonts w:eastAsia="Times New Roman"/>
          <w:szCs w:val="24"/>
        </w:rPr>
        <w:t xml:space="preserve"> </w:t>
      </w:r>
    </w:p>
    <w:p w14:paraId="2E493CB3" w14:textId="77777777" w:rsidR="005E5CB9" w:rsidRPr="00A67757" w:rsidRDefault="005E5CB9" w:rsidP="005E5CB9">
      <w:pPr>
        <w:spacing w:before="240"/>
        <w:rPr>
          <w:rFonts w:eastAsia="Times New Roman"/>
          <w:b/>
          <w:szCs w:val="24"/>
        </w:rPr>
      </w:pPr>
      <w:r w:rsidRPr="00A67757">
        <w:rPr>
          <w:rFonts w:eastAsia="Times New Roman"/>
          <w:b/>
          <w:szCs w:val="24"/>
        </w:rPr>
        <w:t>Contact us</w:t>
      </w:r>
    </w:p>
    <w:p w14:paraId="4AAA64EF" w14:textId="77777777" w:rsidR="005E5CB9" w:rsidRPr="00A67757" w:rsidRDefault="005E5CB9" w:rsidP="005E5CB9">
      <w:r w:rsidRPr="00A67757">
        <w:rPr>
          <w:rFonts w:eastAsia="Times New Roman"/>
          <w:szCs w:val="24"/>
        </w:rPr>
        <w:t xml:space="preserve">Please direct questions or comments about the </w:t>
      </w:r>
      <w:r w:rsidR="009A08BD" w:rsidRPr="00A67757">
        <w:rPr>
          <w:rFonts w:eastAsia="Times New Roman"/>
          <w:szCs w:val="24"/>
        </w:rPr>
        <w:t>guide</w:t>
      </w:r>
      <w:r w:rsidRPr="00A67757">
        <w:rPr>
          <w:rFonts w:eastAsia="Times New Roman"/>
          <w:szCs w:val="24"/>
        </w:rPr>
        <w:t xml:space="preserve"> to:</w:t>
      </w:r>
      <w:r w:rsidRPr="00A67757">
        <w:t xml:space="preserve"> </w:t>
      </w:r>
    </w:p>
    <w:p w14:paraId="05EF10BA" w14:textId="77777777" w:rsidR="005E5CB9" w:rsidRPr="00A67757" w:rsidRDefault="00352242" w:rsidP="005E5CB9">
      <w:pPr>
        <w:spacing w:before="0" w:after="0" w:line="240" w:lineRule="auto"/>
        <w:rPr>
          <w:color w:val="000000" w:themeColor="text1"/>
        </w:rPr>
      </w:pPr>
      <w:r w:rsidRPr="00A67757">
        <w:rPr>
          <w:color w:val="000000" w:themeColor="text1"/>
        </w:rPr>
        <w:t>Special Appropriations Team</w:t>
      </w:r>
    </w:p>
    <w:p w14:paraId="3F615243" w14:textId="77777777" w:rsidR="005E5CB9" w:rsidRPr="00A67757" w:rsidRDefault="005E5CB9" w:rsidP="005E5CB9">
      <w:pPr>
        <w:spacing w:before="0" w:after="0" w:line="240" w:lineRule="auto"/>
        <w:rPr>
          <w:color w:val="000000" w:themeColor="text1"/>
        </w:rPr>
      </w:pPr>
      <w:r w:rsidRPr="00A67757">
        <w:rPr>
          <w:color w:val="000000" w:themeColor="text1"/>
        </w:rPr>
        <w:t>Department of Finance</w:t>
      </w:r>
    </w:p>
    <w:p w14:paraId="139DB201" w14:textId="77777777" w:rsidR="005E5CB9" w:rsidRPr="00A67757" w:rsidRDefault="005E5CB9" w:rsidP="005E5CB9">
      <w:pPr>
        <w:spacing w:before="0" w:after="0" w:line="240" w:lineRule="auto"/>
        <w:rPr>
          <w:color w:val="000000" w:themeColor="text1"/>
        </w:rPr>
      </w:pPr>
      <w:r w:rsidRPr="00A67757">
        <w:rPr>
          <w:color w:val="000000" w:themeColor="text1"/>
        </w:rPr>
        <w:t>1 Canberra Avenue</w:t>
      </w:r>
    </w:p>
    <w:p w14:paraId="23C285CA" w14:textId="77777777" w:rsidR="005E5CB9" w:rsidRPr="00A67757" w:rsidRDefault="005E5CB9" w:rsidP="009A08BD">
      <w:pPr>
        <w:spacing w:before="0" w:after="120" w:line="240" w:lineRule="auto"/>
        <w:rPr>
          <w:color w:val="000000" w:themeColor="text1"/>
        </w:rPr>
      </w:pPr>
      <w:r w:rsidRPr="00A67757">
        <w:rPr>
          <w:color w:val="000000" w:themeColor="text1"/>
        </w:rPr>
        <w:t>Forrest ACT 2603</w:t>
      </w:r>
    </w:p>
    <w:p w14:paraId="78935D69" w14:textId="77777777" w:rsidR="00753F4F" w:rsidRPr="00A67757" w:rsidRDefault="00753F4F" w:rsidP="00753F4F">
      <w:pPr>
        <w:spacing w:after="120" w:line="260" w:lineRule="exact"/>
        <w:rPr>
          <w:rFonts w:eastAsia="Times New Roman"/>
          <w:szCs w:val="24"/>
        </w:rPr>
      </w:pPr>
      <w:r w:rsidRPr="00A67757">
        <w:rPr>
          <w:color w:val="000000" w:themeColor="text1"/>
        </w:rPr>
        <w:t>Email:</w:t>
      </w:r>
      <w:r w:rsidRPr="00A67757">
        <w:rPr>
          <w:rFonts w:eastAsia="Times New Roman"/>
          <w:szCs w:val="24"/>
        </w:rPr>
        <w:t xml:space="preserve"> </w:t>
      </w:r>
      <w:hyperlink r:id="rId16" w:history="1">
        <w:r w:rsidRPr="00A67757">
          <w:rPr>
            <w:rStyle w:val="Hyperlink"/>
            <w:rFonts w:eastAsia="Times New Roman"/>
            <w:szCs w:val="24"/>
          </w:rPr>
          <w:t>forex@finance.gov.au</w:t>
        </w:r>
      </w:hyperlink>
      <w:r w:rsidRPr="00A67757">
        <w:rPr>
          <w:rFonts w:eastAsia="Times New Roman"/>
          <w:szCs w:val="24"/>
        </w:rPr>
        <w:t>.</w:t>
      </w:r>
    </w:p>
    <w:p w14:paraId="48738CD7" w14:textId="77777777" w:rsidR="00275E01" w:rsidRPr="00A67757" w:rsidRDefault="00275E01" w:rsidP="004E71F5">
      <w:pPr>
        <w:spacing w:before="0" w:after="120" w:line="240" w:lineRule="auto"/>
        <w:rPr>
          <w:rStyle w:val="Hyperlink"/>
          <w:rFonts w:cstheme="minorHAnsi"/>
          <w:i w:val="0"/>
          <w:color w:val="000000" w:themeColor="text1"/>
          <w:u w:val="none"/>
        </w:rPr>
      </w:pPr>
    </w:p>
    <w:p w14:paraId="13EEEC26" w14:textId="77777777" w:rsidR="00753F4F" w:rsidRPr="00A67757" w:rsidRDefault="00753F4F" w:rsidP="004E71F5">
      <w:pPr>
        <w:spacing w:before="0" w:after="120" w:line="240" w:lineRule="auto"/>
        <w:rPr>
          <w:rStyle w:val="Hyperlink"/>
          <w:rFonts w:cstheme="minorHAnsi"/>
          <w:i w:val="0"/>
          <w:color w:val="000000" w:themeColor="text1"/>
          <w:u w:val="none"/>
        </w:rPr>
      </w:pPr>
    </w:p>
    <w:p w14:paraId="4FE631B0" w14:textId="77777777" w:rsidR="00753F4F" w:rsidRPr="00A67757" w:rsidRDefault="00753F4F" w:rsidP="004E71F5">
      <w:pPr>
        <w:spacing w:before="0" w:after="120" w:line="240" w:lineRule="auto"/>
        <w:rPr>
          <w:rStyle w:val="Hyperlink"/>
          <w:rFonts w:cstheme="minorHAnsi"/>
          <w:i w:val="0"/>
          <w:color w:val="000000" w:themeColor="text1"/>
          <w:u w:val="none"/>
        </w:rPr>
      </w:pPr>
    </w:p>
    <w:p w14:paraId="4D0D1C81" w14:textId="77777777" w:rsidR="00275E01" w:rsidRPr="00A67757" w:rsidRDefault="00275E01" w:rsidP="004E71F5">
      <w:pPr>
        <w:spacing w:before="0" w:after="120" w:line="240" w:lineRule="auto"/>
        <w:rPr>
          <w:rStyle w:val="Hyperlink"/>
          <w:rFonts w:cstheme="minorHAnsi"/>
          <w:i w:val="0"/>
          <w:color w:val="000000" w:themeColor="text1"/>
          <w:u w:val="none"/>
        </w:rPr>
      </w:pPr>
    </w:p>
    <w:p w14:paraId="0B0B6C77" w14:textId="77777777" w:rsidR="00275E01" w:rsidRPr="00A67757" w:rsidRDefault="00275E01" w:rsidP="00275E01">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60" w:lineRule="exact"/>
        <w:ind w:left="60" w:right="60"/>
        <w:rPr>
          <w:rFonts w:cstheme="minorHAnsi"/>
          <w:color w:val="000000"/>
          <w:lang w:eastAsia="en-AU"/>
        </w:rPr>
      </w:pPr>
      <w:r w:rsidRPr="00A67757">
        <w:rPr>
          <w:rFonts w:cstheme="minorHAnsi"/>
          <w:color w:val="000000"/>
          <w:lang w:eastAsia="en-AU"/>
        </w:rPr>
        <w:t>The words ‘</w:t>
      </w:r>
      <w:r w:rsidRPr="00A67757">
        <w:rPr>
          <w:rFonts w:cstheme="minorHAnsi"/>
          <w:b/>
          <w:bCs/>
          <w:color w:val="000000"/>
          <w:lang w:eastAsia="en-AU"/>
        </w:rPr>
        <w:t>must</w:t>
      </w:r>
      <w:r w:rsidRPr="00A67757">
        <w:rPr>
          <w:rFonts w:cstheme="minorHAnsi"/>
          <w:color w:val="000000"/>
          <w:lang w:eastAsia="en-AU"/>
        </w:rPr>
        <w:t>’, ‘</w:t>
      </w:r>
      <w:r w:rsidRPr="00A67757">
        <w:rPr>
          <w:rFonts w:cstheme="minorHAnsi"/>
          <w:b/>
          <w:bCs/>
          <w:color w:val="000000"/>
          <w:lang w:eastAsia="en-AU"/>
        </w:rPr>
        <w:t>required</w:t>
      </w:r>
      <w:r w:rsidRPr="00A67757">
        <w:rPr>
          <w:rFonts w:cstheme="minorHAnsi"/>
          <w:color w:val="000000"/>
          <w:lang w:eastAsia="en-AU"/>
        </w:rPr>
        <w:t>’, ‘</w:t>
      </w:r>
      <w:r w:rsidRPr="00A67757">
        <w:rPr>
          <w:rFonts w:cstheme="minorHAnsi"/>
          <w:b/>
          <w:bCs/>
          <w:color w:val="000000"/>
          <w:lang w:eastAsia="en-AU"/>
        </w:rPr>
        <w:t>requires</w:t>
      </w:r>
      <w:r w:rsidRPr="00A67757">
        <w:rPr>
          <w:rFonts w:cstheme="minorHAnsi"/>
          <w:color w:val="000000"/>
          <w:lang w:eastAsia="en-AU"/>
        </w:rPr>
        <w:t>’ and ‘</w:t>
      </w:r>
      <w:r w:rsidRPr="00A67757">
        <w:rPr>
          <w:rFonts w:cstheme="minorHAnsi"/>
          <w:b/>
          <w:bCs/>
          <w:color w:val="000000"/>
          <w:lang w:eastAsia="en-AU"/>
        </w:rPr>
        <w:t>requiring</w:t>
      </w:r>
      <w:r w:rsidRPr="00A67757">
        <w:rPr>
          <w:rFonts w:cstheme="minorHAnsi"/>
          <w:color w:val="000000"/>
          <w:lang w:eastAsia="en-AU"/>
        </w:rPr>
        <w:t xml:space="preserve">’ denote mandatory compliance by accountable authorities/officials. The use of the words ‘could’, ‘may’, ‘encouraged’ or ‘consider’ convey non-mandatory guidance. The guidance to which these words relate may or may not be applied by accountable authorities/officials in their approach to resource management, depending on the operating circumstances of the entity and its appetite for risk. </w:t>
      </w:r>
    </w:p>
    <w:p w14:paraId="504CBE69" w14:textId="77777777" w:rsidR="005E5CB9" w:rsidRPr="00A67757" w:rsidRDefault="005E5CB9" w:rsidP="00275E01">
      <w:pPr>
        <w:spacing w:before="0" w:after="0" w:line="240" w:lineRule="auto"/>
        <w:rPr>
          <w:sz w:val="18"/>
        </w:rPr>
      </w:pPr>
    </w:p>
    <w:p w14:paraId="2B31B04A" w14:textId="77777777" w:rsidR="00753F4F" w:rsidRPr="00A67757" w:rsidRDefault="00753F4F">
      <w:pPr>
        <w:suppressAutoHyphens w:val="0"/>
        <w:spacing w:before="0" w:after="120" w:line="440" w:lineRule="atLeast"/>
        <w:rPr>
          <w:rFonts w:ascii="Arial" w:hAnsi="Arial" w:cs="Arial"/>
          <w:color w:val="92C5C5" w:themeColor="accent2"/>
          <w:sz w:val="42"/>
          <w:szCs w:val="42"/>
        </w:rPr>
      </w:pPr>
      <w:r w:rsidRPr="00A67757">
        <w:rPr>
          <w:rFonts w:ascii="Arial" w:hAnsi="Arial" w:cs="Arial"/>
          <w:color w:val="92C5C5" w:themeColor="accent2"/>
          <w:sz w:val="42"/>
          <w:szCs w:val="42"/>
        </w:rPr>
        <w:br w:type="page"/>
      </w:r>
    </w:p>
    <w:p w14:paraId="2C44E12C" w14:textId="77777777" w:rsidR="00396E11" w:rsidRPr="00A67757" w:rsidRDefault="00396E11" w:rsidP="00396E11">
      <w:pPr>
        <w:spacing w:before="0" w:after="120" w:line="240" w:lineRule="auto"/>
        <w:rPr>
          <w:rFonts w:ascii="Arial" w:hAnsi="Arial" w:cs="Arial"/>
          <w:color w:val="92C5C5" w:themeColor="accent2"/>
          <w:sz w:val="42"/>
          <w:szCs w:val="42"/>
        </w:rPr>
      </w:pPr>
      <w:r w:rsidRPr="00A67757">
        <w:rPr>
          <w:rFonts w:ascii="Arial" w:hAnsi="Arial" w:cs="Arial"/>
          <w:color w:val="92C5C5" w:themeColor="accent2"/>
          <w:sz w:val="42"/>
          <w:szCs w:val="42"/>
        </w:rPr>
        <w:lastRenderedPageBreak/>
        <w:t>Contents</w:t>
      </w:r>
    </w:p>
    <w:p w14:paraId="697F2A1A" w14:textId="77777777" w:rsidR="00E02371" w:rsidRPr="00A67757" w:rsidRDefault="00E02371" w:rsidP="00396E11">
      <w:pPr>
        <w:spacing w:before="0" w:after="120" w:line="240" w:lineRule="auto"/>
        <w:rPr>
          <w:rFonts w:ascii="Arial" w:hAnsi="Arial" w:cs="Arial"/>
          <w:color w:val="000000" w:themeColor="text1"/>
          <w:sz w:val="42"/>
          <w:szCs w:val="42"/>
        </w:rPr>
      </w:pPr>
    </w:p>
    <w:p w14:paraId="479A29D5" w14:textId="0B9E1655" w:rsidR="00CA7521" w:rsidRDefault="00396E11">
      <w:pPr>
        <w:pStyle w:val="TOC1"/>
        <w:rPr>
          <w:rFonts w:asciiTheme="minorHAnsi" w:eastAsiaTheme="minorEastAsia" w:hAnsiTheme="minorHAnsi" w:cstheme="minorBidi"/>
          <w:b w:val="0"/>
          <w:sz w:val="22"/>
          <w:lang w:eastAsia="en-AU"/>
        </w:rPr>
      </w:pPr>
      <w:r w:rsidRPr="00A67757">
        <w:rPr>
          <w:rFonts w:asciiTheme="minorHAnsi" w:hAnsiTheme="minorHAnsi"/>
          <w:caps/>
          <w:sz w:val="20"/>
        </w:rPr>
        <w:fldChar w:fldCharType="begin"/>
      </w:r>
      <w:r w:rsidRPr="00A67757">
        <w:rPr>
          <w:caps/>
          <w:sz w:val="20"/>
        </w:rPr>
        <w:instrText xml:space="preserve"> TOC \o "1-3" \h \z \u </w:instrText>
      </w:r>
      <w:r w:rsidRPr="00A67757">
        <w:rPr>
          <w:rFonts w:asciiTheme="minorHAnsi" w:hAnsiTheme="minorHAnsi"/>
          <w:caps/>
          <w:sz w:val="20"/>
        </w:rPr>
        <w:fldChar w:fldCharType="separate"/>
      </w:r>
      <w:hyperlink w:anchor="_Toc72501387" w:history="1">
        <w:r w:rsidR="00546F50" w:rsidRPr="009928B1">
          <w:rPr>
            <w:rStyle w:val="Hyperlink"/>
            <w:rFonts w:cstheme="majorHAnsi"/>
          </w:rPr>
          <w:t>AUSTRALIAN GOVERNMENT FOREIGN EXCHANGE RISK MANAGEMENT - GUIDELINES FOR ENTITIES</w:t>
        </w:r>
        <w:r w:rsidR="00CA7521">
          <w:rPr>
            <w:webHidden/>
          </w:rPr>
          <w:tab/>
        </w:r>
        <w:r w:rsidR="00CA7521">
          <w:rPr>
            <w:webHidden/>
          </w:rPr>
          <w:fldChar w:fldCharType="begin"/>
        </w:r>
        <w:r w:rsidR="00CA7521">
          <w:rPr>
            <w:webHidden/>
          </w:rPr>
          <w:instrText xml:space="preserve"> PAGEREF _Toc72501387 \h </w:instrText>
        </w:r>
        <w:r w:rsidR="00CA7521">
          <w:rPr>
            <w:webHidden/>
          </w:rPr>
        </w:r>
        <w:r w:rsidR="00CA7521">
          <w:rPr>
            <w:webHidden/>
          </w:rPr>
          <w:fldChar w:fldCharType="separate"/>
        </w:r>
        <w:r w:rsidR="00633E39">
          <w:rPr>
            <w:webHidden/>
          </w:rPr>
          <w:t>1</w:t>
        </w:r>
        <w:r w:rsidR="00CA7521">
          <w:rPr>
            <w:webHidden/>
          </w:rPr>
          <w:fldChar w:fldCharType="end"/>
        </w:r>
      </w:hyperlink>
    </w:p>
    <w:p w14:paraId="0043A8BA" w14:textId="30BDAEFD" w:rsidR="00CA7521" w:rsidRDefault="009307F4">
      <w:pPr>
        <w:pStyle w:val="TOC1"/>
        <w:rPr>
          <w:rFonts w:asciiTheme="minorHAnsi" w:eastAsiaTheme="minorEastAsia" w:hAnsiTheme="minorHAnsi" w:cstheme="minorBidi"/>
          <w:b w:val="0"/>
          <w:sz w:val="22"/>
          <w:lang w:eastAsia="en-AU"/>
        </w:rPr>
      </w:pPr>
      <w:hyperlink w:anchor="_Toc72501388" w:history="1">
        <w:r w:rsidR="00CA7521" w:rsidRPr="009928B1">
          <w:rPr>
            <w:rStyle w:val="Hyperlink"/>
          </w:rPr>
          <w:t>Audience</w:t>
        </w:r>
        <w:r w:rsidR="00CA7521">
          <w:rPr>
            <w:webHidden/>
          </w:rPr>
          <w:tab/>
        </w:r>
        <w:r w:rsidR="00CA7521">
          <w:rPr>
            <w:webHidden/>
          </w:rPr>
          <w:fldChar w:fldCharType="begin"/>
        </w:r>
        <w:r w:rsidR="00CA7521">
          <w:rPr>
            <w:webHidden/>
          </w:rPr>
          <w:instrText xml:space="preserve"> PAGEREF _Toc72501388 \h </w:instrText>
        </w:r>
        <w:r w:rsidR="00CA7521">
          <w:rPr>
            <w:webHidden/>
          </w:rPr>
        </w:r>
        <w:r w:rsidR="00CA7521">
          <w:rPr>
            <w:webHidden/>
          </w:rPr>
          <w:fldChar w:fldCharType="separate"/>
        </w:r>
        <w:r w:rsidR="00633E39">
          <w:rPr>
            <w:webHidden/>
          </w:rPr>
          <w:t>4</w:t>
        </w:r>
        <w:r w:rsidR="00CA7521">
          <w:rPr>
            <w:webHidden/>
          </w:rPr>
          <w:fldChar w:fldCharType="end"/>
        </w:r>
      </w:hyperlink>
    </w:p>
    <w:p w14:paraId="3EAC919B" w14:textId="25BF2E9F" w:rsidR="00CA7521" w:rsidRDefault="009307F4">
      <w:pPr>
        <w:pStyle w:val="TOC1"/>
        <w:rPr>
          <w:rFonts w:asciiTheme="minorHAnsi" w:eastAsiaTheme="minorEastAsia" w:hAnsiTheme="minorHAnsi" w:cstheme="minorBidi"/>
          <w:b w:val="0"/>
          <w:sz w:val="22"/>
          <w:lang w:eastAsia="en-AU"/>
        </w:rPr>
      </w:pPr>
      <w:hyperlink w:anchor="_Toc72501389" w:history="1">
        <w:r w:rsidR="00CA7521" w:rsidRPr="009928B1">
          <w:rPr>
            <w:rStyle w:val="Hyperlink"/>
          </w:rPr>
          <w:t>Key points</w:t>
        </w:r>
        <w:r w:rsidR="00CA7521">
          <w:rPr>
            <w:webHidden/>
          </w:rPr>
          <w:tab/>
        </w:r>
        <w:r w:rsidR="00CA7521">
          <w:rPr>
            <w:webHidden/>
          </w:rPr>
          <w:fldChar w:fldCharType="begin"/>
        </w:r>
        <w:r w:rsidR="00CA7521">
          <w:rPr>
            <w:webHidden/>
          </w:rPr>
          <w:instrText xml:space="preserve"> PAGEREF _Toc72501389 \h </w:instrText>
        </w:r>
        <w:r w:rsidR="00CA7521">
          <w:rPr>
            <w:webHidden/>
          </w:rPr>
        </w:r>
        <w:r w:rsidR="00CA7521">
          <w:rPr>
            <w:webHidden/>
          </w:rPr>
          <w:fldChar w:fldCharType="separate"/>
        </w:r>
        <w:r w:rsidR="00633E39">
          <w:rPr>
            <w:webHidden/>
          </w:rPr>
          <w:t>4</w:t>
        </w:r>
        <w:r w:rsidR="00CA7521">
          <w:rPr>
            <w:webHidden/>
          </w:rPr>
          <w:fldChar w:fldCharType="end"/>
        </w:r>
      </w:hyperlink>
    </w:p>
    <w:p w14:paraId="7D5ABD53" w14:textId="0227A8C7" w:rsidR="00CA7521" w:rsidRDefault="009307F4">
      <w:pPr>
        <w:pStyle w:val="TOC1"/>
        <w:rPr>
          <w:rFonts w:asciiTheme="minorHAnsi" w:eastAsiaTheme="minorEastAsia" w:hAnsiTheme="minorHAnsi" w:cstheme="minorBidi"/>
          <w:b w:val="0"/>
          <w:sz w:val="22"/>
          <w:lang w:eastAsia="en-AU"/>
        </w:rPr>
      </w:pPr>
      <w:hyperlink w:anchor="_Toc72501390" w:history="1">
        <w:r w:rsidR="00CA7521" w:rsidRPr="009928B1">
          <w:rPr>
            <w:rStyle w:val="Hyperlink"/>
          </w:rPr>
          <w:t>Resources</w:t>
        </w:r>
        <w:r w:rsidR="00CA7521">
          <w:rPr>
            <w:webHidden/>
          </w:rPr>
          <w:tab/>
        </w:r>
        <w:r w:rsidR="00CA7521">
          <w:rPr>
            <w:webHidden/>
          </w:rPr>
          <w:fldChar w:fldCharType="begin"/>
        </w:r>
        <w:r w:rsidR="00CA7521">
          <w:rPr>
            <w:webHidden/>
          </w:rPr>
          <w:instrText xml:space="preserve"> PAGEREF _Toc72501390 \h </w:instrText>
        </w:r>
        <w:r w:rsidR="00CA7521">
          <w:rPr>
            <w:webHidden/>
          </w:rPr>
        </w:r>
        <w:r w:rsidR="00CA7521">
          <w:rPr>
            <w:webHidden/>
          </w:rPr>
          <w:fldChar w:fldCharType="separate"/>
        </w:r>
        <w:r w:rsidR="00633E39">
          <w:rPr>
            <w:webHidden/>
          </w:rPr>
          <w:t>5</w:t>
        </w:r>
        <w:r w:rsidR="00CA7521">
          <w:rPr>
            <w:webHidden/>
          </w:rPr>
          <w:fldChar w:fldCharType="end"/>
        </w:r>
      </w:hyperlink>
    </w:p>
    <w:p w14:paraId="1D1E1576" w14:textId="1A040A8E" w:rsidR="00CA7521" w:rsidRDefault="009307F4">
      <w:pPr>
        <w:pStyle w:val="TOC1"/>
        <w:rPr>
          <w:rFonts w:asciiTheme="minorHAnsi" w:eastAsiaTheme="minorEastAsia" w:hAnsiTheme="minorHAnsi" w:cstheme="minorBidi"/>
          <w:b w:val="0"/>
          <w:sz w:val="22"/>
          <w:lang w:eastAsia="en-AU"/>
        </w:rPr>
      </w:pPr>
      <w:hyperlink w:anchor="_Toc72501391" w:history="1">
        <w:r w:rsidR="00CA7521" w:rsidRPr="009928B1">
          <w:rPr>
            <w:rStyle w:val="Hyperlink"/>
          </w:rPr>
          <w:t>Part 1 – Introduction</w:t>
        </w:r>
        <w:r w:rsidR="00CA7521">
          <w:rPr>
            <w:webHidden/>
          </w:rPr>
          <w:tab/>
        </w:r>
        <w:r w:rsidR="00CA7521">
          <w:rPr>
            <w:webHidden/>
          </w:rPr>
          <w:fldChar w:fldCharType="begin"/>
        </w:r>
        <w:r w:rsidR="00CA7521">
          <w:rPr>
            <w:webHidden/>
          </w:rPr>
          <w:instrText xml:space="preserve"> PAGEREF _Toc72501391 \h </w:instrText>
        </w:r>
        <w:r w:rsidR="00CA7521">
          <w:rPr>
            <w:webHidden/>
          </w:rPr>
        </w:r>
        <w:r w:rsidR="00CA7521">
          <w:rPr>
            <w:webHidden/>
          </w:rPr>
          <w:fldChar w:fldCharType="separate"/>
        </w:r>
        <w:r w:rsidR="00633E39">
          <w:rPr>
            <w:webHidden/>
          </w:rPr>
          <w:t>6</w:t>
        </w:r>
        <w:r w:rsidR="00CA7521">
          <w:rPr>
            <w:webHidden/>
          </w:rPr>
          <w:fldChar w:fldCharType="end"/>
        </w:r>
      </w:hyperlink>
    </w:p>
    <w:p w14:paraId="262A1088" w14:textId="5F6B29AA" w:rsidR="00CA7521" w:rsidRDefault="009307F4">
      <w:pPr>
        <w:pStyle w:val="TOC1"/>
        <w:rPr>
          <w:rFonts w:asciiTheme="minorHAnsi" w:eastAsiaTheme="minorEastAsia" w:hAnsiTheme="minorHAnsi" w:cstheme="minorBidi"/>
          <w:b w:val="0"/>
          <w:sz w:val="22"/>
          <w:lang w:eastAsia="en-AU"/>
        </w:rPr>
      </w:pPr>
      <w:hyperlink w:anchor="_Toc72501392" w:history="1">
        <w:r w:rsidR="00CA7521" w:rsidRPr="009928B1">
          <w:rPr>
            <w:rStyle w:val="Hyperlink"/>
          </w:rPr>
          <w:t>Part 2 – Overview</w:t>
        </w:r>
        <w:r w:rsidR="00CA7521">
          <w:rPr>
            <w:webHidden/>
          </w:rPr>
          <w:tab/>
        </w:r>
        <w:r w:rsidR="00CA7521">
          <w:rPr>
            <w:webHidden/>
          </w:rPr>
          <w:fldChar w:fldCharType="begin"/>
        </w:r>
        <w:r w:rsidR="00CA7521">
          <w:rPr>
            <w:webHidden/>
          </w:rPr>
          <w:instrText xml:space="preserve"> PAGEREF _Toc72501392 \h </w:instrText>
        </w:r>
        <w:r w:rsidR="00CA7521">
          <w:rPr>
            <w:webHidden/>
          </w:rPr>
        </w:r>
        <w:r w:rsidR="00CA7521">
          <w:rPr>
            <w:webHidden/>
          </w:rPr>
          <w:fldChar w:fldCharType="separate"/>
        </w:r>
        <w:r w:rsidR="00633E39">
          <w:rPr>
            <w:webHidden/>
          </w:rPr>
          <w:t>7</w:t>
        </w:r>
        <w:r w:rsidR="00CA7521">
          <w:rPr>
            <w:webHidden/>
          </w:rPr>
          <w:fldChar w:fldCharType="end"/>
        </w:r>
      </w:hyperlink>
    </w:p>
    <w:p w14:paraId="36C901E1" w14:textId="4B538E84" w:rsidR="00CA7521" w:rsidRDefault="009307F4">
      <w:pPr>
        <w:pStyle w:val="TOC3"/>
        <w:rPr>
          <w:rFonts w:eastAsiaTheme="minorEastAsia"/>
          <w:noProof/>
          <w:lang w:eastAsia="en-AU"/>
        </w:rPr>
      </w:pPr>
      <w:hyperlink w:anchor="_Toc72501393" w:history="1">
        <w:r w:rsidR="00CA7521" w:rsidRPr="009928B1">
          <w:rPr>
            <w:rStyle w:val="Hyperlink"/>
            <w:noProof/>
          </w:rPr>
          <w:t>Overarching principle of the forex policy</w:t>
        </w:r>
        <w:r w:rsidR="00CA7521">
          <w:rPr>
            <w:noProof/>
            <w:webHidden/>
          </w:rPr>
          <w:tab/>
        </w:r>
        <w:r w:rsidR="00CA7521">
          <w:rPr>
            <w:noProof/>
            <w:webHidden/>
          </w:rPr>
          <w:fldChar w:fldCharType="begin"/>
        </w:r>
        <w:r w:rsidR="00CA7521">
          <w:rPr>
            <w:noProof/>
            <w:webHidden/>
          </w:rPr>
          <w:instrText xml:space="preserve"> PAGEREF _Toc72501393 \h </w:instrText>
        </w:r>
        <w:r w:rsidR="00CA7521">
          <w:rPr>
            <w:noProof/>
            <w:webHidden/>
          </w:rPr>
        </w:r>
        <w:r w:rsidR="00CA7521">
          <w:rPr>
            <w:noProof/>
            <w:webHidden/>
          </w:rPr>
          <w:fldChar w:fldCharType="separate"/>
        </w:r>
        <w:r w:rsidR="00633E39">
          <w:rPr>
            <w:noProof/>
            <w:webHidden/>
          </w:rPr>
          <w:t>7</w:t>
        </w:r>
        <w:r w:rsidR="00CA7521">
          <w:rPr>
            <w:noProof/>
            <w:webHidden/>
          </w:rPr>
          <w:fldChar w:fldCharType="end"/>
        </w:r>
      </w:hyperlink>
    </w:p>
    <w:p w14:paraId="5859F1B9" w14:textId="15398E76" w:rsidR="00CA7521" w:rsidRDefault="009307F4">
      <w:pPr>
        <w:pStyle w:val="TOC3"/>
        <w:rPr>
          <w:rFonts w:eastAsiaTheme="minorEastAsia"/>
          <w:noProof/>
          <w:lang w:eastAsia="en-AU"/>
        </w:rPr>
      </w:pPr>
      <w:hyperlink w:anchor="_Toc72501394" w:history="1">
        <w:r w:rsidR="00CA7521" w:rsidRPr="009928B1">
          <w:rPr>
            <w:rStyle w:val="Hyperlink"/>
            <w:noProof/>
          </w:rPr>
          <w:t>Hedging</w:t>
        </w:r>
        <w:r w:rsidR="00CA7521">
          <w:rPr>
            <w:noProof/>
            <w:webHidden/>
          </w:rPr>
          <w:tab/>
        </w:r>
        <w:r w:rsidR="00CA7521">
          <w:rPr>
            <w:noProof/>
            <w:webHidden/>
          </w:rPr>
          <w:fldChar w:fldCharType="begin"/>
        </w:r>
        <w:r w:rsidR="00CA7521">
          <w:rPr>
            <w:noProof/>
            <w:webHidden/>
          </w:rPr>
          <w:instrText xml:space="preserve"> PAGEREF _Toc72501394 \h </w:instrText>
        </w:r>
        <w:r w:rsidR="00CA7521">
          <w:rPr>
            <w:noProof/>
            <w:webHidden/>
          </w:rPr>
        </w:r>
        <w:r w:rsidR="00CA7521">
          <w:rPr>
            <w:noProof/>
            <w:webHidden/>
          </w:rPr>
          <w:fldChar w:fldCharType="separate"/>
        </w:r>
        <w:r w:rsidR="00633E39">
          <w:rPr>
            <w:noProof/>
            <w:webHidden/>
          </w:rPr>
          <w:t>7</w:t>
        </w:r>
        <w:r w:rsidR="00CA7521">
          <w:rPr>
            <w:noProof/>
            <w:webHidden/>
          </w:rPr>
          <w:fldChar w:fldCharType="end"/>
        </w:r>
      </w:hyperlink>
    </w:p>
    <w:p w14:paraId="0D9B3002" w14:textId="15D50A2E" w:rsidR="00CA7521" w:rsidRDefault="009307F4">
      <w:pPr>
        <w:pStyle w:val="TOC3"/>
        <w:rPr>
          <w:rFonts w:eastAsiaTheme="minorEastAsia"/>
          <w:noProof/>
          <w:lang w:eastAsia="en-AU"/>
        </w:rPr>
      </w:pPr>
      <w:hyperlink w:anchor="_Toc72501395" w:history="1">
        <w:r w:rsidR="00CA7521" w:rsidRPr="009928B1">
          <w:rPr>
            <w:rStyle w:val="Hyperlink"/>
            <w:noProof/>
          </w:rPr>
          <w:t>Entering into contracts, agreements or arrangements that include hedges</w:t>
        </w:r>
        <w:r w:rsidR="00CA7521">
          <w:rPr>
            <w:noProof/>
            <w:webHidden/>
          </w:rPr>
          <w:tab/>
        </w:r>
        <w:r w:rsidR="00CA7521">
          <w:rPr>
            <w:noProof/>
            <w:webHidden/>
          </w:rPr>
          <w:fldChar w:fldCharType="begin"/>
        </w:r>
        <w:r w:rsidR="00CA7521">
          <w:rPr>
            <w:noProof/>
            <w:webHidden/>
          </w:rPr>
          <w:instrText xml:space="preserve"> PAGEREF _Toc72501395 \h </w:instrText>
        </w:r>
        <w:r w:rsidR="00CA7521">
          <w:rPr>
            <w:noProof/>
            <w:webHidden/>
          </w:rPr>
        </w:r>
        <w:r w:rsidR="00CA7521">
          <w:rPr>
            <w:noProof/>
            <w:webHidden/>
          </w:rPr>
          <w:fldChar w:fldCharType="separate"/>
        </w:r>
        <w:r w:rsidR="00633E39">
          <w:rPr>
            <w:noProof/>
            <w:webHidden/>
          </w:rPr>
          <w:t>10</w:t>
        </w:r>
        <w:r w:rsidR="00CA7521">
          <w:rPr>
            <w:noProof/>
            <w:webHidden/>
          </w:rPr>
          <w:fldChar w:fldCharType="end"/>
        </w:r>
      </w:hyperlink>
    </w:p>
    <w:p w14:paraId="158D827D" w14:textId="3FA7CFBC" w:rsidR="00CA7521" w:rsidRDefault="009307F4">
      <w:pPr>
        <w:pStyle w:val="TOC1"/>
        <w:rPr>
          <w:rFonts w:asciiTheme="minorHAnsi" w:eastAsiaTheme="minorEastAsia" w:hAnsiTheme="minorHAnsi" w:cstheme="minorBidi"/>
          <w:b w:val="0"/>
          <w:sz w:val="22"/>
          <w:lang w:eastAsia="en-AU"/>
        </w:rPr>
      </w:pPr>
      <w:hyperlink w:anchor="_Toc72501396" w:history="1">
        <w:r w:rsidR="00CA7521" w:rsidRPr="009928B1">
          <w:rPr>
            <w:rStyle w:val="Hyperlink"/>
          </w:rPr>
          <w:t>Part 3 – Managing foreign exchange risk in accordance with the Foreign Exchange Policy</w:t>
        </w:r>
        <w:r w:rsidR="00CA7521">
          <w:rPr>
            <w:webHidden/>
          </w:rPr>
          <w:tab/>
        </w:r>
        <w:r w:rsidR="00CA7521">
          <w:rPr>
            <w:webHidden/>
          </w:rPr>
          <w:fldChar w:fldCharType="begin"/>
        </w:r>
        <w:r w:rsidR="00CA7521">
          <w:rPr>
            <w:webHidden/>
          </w:rPr>
          <w:instrText xml:space="preserve"> PAGEREF _Toc72501396 \h </w:instrText>
        </w:r>
        <w:r w:rsidR="00CA7521">
          <w:rPr>
            <w:webHidden/>
          </w:rPr>
        </w:r>
        <w:r w:rsidR="00CA7521">
          <w:rPr>
            <w:webHidden/>
          </w:rPr>
          <w:fldChar w:fldCharType="separate"/>
        </w:r>
        <w:r w:rsidR="00633E39">
          <w:rPr>
            <w:webHidden/>
          </w:rPr>
          <w:t>11</w:t>
        </w:r>
        <w:r w:rsidR="00CA7521">
          <w:rPr>
            <w:webHidden/>
          </w:rPr>
          <w:fldChar w:fldCharType="end"/>
        </w:r>
      </w:hyperlink>
    </w:p>
    <w:p w14:paraId="70D3AD01" w14:textId="5F1E6923" w:rsidR="00CA7521" w:rsidRDefault="009307F4">
      <w:pPr>
        <w:pStyle w:val="TOC3"/>
        <w:rPr>
          <w:rFonts w:eastAsiaTheme="minorEastAsia"/>
          <w:noProof/>
          <w:lang w:eastAsia="en-AU"/>
        </w:rPr>
      </w:pPr>
      <w:hyperlink w:anchor="_Toc72501397" w:history="1">
        <w:r w:rsidR="00CA7521" w:rsidRPr="009928B1">
          <w:rPr>
            <w:rStyle w:val="Hyperlink"/>
            <w:noProof/>
          </w:rPr>
          <w:t>Identifying foreign exchange risks, foreign exchange exposures and hedging arrangements</w:t>
        </w:r>
        <w:r w:rsidR="00CA7521">
          <w:rPr>
            <w:noProof/>
            <w:webHidden/>
          </w:rPr>
          <w:tab/>
        </w:r>
        <w:r w:rsidR="00CA7521">
          <w:rPr>
            <w:noProof/>
            <w:webHidden/>
          </w:rPr>
          <w:fldChar w:fldCharType="begin"/>
        </w:r>
        <w:r w:rsidR="00CA7521">
          <w:rPr>
            <w:noProof/>
            <w:webHidden/>
          </w:rPr>
          <w:instrText xml:space="preserve"> PAGEREF _Toc72501397 \h </w:instrText>
        </w:r>
        <w:r w:rsidR="00CA7521">
          <w:rPr>
            <w:noProof/>
            <w:webHidden/>
          </w:rPr>
        </w:r>
        <w:r w:rsidR="00CA7521">
          <w:rPr>
            <w:noProof/>
            <w:webHidden/>
          </w:rPr>
          <w:fldChar w:fldCharType="separate"/>
        </w:r>
        <w:r w:rsidR="00633E39">
          <w:rPr>
            <w:noProof/>
            <w:webHidden/>
          </w:rPr>
          <w:t>11</w:t>
        </w:r>
        <w:r w:rsidR="00CA7521">
          <w:rPr>
            <w:noProof/>
            <w:webHidden/>
          </w:rPr>
          <w:fldChar w:fldCharType="end"/>
        </w:r>
      </w:hyperlink>
    </w:p>
    <w:p w14:paraId="03A0F707" w14:textId="1A429B68" w:rsidR="00CA7521" w:rsidRDefault="009307F4">
      <w:pPr>
        <w:pStyle w:val="TOC3"/>
        <w:rPr>
          <w:rFonts w:eastAsiaTheme="minorEastAsia"/>
          <w:noProof/>
          <w:lang w:eastAsia="en-AU"/>
        </w:rPr>
      </w:pPr>
      <w:hyperlink w:anchor="_Toc72501398" w:history="1">
        <w:r w:rsidR="00CA7521" w:rsidRPr="009928B1">
          <w:rPr>
            <w:rStyle w:val="Hyperlink"/>
            <w:noProof/>
          </w:rPr>
          <w:t>Measuring foreign exchange risk and hedging arrangements</w:t>
        </w:r>
        <w:r w:rsidR="00CA7521">
          <w:rPr>
            <w:noProof/>
            <w:webHidden/>
          </w:rPr>
          <w:tab/>
        </w:r>
        <w:r w:rsidR="00CA7521">
          <w:rPr>
            <w:noProof/>
            <w:webHidden/>
          </w:rPr>
          <w:fldChar w:fldCharType="begin"/>
        </w:r>
        <w:r w:rsidR="00CA7521">
          <w:rPr>
            <w:noProof/>
            <w:webHidden/>
          </w:rPr>
          <w:instrText xml:space="preserve"> PAGEREF _Toc72501398 \h </w:instrText>
        </w:r>
        <w:r w:rsidR="00CA7521">
          <w:rPr>
            <w:noProof/>
            <w:webHidden/>
          </w:rPr>
        </w:r>
        <w:r w:rsidR="00CA7521">
          <w:rPr>
            <w:noProof/>
            <w:webHidden/>
          </w:rPr>
          <w:fldChar w:fldCharType="separate"/>
        </w:r>
        <w:r w:rsidR="00633E39">
          <w:rPr>
            <w:noProof/>
            <w:webHidden/>
          </w:rPr>
          <w:t>11</w:t>
        </w:r>
        <w:r w:rsidR="00CA7521">
          <w:rPr>
            <w:noProof/>
            <w:webHidden/>
          </w:rPr>
          <w:fldChar w:fldCharType="end"/>
        </w:r>
      </w:hyperlink>
    </w:p>
    <w:p w14:paraId="51317E2A" w14:textId="189FFA1F" w:rsidR="00CA7521" w:rsidRDefault="009307F4">
      <w:pPr>
        <w:pStyle w:val="TOC3"/>
        <w:rPr>
          <w:rFonts w:eastAsiaTheme="minorEastAsia"/>
          <w:noProof/>
          <w:lang w:eastAsia="en-AU"/>
        </w:rPr>
      </w:pPr>
      <w:hyperlink w:anchor="_Toc72501399" w:history="1">
        <w:r w:rsidR="00CA7521" w:rsidRPr="009928B1">
          <w:rPr>
            <w:rStyle w:val="Hyperlink"/>
            <w:noProof/>
          </w:rPr>
          <w:t>Consultation on material exposures</w:t>
        </w:r>
        <w:r w:rsidR="00CA7521">
          <w:rPr>
            <w:noProof/>
            <w:webHidden/>
          </w:rPr>
          <w:tab/>
        </w:r>
        <w:r w:rsidR="00CA7521">
          <w:rPr>
            <w:noProof/>
            <w:webHidden/>
          </w:rPr>
          <w:fldChar w:fldCharType="begin"/>
        </w:r>
        <w:r w:rsidR="00CA7521">
          <w:rPr>
            <w:noProof/>
            <w:webHidden/>
          </w:rPr>
          <w:instrText xml:space="preserve"> PAGEREF _Toc72501399 \h </w:instrText>
        </w:r>
        <w:r w:rsidR="00CA7521">
          <w:rPr>
            <w:noProof/>
            <w:webHidden/>
          </w:rPr>
        </w:r>
        <w:r w:rsidR="00CA7521">
          <w:rPr>
            <w:noProof/>
            <w:webHidden/>
          </w:rPr>
          <w:fldChar w:fldCharType="separate"/>
        </w:r>
        <w:r w:rsidR="00633E39">
          <w:rPr>
            <w:noProof/>
            <w:webHidden/>
          </w:rPr>
          <w:t>12</w:t>
        </w:r>
        <w:r w:rsidR="00CA7521">
          <w:rPr>
            <w:noProof/>
            <w:webHidden/>
          </w:rPr>
          <w:fldChar w:fldCharType="end"/>
        </w:r>
      </w:hyperlink>
    </w:p>
    <w:p w14:paraId="72C1FB0E" w14:textId="7F1D1381" w:rsidR="00CA7521" w:rsidRDefault="009307F4">
      <w:pPr>
        <w:pStyle w:val="TOC3"/>
        <w:rPr>
          <w:rFonts w:eastAsiaTheme="minorEastAsia"/>
          <w:noProof/>
          <w:lang w:eastAsia="en-AU"/>
        </w:rPr>
      </w:pPr>
      <w:hyperlink w:anchor="_Toc72501400" w:history="1">
        <w:r w:rsidR="00CA7521" w:rsidRPr="009928B1">
          <w:rPr>
            <w:rStyle w:val="Hyperlink"/>
            <w:noProof/>
          </w:rPr>
          <w:t>Operational risk management and internal controls</w:t>
        </w:r>
        <w:r w:rsidR="00CA7521">
          <w:rPr>
            <w:noProof/>
            <w:webHidden/>
          </w:rPr>
          <w:tab/>
        </w:r>
        <w:r w:rsidR="00CA7521">
          <w:rPr>
            <w:noProof/>
            <w:webHidden/>
          </w:rPr>
          <w:fldChar w:fldCharType="begin"/>
        </w:r>
        <w:r w:rsidR="00CA7521">
          <w:rPr>
            <w:noProof/>
            <w:webHidden/>
          </w:rPr>
          <w:instrText xml:space="preserve"> PAGEREF _Toc72501400 \h </w:instrText>
        </w:r>
        <w:r w:rsidR="00CA7521">
          <w:rPr>
            <w:noProof/>
            <w:webHidden/>
          </w:rPr>
        </w:r>
        <w:r w:rsidR="00CA7521">
          <w:rPr>
            <w:noProof/>
            <w:webHidden/>
          </w:rPr>
          <w:fldChar w:fldCharType="separate"/>
        </w:r>
        <w:r w:rsidR="00633E39">
          <w:rPr>
            <w:noProof/>
            <w:webHidden/>
          </w:rPr>
          <w:t>12</w:t>
        </w:r>
        <w:r w:rsidR="00CA7521">
          <w:rPr>
            <w:noProof/>
            <w:webHidden/>
          </w:rPr>
          <w:fldChar w:fldCharType="end"/>
        </w:r>
      </w:hyperlink>
    </w:p>
    <w:p w14:paraId="16C93436" w14:textId="32F6D921" w:rsidR="00CA7521" w:rsidRDefault="009307F4">
      <w:pPr>
        <w:pStyle w:val="TOC3"/>
        <w:rPr>
          <w:rFonts w:eastAsiaTheme="minorEastAsia"/>
          <w:noProof/>
          <w:lang w:eastAsia="en-AU"/>
        </w:rPr>
      </w:pPr>
      <w:hyperlink w:anchor="_Toc72501401" w:history="1">
        <w:r w:rsidR="00CA7521" w:rsidRPr="009928B1">
          <w:rPr>
            <w:rStyle w:val="Hyperlink"/>
            <w:noProof/>
          </w:rPr>
          <w:t>Foreign exchange guidance for CCEs</w:t>
        </w:r>
        <w:r w:rsidR="00CA7521">
          <w:rPr>
            <w:noProof/>
            <w:webHidden/>
          </w:rPr>
          <w:tab/>
        </w:r>
        <w:r w:rsidR="00CA7521">
          <w:rPr>
            <w:noProof/>
            <w:webHidden/>
          </w:rPr>
          <w:fldChar w:fldCharType="begin"/>
        </w:r>
        <w:r w:rsidR="00CA7521">
          <w:rPr>
            <w:noProof/>
            <w:webHidden/>
          </w:rPr>
          <w:instrText xml:space="preserve"> PAGEREF _Toc72501401 \h </w:instrText>
        </w:r>
        <w:r w:rsidR="00CA7521">
          <w:rPr>
            <w:noProof/>
            <w:webHidden/>
          </w:rPr>
        </w:r>
        <w:r w:rsidR="00CA7521">
          <w:rPr>
            <w:noProof/>
            <w:webHidden/>
          </w:rPr>
          <w:fldChar w:fldCharType="separate"/>
        </w:r>
        <w:r w:rsidR="00633E39">
          <w:rPr>
            <w:noProof/>
            <w:webHidden/>
          </w:rPr>
          <w:t>14</w:t>
        </w:r>
        <w:r w:rsidR="00CA7521">
          <w:rPr>
            <w:noProof/>
            <w:webHidden/>
          </w:rPr>
          <w:fldChar w:fldCharType="end"/>
        </w:r>
      </w:hyperlink>
    </w:p>
    <w:p w14:paraId="3FE4B34A" w14:textId="3D54DBFE" w:rsidR="00CA7521" w:rsidRDefault="009307F4">
      <w:pPr>
        <w:pStyle w:val="TOC1"/>
        <w:rPr>
          <w:rFonts w:asciiTheme="minorHAnsi" w:eastAsiaTheme="minorEastAsia" w:hAnsiTheme="minorHAnsi" w:cstheme="minorBidi"/>
          <w:b w:val="0"/>
          <w:sz w:val="22"/>
          <w:lang w:eastAsia="en-AU"/>
        </w:rPr>
      </w:pPr>
      <w:hyperlink w:anchor="_Toc72501402" w:history="1">
        <w:r w:rsidR="00CA7521" w:rsidRPr="009928B1">
          <w:rPr>
            <w:rStyle w:val="Hyperlink"/>
          </w:rPr>
          <w:t>Part 4 – Adjustments to appropriations and estimates</w:t>
        </w:r>
        <w:r w:rsidR="00CA7521">
          <w:rPr>
            <w:webHidden/>
          </w:rPr>
          <w:tab/>
        </w:r>
        <w:r w:rsidR="00CA7521">
          <w:rPr>
            <w:webHidden/>
          </w:rPr>
          <w:fldChar w:fldCharType="begin"/>
        </w:r>
        <w:r w:rsidR="00CA7521">
          <w:rPr>
            <w:webHidden/>
          </w:rPr>
          <w:instrText xml:space="preserve"> PAGEREF _Toc72501402 \h </w:instrText>
        </w:r>
        <w:r w:rsidR="00CA7521">
          <w:rPr>
            <w:webHidden/>
          </w:rPr>
        </w:r>
        <w:r w:rsidR="00CA7521">
          <w:rPr>
            <w:webHidden/>
          </w:rPr>
          <w:fldChar w:fldCharType="separate"/>
        </w:r>
        <w:r w:rsidR="00633E39">
          <w:rPr>
            <w:webHidden/>
          </w:rPr>
          <w:t>15</w:t>
        </w:r>
        <w:r w:rsidR="00CA7521">
          <w:rPr>
            <w:webHidden/>
          </w:rPr>
          <w:fldChar w:fldCharType="end"/>
        </w:r>
      </w:hyperlink>
    </w:p>
    <w:p w14:paraId="43BEF626" w14:textId="3A1D276E" w:rsidR="00CA7521" w:rsidRDefault="009307F4">
      <w:pPr>
        <w:pStyle w:val="TOC3"/>
        <w:rPr>
          <w:rFonts w:eastAsiaTheme="minorEastAsia"/>
          <w:noProof/>
          <w:lang w:eastAsia="en-AU"/>
        </w:rPr>
      </w:pPr>
      <w:hyperlink w:anchor="_Toc72501403" w:history="1">
        <w:r w:rsidR="00CA7521" w:rsidRPr="009928B1">
          <w:rPr>
            <w:rStyle w:val="Hyperlink"/>
            <w:noProof/>
          </w:rPr>
          <w:t>Maintaining budget estimates</w:t>
        </w:r>
        <w:r w:rsidR="00CA7521">
          <w:rPr>
            <w:noProof/>
            <w:webHidden/>
          </w:rPr>
          <w:tab/>
        </w:r>
        <w:r w:rsidR="00CA7521">
          <w:rPr>
            <w:noProof/>
            <w:webHidden/>
          </w:rPr>
          <w:fldChar w:fldCharType="begin"/>
        </w:r>
        <w:r w:rsidR="00CA7521">
          <w:rPr>
            <w:noProof/>
            <w:webHidden/>
          </w:rPr>
          <w:instrText xml:space="preserve"> PAGEREF _Toc72501403 \h </w:instrText>
        </w:r>
        <w:r w:rsidR="00CA7521">
          <w:rPr>
            <w:noProof/>
            <w:webHidden/>
          </w:rPr>
        </w:r>
        <w:r w:rsidR="00CA7521">
          <w:rPr>
            <w:noProof/>
            <w:webHidden/>
          </w:rPr>
          <w:fldChar w:fldCharType="separate"/>
        </w:r>
        <w:r w:rsidR="00633E39">
          <w:rPr>
            <w:noProof/>
            <w:webHidden/>
          </w:rPr>
          <w:t>15</w:t>
        </w:r>
        <w:r w:rsidR="00CA7521">
          <w:rPr>
            <w:noProof/>
            <w:webHidden/>
          </w:rPr>
          <w:fldChar w:fldCharType="end"/>
        </w:r>
      </w:hyperlink>
    </w:p>
    <w:p w14:paraId="0FF5E899" w14:textId="0BAAB1FB" w:rsidR="00CA7521" w:rsidRDefault="009307F4">
      <w:pPr>
        <w:pStyle w:val="TOC3"/>
        <w:rPr>
          <w:rFonts w:eastAsiaTheme="minorEastAsia"/>
          <w:noProof/>
          <w:lang w:eastAsia="en-AU"/>
        </w:rPr>
      </w:pPr>
      <w:hyperlink w:anchor="_Toc72501404" w:history="1">
        <w:r w:rsidR="00CA7521" w:rsidRPr="009928B1">
          <w:rPr>
            <w:rStyle w:val="Hyperlink"/>
            <w:noProof/>
          </w:rPr>
          <w:t>Departmental no-win, no-loss supplementation</w:t>
        </w:r>
        <w:r w:rsidR="00CA7521">
          <w:rPr>
            <w:noProof/>
            <w:webHidden/>
          </w:rPr>
          <w:tab/>
        </w:r>
        <w:r w:rsidR="00CA7521">
          <w:rPr>
            <w:noProof/>
            <w:webHidden/>
          </w:rPr>
          <w:fldChar w:fldCharType="begin"/>
        </w:r>
        <w:r w:rsidR="00CA7521">
          <w:rPr>
            <w:noProof/>
            <w:webHidden/>
          </w:rPr>
          <w:instrText xml:space="preserve"> PAGEREF _Toc72501404 \h </w:instrText>
        </w:r>
        <w:r w:rsidR="00CA7521">
          <w:rPr>
            <w:noProof/>
            <w:webHidden/>
          </w:rPr>
        </w:r>
        <w:r w:rsidR="00CA7521">
          <w:rPr>
            <w:noProof/>
            <w:webHidden/>
          </w:rPr>
          <w:fldChar w:fldCharType="separate"/>
        </w:r>
        <w:r w:rsidR="00633E39">
          <w:rPr>
            <w:noProof/>
            <w:webHidden/>
          </w:rPr>
          <w:t>17</w:t>
        </w:r>
        <w:r w:rsidR="00CA7521">
          <w:rPr>
            <w:noProof/>
            <w:webHidden/>
          </w:rPr>
          <w:fldChar w:fldCharType="end"/>
        </w:r>
      </w:hyperlink>
    </w:p>
    <w:p w14:paraId="67E8F26C" w14:textId="316C6927" w:rsidR="00CA7521" w:rsidRDefault="009307F4">
      <w:pPr>
        <w:pStyle w:val="TOC3"/>
        <w:rPr>
          <w:rFonts w:eastAsiaTheme="minorEastAsia"/>
          <w:noProof/>
          <w:lang w:eastAsia="en-AU"/>
        </w:rPr>
      </w:pPr>
      <w:hyperlink w:anchor="_Toc72501405" w:history="1">
        <w:r w:rsidR="00CA7521" w:rsidRPr="009928B1">
          <w:rPr>
            <w:rStyle w:val="Hyperlink"/>
            <w:noProof/>
          </w:rPr>
          <w:t>Administered supplementation</w:t>
        </w:r>
        <w:r w:rsidR="00CA7521">
          <w:rPr>
            <w:noProof/>
            <w:webHidden/>
          </w:rPr>
          <w:tab/>
        </w:r>
        <w:r w:rsidR="00CA7521">
          <w:rPr>
            <w:noProof/>
            <w:webHidden/>
          </w:rPr>
          <w:fldChar w:fldCharType="begin"/>
        </w:r>
        <w:r w:rsidR="00CA7521">
          <w:rPr>
            <w:noProof/>
            <w:webHidden/>
          </w:rPr>
          <w:instrText xml:space="preserve"> PAGEREF _Toc72501405 \h </w:instrText>
        </w:r>
        <w:r w:rsidR="00CA7521">
          <w:rPr>
            <w:noProof/>
            <w:webHidden/>
          </w:rPr>
        </w:r>
        <w:r w:rsidR="00CA7521">
          <w:rPr>
            <w:noProof/>
            <w:webHidden/>
          </w:rPr>
          <w:fldChar w:fldCharType="separate"/>
        </w:r>
        <w:r w:rsidR="00633E39">
          <w:rPr>
            <w:noProof/>
            <w:webHidden/>
          </w:rPr>
          <w:t>18</w:t>
        </w:r>
        <w:r w:rsidR="00CA7521">
          <w:rPr>
            <w:noProof/>
            <w:webHidden/>
          </w:rPr>
          <w:fldChar w:fldCharType="end"/>
        </w:r>
      </w:hyperlink>
    </w:p>
    <w:p w14:paraId="6EA905F4" w14:textId="655D3F9B" w:rsidR="00CA7521" w:rsidRDefault="009307F4">
      <w:pPr>
        <w:pStyle w:val="TOC3"/>
        <w:rPr>
          <w:rFonts w:eastAsiaTheme="minorEastAsia"/>
          <w:noProof/>
          <w:lang w:eastAsia="en-AU"/>
        </w:rPr>
      </w:pPr>
      <w:hyperlink w:anchor="_Toc72501406" w:history="1">
        <w:r w:rsidR="00CA7521" w:rsidRPr="009928B1">
          <w:rPr>
            <w:rStyle w:val="Hyperlink"/>
            <w:noProof/>
          </w:rPr>
          <w:t>Measurement of gains and losses</w:t>
        </w:r>
        <w:r w:rsidR="00CA7521">
          <w:rPr>
            <w:noProof/>
            <w:webHidden/>
          </w:rPr>
          <w:tab/>
        </w:r>
        <w:r w:rsidR="00CA7521">
          <w:rPr>
            <w:noProof/>
            <w:webHidden/>
          </w:rPr>
          <w:fldChar w:fldCharType="begin"/>
        </w:r>
        <w:r w:rsidR="00CA7521">
          <w:rPr>
            <w:noProof/>
            <w:webHidden/>
          </w:rPr>
          <w:instrText xml:space="preserve"> PAGEREF _Toc72501406 \h </w:instrText>
        </w:r>
        <w:r w:rsidR="00CA7521">
          <w:rPr>
            <w:noProof/>
            <w:webHidden/>
          </w:rPr>
        </w:r>
        <w:r w:rsidR="00CA7521">
          <w:rPr>
            <w:noProof/>
            <w:webHidden/>
          </w:rPr>
          <w:fldChar w:fldCharType="separate"/>
        </w:r>
        <w:r w:rsidR="00633E39">
          <w:rPr>
            <w:noProof/>
            <w:webHidden/>
          </w:rPr>
          <w:t>18</w:t>
        </w:r>
        <w:r w:rsidR="00CA7521">
          <w:rPr>
            <w:noProof/>
            <w:webHidden/>
          </w:rPr>
          <w:fldChar w:fldCharType="end"/>
        </w:r>
      </w:hyperlink>
    </w:p>
    <w:p w14:paraId="655650FB" w14:textId="41B3F4E8" w:rsidR="00CA7521" w:rsidRDefault="009307F4">
      <w:pPr>
        <w:pStyle w:val="TOC1"/>
        <w:rPr>
          <w:rFonts w:asciiTheme="minorHAnsi" w:eastAsiaTheme="minorEastAsia" w:hAnsiTheme="minorHAnsi" w:cstheme="minorBidi"/>
          <w:b w:val="0"/>
          <w:sz w:val="22"/>
          <w:lang w:eastAsia="en-AU"/>
        </w:rPr>
      </w:pPr>
      <w:hyperlink w:anchor="_Toc72501407" w:history="1">
        <w:r w:rsidR="00CA7521" w:rsidRPr="009928B1">
          <w:rPr>
            <w:rStyle w:val="Hyperlink"/>
          </w:rPr>
          <w:t>Part 5 – Changes in reporting requirements</w:t>
        </w:r>
        <w:r w:rsidR="00CA7521">
          <w:rPr>
            <w:webHidden/>
          </w:rPr>
          <w:tab/>
        </w:r>
        <w:r w:rsidR="00CA7521">
          <w:rPr>
            <w:webHidden/>
          </w:rPr>
          <w:fldChar w:fldCharType="begin"/>
        </w:r>
        <w:r w:rsidR="00CA7521">
          <w:rPr>
            <w:webHidden/>
          </w:rPr>
          <w:instrText xml:space="preserve"> PAGEREF _Toc72501407 \h </w:instrText>
        </w:r>
        <w:r w:rsidR="00CA7521">
          <w:rPr>
            <w:webHidden/>
          </w:rPr>
        </w:r>
        <w:r w:rsidR="00CA7521">
          <w:rPr>
            <w:webHidden/>
          </w:rPr>
          <w:fldChar w:fldCharType="separate"/>
        </w:r>
        <w:r w:rsidR="00633E39">
          <w:rPr>
            <w:webHidden/>
          </w:rPr>
          <w:t>19</w:t>
        </w:r>
        <w:r w:rsidR="00CA7521">
          <w:rPr>
            <w:webHidden/>
          </w:rPr>
          <w:fldChar w:fldCharType="end"/>
        </w:r>
      </w:hyperlink>
    </w:p>
    <w:p w14:paraId="3B6DAA64" w14:textId="0A79EE5A" w:rsidR="00CA7521" w:rsidRDefault="009307F4">
      <w:pPr>
        <w:pStyle w:val="TOC3"/>
        <w:rPr>
          <w:rFonts w:eastAsiaTheme="minorEastAsia"/>
          <w:noProof/>
          <w:lang w:eastAsia="en-AU"/>
        </w:rPr>
      </w:pPr>
      <w:hyperlink w:anchor="_Toc72501408" w:history="1">
        <w:r w:rsidR="00CA7521" w:rsidRPr="009928B1">
          <w:rPr>
            <w:rStyle w:val="Hyperlink"/>
            <w:noProof/>
          </w:rPr>
          <w:t>Foreign exchange reporting in CBMS and annual financial statements</w:t>
        </w:r>
        <w:r w:rsidR="00CA7521">
          <w:rPr>
            <w:noProof/>
            <w:webHidden/>
          </w:rPr>
          <w:tab/>
        </w:r>
        <w:r w:rsidR="00CA7521">
          <w:rPr>
            <w:noProof/>
            <w:webHidden/>
          </w:rPr>
          <w:fldChar w:fldCharType="begin"/>
        </w:r>
        <w:r w:rsidR="00CA7521">
          <w:rPr>
            <w:noProof/>
            <w:webHidden/>
          </w:rPr>
          <w:instrText xml:space="preserve"> PAGEREF _Toc72501408 \h </w:instrText>
        </w:r>
        <w:r w:rsidR="00CA7521">
          <w:rPr>
            <w:noProof/>
            <w:webHidden/>
          </w:rPr>
        </w:r>
        <w:r w:rsidR="00CA7521">
          <w:rPr>
            <w:noProof/>
            <w:webHidden/>
          </w:rPr>
          <w:fldChar w:fldCharType="separate"/>
        </w:r>
        <w:r w:rsidR="00633E39">
          <w:rPr>
            <w:noProof/>
            <w:webHidden/>
          </w:rPr>
          <w:t>19</w:t>
        </w:r>
        <w:r w:rsidR="00CA7521">
          <w:rPr>
            <w:noProof/>
            <w:webHidden/>
          </w:rPr>
          <w:fldChar w:fldCharType="end"/>
        </w:r>
      </w:hyperlink>
    </w:p>
    <w:p w14:paraId="792E85CE" w14:textId="263D0243" w:rsidR="00CA7521" w:rsidRDefault="009307F4">
      <w:pPr>
        <w:pStyle w:val="TOC1"/>
        <w:rPr>
          <w:rFonts w:asciiTheme="minorHAnsi" w:eastAsiaTheme="minorEastAsia" w:hAnsiTheme="minorHAnsi" w:cstheme="minorBidi"/>
          <w:b w:val="0"/>
          <w:sz w:val="22"/>
          <w:lang w:eastAsia="en-AU"/>
        </w:rPr>
      </w:pPr>
      <w:hyperlink w:anchor="_Toc72501409" w:history="1">
        <w:r w:rsidR="00CA7521" w:rsidRPr="009928B1">
          <w:rPr>
            <w:rStyle w:val="Hyperlink"/>
          </w:rPr>
          <w:t>Part 6 – Entity case study</w:t>
        </w:r>
        <w:r w:rsidR="00CA7521">
          <w:rPr>
            <w:webHidden/>
          </w:rPr>
          <w:tab/>
        </w:r>
        <w:r w:rsidR="00CA7521">
          <w:rPr>
            <w:webHidden/>
          </w:rPr>
          <w:fldChar w:fldCharType="begin"/>
        </w:r>
        <w:r w:rsidR="00CA7521">
          <w:rPr>
            <w:webHidden/>
          </w:rPr>
          <w:instrText xml:space="preserve"> PAGEREF _Toc72501409 \h </w:instrText>
        </w:r>
        <w:r w:rsidR="00CA7521">
          <w:rPr>
            <w:webHidden/>
          </w:rPr>
        </w:r>
        <w:r w:rsidR="00CA7521">
          <w:rPr>
            <w:webHidden/>
          </w:rPr>
          <w:fldChar w:fldCharType="separate"/>
        </w:r>
        <w:r w:rsidR="00633E39">
          <w:rPr>
            <w:webHidden/>
          </w:rPr>
          <w:t>20</w:t>
        </w:r>
        <w:r w:rsidR="00CA7521">
          <w:rPr>
            <w:webHidden/>
          </w:rPr>
          <w:fldChar w:fldCharType="end"/>
        </w:r>
      </w:hyperlink>
    </w:p>
    <w:p w14:paraId="08D03AFB" w14:textId="657240D5" w:rsidR="00CA7521" w:rsidRDefault="009307F4">
      <w:pPr>
        <w:pStyle w:val="TOC1"/>
        <w:rPr>
          <w:rFonts w:asciiTheme="minorHAnsi" w:eastAsiaTheme="minorEastAsia" w:hAnsiTheme="minorHAnsi" w:cstheme="minorBidi"/>
          <w:b w:val="0"/>
          <w:sz w:val="22"/>
          <w:lang w:eastAsia="en-AU"/>
        </w:rPr>
      </w:pPr>
      <w:hyperlink w:anchor="_Toc72501410" w:history="1">
        <w:r w:rsidR="00CA7521" w:rsidRPr="009928B1">
          <w:rPr>
            <w:rStyle w:val="Hyperlink"/>
          </w:rPr>
          <w:t>Frequently asked questions (FAQs)</w:t>
        </w:r>
        <w:r w:rsidR="00CA7521">
          <w:rPr>
            <w:webHidden/>
          </w:rPr>
          <w:tab/>
        </w:r>
        <w:r w:rsidR="00CA7521">
          <w:rPr>
            <w:webHidden/>
          </w:rPr>
          <w:fldChar w:fldCharType="begin"/>
        </w:r>
        <w:r w:rsidR="00CA7521">
          <w:rPr>
            <w:webHidden/>
          </w:rPr>
          <w:instrText xml:space="preserve"> PAGEREF _Toc72501410 \h </w:instrText>
        </w:r>
        <w:r w:rsidR="00CA7521">
          <w:rPr>
            <w:webHidden/>
          </w:rPr>
        </w:r>
        <w:r w:rsidR="00CA7521">
          <w:rPr>
            <w:webHidden/>
          </w:rPr>
          <w:fldChar w:fldCharType="separate"/>
        </w:r>
        <w:r w:rsidR="00633E39">
          <w:rPr>
            <w:webHidden/>
          </w:rPr>
          <w:t>21</w:t>
        </w:r>
        <w:r w:rsidR="00CA7521">
          <w:rPr>
            <w:webHidden/>
          </w:rPr>
          <w:fldChar w:fldCharType="end"/>
        </w:r>
      </w:hyperlink>
    </w:p>
    <w:p w14:paraId="37736E80" w14:textId="64DAA9D8" w:rsidR="00CA7521" w:rsidRDefault="009307F4">
      <w:pPr>
        <w:pStyle w:val="TOC1"/>
        <w:rPr>
          <w:rFonts w:asciiTheme="minorHAnsi" w:eastAsiaTheme="minorEastAsia" w:hAnsiTheme="minorHAnsi" w:cstheme="minorBidi"/>
          <w:b w:val="0"/>
          <w:sz w:val="22"/>
          <w:lang w:eastAsia="en-AU"/>
        </w:rPr>
      </w:pPr>
      <w:hyperlink w:anchor="_Toc72501411" w:history="1">
        <w:r w:rsidR="00CA7521" w:rsidRPr="009928B1">
          <w:rPr>
            <w:rStyle w:val="Hyperlink"/>
          </w:rPr>
          <w:t>Appendix A – Applying for an Exemption</w:t>
        </w:r>
        <w:r w:rsidR="00CA7521">
          <w:rPr>
            <w:webHidden/>
          </w:rPr>
          <w:tab/>
        </w:r>
        <w:r w:rsidR="00CA7521">
          <w:rPr>
            <w:webHidden/>
          </w:rPr>
          <w:fldChar w:fldCharType="begin"/>
        </w:r>
        <w:r w:rsidR="00CA7521">
          <w:rPr>
            <w:webHidden/>
          </w:rPr>
          <w:instrText xml:space="preserve"> PAGEREF _Toc72501411 \h </w:instrText>
        </w:r>
        <w:r w:rsidR="00CA7521">
          <w:rPr>
            <w:webHidden/>
          </w:rPr>
        </w:r>
        <w:r w:rsidR="00CA7521">
          <w:rPr>
            <w:webHidden/>
          </w:rPr>
          <w:fldChar w:fldCharType="separate"/>
        </w:r>
        <w:r w:rsidR="00633E39">
          <w:rPr>
            <w:webHidden/>
          </w:rPr>
          <w:t>24</w:t>
        </w:r>
        <w:r w:rsidR="00CA7521">
          <w:rPr>
            <w:webHidden/>
          </w:rPr>
          <w:fldChar w:fldCharType="end"/>
        </w:r>
      </w:hyperlink>
    </w:p>
    <w:p w14:paraId="6262EAA2" w14:textId="67522579" w:rsidR="00CA7521" w:rsidRDefault="009307F4">
      <w:pPr>
        <w:pStyle w:val="TOC1"/>
        <w:rPr>
          <w:rFonts w:asciiTheme="minorHAnsi" w:eastAsiaTheme="minorEastAsia" w:hAnsiTheme="minorHAnsi" w:cstheme="minorBidi"/>
          <w:b w:val="0"/>
          <w:sz w:val="22"/>
          <w:lang w:eastAsia="en-AU"/>
        </w:rPr>
      </w:pPr>
      <w:hyperlink w:anchor="_Toc72501412" w:history="1">
        <w:r w:rsidR="00CA7521" w:rsidRPr="009928B1">
          <w:rPr>
            <w:rStyle w:val="Hyperlink"/>
          </w:rPr>
          <w:t>Appendix B – Acronyms and Glossary of Terms</w:t>
        </w:r>
        <w:r w:rsidR="00CA7521">
          <w:rPr>
            <w:webHidden/>
          </w:rPr>
          <w:tab/>
        </w:r>
        <w:r w:rsidR="00CA7521">
          <w:rPr>
            <w:webHidden/>
          </w:rPr>
          <w:fldChar w:fldCharType="begin"/>
        </w:r>
        <w:r w:rsidR="00CA7521">
          <w:rPr>
            <w:webHidden/>
          </w:rPr>
          <w:instrText xml:space="preserve"> PAGEREF _Toc72501412 \h </w:instrText>
        </w:r>
        <w:r w:rsidR="00CA7521">
          <w:rPr>
            <w:webHidden/>
          </w:rPr>
        </w:r>
        <w:r w:rsidR="00CA7521">
          <w:rPr>
            <w:webHidden/>
          </w:rPr>
          <w:fldChar w:fldCharType="separate"/>
        </w:r>
        <w:r w:rsidR="00633E39">
          <w:rPr>
            <w:webHidden/>
          </w:rPr>
          <w:t>25</w:t>
        </w:r>
        <w:r w:rsidR="00CA7521">
          <w:rPr>
            <w:webHidden/>
          </w:rPr>
          <w:fldChar w:fldCharType="end"/>
        </w:r>
      </w:hyperlink>
    </w:p>
    <w:p w14:paraId="5FAF5C8A" w14:textId="031E972C" w:rsidR="00396E11" w:rsidRPr="00A67757" w:rsidRDefault="00396E11" w:rsidP="00396E11">
      <w:r w:rsidRPr="00A67757">
        <w:rPr>
          <w:rFonts w:ascii="Calibri" w:hAnsi="Calibri"/>
          <w:b/>
          <w:bCs/>
          <w:caps/>
          <w:sz w:val="20"/>
          <w:szCs w:val="24"/>
        </w:rPr>
        <w:fldChar w:fldCharType="end"/>
      </w:r>
      <w:r w:rsidRPr="00A67757">
        <w:br w:type="page"/>
      </w:r>
    </w:p>
    <w:p w14:paraId="657E0068" w14:textId="77777777" w:rsidR="00396E11" w:rsidRPr="00582CB1" w:rsidRDefault="00396E11" w:rsidP="0046056E">
      <w:pPr>
        <w:pStyle w:val="Heading1"/>
        <w:rPr>
          <w:color w:val="auto"/>
        </w:rPr>
      </w:pPr>
      <w:bookmarkStart w:id="1" w:name="_Toc462156017"/>
      <w:bookmarkStart w:id="2" w:name="_Toc462158389"/>
      <w:bookmarkStart w:id="3" w:name="_Toc462158444"/>
      <w:bookmarkStart w:id="4" w:name="_Toc462158497"/>
      <w:bookmarkStart w:id="5" w:name="_Toc462158567"/>
      <w:bookmarkStart w:id="6" w:name="_Toc462158687"/>
      <w:bookmarkStart w:id="7" w:name="_Toc72501388"/>
      <w:bookmarkStart w:id="8" w:name="Audience"/>
      <w:r w:rsidRPr="00582CB1">
        <w:rPr>
          <w:color w:val="auto"/>
        </w:rPr>
        <w:lastRenderedPageBreak/>
        <w:t>Audience</w:t>
      </w:r>
      <w:bookmarkEnd w:id="1"/>
      <w:bookmarkEnd w:id="2"/>
      <w:bookmarkEnd w:id="3"/>
      <w:bookmarkEnd w:id="4"/>
      <w:bookmarkEnd w:id="5"/>
      <w:bookmarkEnd w:id="6"/>
      <w:bookmarkEnd w:id="7"/>
    </w:p>
    <w:p w14:paraId="2DE293AA" w14:textId="530DDF99" w:rsidR="00651148" w:rsidRPr="00582CB1" w:rsidRDefault="00D865E8" w:rsidP="00AA6F02">
      <w:pPr>
        <w:rPr>
          <w:i/>
        </w:rPr>
      </w:pPr>
      <w:bookmarkStart w:id="9" w:name="_Toc390678609"/>
      <w:bookmarkStart w:id="10" w:name="_Toc390678658"/>
      <w:bookmarkStart w:id="11" w:name="_Toc462156018"/>
      <w:bookmarkStart w:id="12" w:name="_Toc462158390"/>
      <w:bookmarkStart w:id="13" w:name="_Toc462158445"/>
      <w:bookmarkStart w:id="14" w:name="_Toc462158498"/>
      <w:bookmarkStart w:id="15" w:name="_Toc462158568"/>
      <w:bookmarkStart w:id="16" w:name="_Toc462158688"/>
      <w:bookmarkEnd w:id="8"/>
      <w:r w:rsidRPr="00582CB1">
        <w:rPr>
          <w:i/>
        </w:rPr>
        <w:t xml:space="preserve">Australian Government foreign </w:t>
      </w:r>
      <w:r w:rsidR="00D26DF4" w:rsidRPr="00582CB1">
        <w:rPr>
          <w:i/>
        </w:rPr>
        <w:t xml:space="preserve">exchange risk management </w:t>
      </w:r>
      <w:r w:rsidR="009555F2" w:rsidRPr="00582CB1">
        <w:rPr>
          <w:i/>
        </w:rPr>
        <w:t xml:space="preserve">– guidelines </w:t>
      </w:r>
      <w:r w:rsidR="00B858BD" w:rsidRPr="00582CB1">
        <w:rPr>
          <w:i/>
        </w:rPr>
        <w:t xml:space="preserve">for </w:t>
      </w:r>
      <w:r w:rsidR="007665E9" w:rsidRPr="00582CB1">
        <w:rPr>
          <w:i/>
        </w:rPr>
        <w:t xml:space="preserve">entities </w:t>
      </w:r>
      <w:r w:rsidR="00D26DF4" w:rsidRPr="00582CB1">
        <w:t>(RMG</w:t>
      </w:r>
      <w:r w:rsidR="00F7435A" w:rsidRPr="00582CB1">
        <w:t> 120</w:t>
      </w:r>
      <w:r w:rsidR="00D26DF4" w:rsidRPr="00582CB1">
        <w:t>)</w:t>
      </w:r>
      <w:r w:rsidR="00575400" w:rsidRPr="00582CB1">
        <w:t xml:space="preserve"> </w:t>
      </w:r>
      <w:r w:rsidR="00CB6E78" w:rsidRPr="00582CB1">
        <w:t>applies to</w:t>
      </w:r>
      <w:r w:rsidR="008747AB" w:rsidRPr="00582CB1">
        <w:t xml:space="preserve"> </w:t>
      </w:r>
      <w:r w:rsidR="00651148" w:rsidRPr="00582CB1">
        <w:t>officials</w:t>
      </w:r>
      <w:r w:rsidR="009555F2" w:rsidRPr="00582CB1">
        <w:t xml:space="preserve"> and officers</w:t>
      </w:r>
      <w:r w:rsidR="00651148" w:rsidRPr="00582CB1">
        <w:t xml:space="preserve">, particularly chief financial officers (CFOs), in </w:t>
      </w:r>
      <w:r w:rsidR="000678CC" w:rsidRPr="00582CB1">
        <w:t>Commonwealth entities and companies</w:t>
      </w:r>
      <w:r w:rsidR="00651148" w:rsidRPr="00582CB1">
        <w:t xml:space="preserve"> that:</w:t>
      </w:r>
    </w:p>
    <w:p w14:paraId="68479A3A" w14:textId="4E67E355" w:rsidR="006807FD" w:rsidRPr="00582CB1" w:rsidRDefault="00651148" w:rsidP="00651148">
      <w:pPr>
        <w:pStyle w:val="Bullet1"/>
      </w:pPr>
      <w:r w:rsidRPr="00582CB1">
        <w:t>are s</w:t>
      </w:r>
      <w:r w:rsidR="0055203F" w:rsidRPr="00582CB1">
        <w:t>ubject to the</w:t>
      </w:r>
      <w:r w:rsidR="0055203F" w:rsidRPr="00582CB1">
        <w:rPr>
          <w:rFonts w:ascii="Arial" w:hAnsi="Arial" w:cs="Arial"/>
        </w:rPr>
        <w:t xml:space="preserve"> </w:t>
      </w:r>
      <w:hyperlink r:id="rId17" w:tgtFrame="_blank" w:history="1">
        <w:r w:rsidR="0055203F" w:rsidRPr="00582CB1">
          <w:rPr>
            <w:rStyle w:val="Hyperlink"/>
            <w:rFonts w:cstheme="minorBidi"/>
          </w:rPr>
          <w:t>Public Governance, Performance and Accountability Act 2013</w:t>
        </w:r>
      </w:hyperlink>
      <w:r w:rsidR="0055203F" w:rsidRPr="00582CB1">
        <w:rPr>
          <w:rStyle w:val="Hyperlink"/>
          <w:rFonts w:cstheme="minorBidi"/>
          <w:iCs/>
          <w:u w:val="none"/>
        </w:rPr>
        <w:t xml:space="preserve"> </w:t>
      </w:r>
      <w:r w:rsidR="0055203F" w:rsidRPr="00582CB1">
        <w:rPr>
          <w:rStyle w:val="Hyperlink"/>
          <w:rFonts w:cstheme="minorBidi"/>
          <w:i w:val="0"/>
          <w:u w:val="none"/>
        </w:rPr>
        <w:t>(</w:t>
      </w:r>
      <w:r w:rsidR="0055203F" w:rsidRPr="00582CB1">
        <w:t>the</w:t>
      </w:r>
      <w:r w:rsidR="00337D6C" w:rsidRPr="00582CB1">
        <w:t> </w:t>
      </w:r>
      <w:r w:rsidR="0055203F" w:rsidRPr="00582CB1">
        <w:t>PGPA Act)</w:t>
      </w:r>
      <w:r w:rsidR="00D177B3" w:rsidRPr="00582CB1">
        <w:t xml:space="preserve"> and associated legislation (finance law)</w:t>
      </w:r>
    </w:p>
    <w:p w14:paraId="776E0519" w14:textId="44D58024" w:rsidR="00D00FD5" w:rsidRPr="00582CB1" w:rsidRDefault="0055203F" w:rsidP="00D00FD5">
      <w:pPr>
        <w:pStyle w:val="Bullet1"/>
      </w:pPr>
      <w:proofErr w:type="gramStart"/>
      <w:r w:rsidRPr="00582CB1">
        <w:t>transact</w:t>
      </w:r>
      <w:proofErr w:type="gramEnd"/>
      <w:r w:rsidRPr="00582CB1">
        <w:t>, or may be required to transact, in currencies other than the Australian dollar (AUD)</w:t>
      </w:r>
      <w:r w:rsidR="009B2C99" w:rsidRPr="00582CB1">
        <w:t>.</w:t>
      </w:r>
    </w:p>
    <w:p w14:paraId="4DA1AD15" w14:textId="018CF23E" w:rsidR="00D00FD5" w:rsidRPr="00582CB1" w:rsidRDefault="00D00FD5" w:rsidP="00D00FD5">
      <w:r w:rsidRPr="00582CB1">
        <w:t xml:space="preserve">This RMG </w:t>
      </w:r>
      <w:r w:rsidR="00226309" w:rsidRPr="00582CB1">
        <w:t xml:space="preserve">applies </w:t>
      </w:r>
      <w:r w:rsidRPr="00582CB1">
        <w:t>from 1 July 2021 onwards</w:t>
      </w:r>
      <w:r w:rsidR="003E66D2" w:rsidRPr="00582CB1">
        <w:t xml:space="preserve"> and does not apply retrospectively</w:t>
      </w:r>
      <w:r w:rsidRPr="00582CB1">
        <w:t xml:space="preserve">. </w:t>
      </w:r>
    </w:p>
    <w:p w14:paraId="493D533C" w14:textId="77777777" w:rsidR="00DF47B6" w:rsidRPr="00582CB1" w:rsidRDefault="00D54F28" w:rsidP="00794152">
      <w:pPr>
        <w:pStyle w:val="BodyText2"/>
        <w:rPr>
          <w:b/>
        </w:rPr>
      </w:pPr>
      <w:r w:rsidRPr="00582CB1">
        <w:rPr>
          <w:b/>
        </w:rPr>
        <w:t>Exceptions</w:t>
      </w:r>
      <w:r w:rsidR="00DF47B6" w:rsidRPr="00582CB1">
        <w:rPr>
          <w:b/>
        </w:rPr>
        <w:t>:</w:t>
      </w:r>
    </w:p>
    <w:p w14:paraId="50AF10FE" w14:textId="77777777" w:rsidR="007D6C21" w:rsidRPr="00582CB1" w:rsidRDefault="007D6C21" w:rsidP="007D6C21">
      <w:r w:rsidRPr="00582CB1">
        <w:t>T</w:t>
      </w:r>
      <w:r w:rsidR="00AC2177" w:rsidRPr="00582CB1">
        <w:t>he</w:t>
      </w:r>
      <w:r w:rsidR="00D54F28" w:rsidRPr="00582CB1">
        <w:t xml:space="preserve"> </w:t>
      </w:r>
      <w:r w:rsidR="00D26DF4" w:rsidRPr="00582CB1">
        <w:rPr>
          <w:i/>
        </w:rPr>
        <w:t>Foreign exchange risk m</w:t>
      </w:r>
      <w:r w:rsidR="00D54F28" w:rsidRPr="00582CB1">
        <w:rPr>
          <w:i/>
        </w:rPr>
        <w:t>anagement</w:t>
      </w:r>
      <w:r w:rsidRPr="00582CB1">
        <w:t xml:space="preserve"> </w:t>
      </w:r>
      <w:r w:rsidR="00D54F28" w:rsidRPr="00582CB1">
        <w:t>policy a</w:t>
      </w:r>
      <w:r w:rsidR="00AC2177" w:rsidRPr="00582CB1">
        <w:t>nd this RMG do not apply to</w:t>
      </w:r>
      <w:r w:rsidRPr="00582CB1">
        <w:t>:</w:t>
      </w:r>
    </w:p>
    <w:p w14:paraId="672BC533" w14:textId="77777777" w:rsidR="007D6C21" w:rsidRPr="00582CB1" w:rsidRDefault="007D6C21" w:rsidP="007A0861">
      <w:pPr>
        <w:pStyle w:val="ListParagraph"/>
        <w:numPr>
          <w:ilvl w:val="0"/>
          <w:numId w:val="18"/>
        </w:numPr>
        <w:rPr>
          <w:rFonts w:asciiTheme="majorHAnsi" w:hAnsiTheme="majorHAnsi" w:cstheme="majorHAnsi"/>
        </w:rPr>
      </w:pPr>
      <w:r w:rsidRPr="00582CB1">
        <w:rPr>
          <w:rFonts w:asciiTheme="majorHAnsi" w:hAnsiTheme="majorHAnsi" w:cstheme="majorHAnsi"/>
        </w:rPr>
        <w:t>Australian Broadcasting Corporation (ABC)</w:t>
      </w:r>
    </w:p>
    <w:p w14:paraId="15392912" w14:textId="77777777" w:rsidR="007D6C21" w:rsidRPr="00582CB1" w:rsidRDefault="007D6C21" w:rsidP="007A0861">
      <w:pPr>
        <w:pStyle w:val="ListParagraph"/>
        <w:numPr>
          <w:ilvl w:val="0"/>
          <w:numId w:val="18"/>
        </w:numPr>
        <w:rPr>
          <w:rFonts w:asciiTheme="majorHAnsi" w:hAnsiTheme="majorHAnsi" w:cstheme="majorHAnsi"/>
        </w:rPr>
      </w:pPr>
      <w:r w:rsidRPr="00582CB1">
        <w:rPr>
          <w:rFonts w:asciiTheme="majorHAnsi" w:hAnsiTheme="majorHAnsi" w:cstheme="majorHAnsi"/>
        </w:rPr>
        <w:t>Australian Office of Financial Management (AOFM)</w:t>
      </w:r>
    </w:p>
    <w:p w14:paraId="4CE94E76" w14:textId="77777777" w:rsidR="007D6C21" w:rsidRPr="00582CB1" w:rsidRDefault="008E1211" w:rsidP="007A0861">
      <w:pPr>
        <w:pStyle w:val="ListParagraph"/>
        <w:numPr>
          <w:ilvl w:val="0"/>
          <w:numId w:val="18"/>
        </w:numPr>
        <w:rPr>
          <w:rFonts w:asciiTheme="majorHAnsi" w:hAnsiTheme="majorHAnsi" w:cstheme="majorHAnsi"/>
        </w:rPr>
      </w:pPr>
      <w:r w:rsidRPr="00582CB1">
        <w:rPr>
          <w:rFonts w:asciiTheme="majorHAnsi" w:hAnsiTheme="majorHAnsi" w:cstheme="majorHAnsi"/>
        </w:rPr>
        <w:t>Export Finance Australia</w:t>
      </w:r>
      <w:r w:rsidR="00947A3E" w:rsidRPr="00582CB1">
        <w:rPr>
          <w:rFonts w:asciiTheme="majorHAnsi" w:hAnsiTheme="majorHAnsi" w:cstheme="majorHAnsi"/>
        </w:rPr>
        <w:t xml:space="preserve"> (EFA)</w:t>
      </w:r>
      <w:r w:rsidRPr="00582CB1">
        <w:rPr>
          <w:rStyle w:val="FootnoteReference"/>
          <w:rFonts w:asciiTheme="majorHAnsi" w:hAnsiTheme="majorHAnsi" w:cstheme="majorHAnsi"/>
        </w:rPr>
        <w:footnoteReference w:id="2"/>
      </w:r>
      <w:r w:rsidRPr="00582CB1">
        <w:t>—</w:t>
      </w:r>
      <w:r w:rsidRPr="00582CB1">
        <w:rPr>
          <w:rFonts w:asciiTheme="majorHAnsi" w:hAnsiTheme="majorHAnsi" w:cstheme="majorHAnsi"/>
        </w:rPr>
        <w:t>National Interest Account</w:t>
      </w:r>
      <w:r w:rsidR="007D6C21" w:rsidRPr="00582CB1">
        <w:rPr>
          <w:rFonts w:asciiTheme="majorHAnsi" w:hAnsiTheme="majorHAnsi" w:cstheme="majorHAnsi"/>
        </w:rPr>
        <w:t xml:space="preserve"> </w:t>
      </w:r>
    </w:p>
    <w:p w14:paraId="2D73E42D" w14:textId="0F8DF6B6" w:rsidR="009B2C99" w:rsidRPr="00582CB1" w:rsidRDefault="000C0393" w:rsidP="007A0861">
      <w:pPr>
        <w:pStyle w:val="ListParagraph"/>
        <w:numPr>
          <w:ilvl w:val="0"/>
          <w:numId w:val="18"/>
        </w:numPr>
        <w:rPr>
          <w:rFonts w:asciiTheme="majorHAnsi" w:hAnsiTheme="majorHAnsi" w:cstheme="majorHAnsi"/>
        </w:rPr>
      </w:pPr>
      <w:proofErr w:type="gramStart"/>
      <w:r w:rsidRPr="00582CB1">
        <w:rPr>
          <w:rFonts w:asciiTheme="majorHAnsi" w:hAnsiTheme="majorHAnsi" w:cstheme="majorHAnsi"/>
        </w:rPr>
        <w:t>entities</w:t>
      </w:r>
      <w:proofErr w:type="gramEnd"/>
      <w:r w:rsidRPr="00582CB1">
        <w:rPr>
          <w:rFonts w:asciiTheme="majorHAnsi" w:hAnsiTheme="majorHAnsi" w:cstheme="majorHAnsi"/>
        </w:rPr>
        <w:t xml:space="preserve"> </w:t>
      </w:r>
      <w:r w:rsidR="009B2C99" w:rsidRPr="00582CB1">
        <w:rPr>
          <w:rFonts w:asciiTheme="majorHAnsi" w:hAnsiTheme="majorHAnsi" w:cstheme="majorHAnsi"/>
        </w:rPr>
        <w:t>classified as Public Financial Corporations or Public Non-Financial Corporations</w:t>
      </w:r>
      <w:r w:rsidR="00B05063" w:rsidRPr="00582CB1">
        <w:rPr>
          <w:rStyle w:val="FootnoteReference"/>
          <w:rFonts w:asciiTheme="majorHAnsi" w:hAnsiTheme="majorHAnsi" w:cstheme="majorHAnsi"/>
        </w:rPr>
        <w:footnoteReference w:id="3"/>
      </w:r>
      <w:r w:rsidR="002E4D88" w:rsidRPr="00582CB1">
        <w:rPr>
          <w:rFonts w:asciiTheme="majorHAnsi" w:hAnsiTheme="majorHAnsi" w:cstheme="majorHAnsi"/>
        </w:rPr>
        <w:t>.</w:t>
      </w:r>
    </w:p>
    <w:p w14:paraId="52056DFC" w14:textId="77777777" w:rsidR="005E5CB9" w:rsidRPr="00582CB1" w:rsidRDefault="00396E11" w:rsidP="00A75F80">
      <w:pPr>
        <w:pStyle w:val="Heading1"/>
        <w:rPr>
          <w:color w:val="auto"/>
        </w:rPr>
      </w:pPr>
      <w:bookmarkStart w:id="17" w:name="_Toc72501389"/>
      <w:r w:rsidRPr="00582CB1">
        <w:rPr>
          <w:color w:val="auto"/>
        </w:rPr>
        <w:t>Key points</w:t>
      </w:r>
      <w:bookmarkStart w:id="18" w:name="_Toc390678610"/>
      <w:bookmarkStart w:id="19" w:name="_Toc390678659"/>
      <w:bookmarkEnd w:id="9"/>
      <w:bookmarkEnd w:id="10"/>
      <w:bookmarkEnd w:id="11"/>
      <w:bookmarkEnd w:id="12"/>
      <w:bookmarkEnd w:id="13"/>
      <w:bookmarkEnd w:id="14"/>
      <w:bookmarkEnd w:id="15"/>
      <w:bookmarkEnd w:id="16"/>
      <w:bookmarkEnd w:id="17"/>
    </w:p>
    <w:p w14:paraId="35593C02" w14:textId="77777777" w:rsidR="00A75F80" w:rsidRPr="00582CB1" w:rsidRDefault="00A75F80" w:rsidP="00CB6E78">
      <w:pPr>
        <w:pStyle w:val="Bullet1"/>
        <w:numPr>
          <w:ilvl w:val="0"/>
          <w:numId w:val="0"/>
        </w:numPr>
        <w:spacing w:after="120"/>
      </w:pPr>
      <w:r w:rsidRPr="00582CB1">
        <w:t>This guide:</w:t>
      </w:r>
    </w:p>
    <w:p w14:paraId="3B5FDBF0" w14:textId="77777777" w:rsidR="00A75F80" w:rsidRPr="00582CB1" w:rsidRDefault="00CB6E78" w:rsidP="00A75F80">
      <w:pPr>
        <w:pStyle w:val="Bullet1"/>
      </w:pPr>
      <w:r w:rsidRPr="00582CB1">
        <w:t xml:space="preserve">explains </w:t>
      </w:r>
      <w:r w:rsidR="00A75F80" w:rsidRPr="00582CB1">
        <w:t>the Australi</w:t>
      </w:r>
      <w:r w:rsidR="00AC2177" w:rsidRPr="00582CB1">
        <w:t xml:space="preserve">an Government’s policy on foreign exchange (forex) </w:t>
      </w:r>
      <w:r w:rsidR="00A75F80" w:rsidRPr="00582CB1">
        <w:t>risk management and it</w:t>
      </w:r>
      <w:r w:rsidRPr="00582CB1">
        <w:t>s implications</w:t>
      </w:r>
      <w:r w:rsidR="00B60902" w:rsidRPr="00582CB1">
        <w:t xml:space="preserve"> for entities’ operations</w:t>
      </w:r>
    </w:p>
    <w:p w14:paraId="67855D67" w14:textId="77777777" w:rsidR="00A75F80" w:rsidRPr="00582CB1" w:rsidRDefault="00CB6E78" w:rsidP="00A75F80">
      <w:pPr>
        <w:pStyle w:val="Bullet1"/>
      </w:pPr>
      <w:r w:rsidRPr="00582CB1">
        <w:t>supports</w:t>
      </w:r>
      <w:r w:rsidR="00A75F80" w:rsidRPr="00582CB1">
        <w:t xml:space="preserve"> officials in determining what may be considered a he</w:t>
      </w:r>
      <w:r w:rsidRPr="00582CB1">
        <w:t>dge</w:t>
      </w:r>
    </w:p>
    <w:p w14:paraId="025D22BF" w14:textId="63F455C5" w:rsidR="00A75F80" w:rsidRPr="00582CB1" w:rsidRDefault="00A75F80" w:rsidP="00A75F80">
      <w:pPr>
        <w:pStyle w:val="Bullet1"/>
      </w:pPr>
      <w:r w:rsidRPr="00582CB1">
        <w:t>assist</w:t>
      </w:r>
      <w:r w:rsidR="00B60902" w:rsidRPr="00582CB1">
        <w:t>s</w:t>
      </w:r>
      <w:r w:rsidRPr="00582CB1">
        <w:t xml:space="preserve"> officials in </w:t>
      </w:r>
      <w:r w:rsidR="00C1638A" w:rsidRPr="00582CB1">
        <w:t xml:space="preserve">identifying and </w:t>
      </w:r>
      <w:r w:rsidR="00CE22D1" w:rsidRPr="00582CB1">
        <w:t xml:space="preserve">calculating </w:t>
      </w:r>
      <w:r w:rsidRPr="00582CB1">
        <w:t>forex gains, losses and exposures</w:t>
      </w:r>
    </w:p>
    <w:p w14:paraId="4A0AA332" w14:textId="77777777" w:rsidR="00A75F80" w:rsidRPr="00582CB1" w:rsidRDefault="00A75F80" w:rsidP="00A75F80">
      <w:pPr>
        <w:pStyle w:val="Bullet1"/>
      </w:pPr>
      <w:r w:rsidRPr="00582CB1">
        <w:t>briefly describes how forex data must be reported to the Department of Finance (Finance) via the Central Budget Management System (CBMS)</w:t>
      </w:r>
    </w:p>
    <w:p w14:paraId="15239CA5" w14:textId="77777777" w:rsidR="00A75F80" w:rsidRPr="00582CB1" w:rsidRDefault="00A75F80" w:rsidP="00A75F80">
      <w:pPr>
        <w:pStyle w:val="Bullet1"/>
      </w:pPr>
      <w:r w:rsidRPr="00582CB1">
        <w:t>replaces:</w:t>
      </w:r>
    </w:p>
    <w:p w14:paraId="123D2A81" w14:textId="77777777" w:rsidR="00A75F80" w:rsidRPr="00582CB1" w:rsidRDefault="00A75F80" w:rsidP="006E5CCE">
      <w:pPr>
        <w:pStyle w:val="Bullet2"/>
      </w:pPr>
      <w:r w:rsidRPr="00582CB1">
        <w:t xml:space="preserve">Financial Management Guidance No. 2: </w:t>
      </w:r>
      <w:r w:rsidRPr="00582CB1">
        <w:rPr>
          <w:i/>
        </w:rPr>
        <w:t>Australian Government Foreign Exchange Risk Management Guidelines,</w:t>
      </w:r>
      <w:r w:rsidRPr="00582CB1">
        <w:t xml:space="preserve"> September 2006</w:t>
      </w:r>
    </w:p>
    <w:p w14:paraId="4F94520E" w14:textId="77777777" w:rsidR="00A75F80" w:rsidRPr="00582CB1" w:rsidRDefault="00A75F80" w:rsidP="006E5CCE">
      <w:pPr>
        <w:pStyle w:val="Bullet2"/>
      </w:pPr>
      <w:r w:rsidRPr="00582CB1">
        <w:t xml:space="preserve">Finance Circular No. 2006/06: </w:t>
      </w:r>
      <w:r w:rsidRPr="00582CB1">
        <w:rPr>
          <w:i/>
        </w:rPr>
        <w:t>Australian Government Foreign Exchange Risk Management Guidelines</w:t>
      </w:r>
      <w:r w:rsidRPr="00582CB1">
        <w:t>.</w:t>
      </w:r>
    </w:p>
    <w:p w14:paraId="081CCFF6" w14:textId="77777777" w:rsidR="00945B58" w:rsidRPr="00582CB1" w:rsidRDefault="00945B58" w:rsidP="001B2135">
      <w:pPr>
        <w:keepNext/>
      </w:pPr>
      <w:r w:rsidRPr="00582CB1">
        <w:lastRenderedPageBreak/>
        <w:t>For ease of reference and presentation, in this guide:</w:t>
      </w:r>
    </w:p>
    <w:p w14:paraId="5462C0EB" w14:textId="7C777EF4" w:rsidR="00945B58" w:rsidRPr="00582CB1" w:rsidRDefault="00945B58" w:rsidP="00945B58">
      <w:pPr>
        <w:pStyle w:val="Bullet1"/>
      </w:pPr>
      <w:r w:rsidRPr="00582CB1">
        <w:rPr>
          <w:b/>
        </w:rPr>
        <w:t>entities</w:t>
      </w:r>
      <w:r w:rsidRPr="00582CB1">
        <w:t>—</w:t>
      </w:r>
      <w:r w:rsidRPr="00582CB1">
        <w:rPr>
          <w:rFonts w:ascii="Arial" w:eastAsiaTheme="majorEastAsia" w:hAnsi="Arial" w:cs="Arial"/>
          <w:bCs/>
        </w:rPr>
        <w:t>means</w:t>
      </w:r>
      <w:r w:rsidRPr="00582CB1">
        <w:t xml:space="preserve"> Commonwealth entities and companies subject to </w:t>
      </w:r>
      <w:r w:rsidRPr="00582CB1">
        <w:rPr>
          <w:rFonts w:ascii="Arial" w:hAnsi="Arial" w:cs="Arial"/>
        </w:rPr>
        <w:t>the PGPA Act</w:t>
      </w:r>
    </w:p>
    <w:p w14:paraId="0F4E5426" w14:textId="7607A32A" w:rsidR="009555F2" w:rsidRPr="00582CB1" w:rsidRDefault="009555F2" w:rsidP="00945B58">
      <w:pPr>
        <w:pStyle w:val="Bullet1"/>
        <w:rPr>
          <w:rStyle w:val="Strong"/>
          <w:b w:val="0"/>
          <w:bCs w:val="0"/>
        </w:rPr>
      </w:pPr>
      <w:r w:rsidRPr="00582CB1">
        <w:rPr>
          <w:rStyle w:val="Strong"/>
          <w:bCs w:val="0"/>
        </w:rPr>
        <w:t>officials</w:t>
      </w:r>
      <w:r w:rsidRPr="00582CB1">
        <w:t>—</w:t>
      </w:r>
      <w:r w:rsidRPr="00582CB1">
        <w:rPr>
          <w:rFonts w:ascii="Arial" w:eastAsiaTheme="majorEastAsia" w:hAnsi="Arial" w:cs="Arial"/>
          <w:bCs/>
        </w:rPr>
        <w:t>means officials under the PGPA Act and officers of Commonwealth companies</w:t>
      </w:r>
    </w:p>
    <w:p w14:paraId="6B8FEC2F" w14:textId="77777777" w:rsidR="00945B58" w:rsidRPr="00582CB1" w:rsidRDefault="00945B58" w:rsidP="00945B58">
      <w:pPr>
        <w:pStyle w:val="Bullet1"/>
      </w:pPr>
      <w:r w:rsidRPr="00582CB1">
        <w:rPr>
          <w:b/>
        </w:rPr>
        <w:t>manage</w:t>
      </w:r>
      <w:r w:rsidRPr="00582CB1">
        <w:t>—means:</w:t>
      </w:r>
    </w:p>
    <w:p w14:paraId="0B64A7BC" w14:textId="77777777" w:rsidR="00945B58" w:rsidRPr="00582CB1" w:rsidRDefault="00945B58" w:rsidP="006E5CCE">
      <w:pPr>
        <w:pStyle w:val="Bullet2"/>
      </w:pPr>
      <w:r w:rsidRPr="00582CB1">
        <w:t xml:space="preserve">identifying, measuring, monitoring and reporting actual and expected financial transactions with a forex component </w:t>
      </w:r>
    </w:p>
    <w:p w14:paraId="3C832416" w14:textId="699BEA09" w:rsidR="00B21EAA" w:rsidRPr="00582CB1" w:rsidRDefault="00945B58" w:rsidP="006E5CCE">
      <w:pPr>
        <w:pStyle w:val="Bullet2"/>
      </w:pPr>
      <w:r w:rsidRPr="00582CB1">
        <w:t>identify whether an arrangement</w:t>
      </w:r>
      <w:r w:rsidR="008A0EF3" w:rsidRPr="00582CB1">
        <w:t xml:space="preserve"> (such as a contract, grant agreement</w:t>
      </w:r>
      <w:r w:rsidR="000D5397" w:rsidRPr="00582CB1">
        <w:t xml:space="preserve">, memorandum of understanding, </w:t>
      </w:r>
      <w:r w:rsidR="008A0EF3" w:rsidRPr="00582CB1">
        <w:t>deed</w:t>
      </w:r>
      <w:r w:rsidR="000D5397" w:rsidRPr="00582CB1">
        <w:t xml:space="preserve"> or other similar arrangement</w:t>
      </w:r>
      <w:r w:rsidR="008A0EF3" w:rsidRPr="00582CB1">
        <w:t>)</w:t>
      </w:r>
      <w:r w:rsidRPr="00582CB1">
        <w:t xml:space="preserve"> will be considered a hedge under the forex policy</w:t>
      </w:r>
      <w:r w:rsidR="00D177B3" w:rsidRPr="00582CB1">
        <w:t xml:space="preserve"> and identifying whether there may be non-compliance with the finance law</w:t>
      </w:r>
    </w:p>
    <w:p w14:paraId="2F839710" w14:textId="5EED7B45" w:rsidR="00945B58" w:rsidRPr="00582CB1" w:rsidRDefault="00F8720A" w:rsidP="006E5CCE">
      <w:pPr>
        <w:pStyle w:val="Bullet2"/>
      </w:pPr>
      <w:proofErr w:type="gramStart"/>
      <w:r w:rsidRPr="00582CB1">
        <w:t>e</w:t>
      </w:r>
      <w:r w:rsidR="00B21EAA" w:rsidRPr="00582CB1">
        <w:t>nsuring</w:t>
      </w:r>
      <w:proofErr w:type="gramEnd"/>
      <w:r w:rsidR="00B21EAA" w:rsidRPr="00582CB1">
        <w:t xml:space="preserve"> that procurements </w:t>
      </w:r>
      <w:r w:rsidR="001F444C" w:rsidRPr="00582CB1">
        <w:t xml:space="preserve">or arrangements </w:t>
      </w:r>
      <w:r w:rsidR="00B21EAA" w:rsidRPr="00582CB1">
        <w:t xml:space="preserve">with a forex component </w:t>
      </w:r>
      <w:r w:rsidR="00190F5E" w:rsidRPr="00582CB1">
        <w:t xml:space="preserve">achieve </w:t>
      </w:r>
      <w:r w:rsidR="00B21EAA" w:rsidRPr="00582CB1">
        <w:t>value for money</w:t>
      </w:r>
      <w:r w:rsidR="00945B58" w:rsidRPr="00582CB1">
        <w:t>.</w:t>
      </w:r>
    </w:p>
    <w:p w14:paraId="66470A64" w14:textId="77777777" w:rsidR="00396E11" w:rsidRPr="00582CB1" w:rsidRDefault="00396E11" w:rsidP="00396E11">
      <w:pPr>
        <w:pStyle w:val="Heading1"/>
        <w:rPr>
          <w:color w:val="auto"/>
        </w:rPr>
      </w:pPr>
      <w:bookmarkStart w:id="20" w:name="_Toc462156019"/>
      <w:bookmarkStart w:id="21" w:name="_Toc462158391"/>
      <w:bookmarkStart w:id="22" w:name="_Toc462158446"/>
      <w:bookmarkStart w:id="23" w:name="_Toc462158499"/>
      <w:bookmarkStart w:id="24" w:name="_Toc462158569"/>
      <w:bookmarkStart w:id="25" w:name="_Toc462158689"/>
      <w:bookmarkStart w:id="26" w:name="_Toc72501390"/>
      <w:r w:rsidRPr="00582CB1">
        <w:rPr>
          <w:color w:val="auto"/>
        </w:rPr>
        <w:t>Resources</w:t>
      </w:r>
      <w:bookmarkEnd w:id="18"/>
      <w:bookmarkEnd w:id="19"/>
      <w:bookmarkEnd w:id="20"/>
      <w:bookmarkEnd w:id="21"/>
      <w:bookmarkEnd w:id="22"/>
      <w:bookmarkEnd w:id="23"/>
      <w:bookmarkEnd w:id="24"/>
      <w:bookmarkEnd w:id="25"/>
      <w:bookmarkEnd w:id="26"/>
    </w:p>
    <w:p w14:paraId="4E668667" w14:textId="77777777" w:rsidR="00302512" w:rsidRPr="00582CB1" w:rsidRDefault="00F049BA" w:rsidP="00302512">
      <w:pPr>
        <w:spacing w:after="120" w:line="260" w:lineRule="exact"/>
        <w:rPr>
          <w:rFonts w:eastAsia="Times New Roman"/>
          <w:szCs w:val="24"/>
        </w:rPr>
      </w:pPr>
      <w:r w:rsidRPr="00582CB1">
        <w:rPr>
          <w:rFonts w:eastAsia="Times New Roman"/>
          <w:szCs w:val="24"/>
        </w:rPr>
        <w:t xml:space="preserve">This guide is available on </w:t>
      </w:r>
      <w:r w:rsidR="00302512" w:rsidRPr="00582CB1">
        <w:rPr>
          <w:rFonts w:eastAsia="Times New Roman"/>
          <w:szCs w:val="24"/>
        </w:rPr>
        <w:t xml:space="preserve">Finance website at </w:t>
      </w:r>
      <w:hyperlink r:id="rId18" w:history="1">
        <w:r w:rsidR="00302512" w:rsidRPr="00582CB1">
          <w:rPr>
            <w:rStyle w:val="Hyperlink"/>
            <w:rFonts w:eastAsia="Times New Roman"/>
            <w:szCs w:val="24"/>
          </w:rPr>
          <w:t>www.finance.gov.au</w:t>
        </w:r>
      </w:hyperlink>
      <w:r w:rsidR="00302512" w:rsidRPr="00582CB1">
        <w:rPr>
          <w:rFonts w:eastAsia="Times New Roman"/>
          <w:szCs w:val="24"/>
        </w:rPr>
        <w:t xml:space="preserve">. </w:t>
      </w:r>
    </w:p>
    <w:p w14:paraId="4E3F02B8" w14:textId="77777777" w:rsidR="00302512" w:rsidRPr="00582CB1" w:rsidRDefault="00302512" w:rsidP="00302512">
      <w:pPr>
        <w:spacing w:after="120"/>
        <w:rPr>
          <w:i/>
        </w:rPr>
      </w:pPr>
      <w:r w:rsidRPr="00582CB1">
        <w:t>Other relevant publications include:</w:t>
      </w:r>
    </w:p>
    <w:p w14:paraId="62583CDC" w14:textId="77777777" w:rsidR="00302512" w:rsidRPr="00582CB1" w:rsidRDefault="00302512" w:rsidP="00302512">
      <w:pPr>
        <w:pStyle w:val="Bullet1"/>
      </w:pPr>
      <w:r w:rsidRPr="00582CB1">
        <w:t xml:space="preserve">the </w:t>
      </w:r>
      <w:hyperlink r:id="rId19" w:history="1">
        <w:r w:rsidRPr="00582CB1">
          <w:rPr>
            <w:rStyle w:val="Hyperlink"/>
            <w:rFonts w:cstheme="minorBidi"/>
          </w:rPr>
          <w:t>Commonwealth Risk Management Policy</w:t>
        </w:r>
      </w:hyperlink>
    </w:p>
    <w:p w14:paraId="6E23B2F7" w14:textId="77777777" w:rsidR="00302512" w:rsidRPr="00582CB1" w:rsidRDefault="00302512" w:rsidP="00302512">
      <w:pPr>
        <w:pStyle w:val="Bullet1"/>
      </w:pPr>
      <w:r w:rsidRPr="00582CB1">
        <w:t xml:space="preserve">the </w:t>
      </w:r>
      <w:hyperlink r:id="rId20" w:history="1">
        <w:r w:rsidRPr="00582CB1">
          <w:rPr>
            <w:rStyle w:val="Hyperlink"/>
            <w:rFonts w:cstheme="minorBidi"/>
          </w:rPr>
          <w:t>Commonwealth Procurement Rules</w:t>
        </w:r>
      </w:hyperlink>
    </w:p>
    <w:p w14:paraId="6A958EE9" w14:textId="2CA9CA5C" w:rsidR="00302512" w:rsidRPr="00582CB1" w:rsidRDefault="00302512" w:rsidP="00302512">
      <w:pPr>
        <w:pStyle w:val="Bullet1"/>
      </w:pPr>
      <w:r w:rsidRPr="00582CB1">
        <w:rPr>
          <w:rStyle w:val="Hyperlink"/>
          <w:rFonts w:cstheme="minorBidi"/>
          <w:i w:val="0"/>
          <w:u w:val="none"/>
        </w:rPr>
        <w:t>the</w:t>
      </w:r>
      <w:r w:rsidRPr="00582CB1">
        <w:t xml:space="preserve"> </w:t>
      </w:r>
      <w:hyperlink r:id="rId21" w:history="1">
        <w:r w:rsidRPr="00582CB1">
          <w:rPr>
            <w:rStyle w:val="Hyperlink"/>
            <w:rFonts w:cstheme="minorBidi"/>
          </w:rPr>
          <w:t xml:space="preserve">Model </w:t>
        </w:r>
        <w:r w:rsidR="00644364" w:rsidRPr="00582CB1">
          <w:rPr>
            <w:rStyle w:val="Hyperlink"/>
            <w:rFonts w:cstheme="minorBidi"/>
          </w:rPr>
          <w:t>A</w:t>
        </w:r>
        <w:r w:rsidRPr="00582CB1">
          <w:rPr>
            <w:rStyle w:val="Hyperlink"/>
            <w:rFonts w:cstheme="minorBidi"/>
          </w:rPr>
          <w:t>ccountab</w:t>
        </w:r>
        <w:r w:rsidR="00644364" w:rsidRPr="00582CB1">
          <w:rPr>
            <w:rStyle w:val="Hyperlink"/>
            <w:rFonts w:cstheme="minorBidi"/>
          </w:rPr>
          <w:t>le</w:t>
        </w:r>
        <w:r w:rsidRPr="00582CB1">
          <w:rPr>
            <w:rStyle w:val="Hyperlink"/>
            <w:rFonts w:cstheme="minorBidi"/>
          </w:rPr>
          <w:t xml:space="preserve"> </w:t>
        </w:r>
        <w:r w:rsidR="00644364" w:rsidRPr="00582CB1">
          <w:rPr>
            <w:rStyle w:val="Hyperlink"/>
            <w:rFonts w:cstheme="minorBidi"/>
          </w:rPr>
          <w:t>A</w:t>
        </w:r>
        <w:r w:rsidRPr="00582CB1">
          <w:rPr>
            <w:rStyle w:val="Hyperlink"/>
            <w:rFonts w:cstheme="minorBidi"/>
          </w:rPr>
          <w:t xml:space="preserve">uthority </w:t>
        </w:r>
        <w:r w:rsidR="00644364" w:rsidRPr="00582CB1">
          <w:rPr>
            <w:rStyle w:val="Hyperlink"/>
            <w:rFonts w:cstheme="minorBidi"/>
          </w:rPr>
          <w:t>I</w:t>
        </w:r>
        <w:r w:rsidRPr="00582CB1">
          <w:rPr>
            <w:rStyle w:val="Hyperlink"/>
            <w:rFonts w:cstheme="minorBidi"/>
          </w:rPr>
          <w:t>nstruction</w:t>
        </w:r>
        <w:r w:rsidR="00644364" w:rsidRPr="00582CB1">
          <w:rPr>
            <w:rStyle w:val="Hyperlink"/>
            <w:rFonts w:cstheme="minorBidi"/>
          </w:rPr>
          <w:t>s</w:t>
        </w:r>
        <w:r w:rsidRPr="00582CB1">
          <w:rPr>
            <w:rStyle w:val="Hyperlink"/>
            <w:rFonts w:cstheme="minorBidi"/>
          </w:rPr>
          <w:t xml:space="preserve"> (AAIs) - RMG 206</w:t>
        </w:r>
      </w:hyperlink>
      <w:r w:rsidRPr="00582CB1">
        <w:t xml:space="preserve"> covering </w:t>
      </w:r>
      <w:r w:rsidR="00462724" w:rsidRPr="00582CB1">
        <w:t xml:space="preserve">Commonwealth entities </w:t>
      </w:r>
    </w:p>
    <w:p w14:paraId="0698711E" w14:textId="77777777" w:rsidR="00302512" w:rsidRPr="00582CB1" w:rsidRDefault="00302512" w:rsidP="00302512">
      <w:pPr>
        <w:pStyle w:val="Bullet1"/>
      </w:pPr>
      <w:r w:rsidRPr="00582CB1">
        <w:t xml:space="preserve">the </w:t>
      </w:r>
      <w:hyperlink r:id="rId22" w:history="1">
        <w:r w:rsidR="00CC1D28" w:rsidRPr="00582CB1">
          <w:rPr>
            <w:rStyle w:val="Hyperlink"/>
            <w:rFonts w:cstheme="minorBidi"/>
          </w:rPr>
          <w:t>Government Policy Orders (GPOs)</w:t>
        </w:r>
      </w:hyperlink>
      <w:r w:rsidR="00CC1D28" w:rsidRPr="00582CB1">
        <w:t xml:space="preserve"> </w:t>
      </w:r>
      <w:r w:rsidR="00486620" w:rsidRPr="00582CB1">
        <w:t xml:space="preserve">covering </w:t>
      </w:r>
      <w:r w:rsidR="00462724" w:rsidRPr="00582CB1">
        <w:t xml:space="preserve">corporate Commonwealth entities (CCEs) </w:t>
      </w:r>
    </w:p>
    <w:p w14:paraId="213831AA" w14:textId="22863FF7" w:rsidR="00302512" w:rsidRPr="00582CB1" w:rsidRDefault="000E1AF2" w:rsidP="001B2135">
      <w:pPr>
        <w:pStyle w:val="Bullet1"/>
      </w:pPr>
      <w:proofErr w:type="gramStart"/>
      <w:r w:rsidRPr="00582CB1">
        <w:t>the</w:t>
      </w:r>
      <w:proofErr w:type="gramEnd"/>
      <w:r w:rsidRPr="00582CB1">
        <w:t xml:space="preserve"> </w:t>
      </w:r>
      <w:hyperlink r:id="rId23" w:history="1">
        <w:r w:rsidR="00302512" w:rsidRPr="00582CB1">
          <w:rPr>
            <w:rStyle w:val="Hyperlink"/>
            <w:rFonts w:cstheme="minorBidi"/>
          </w:rPr>
          <w:t>Finance Minister's delegation</w:t>
        </w:r>
      </w:hyperlink>
      <w:r w:rsidR="00644364" w:rsidRPr="00582CB1">
        <w:rPr>
          <w:rStyle w:val="Hyperlink"/>
          <w:rFonts w:cstheme="minorBidi"/>
        </w:rPr>
        <w:t xml:space="preserve"> to accountable authorities of non-corporate Commonwealth entities</w:t>
      </w:r>
      <w:r w:rsidR="00F04EAC" w:rsidRPr="00582CB1">
        <w:rPr>
          <w:rStyle w:val="Hyperlink"/>
          <w:rFonts w:cstheme="minorBidi"/>
        </w:rPr>
        <w:t>.</w:t>
      </w:r>
      <w:r w:rsidR="00302512" w:rsidRPr="00582CB1">
        <w:br w:type="page"/>
      </w:r>
    </w:p>
    <w:p w14:paraId="03D60F38" w14:textId="01637505" w:rsidR="005E5CB9" w:rsidRPr="00582CB1" w:rsidRDefault="00552097" w:rsidP="00AC2177">
      <w:pPr>
        <w:pStyle w:val="Heading1"/>
        <w:shd w:val="clear" w:color="auto" w:fill="BDDCDF" w:themeFill="accent1"/>
        <w:rPr>
          <w:color w:val="auto"/>
        </w:rPr>
      </w:pPr>
      <w:bookmarkStart w:id="27" w:name="_Toc525716832"/>
      <w:bookmarkStart w:id="28" w:name="_Toc72501391"/>
      <w:bookmarkStart w:id="29" w:name="_Toc462156020"/>
      <w:bookmarkStart w:id="30" w:name="_Toc462158392"/>
      <w:bookmarkStart w:id="31" w:name="_Toc462158447"/>
      <w:bookmarkStart w:id="32" w:name="_Toc462158500"/>
      <w:bookmarkStart w:id="33" w:name="_Toc462158570"/>
      <w:bookmarkStart w:id="34" w:name="_Toc462158690"/>
      <w:r w:rsidRPr="00582CB1">
        <w:rPr>
          <w:color w:val="auto"/>
        </w:rPr>
        <w:lastRenderedPageBreak/>
        <w:t xml:space="preserve">Part 1 – </w:t>
      </w:r>
      <w:r w:rsidR="00AC2177" w:rsidRPr="00582CB1">
        <w:rPr>
          <w:color w:val="auto"/>
        </w:rPr>
        <w:t>Introduction</w:t>
      </w:r>
      <w:bookmarkEnd w:id="27"/>
      <w:bookmarkEnd w:id="28"/>
    </w:p>
    <w:p w14:paraId="46127D42" w14:textId="77777777" w:rsidR="00CC0417" w:rsidRPr="00582CB1" w:rsidRDefault="00CC0417" w:rsidP="00E21C10">
      <w:pPr>
        <w:pStyle w:val="NumberedList1"/>
        <w:ind w:left="567" w:hanging="567"/>
      </w:pPr>
      <w:r w:rsidRPr="00582CB1">
        <w:t>This guide explains the Australian Government’s policy on forex risk management and the framework under which it operates. The forex risk management policy (the forex policy) has been in place since 1 July 2002.</w:t>
      </w:r>
    </w:p>
    <w:p w14:paraId="4E5C235E" w14:textId="7AE070B0" w:rsidR="00CC0417" w:rsidRPr="00582CB1" w:rsidRDefault="002663FA" w:rsidP="001B2135">
      <w:pPr>
        <w:pStyle w:val="NumberedList1"/>
        <w:ind w:left="567" w:hanging="567"/>
      </w:pPr>
      <w:r w:rsidRPr="00582CB1">
        <w:t xml:space="preserve">Prior to </w:t>
      </w:r>
      <w:r w:rsidR="00FD5EED" w:rsidRPr="00582CB1">
        <w:t>2017</w:t>
      </w:r>
      <w:r w:rsidRPr="00582CB1">
        <w:t>, entities were required to provide a</w:t>
      </w:r>
      <w:r w:rsidR="00FD5EED" w:rsidRPr="00582CB1">
        <w:t xml:space="preserve"> separate</w:t>
      </w:r>
      <w:r w:rsidRPr="00582CB1">
        <w:t xml:space="preserve"> annual report on their forex exposures to Finance. E</w:t>
      </w:r>
      <w:r w:rsidR="00CC0417" w:rsidRPr="00582CB1">
        <w:t xml:space="preserve">ntities with immaterial forex exposures (with respect to both the entity’s resourcing and the overall budget) </w:t>
      </w:r>
      <w:r w:rsidRPr="00582CB1">
        <w:t xml:space="preserve">were </w:t>
      </w:r>
      <w:r w:rsidR="00104A98" w:rsidRPr="00582CB1">
        <w:t>permitted</w:t>
      </w:r>
      <w:r w:rsidRPr="00582CB1">
        <w:t xml:space="preserve"> </w:t>
      </w:r>
      <w:r w:rsidR="00CC0417" w:rsidRPr="00582CB1">
        <w:t>to ‘opt out’ of reporting their actual gains and/or losses and expected exposures to Finance. However, by doing so, entities would forfeit any adjustments to appropriation</w:t>
      </w:r>
      <w:r w:rsidR="00CE22D1" w:rsidRPr="00582CB1">
        <w:t>s</w:t>
      </w:r>
      <w:r w:rsidR="00CC0417" w:rsidRPr="00582CB1">
        <w:t xml:space="preserve"> for forex gains or losses.</w:t>
      </w:r>
    </w:p>
    <w:p w14:paraId="341A9FDE" w14:textId="574D26F6" w:rsidR="00306058" w:rsidRPr="00582CB1" w:rsidRDefault="002663FA" w:rsidP="001B2135">
      <w:pPr>
        <w:pStyle w:val="NumberedList1"/>
        <w:ind w:left="567" w:hanging="567"/>
      </w:pPr>
      <w:r w:rsidRPr="00582CB1">
        <w:t xml:space="preserve">Since </w:t>
      </w:r>
      <w:r w:rsidR="00FD5EED" w:rsidRPr="00582CB1">
        <w:t>2017</w:t>
      </w:r>
      <w:r w:rsidRPr="00582CB1">
        <w:t>, entities no</w:t>
      </w:r>
      <w:r w:rsidR="00306058" w:rsidRPr="00582CB1">
        <w:t xml:space="preserve"> longer </w:t>
      </w:r>
      <w:r w:rsidRPr="00582CB1">
        <w:t>have to provide Finance with a</w:t>
      </w:r>
      <w:r w:rsidR="00FD5EED" w:rsidRPr="00582CB1">
        <w:t xml:space="preserve"> separate</w:t>
      </w:r>
      <w:r w:rsidRPr="00582CB1">
        <w:t xml:space="preserve"> annual report on</w:t>
      </w:r>
      <w:r w:rsidR="00C60CE4" w:rsidRPr="00582CB1">
        <w:t xml:space="preserve"> their</w:t>
      </w:r>
      <w:r w:rsidRPr="00582CB1">
        <w:t xml:space="preserve"> forex exposures. E</w:t>
      </w:r>
      <w:r w:rsidR="00306058" w:rsidRPr="00582CB1">
        <w:t xml:space="preserve">ntities should continue to report on forex </w:t>
      </w:r>
      <w:r w:rsidRPr="00582CB1">
        <w:t xml:space="preserve">in their annual financial statements </w:t>
      </w:r>
      <w:r w:rsidR="00306058" w:rsidRPr="00582CB1">
        <w:t xml:space="preserve">in accordance with the relevant Australian Accounting Standards. Entities may seek an exemption </w:t>
      </w:r>
      <w:r w:rsidR="00720241" w:rsidRPr="00582CB1">
        <w:t xml:space="preserve">in limited circumstances </w:t>
      </w:r>
      <w:r w:rsidRPr="00582CB1">
        <w:t xml:space="preserve">from the hedging </w:t>
      </w:r>
      <w:r w:rsidR="00C60CE4" w:rsidRPr="00582CB1">
        <w:t>restriction under</w:t>
      </w:r>
      <w:r w:rsidR="00306058" w:rsidRPr="00582CB1">
        <w:t xml:space="preserve"> the forex policy, however in doing so, the entities will forfeit any adjustments to appropriations for forex gains and losses</w:t>
      </w:r>
      <w:r w:rsidR="00720241" w:rsidRPr="00582CB1">
        <w:t xml:space="preserve"> (please refer to </w:t>
      </w:r>
      <w:hyperlink w:anchor="_Appendix_A_–" w:history="1">
        <w:r w:rsidR="00720241" w:rsidRPr="00582CB1">
          <w:rPr>
            <w:rStyle w:val="Hyperlink"/>
            <w:rFonts w:cstheme="minorBidi"/>
          </w:rPr>
          <w:t>Appendix A. Applying for an Exemption</w:t>
        </w:r>
      </w:hyperlink>
      <w:r w:rsidR="00720241" w:rsidRPr="00582CB1">
        <w:t xml:space="preserve"> for more information)</w:t>
      </w:r>
      <w:r w:rsidR="00306058" w:rsidRPr="00582CB1">
        <w:t xml:space="preserve">. </w:t>
      </w:r>
    </w:p>
    <w:p w14:paraId="3FC5B78C" w14:textId="2A856DC9" w:rsidR="00CC0417" w:rsidRPr="00582CB1" w:rsidRDefault="00CC0417" w:rsidP="001B2135">
      <w:pPr>
        <w:pStyle w:val="NumberedList1"/>
        <w:ind w:left="567" w:hanging="567"/>
      </w:pPr>
      <w:r w:rsidRPr="00582CB1">
        <w:t>The fo</w:t>
      </w:r>
      <w:r w:rsidR="00F049BA" w:rsidRPr="00582CB1">
        <w:t xml:space="preserve">rex policy applies to all </w:t>
      </w:r>
      <w:r w:rsidR="00C738A8" w:rsidRPr="00582CB1">
        <w:t>entities</w:t>
      </w:r>
      <w:r w:rsidR="00F049BA" w:rsidRPr="00582CB1">
        <w:rPr>
          <w:rStyle w:val="FootnoteReference"/>
        </w:rPr>
        <w:footnoteReference w:id="4"/>
      </w:r>
      <w:r w:rsidR="00F049BA" w:rsidRPr="00582CB1">
        <w:t xml:space="preserve"> that </w:t>
      </w:r>
      <w:r w:rsidRPr="00582CB1">
        <w:t>form part of</w:t>
      </w:r>
      <w:r w:rsidR="000F7958" w:rsidRPr="00582CB1">
        <w:t xml:space="preserve"> the general government sector</w:t>
      </w:r>
      <w:r w:rsidR="00945B58" w:rsidRPr="00582CB1">
        <w:t xml:space="preserve"> under the </w:t>
      </w:r>
      <w:hyperlink r:id="rId24" w:history="1">
        <w:r w:rsidRPr="00582CB1">
          <w:rPr>
            <w:rStyle w:val="Hyperlink"/>
            <w:rFonts w:cstheme="minorBidi"/>
          </w:rPr>
          <w:t>PGPA Act</w:t>
        </w:r>
      </w:hyperlink>
      <w:r w:rsidRPr="00582CB1">
        <w:t>.</w:t>
      </w:r>
      <w:r w:rsidR="005C58C3" w:rsidRPr="00582CB1">
        <w:t xml:space="preserve"> Under:</w:t>
      </w:r>
    </w:p>
    <w:p w14:paraId="1F1F4D01" w14:textId="4BF1B31F" w:rsidR="005C58C3" w:rsidRPr="00582CB1" w:rsidRDefault="009A2858" w:rsidP="005C58C3">
      <w:pPr>
        <w:pStyle w:val="Bullet1"/>
      </w:pPr>
      <w:r w:rsidRPr="00582CB1">
        <w:t xml:space="preserve">section </w:t>
      </w:r>
      <w:r w:rsidR="005C58C3" w:rsidRPr="00582CB1">
        <w:t>21 of the PGPA Act, non-corporate Commonwealth entities must c</w:t>
      </w:r>
      <w:r w:rsidR="00CC0417" w:rsidRPr="00582CB1">
        <w:t>omply with</w:t>
      </w:r>
      <w:r w:rsidR="00943C07" w:rsidRPr="00582CB1">
        <w:t xml:space="preserve"> Australian</w:t>
      </w:r>
      <w:r w:rsidR="00CC0417" w:rsidRPr="00582CB1">
        <w:t xml:space="preserve"> </w:t>
      </w:r>
      <w:r w:rsidR="00943C07" w:rsidRPr="00582CB1">
        <w:t>G</w:t>
      </w:r>
      <w:r w:rsidR="00CC0417" w:rsidRPr="00582CB1">
        <w:t xml:space="preserve">overnment policies </w:t>
      </w:r>
    </w:p>
    <w:p w14:paraId="3FF6042B" w14:textId="77777777" w:rsidR="00AB7145" w:rsidRPr="00582CB1" w:rsidRDefault="005C58C3" w:rsidP="005C58C3">
      <w:pPr>
        <w:pStyle w:val="Bullet1"/>
      </w:pPr>
      <w:r w:rsidRPr="00582CB1">
        <w:t>s</w:t>
      </w:r>
      <w:r w:rsidR="009A2858" w:rsidRPr="00582CB1">
        <w:t xml:space="preserve">ection </w:t>
      </w:r>
      <w:r w:rsidRPr="00582CB1">
        <w:t>22 of the PGPA Act, corporate Commonwealth entitie</w:t>
      </w:r>
      <w:r w:rsidR="004049F3" w:rsidRPr="00582CB1">
        <w:t>s must</w:t>
      </w:r>
      <w:r w:rsidR="009A2858" w:rsidRPr="00582CB1">
        <w:t xml:space="preserve"> comply with A</w:t>
      </w:r>
      <w:r w:rsidR="004049F3" w:rsidRPr="00582CB1">
        <w:t>ustralian G</w:t>
      </w:r>
      <w:r w:rsidR="009A2858" w:rsidRPr="00582CB1">
        <w:t>overnment</w:t>
      </w:r>
      <w:r w:rsidRPr="00582CB1">
        <w:t xml:space="preserve"> p</w:t>
      </w:r>
      <w:r w:rsidR="004049F3" w:rsidRPr="00582CB1">
        <w:t>olicies</w:t>
      </w:r>
      <w:r w:rsidRPr="00582CB1">
        <w:t xml:space="preserve"> </w:t>
      </w:r>
      <w:r w:rsidR="004049F3" w:rsidRPr="00582CB1">
        <w:t xml:space="preserve">that are </w:t>
      </w:r>
      <w:r w:rsidR="009A2858" w:rsidRPr="00582CB1">
        <w:t xml:space="preserve">specified in a government policy order </w:t>
      </w:r>
      <w:r w:rsidR="009A2858" w:rsidRPr="00582CB1">
        <w:rPr>
          <w:shd w:val="clear" w:color="auto" w:fill="FFFFFF"/>
        </w:rPr>
        <w:t>appl</w:t>
      </w:r>
      <w:r w:rsidR="004049F3" w:rsidRPr="00582CB1">
        <w:rPr>
          <w:shd w:val="clear" w:color="auto" w:fill="FFFFFF"/>
        </w:rPr>
        <w:t xml:space="preserve">ying to the </w:t>
      </w:r>
      <w:r w:rsidR="009A2858" w:rsidRPr="00582CB1">
        <w:rPr>
          <w:shd w:val="clear" w:color="auto" w:fill="FFFFFF"/>
        </w:rPr>
        <w:t>entity</w:t>
      </w:r>
    </w:p>
    <w:p w14:paraId="0ED9DC5C" w14:textId="08125A4B" w:rsidR="00CC0417" w:rsidRPr="00582CB1" w:rsidRDefault="00AB7145" w:rsidP="00B340A4">
      <w:pPr>
        <w:pStyle w:val="Bullet1"/>
      </w:pPr>
      <w:proofErr w:type="gramStart"/>
      <w:r w:rsidRPr="00582CB1">
        <w:t>section</w:t>
      </w:r>
      <w:proofErr w:type="gramEnd"/>
      <w:r w:rsidRPr="00582CB1">
        <w:t xml:space="preserve"> 93 of the PGPA Act, Commonwealth companies must comply with Australian Government policies that are specified in a government policy order </w:t>
      </w:r>
      <w:r w:rsidRPr="00582CB1">
        <w:rPr>
          <w:shd w:val="clear" w:color="auto" w:fill="FFFFFF"/>
        </w:rPr>
        <w:t>applying to the entity</w:t>
      </w:r>
      <w:r w:rsidR="009A2858" w:rsidRPr="00582CB1">
        <w:rPr>
          <w:shd w:val="clear" w:color="auto" w:fill="FFFFFF"/>
        </w:rPr>
        <w:t>.</w:t>
      </w:r>
    </w:p>
    <w:p w14:paraId="56E7635A" w14:textId="13D78D6E" w:rsidR="004049F3" w:rsidRPr="00582CB1" w:rsidRDefault="004049F3" w:rsidP="001B2135">
      <w:pPr>
        <w:pStyle w:val="NumberedList1"/>
        <w:ind w:left="567" w:hanging="567"/>
      </w:pPr>
      <w:r w:rsidRPr="00582CB1">
        <w:t>E</w:t>
      </w:r>
      <w:r w:rsidR="00CC0417" w:rsidRPr="00582CB1">
        <w:t xml:space="preserve">ntities </w:t>
      </w:r>
      <w:r w:rsidR="00104A98" w:rsidRPr="00582CB1">
        <w:t>must</w:t>
      </w:r>
      <w:r w:rsidRPr="00582CB1">
        <w:t xml:space="preserve"> </w:t>
      </w:r>
      <w:r w:rsidR="00CC0417" w:rsidRPr="00582CB1">
        <w:t xml:space="preserve">manage forex risk within the constraints set by the policy and consistent with this guide. </w:t>
      </w:r>
    </w:p>
    <w:p w14:paraId="05DB5ACD" w14:textId="77777777" w:rsidR="00CC0417" w:rsidRPr="00582CB1" w:rsidRDefault="00CC0417" w:rsidP="001B2135">
      <w:pPr>
        <w:pStyle w:val="NumberedList1"/>
        <w:ind w:left="567" w:hanging="567"/>
      </w:pPr>
      <w:r w:rsidRPr="00582CB1">
        <w:t xml:space="preserve">This guide provides information on the forex risk management responsibilities </w:t>
      </w:r>
      <w:r w:rsidR="00CE22D1" w:rsidRPr="00582CB1">
        <w:t xml:space="preserve">of entities </w:t>
      </w:r>
      <w:r w:rsidRPr="00582CB1">
        <w:t xml:space="preserve">under the </w:t>
      </w:r>
      <w:r w:rsidR="00CE22D1" w:rsidRPr="00582CB1">
        <w:t xml:space="preserve">resource management </w:t>
      </w:r>
      <w:r w:rsidRPr="00582CB1">
        <w:t>framework.</w:t>
      </w:r>
    </w:p>
    <w:p w14:paraId="4B371B8D" w14:textId="002A2779" w:rsidR="00CC0417" w:rsidRPr="00582CB1" w:rsidRDefault="008E1211" w:rsidP="001B2135">
      <w:pPr>
        <w:pStyle w:val="NumberedList1"/>
        <w:ind w:left="567" w:hanging="567"/>
      </w:pPr>
      <w:r w:rsidRPr="00582CB1">
        <w:t>This guide has</w:t>
      </w:r>
      <w:r w:rsidR="00CA4553" w:rsidRPr="00582CB1">
        <w:t xml:space="preserve"> </w:t>
      </w:r>
      <w:r w:rsidR="00CC0417" w:rsidRPr="00582CB1">
        <w:t>been reissued to add clarity to the operation of the forex policy</w:t>
      </w:r>
      <w:r w:rsidR="00E21C10" w:rsidRPr="00582CB1">
        <w:t xml:space="preserve"> in relation to</w:t>
      </w:r>
      <w:r w:rsidR="00CC0417" w:rsidRPr="00582CB1">
        <w:t>:</w:t>
      </w:r>
    </w:p>
    <w:p w14:paraId="1C28C917" w14:textId="77777777" w:rsidR="00CC0417" w:rsidRPr="00582CB1" w:rsidRDefault="00CC0417" w:rsidP="00CC0417">
      <w:pPr>
        <w:pStyle w:val="Bullet1"/>
      </w:pPr>
      <w:r w:rsidRPr="00582CB1">
        <w:t xml:space="preserve">the experience gained </w:t>
      </w:r>
      <w:r w:rsidR="00CA4553" w:rsidRPr="00582CB1">
        <w:t>since its revision in July 2006</w:t>
      </w:r>
    </w:p>
    <w:p w14:paraId="63B73B2A" w14:textId="33B5EFFC" w:rsidR="00CC0417" w:rsidRPr="00582CB1" w:rsidRDefault="00CC0417" w:rsidP="00CC0417">
      <w:pPr>
        <w:pStyle w:val="Bullet1"/>
      </w:pPr>
      <w:r w:rsidRPr="00582CB1">
        <w:t xml:space="preserve">revisions to </w:t>
      </w:r>
      <w:r w:rsidR="00CA4553" w:rsidRPr="00582CB1">
        <w:t>Australian Accounting Standards</w:t>
      </w:r>
      <w:r w:rsidR="0028423C" w:rsidRPr="00582CB1">
        <w:t xml:space="preserve"> and reporting requirements </w:t>
      </w:r>
    </w:p>
    <w:p w14:paraId="0765A2DD" w14:textId="77777777" w:rsidR="00CC0417" w:rsidRPr="00582CB1" w:rsidRDefault="00CC0417" w:rsidP="00CC0417">
      <w:pPr>
        <w:pStyle w:val="Bullet1"/>
      </w:pPr>
      <w:r w:rsidRPr="00582CB1">
        <w:t>the intro</w:t>
      </w:r>
      <w:r w:rsidR="00CA4553" w:rsidRPr="00582CB1">
        <w:t>duction of the PGPA Act in 2013</w:t>
      </w:r>
      <w:r w:rsidR="00F049BA" w:rsidRPr="00582CB1">
        <w:t xml:space="preserve"> </w:t>
      </w:r>
    </w:p>
    <w:p w14:paraId="61259B46" w14:textId="1AD90543" w:rsidR="00CC0417" w:rsidRPr="00582CB1" w:rsidRDefault="00CC0417" w:rsidP="00CC0417">
      <w:pPr>
        <w:pStyle w:val="Bullet1"/>
      </w:pPr>
      <w:proofErr w:type="gramStart"/>
      <w:r w:rsidRPr="00582CB1">
        <w:t>the</w:t>
      </w:r>
      <w:proofErr w:type="gramEnd"/>
      <w:r w:rsidRPr="00582CB1">
        <w:t xml:space="preserve"> introduction of CBMS Legacy and CBMS in</w:t>
      </w:r>
      <w:r w:rsidR="00CA4553" w:rsidRPr="00582CB1">
        <w:t xml:space="preserve"> 2006 and 2017 respectively</w:t>
      </w:r>
      <w:r w:rsidR="0028423C" w:rsidRPr="00582CB1">
        <w:t>.</w:t>
      </w:r>
    </w:p>
    <w:p w14:paraId="0A3E01E1" w14:textId="77777777" w:rsidR="000979D0" w:rsidRPr="00582CB1" w:rsidRDefault="000979D0" w:rsidP="000979D0">
      <w:pPr>
        <w:pStyle w:val="Heading1"/>
        <w:shd w:val="clear" w:color="auto" w:fill="BDDCDF" w:themeFill="accent1"/>
        <w:rPr>
          <w:color w:val="auto"/>
        </w:rPr>
      </w:pPr>
      <w:bookmarkStart w:id="35" w:name="_Toc525716833"/>
      <w:bookmarkStart w:id="36" w:name="_Toc72501392"/>
      <w:bookmarkEnd w:id="29"/>
      <w:bookmarkEnd w:id="30"/>
      <w:bookmarkEnd w:id="31"/>
      <w:bookmarkEnd w:id="32"/>
      <w:bookmarkEnd w:id="33"/>
      <w:bookmarkEnd w:id="34"/>
      <w:r w:rsidRPr="00582CB1">
        <w:rPr>
          <w:color w:val="auto"/>
        </w:rPr>
        <w:lastRenderedPageBreak/>
        <w:t>Part 2 – Overview</w:t>
      </w:r>
      <w:bookmarkEnd w:id="35"/>
      <w:bookmarkEnd w:id="36"/>
    </w:p>
    <w:p w14:paraId="07DAC898" w14:textId="77777777" w:rsidR="00921B85" w:rsidRPr="00582CB1" w:rsidRDefault="00921B85" w:rsidP="00794152">
      <w:pPr>
        <w:pStyle w:val="Heading3"/>
        <w:rPr>
          <w:color w:val="auto"/>
        </w:rPr>
      </w:pPr>
      <w:bookmarkStart w:id="37" w:name="_Toc72501393"/>
      <w:r w:rsidRPr="00582CB1">
        <w:rPr>
          <w:color w:val="auto"/>
        </w:rPr>
        <w:t>Overarching principle of the forex policy</w:t>
      </w:r>
      <w:bookmarkEnd w:id="37"/>
    </w:p>
    <w:p w14:paraId="6F4E1701" w14:textId="77777777" w:rsidR="0092433D" w:rsidRPr="00582CB1" w:rsidRDefault="00415BFE" w:rsidP="001B2135">
      <w:pPr>
        <w:pStyle w:val="NumberedList1"/>
        <w:ind w:left="567" w:hanging="567"/>
      </w:pPr>
      <w:r w:rsidRPr="00582CB1">
        <w:t xml:space="preserve">Under the Australian Government’s </w:t>
      </w:r>
      <w:r w:rsidR="00CE22D1" w:rsidRPr="00582CB1">
        <w:t>resource management framework a</w:t>
      </w:r>
      <w:r w:rsidR="0092433D" w:rsidRPr="00582CB1">
        <w:t>nd the PGPA </w:t>
      </w:r>
      <w:r w:rsidR="00CE22D1" w:rsidRPr="00582CB1">
        <w:t>Act</w:t>
      </w:r>
      <w:r w:rsidRPr="00582CB1">
        <w:t xml:space="preserve">, </w:t>
      </w:r>
      <w:r w:rsidR="0092433D" w:rsidRPr="00582CB1">
        <w:t xml:space="preserve">accountable </w:t>
      </w:r>
      <w:r w:rsidR="00CE22D1" w:rsidRPr="00582CB1">
        <w:t xml:space="preserve">authorities </w:t>
      </w:r>
      <w:r w:rsidR="0092433D" w:rsidRPr="00582CB1">
        <w:t xml:space="preserve">of </w:t>
      </w:r>
      <w:r w:rsidRPr="00582CB1">
        <w:t xml:space="preserve">entities are responsible for </w:t>
      </w:r>
      <w:r w:rsidR="0092433D" w:rsidRPr="00582CB1">
        <w:t xml:space="preserve">ensuring </w:t>
      </w:r>
      <w:r w:rsidRPr="00582CB1">
        <w:t xml:space="preserve">the </w:t>
      </w:r>
      <w:r w:rsidR="00CE22D1" w:rsidRPr="00582CB1">
        <w:t>proper use and management of public resource</w:t>
      </w:r>
      <w:r w:rsidR="0092433D" w:rsidRPr="00582CB1">
        <w:t>s</w:t>
      </w:r>
      <w:r w:rsidR="0092433D" w:rsidRPr="00582CB1">
        <w:rPr>
          <w:rStyle w:val="FootnoteReference"/>
        </w:rPr>
        <w:footnoteReference w:id="5"/>
      </w:r>
      <w:r w:rsidR="0092433D" w:rsidRPr="00582CB1">
        <w:t>, and establishing and maintaining systems of risk oversight and management</w:t>
      </w:r>
      <w:r w:rsidR="002731AE" w:rsidRPr="00582CB1">
        <w:rPr>
          <w:rStyle w:val="FootnoteReference"/>
        </w:rPr>
        <w:footnoteReference w:id="6"/>
      </w:r>
      <w:r w:rsidR="0092433D" w:rsidRPr="00582CB1">
        <w:t>.</w:t>
      </w:r>
    </w:p>
    <w:p w14:paraId="21D56C83" w14:textId="77777777" w:rsidR="00415BFE" w:rsidRPr="00582CB1" w:rsidRDefault="0092433D" w:rsidP="001B2135">
      <w:pPr>
        <w:pStyle w:val="NumberedList1"/>
        <w:ind w:left="567" w:hanging="567"/>
      </w:pPr>
      <w:r w:rsidRPr="00582CB1">
        <w:t xml:space="preserve">One of the risks that may impact an entity’s operations is forex risk when using or managing public resources, such as appropriations. </w:t>
      </w:r>
    </w:p>
    <w:p w14:paraId="13B0ADD7" w14:textId="4360AF3C" w:rsidR="002731AE" w:rsidRPr="00582CB1" w:rsidRDefault="002731AE" w:rsidP="001B2135">
      <w:pPr>
        <w:pStyle w:val="NumberedList1"/>
        <w:ind w:left="567" w:hanging="567"/>
      </w:pPr>
      <w:r w:rsidRPr="00582CB1">
        <w:t xml:space="preserve">The </w:t>
      </w:r>
      <w:r w:rsidRPr="00582CB1">
        <w:rPr>
          <w:b/>
        </w:rPr>
        <w:t>key overarching principle</w:t>
      </w:r>
      <w:r w:rsidRPr="00582CB1">
        <w:t xml:space="preserve"> of the Australian Government’s forex policy is that entities are responsible for the ongoing monitoring and management of their forex risks, however they </w:t>
      </w:r>
      <w:r w:rsidRPr="00582CB1">
        <w:rPr>
          <w:b/>
        </w:rPr>
        <w:t>must not act to reduce forex risk</w:t>
      </w:r>
      <w:r w:rsidRPr="00582CB1">
        <w:t xml:space="preserve"> that they would otherwise face in the course of their operations, </w:t>
      </w:r>
      <w:r w:rsidR="00337D6C" w:rsidRPr="00582CB1">
        <w:t>i</w:t>
      </w:r>
      <w:r w:rsidR="00E3189F" w:rsidRPr="00582CB1">
        <w:t>.</w:t>
      </w:r>
      <w:r w:rsidR="00337D6C" w:rsidRPr="00582CB1">
        <w:t>e</w:t>
      </w:r>
      <w:r w:rsidR="00A23DB7" w:rsidRPr="00582CB1">
        <w:t xml:space="preserve">. </w:t>
      </w:r>
      <w:r w:rsidR="00337D6C" w:rsidRPr="00582CB1">
        <w:t>entities</w:t>
      </w:r>
      <w:r w:rsidRPr="00582CB1">
        <w:t xml:space="preserve"> </w:t>
      </w:r>
      <w:r w:rsidRPr="00582CB1">
        <w:rPr>
          <w:b/>
        </w:rPr>
        <w:t xml:space="preserve">must not undertake </w:t>
      </w:r>
      <w:r w:rsidR="00D81D32" w:rsidRPr="00582CB1">
        <w:rPr>
          <w:b/>
        </w:rPr>
        <w:t>‘</w:t>
      </w:r>
      <w:r w:rsidRPr="00582CB1">
        <w:rPr>
          <w:b/>
        </w:rPr>
        <w:t>hedging</w:t>
      </w:r>
      <w:r w:rsidR="00D81D32" w:rsidRPr="00582CB1">
        <w:rPr>
          <w:b/>
        </w:rPr>
        <w:t>’</w:t>
      </w:r>
      <w:r w:rsidRPr="00582CB1">
        <w:t xml:space="preserve"> to offset expected </w:t>
      </w:r>
      <w:r w:rsidR="00B858BD" w:rsidRPr="00582CB1">
        <w:t xml:space="preserve">financial </w:t>
      </w:r>
      <w:r w:rsidRPr="00582CB1">
        <w:t xml:space="preserve">gains or losses as a result of forex movements. </w:t>
      </w:r>
      <w:r w:rsidR="00A620DF" w:rsidRPr="00582CB1">
        <w:t>Entities may only undertake hedging if they have been granted an exemption by the Finance Minister.</w:t>
      </w:r>
    </w:p>
    <w:p w14:paraId="5C47CE96" w14:textId="6BEFF418" w:rsidR="001F444C" w:rsidRPr="00582CB1" w:rsidRDefault="001F444C" w:rsidP="001B2135">
      <w:pPr>
        <w:pStyle w:val="NumberedList1"/>
        <w:ind w:left="567" w:hanging="567"/>
      </w:pPr>
      <w:r w:rsidRPr="00582CB1">
        <w:t xml:space="preserve">When undertaking procurements or entering into arrangements which involve a forex component, entities should also ensure </w:t>
      </w:r>
      <w:r w:rsidR="00506096" w:rsidRPr="00582CB1">
        <w:t>that the procurement</w:t>
      </w:r>
      <w:r w:rsidR="00740645" w:rsidRPr="00582CB1">
        <w:t>s</w:t>
      </w:r>
      <w:r w:rsidR="00506096" w:rsidRPr="00582CB1">
        <w:t>, after reasonable enquiries, achieve a value for money outcome,</w:t>
      </w:r>
      <w:r w:rsidR="0020623D" w:rsidRPr="00582CB1">
        <w:t xml:space="preserve"> </w:t>
      </w:r>
      <w:r w:rsidR="00740645" w:rsidRPr="00582CB1">
        <w:t xml:space="preserve">and </w:t>
      </w:r>
      <w:r w:rsidR="0020623D" w:rsidRPr="00582CB1">
        <w:t xml:space="preserve">expenditure is for a proper purpose. </w:t>
      </w:r>
    </w:p>
    <w:p w14:paraId="7C09D92F" w14:textId="77777777" w:rsidR="00415BFE" w:rsidRPr="00582CB1" w:rsidRDefault="00415BFE" w:rsidP="00794152">
      <w:pPr>
        <w:pStyle w:val="Heading3"/>
        <w:rPr>
          <w:color w:val="auto"/>
        </w:rPr>
      </w:pPr>
      <w:bookmarkStart w:id="38" w:name="_Toc72501394"/>
      <w:r w:rsidRPr="00582CB1">
        <w:rPr>
          <w:color w:val="auto"/>
        </w:rPr>
        <w:t>Hedging</w:t>
      </w:r>
      <w:bookmarkEnd w:id="38"/>
    </w:p>
    <w:p w14:paraId="20DDD63D" w14:textId="77777777" w:rsidR="00B858BD" w:rsidRPr="00582CB1" w:rsidRDefault="00430485" w:rsidP="001B2135">
      <w:pPr>
        <w:pStyle w:val="NumberedList1"/>
        <w:ind w:left="567" w:hanging="567"/>
      </w:pPr>
      <w:r w:rsidRPr="00582CB1">
        <w:t xml:space="preserve">Forex </w:t>
      </w:r>
      <w:r w:rsidR="00B858BD" w:rsidRPr="00582CB1">
        <w:t>risk is the risk that an entity’s financial performance or position will be adversely affected by fluctuations in the exchange rate between the Australian dollar and other currencies.</w:t>
      </w:r>
    </w:p>
    <w:p w14:paraId="7970A6DE" w14:textId="63540B58" w:rsidR="00415BFE" w:rsidRPr="00582CB1" w:rsidRDefault="00415BFE" w:rsidP="001B2135">
      <w:pPr>
        <w:pStyle w:val="NumberedList1"/>
        <w:ind w:left="567" w:hanging="567"/>
      </w:pPr>
      <w:r w:rsidRPr="00582CB1">
        <w:t>For the purposes of the forex policy, hedging includes any arrangement (</w:t>
      </w:r>
      <w:r w:rsidR="008A0EF3" w:rsidRPr="00582CB1">
        <w:t xml:space="preserve">covered in a grant agreement, </w:t>
      </w:r>
      <w:r w:rsidRPr="00582CB1">
        <w:t>contra</w:t>
      </w:r>
      <w:r w:rsidR="008A0EF3" w:rsidRPr="00582CB1">
        <w:t xml:space="preserve">ct, </w:t>
      </w:r>
      <w:proofErr w:type="gramStart"/>
      <w:r w:rsidR="008A0EF3" w:rsidRPr="00582CB1">
        <w:t>deed</w:t>
      </w:r>
      <w:proofErr w:type="gramEnd"/>
      <w:r w:rsidR="008A0EF3" w:rsidRPr="00582CB1">
        <w:t xml:space="preserve"> </w:t>
      </w:r>
      <w:r w:rsidRPr="00582CB1">
        <w:t>or otherwise) that might mitigate forex risk</w:t>
      </w:r>
      <w:r w:rsidR="000E1AF2" w:rsidRPr="00582CB1">
        <w:t>s/movements</w:t>
      </w:r>
      <w:r w:rsidRPr="00582CB1">
        <w:t>. Hedging is not limited to definitions in accounting standards, nor arrangements involving securities and other financial instruments.</w:t>
      </w:r>
    </w:p>
    <w:p w14:paraId="71BE8224" w14:textId="3258365D" w:rsidR="00070F25" w:rsidRPr="00582CB1" w:rsidRDefault="00070F25" w:rsidP="001B2135">
      <w:pPr>
        <w:pStyle w:val="NumberedList1"/>
        <w:ind w:left="567" w:hanging="567"/>
      </w:pPr>
      <w:r w:rsidRPr="00582CB1">
        <w:t>Regardless of whether or not an arrangement attempts to mitigate forex risk, either directly or indirectly, entities must always strive to achieve ‘value for money’</w:t>
      </w:r>
      <w:r w:rsidR="000E1AF2" w:rsidRPr="00582CB1">
        <w:rPr>
          <w:rStyle w:val="FootnoteReference"/>
        </w:rPr>
        <w:footnoteReference w:id="7"/>
      </w:r>
      <w:r w:rsidRPr="00582CB1">
        <w:t>.</w:t>
      </w:r>
    </w:p>
    <w:p w14:paraId="349383B5" w14:textId="7E446153" w:rsidR="00415BFE" w:rsidRPr="00582CB1" w:rsidRDefault="00070F25" w:rsidP="001B2135">
      <w:pPr>
        <w:pStyle w:val="NumberedList1"/>
        <w:ind w:left="567" w:hanging="567"/>
      </w:pPr>
      <w:r w:rsidRPr="00582CB1">
        <w:t xml:space="preserve">Where an arrangement </w:t>
      </w:r>
      <w:r w:rsidR="00415BFE" w:rsidRPr="00582CB1">
        <w:t>attempts to mitigate forex risk</w:t>
      </w:r>
      <w:r w:rsidRPr="00582CB1">
        <w:t>,</w:t>
      </w:r>
      <w:r w:rsidR="00415BFE" w:rsidRPr="00582CB1">
        <w:t xml:space="preserve"> </w:t>
      </w:r>
      <w:r w:rsidRPr="00582CB1">
        <w:t xml:space="preserve">but is unable to demonstrate that </w:t>
      </w:r>
      <w:r w:rsidR="00B858BD" w:rsidRPr="00582CB1">
        <w:t xml:space="preserve">the activity </w:t>
      </w:r>
      <w:r w:rsidR="00B45097" w:rsidRPr="00582CB1">
        <w:t>achieves</w:t>
      </w:r>
      <w:r w:rsidRPr="00582CB1">
        <w:t xml:space="preserve"> </w:t>
      </w:r>
      <w:r w:rsidR="00415BFE" w:rsidRPr="00582CB1">
        <w:t>v</w:t>
      </w:r>
      <w:r w:rsidRPr="00582CB1">
        <w:t xml:space="preserve">alue for money, it </w:t>
      </w:r>
      <w:r w:rsidR="00B858BD" w:rsidRPr="00582CB1">
        <w:t xml:space="preserve">may be </w:t>
      </w:r>
      <w:r w:rsidR="005205BF" w:rsidRPr="00582CB1">
        <w:t>prohibited under</w:t>
      </w:r>
      <w:r w:rsidR="00B858BD" w:rsidRPr="00582CB1">
        <w:t xml:space="preserve"> the </w:t>
      </w:r>
      <w:r w:rsidR="00415BFE" w:rsidRPr="00582CB1">
        <w:t>forex policy</w:t>
      </w:r>
      <w:r w:rsidR="00C738A8" w:rsidRPr="00582CB1">
        <w:rPr>
          <w:rStyle w:val="FootnoteReference"/>
        </w:rPr>
        <w:footnoteReference w:id="8"/>
      </w:r>
      <w:r w:rsidR="00415BFE" w:rsidRPr="00582CB1">
        <w:t>.</w:t>
      </w:r>
    </w:p>
    <w:p w14:paraId="1A308E7F" w14:textId="0CC169D8" w:rsidR="00921B85" w:rsidRPr="00582CB1" w:rsidRDefault="00506096" w:rsidP="00E21C10">
      <w:pPr>
        <w:pStyle w:val="NumberedList1"/>
        <w:ind w:left="567" w:hanging="567"/>
      </w:pPr>
      <w:r w:rsidRPr="00582CB1">
        <w:t>T</w:t>
      </w:r>
      <w:r w:rsidR="00921B85" w:rsidRPr="00582CB1">
        <w:t xml:space="preserve">he Australian Government self-insures </w:t>
      </w:r>
      <w:r w:rsidR="004C63A8" w:rsidRPr="00582CB1">
        <w:t xml:space="preserve">against </w:t>
      </w:r>
      <w:r w:rsidR="00921B85" w:rsidRPr="00582CB1">
        <w:t>exposure</w:t>
      </w:r>
      <w:r w:rsidRPr="00582CB1">
        <w:t>s</w:t>
      </w:r>
      <w:r w:rsidR="00921B85" w:rsidRPr="00582CB1">
        <w:t xml:space="preserve"> to forex rate</w:t>
      </w:r>
      <w:r w:rsidR="00703877" w:rsidRPr="00582CB1">
        <w:t xml:space="preserve"> movement</w:t>
      </w:r>
      <w:r w:rsidR="00921B85" w:rsidRPr="00582CB1">
        <w:t>s</w:t>
      </w:r>
      <w:r w:rsidRPr="00582CB1">
        <w:t xml:space="preserve"> on a whole-of-government basis</w:t>
      </w:r>
      <w:r w:rsidR="00921B85" w:rsidRPr="00582CB1">
        <w:t xml:space="preserve">. </w:t>
      </w:r>
      <w:r w:rsidR="00A625D4" w:rsidRPr="00582CB1">
        <w:t>T</w:t>
      </w:r>
      <w:r w:rsidR="00921B85" w:rsidRPr="00582CB1">
        <w:t xml:space="preserve">he </w:t>
      </w:r>
      <w:r w:rsidR="00A52675" w:rsidRPr="00582CB1">
        <w:t xml:space="preserve">Australian Government </w:t>
      </w:r>
      <w:r w:rsidR="00921B85" w:rsidRPr="00582CB1">
        <w:t xml:space="preserve">has a broad spread of assets and liabilities, along with a range of revenues and expenses, both geographically and across classes. This assists in the management of movements in </w:t>
      </w:r>
      <w:r w:rsidR="00921B85" w:rsidRPr="00582CB1">
        <w:lastRenderedPageBreak/>
        <w:t>exchange rates, and means that arrangements that mitiga</w:t>
      </w:r>
      <w:r w:rsidR="000F7958" w:rsidRPr="00582CB1">
        <w:t xml:space="preserve">te forex risk by individual </w:t>
      </w:r>
      <w:r w:rsidR="00921B85" w:rsidRPr="00582CB1">
        <w:t xml:space="preserve">entities are viewed as unnecessary by the </w:t>
      </w:r>
      <w:r w:rsidR="00A52675" w:rsidRPr="00582CB1">
        <w:t>Australian Government</w:t>
      </w:r>
      <w:r w:rsidR="00921B85" w:rsidRPr="00582CB1">
        <w:t>.</w:t>
      </w:r>
      <w:r w:rsidR="00D64776" w:rsidRPr="00582CB1">
        <w:t xml:space="preserve"> </w:t>
      </w:r>
    </w:p>
    <w:p w14:paraId="53D76C83" w14:textId="5CD75186" w:rsidR="00921B85" w:rsidRPr="00582CB1" w:rsidRDefault="00E21C10" w:rsidP="001B2135">
      <w:pPr>
        <w:pStyle w:val="NumberedList1"/>
        <w:ind w:left="567" w:hanging="567"/>
      </w:pPr>
      <w:r w:rsidRPr="00582CB1">
        <w:t>Entities are prohibited from entering into contracts, agreements or arrangements that seek to actively mitigate forex risk</w:t>
      </w:r>
      <w:r w:rsidR="00703877" w:rsidRPr="00582CB1">
        <w:t>, i</w:t>
      </w:r>
      <w:r w:rsidR="00A23DB7" w:rsidRPr="00582CB1">
        <w:t>.e</w:t>
      </w:r>
      <w:r w:rsidR="00703877" w:rsidRPr="00582CB1">
        <w:t>. entities are prohibited from hedging unless they seek an exemption</w:t>
      </w:r>
      <w:r w:rsidRPr="00582CB1">
        <w:t>. A defining feature of many such</w:t>
      </w:r>
      <w:r w:rsidR="00703877" w:rsidRPr="00582CB1">
        <w:t xml:space="preserve"> hedging</w:t>
      </w:r>
      <w:r w:rsidRPr="00582CB1">
        <w:t xml:space="preserve"> arrangements is the locking-in of an exchange rate prior </w:t>
      </w:r>
      <w:r w:rsidR="00B45097" w:rsidRPr="00582CB1">
        <w:t>to</w:t>
      </w:r>
      <w:r w:rsidRPr="00582CB1">
        <w:t xml:space="preserve"> payment becoming due. </w:t>
      </w:r>
      <w:r w:rsidR="00CC0417" w:rsidRPr="00582CB1">
        <w:t>Examples of hedging arrangements that would be prohibited under the forex policy are provided below:</w:t>
      </w:r>
    </w:p>
    <w:p w14:paraId="0A6AB748" w14:textId="77777777" w:rsidR="00FA6EF1" w:rsidRPr="00DB5410" w:rsidRDefault="00FA6EF1" w:rsidP="00C53949">
      <w:pPr>
        <w:pStyle w:val="Exampletext"/>
        <w:rPr>
          <w:b/>
        </w:rPr>
      </w:pPr>
      <w:r w:rsidRPr="00DB5410">
        <w:rPr>
          <w:b/>
          <w:sz w:val="24"/>
        </w:rPr>
        <w:t>Example 1: An external hedge</w:t>
      </w:r>
    </w:p>
    <w:p w14:paraId="3B0608E4" w14:textId="3DEDF03B" w:rsidR="00FA6EF1" w:rsidRPr="00582CB1" w:rsidRDefault="000F7958" w:rsidP="00C53949">
      <w:pPr>
        <w:pStyle w:val="Exampletext"/>
      </w:pPr>
      <w:r w:rsidRPr="00582CB1">
        <w:t xml:space="preserve">An </w:t>
      </w:r>
      <w:r w:rsidR="00FA6EF1" w:rsidRPr="00582CB1">
        <w:t>entity has entered into a contract to make a payment t</w:t>
      </w:r>
      <w:r w:rsidR="00B45097" w:rsidRPr="00582CB1">
        <w:t xml:space="preserve">o a Swiss firm in twelve </w:t>
      </w:r>
      <w:proofErr w:type="spellStart"/>
      <w:r w:rsidR="00B45097" w:rsidRPr="00582CB1">
        <w:t>months</w:t>
      </w:r>
      <w:r w:rsidR="00FA6EF1" w:rsidRPr="00582CB1">
        <w:t xml:space="preserve"> time</w:t>
      </w:r>
      <w:proofErr w:type="spellEnd"/>
      <w:r w:rsidR="00FA6EF1" w:rsidRPr="00582CB1">
        <w:t>. The payment is to be made in Swiss francs.</w:t>
      </w:r>
    </w:p>
    <w:p w14:paraId="718FF475" w14:textId="5007ACA8" w:rsidR="00FA6EF1" w:rsidRPr="00582CB1" w:rsidRDefault="00FA6EF1" w:rsidP="00C53949">
      <w:pPr>
        <w:pStyle w:val="Exampletext"/>
      </w:pPr>
      <w:r w:rsidRPr="00582CB1">
        <w:t>In order to gain certainty over the price to be paid in Australian dollars, the entity converts the Australian dollars to Swiss francs and deposits the amount in a Swiss bank account. The amount is held in the Swiss bank account until the p</w:t>
      </w:r>
      <w:r w:rsidR="00B45097" w:rsidRPr="00582CB1">
        <w:t xml:space="preserve">ayment is made in twelve </w:t>
      </w:r>
      <w:proofErr w:type="spellStart"/>
      <w:r w:rsidR="00B45097" w:rsidRPr="00582CB1">
        <w:t>months</w:t>
      </w:r>
      <w:r w:rsidRPr="00582CB1">
        <w:t xml:space="preserve"> time</w:t>
      </w:r>
      <w:proofErr w:type="spellEnd"/>
      <w:r w:rsidRPr="00582CB1">
        <w:t>.</w:t>
      </w:r>
    </w:p>
    <w:p w14:paraId="3AA22058" w14:textId="77777777" w:rsidR="00FA6EF1" w:rsidRPr="00582CB1" w:rsidRDefault="00FA6EF1" w:rsidP="00C53949">
      <w:pPr>
        <w:pStyle w:val="Exampletext"/>
      </w:pPr>
      <w:r w:rsidRPr="00582CB1">
        <w:t xml:space="preserve">This is considered an external hedge and is prohibited under the forex policy. </w:t>
      </w:r>
    </w:p>
    <w:p w14:paraId="78BFA2E9" w14:textId="77777777" w:rsidR="00CC0417" w:rsidRPr="00582CB1" w:rsidRDefault="00A52675" w:rsidP="00C53949">
      <w:pPr>
        <w:pStyle w:val="Exampletext"/>
      </w:pPr>
      <w:r w:rsidRPr="00582CB1">
        <w:t xml:space="preserve">This arrangement is considered a hedge because the </w:t>
      </w:r>
      <w:r w:rsidR="00FA6EF1" w:rsidRPr="00582CB1">
        <w:t>entity attempted to mitigate its forex risk by purchasing the foreign currency around the time it entered into the contract with the Swiss firm rather than making contractual payments at the relevant spot rate on the day.</w:t>
      </w:r>
    </w:p>
    <w:p w14:paraId="6AD9C7C4" w14:textId="2EAAB527" w:rsidR="00FA6EF1" w:rsidRPr="00DB5410" w:rsidRDefault="00FA6EF1" w:rsidP="00C53949">
      <w:pPr>
        <w:pStyle w:val="Exampletext"/>
        <w:rPr>
          <w:b/>
          <w:sz w:val="24"/>
        </w:rPr>
      </w:pPr>
      <w:r w:rsidRPr="00DB5410">
        <w:rPr>
          <w:b/>
          <w:sz w:val="24"/>
        </w:rPr>
        <w:t xml:space="preserve">Example 2: A </w:t>
      </w:r>
      <w:r w:rsidR="00B45097" w:rsidRPr="00DB5410">
        <w:rPr>
          <w:b/>
          <w:sz w:val="24"/>
        </w:rPr>
        <w:t xml:space="preserve">request </w:t>
      </w:r>
      <w:r w:rsidRPr="00DB5410">
        <w:rPr>
          <w:b/>
          <w:sz w:val="24"/>
        </w:rPr>
        <w:t xml:space="preserve">for </w:t>
      </w:r>
      <w:r w:rsidR="00B45097" w:rsidRPr="00DB5410">
        <w:rPr>
          <w:b/>
          <w:sz w:val="24"/>
        </w:rPr>
        <w:t xml:space="preserve">tender </w:t>
      </w:r>
      <w:r w:rsidRPr="00DB5410">
        <w:rPr>
          <w:b/>
          <w:sz w:val="24"/>
        </w:rPr>
        <w:t>conducted overseas</w:t>
      </w:r>
    </w:p>
    <w:p w14:paraId="3FD1A59C" w14:textId="77777777" w:rsidR="00FA6EF1" w:rsidRPr="00582CB1" w:rsidRDefault="000F7958" w:rsidP="00C53949">
      <w:pPr>
        <w:pStyle w:val="Exampletext"/>
      </w:pPr>
      <w:r w:rsidRPr="00582CB1">
        <w:t xml:space="preserve">An </w:t>
      </w:r>
      <w:r w:rsidR="00FA6EF1" w:rsidRPr="00582CB1">
        <w:t>entity is conducting a request for tender for a project in another country and requests that all tenders be priced in Australian dollars.</w:t>
      </w:r>
    </w:p>
    <w:p w14:paraId="56428766" w14:textId="5C1F0122" w:rsidR="00CC0417" w:rsidRPr="00582CB1" w:rsidRDefault="00FA6EF1" w:rsidP="00DB5410">
      <w:pPr>
        <w:pStyle w:val="Exampletext"/>
        <w:spacing w:after="240" w:line="240" w:lineRule="auto"/>
      </w:pPr>
      <w:r w:rsidRPr="00582CB1">
        <w:t xml:space="preserve">This is likely to result in a hedge as defined by the forex policy. The tenderers will likely have built into their tender bids the costs for taking on the forex risk, and therefore the procurement may not </w:t>
      </w:r>
      <w:r w:rsidR="00B45097" w:rsidRPr="00582CB1">
        <w:t>deliver</w:t>
      </w:r>
      <w:r w:rsidRPr="00582CB1">
        <w:t xml:space="preserve"> the best </w:t>
      </w:r>
      <w:r w:rsidR="00302512" w:rsidRPr="00582CB1">
        <w:t xml:space="preserve">value </w:t>
      </w:r>
      <w:r w:rsidRPr="00582CB1">
        <w:t>for money.</w:t>
      </w:r>
      <w:r w:rsidR="00945586" w:rsidRPr="00582CB1">
        <w:t xml:space="preserve"> </w:t>
      </w:r>
      <w:r w:rsidR="006F3201" w:rsidRPr="00582CB1">
        <w:t>When assessing the tenders, t</w:t>
      </w:r>
      <w:r w:rsidR="00945586" w:rsidRPr="00582CB1">
        <w:t xml:space="preserve">he entity should </w:t>
      </w:r>
      <w:r w:rsidR="006F3201" w:rsidRPr="00582CB1">
        <w:t xml:space="preserve">look out for elements which may involve a buffer/allowance for forex risks. </w:t>
      </w:r>
    </w:p>
    <w:p w14:paraId="51512C8B" w14:textId="1FD2A3DD" w:rsidR="00FA6EF1" w:rsidRPr="00DB5410" w:rsidRDefault="00FA6EF1" w:rsidP="00C53949">
      <w:pPr>
        <w:pStyle w:val="Exampletext"/>
        <w:rPr>
          <w:b/>
          <w:sz w:val="24"/>
        </w:rPr>
      </w:pPr>
      <w:r w:rsidRPr="00DB5410">
        <w:rPr>
          <w:b/>
          <w:sz w:val="24"/>
        </w:rPr>
        <w:t>Example 3: A Request for Tender conducted within Australia</w:t>
      </w:r>
    </w:p>
    <w:p w14:paraId="10C59F20" w14:textId="77777777" w:rsidR="00775543" w:rsidRPr="00582CB1" w:rsidRDefault="000F7958" w:rsidP="00DB5410">
      <w:pPr>
        <w:pStyle w:val="Exampletext"/>
        <w:spacing w:after="240" w:line="240" w:lineRule="auto"/>
      </w:pPr>
      <w:r w:rsidRPr="00582CB1">
        <w:t xml:space="preserve">An </w:t>
      </w:r>
      <w:r w:rsidR="00FA6EF1" w:rsidRPr="00582CB1">
        <w:t>entity is conducting a request for tender to build a specialist asset within Australia. Whilst the tenderers are located in Australia, the spec</w:t>
      </w:r>
      <w:r w:rsidR="00775543" w:rsidRPr="00582CB1">
        <w:t xml:space="preserve">ialist asset will require parts </w:t>
      </w:r>
      <w:r w:rsidR="00FA6EF1" w:rsidRPr="00582CB1">
        <w:t xml:space="preserve">which are likely to be sourced from Europe, and hence involve a forex risk. </w:t>
      </w:r>
    </w:p>
    <w:p w14:paraId="649EA286" w14:textId="77777777" w:rsidR="00775543" w:rsidRPr="00582CB1" w:rsidRDefault="00FA6EF1" w:rsidP="00C53949">
      <w:pPr>
        <w:pStyle w:val="Exampletext"/>
      </w:pPr>
      <w:r w:rsidRPr="00582CB1">
        <w:t xml:space="preserve">The successful tenderer has included a fixed Australian dollar price for these parts in its contract. </w:t>
      </w:r>
      <w:r w:rsidR="00B45097" w:rsidRPr="00582CB1">
        <w:t>The</w:t>
      </w:r>
      <w:r w:rsidRPr="00582CB1">
        <w:t xml:space="preserve"> price</w:t>
      </w:r>
      <w:r w:rsidR="00A52675" w:rsidRPr="00582CB1">
        <w:t xml:space="preserve"> for the parts</w:t>
      </w:r>
      <w:r w:rsidRPr="00582CB1">
        <w:t xml:space="preserve"> currently exceeds the cost that would be incurred had the part</w:t>
      </w:r>
      <w:r w:rsidR="00A52675" w:rsidRPr="00582CB1">
        <w:t>s</w:t>
      </w:r>
      <w:r w:rsidRPr="00582CB1">
        <w:t xml:space="preserve"> been purchased at the relevant spot rate on the day, </w:t>
      </w:r>
      <w:r w:rsidR="00A52675" w:rsidRPr="00582CB1">
        <w:t xml:space="preserve">even after factoring in </w:t>
      </w:r>
      <w:r w:rsidRPr="00582CB1">
        <w:t xml:space="preserve">the general trend in the spot </w:t>
      </w:r>
      <w:r w:rsidR="00775543" w:rsidRPr="00582CB1">
        <w:t xml:space="preserve">rates.  </w:t>
      </w:r>
    </w:p>
    <w:p w14:paraId="6A67005D" w14:textId="77777777" w:rsidR="00775543" w:rsidRPr="00582CB1" w:rsidRDefault="00FA6EF1" w:rsidP="00C53949">
      <w:pPr>
        <w:pStyle w:val="Exampletext"/>
      </w:pPr>
      <w:r w:rsidRPr="00582CB1">
        <w:t xml:space="preserve">This fixed price represents an </w:t>
      </w:r>
      <w:r w:rsidR="00B45097" w:rsidRPr="00582CB1">
        <w:t>‘</w:t>
      </w:r>
      <w:r w:rsidRPr="00582CB1">
        <w:t>embedded floor</w:t>
      </w:r>
      <w:r w:rsidR="00B45097" w:rsidRPr="00582CB1">
        <w:t>’</w:t>
      </w:r>
      <w:r w:rsidRPr="00582CB1">
        <w:t>, which will protect the supplier from adverse movements in exchange rate, and is likely to result in a hedge as defined by</w:t>
      </w:r>
      <w:r w:rsidR="003C7CE0" w:rsidRPr="00582CB1">
        <w:t xml:space="preserve"> </w:t>
      </w:r>
      <w:r w:rsidRPr="00582CB1">
        <w:t xml:space="preserve">the forex policy. </w:t>
      </w:r>
    </w:p>
    <w:p w14:paraId="36ADD89A" w14:textId="77777777" w:rsidR="00775543" w:rsidRPr="00582CB1" w:rsidRDefault="000F7958" w:rsidP="00C53949">
      <w:pPr>
        <w:pStyle w:val="Exampletext"/>
      </w:pPr>
      <w:r w:rsidRPr="00582CB1">
        <w:lastRenderedPageBreak/>
        <w:t>E</w:t>
      </w:r>
      <w:r w:rsidR="00FA6EF1" w:rsidRPr="00582CB1">
        <w:t>ntities should consider the costs and risks before agreeing to these types of contractual terms, as they may not offer the best value for money.</w:t>
      </w:r>
      <w:r w:rsidR="002636E5" w:rsidRPr="00582CB1">
        <w:t xml:space="preserve"> </w:t>
      </w:r>
    </w:p>
    <w:p w14:paraId="5E76999A" w14:textId="77777777" w:rsidR="00775543" w:rsidRPr="00582CB1" w:rsidRDefault="002636E5" w:rsidP="00C53949">
      <w:pPr>
        <w:pStyle w:val="Exampletext"/>
      </w:pPr>
      <w:r w:rsidRPr="00582CB1">
        <w:t xml:space="preserve">An example of an arrangement that does not involve hedging is provided below. </w:t>
      </w:r>
    </w:p>
    <w:p w14:paraId="79A278B8" w14:textId="34C0AB41" w:rsidR="00FF17A0" w:rsidRPr="00582CB1" w:rsidRDefault="00FF17A0" w:rsidP="00C53949">
      <w:pPr>
        <w:pStyle w:val="Exampletext"/>
        <w:rPr>
          <w:b/>
          <w:sz w:val="24"/>
          <w:szCs w:val="24"/>
        </w:rPr>
      </w:pPr>
      <w:r w:rsidRPr="00582CB1">
        <w:rPr>
          <w:b/>
          <w:sz w:val="24"/>
          <w:szCs w:val="24"/>
        </w:rPr>
        <w:t xml:space="preserve">Example 4: </w:t>
      </w:r>
      <w:r w:rsidR="00D5103D" w:rsidRPr="00582CB1">
        <w:rPr>
          <w:b/>
          <w:sz w:val="24"/>
          <w:szCs w:val="24"/>
        </w:rPr>
        <w:t>Awarding a tender to an overseas supplier</w:t>
      </w:r>
    </w:p>
    <w:p w14:paraId="708C6B5F" w14:textId="478B7E83" w:rsidR="00FF17A0" w:rsidRPr="00582CB1" w:rsidRDefault="00FF17A0" w:rsidP="00C53949">
      <w:pPr>
        <w:pStyle w:val="Exampletext"/>
      </w:pPr>
      <w:r w:rsidRPr="00582CB1">
        <w:t>An entity has received tender bids from a range of potential suppliers, including local and overseas businesses. The entity did not specify what currency bids had to be submitted in, as that c</w:t>
      </w:r>
      <w:r w:rsidR="00924377" w:rsidRPr="00582CB1">
        <w:t>ould be considered a hedging arrangement</w:t>
      </w:r>
      <w:r w:rsidRPr="00582CB1">
        <w:t xml:space="preserve"> under this po</w:t>
      </w:r>
      <w:r w:rsidR="00924377" w:rsidRPr="00582CB1">
        <w:t xml:space="preserve">licy. </w:t>
      </w:r>
    </w:p>
    <w:p w14:paraId="1D74F766" w14:textId="77777777" w:rsidR="00924377" w:rsidRPr="00582CB1" w:rsidRDefault="00FF17A0" w:rsidP="00C53949">
      <w:pPr>
        <w:pStyle w:val="Exampletext"/>
      </w:pPr>
      <w:r w:rsidRPr="00582CB1">
        <w:t xml:space="preserve">The bids </w:t>
      </w:r>
      <w:r w:rsidR="00924377" w:rsidRPr="00582CB1">
        <w:t xml:space="preserve">received </w:t>
      </w:r>
      <w:r w:rsidRPr="00582CB1">
        <w:t xml:space="preserve">are priced in a range of currencies. In assessing the bids, the entity converts the bids into Australian dollars using the spot rate on a particular day, to allow comparison of costs. </w:t>
      </w:r>
    </w:p>
    <w:p w14:paraId="159C75A4" w14:textId="4800C451" w:rsidR="00FF17A0" w:rsidRPr="00582CB1" w:rsidRDefault="00FF17A0" w:rsidP="00C53949">
      <w:pPr>
        <w:pStyle w:val="Exampletext"/>
      </w:pPr>
      <w:r w:rsidRPr="00582CB1">
        <w:t>An overseas supplier is selected as the successful tenderer based on a</w:t>
      </w:r>
      <w:r w:rsidR="0007026D" w:rsidRPr="00582CB1">
        <w:t xml:space="preserve"> value for money</w:t>
      </w:r>
      <w:r w:rsidRPr="00582CB1">
        <w:t xml:space="preserve"> assessment in accordance with the Commonwealth Procurement Rules. </w:t>
      </w:r>
      <w:r w:rsidR="00924377" w:rsidRPr="00582CB1">
        <w:t xml:space="preserve">The overseas supplier’s bid was specified in New Zealand dollars. </w:t>
      </w:r>
      <w:r w:rsidRPr="00582CB1">
        <w:t>The cross-comparison of bids in Australian dollars</w:t>
      </w:r>
      <w:r w:rsidR="00924377" w:rsidRPr="00582CB1">
        <w:t xml:space="preserve"> and the signing of the contract in New Zealand dollars are </w:t>
      </w:r>
      <w:r w:rsidRPr="00582CB1">
        <w:rPr>
          <w:u w:val="single"/>
        </w:rPr>
        <w:t>not</w:t>
      </w:r>
      <w:r w:rsidRPr="00582CB1">
        <w:t xml:space="preserve"> considered hedging arrangement</w:t>
      </w:r>
      <w:r w:rsidR="00924377" w:rsidRPr="00582CB1">
        <w:t>s</w:t>
      </w:r>
      <w:r w:rsidRPr="00582CB1">
        <w:t xml:space="preserve">. </w:t>
      </w:r>
    </w:p>
    <w:p w14:paraId="4B1B6337" w14:textId="0E1F563D" w:rsidR="00FA73E4" w:rsidRPr="00582CB1" w:rsidRDefault="00FA73E4" w:rsidP="00C53949">
      <w:pPr>
        <w:pStyle w:val="Exampletext"/>
      </w:pPr>
      <w:r w:rsidRPr="00582CB1">
        <w:t xml:space="preserve">As part of contract negotiations, the supplier has </w:t>
      </w:r>
      <w:r w:rsidR="00D5103D" w:rsidRPr="00582CB1">
        <w:t xml:space="preserve">also </w:t>
      </w:r>
      <w:r w:rsidRPr="00582CB1">
        <w:t>requested invoices be issued in New Zealand dollars,</w:t>
      </w:r>
      <w:r w:rsidR="00D5103D" w:rsidRPr="00582CB1">
        <w:t xml:space="preserve"> with milestone payments specified in New Zealand dollars and</w:t>
      </w:r>
      <w:r w:rsidRPr="00582CB1">
        <w:t xml:space="preserve"> </w:t>
      </w:r>
      <w:r w:rsidR="00D5103D" w:rsidRPr="00582CB1">
        <w:t xml:space="preserve">certain variable </w:t>
      </w:r>
      <w:r w:rsidRPr="00582CB1">
        <w:t xml:space="preserve">costs incurred in other currencies to be converted at the New Zealand dollar spot rate on the day the invoice is issued.  These invoicing arrangements also do not constitute hedging arrangements.  </w:t>
      </w:r>
    </w:p>
    <w:p w14:paraId="02ACE9B2" w14:textId="77777777" w:rsidR="00E21C10" w:rsidRPr="00582CB1" w:rsidRDefault="00E21C10" w:rsidP="00E21C10">
      <w:pPr>
        <w:pStyle w:val="NumberedList1"/>
        <w:ind w:left="567" w:hanging="567"/>
      </w:pPr>
      <w:bookmarkStart w:id="39" w:name="_Toc525716834"/>
      <w:r w:rsidRPr="00582CB1">
        <w:t>Entities may also be presented with contracts, agreements or arrangements that contain clauses (that is, embedded hedging structures) and methodologies that claim to mitigate forex risk. Only under exceptional circumstances will the Australian Government permit arrangements involving embedded structures to proceed.</w:t>
      </w:r>
    </w:p>
    <w:p w14:paraId="3E8E10D4" w14:textId="77777777" w:rsidR="00E21C10" w:rsidRPr="00582CB1" w:rsidRDefault="00E21C10" w:rsidP="001B2135">
      <w:pPr>
        <w:pStyle w:val="NumberedList1"/>
        <w:ind w:left="567" w:hanging="567"/>
      </w:pPr>
      <w:r w:rsidRPr="00582CB1">
        <w:t>The following are examples of embedded hedging structures:</w:t>
      </w:r>
    </w:p>
    <w:p w14:paraId="6B287393" w14:textId="391D73F8" w:rsidR="00E21C10" w:rsidRPr="00582CB1" w:rsidRDefault="00E21C10" w:rsidP="00840458">
      <w:pPr>
        <w:pStyle w:val="Boxed2Heading"/>
        <w:spacing w:after="240" w:line="240" w:lineRule="auto"/>
      </w:pPr>
      <w:r w:rsidRPr="00582CB1">
        <w:t>Embedded hedging structures within contracts, arrange</w:t>
      </w:r>
      <w:r w:rsidR="00840458">
        <w:t xml:space="preserve">ments or </w:t>
      </w:r>
      <w:r w:rsidRPr="00582CB1">
        <w:t>agreements</w:t>
      </w:r>
    </w:p>
    <w:p w14:paraId="09E6C817" w14:textId="77777777" w:rsidR="00E21C10" w:rsidRPr="00582CB1" w:rsidRDefault="00E21C10" w:rsidP="00840458">
      <w:pPr>
        <w:pStyle w:val="Boxed2Text"/>
        <w:spacing w:after="240" w:line="240" w:lineRule="auto"/>
      </w:pPr>
      <w:r w:rsidRPr="00582CB1">
        <w:t>It is important for entities to note that embedded structures will normally involve a cost (usually hidden) or additional risk and, therefore, entities must carefully consider the cost or risk involved before seeking an exemption allowing them to use such structures.</w:t>
      </w:r>
    </w:p>
    <w:p w14:paraId="7596CD3B" w14:textId="305968D0" w:rsidR="00E21C10" w:rsidRPr="00582CB1" w:rsidRDefault="00E21C10" w:rsidP="00C41320">
      <w:pPr>
        <w:pStyle w:val="Boxed2Text"/>
        <w:spacing w:after="240" w:line="240" w:lineRule="auto"/>
        <w:rPr>
          <w:b/>
        </w:rPr>
      </w:pPr>
      <w:r w:rsidRPr="00582CB1">
        <w:rPr>
          <w:b/>
        </w:rPr>
        <w:t>Embedded floor</w:t>
      </w:r>
      <w:r w:rsidR="00111E4A" w:rsidRPr="00582CB1">
        <w:t xml:space="preserve"> - </w:t>
      </w:r>
      <w:r w:rsidRPr="00582CB1">
        <w:t>guarantees the supplier (or the purchaser) a minimum exchange rate, protecting them from decreases in an exchange rate.</w:t>
      </w:r>
    </w:p>
    <w:p w14:paraId="354C3716" w14:textId="7116B7AC" w:rsidR="00E21C10" w:rsidRPr="00582CB1" w:rsidRDefault="00E21C10" w:rsidP="00C41320">
      <w:pPr>
        <w:pStyle w:val="Boxed2Text"/>
        <w:spacing w:after="240" w:line="240" w:lineRule="auto"/>
      </w:pPr>
      <w:r w:rsidRPr="00582CB1">
        <w:rPr>
          <w:b/>
        </w:rPr>
        <w:t>Embedded cap</w:t>
      </w:r>
      <w:r w:rsidR="00111E4A" w:rsidRPr="00582CB1">
        <w:t xml:space="preserve"> - </w:t>
      </w:r>
      <w:r w:rsidRPr="00582CB1">
        <w:t>guarantees the purchaser (or the supplier) a maximum exchange rate, protecting them from increases in an exchange rate.</w:t>
      </w:r>
    </w:p>
    <w:p w14:paraId="47EA1B23" w14:textId="0F912B19" w:rsidR="00E21C10" w:rsidRPr="00582CB1" w:rsidRDefault="00E21C10" w:rsidP="00C41320">
      <w:pPr>
        <w:pStyle w:val="Boxed2Text"/>
        <w:spacing w:after="240" w:line="240" w:lineRule="auto"/>
      </w:pPr>
      <w:r w:rsidRPr="00582CB1">
        <w:rPr>
          <w:b/>
        </w:rPr>
        <w:t>Stop-loss clause</w:t>
      </w:r>
      <w:r w:rsidR="00111E4A" w:rsidRPr="00582CB1">
        <w:t xml:space="preserve"> - </w:t>
      </w:r>
      <w:r w:rsidRPr="00582CB1">
        <w:t>similar to a cap or floor where a predetermined exchange rate, when triggered, will alter the terms of the contract.</w:t>
      </w:r>
    </w:p>
    <w:p w14:paraId="7B1FE6E0" w14:textId="1F34F973" w:rsidR="00E21C10" w:rsidRPr="00582CB1" w:rsidRDefault="00E21C10" w:rsidP="00C41320">
      <w:pPr>
        <w:pStyle w:val="Boxed2Text"/>
        <w:spacing w:after="240" w:line="240" w:lineRule="auto"/>
      </w:pPr>
      <w:r w:rsidRPr="00582CB1">
        <w:rPr>
          <w:b/>
        </w:rPr>
        <w:lastRenderedPageBreak/>
        <w:t>Demand triggered contract</w:t>
      </w:r>
      <w:r w:rsidR="00111E4A" w:rsidRPr="00582CB1">
        <w:t xml:space="preserve"> - </w:t>
      </w:r>
      <w:r w:rsidRPr="00582CB1">
        <w:t>alt</w:t>
      </w:r>
      <w:r w:rsidR="00C81142" w:rsidRPr="00582CB1">
        <w:t>ers the exchange rate mechanism</w:t>
      </w:r>
      <w:r w:rsidRPr="00582CB1">
        <w:t xml:space="preserve"> </w:t>
      </w:r>
      <w:r w:rsidR="00D36D52" w:rsidRPr="00582CB1">
        <w:t xml:space="preserve">where there </w:t>
      </w:r>
      <w:r w:rsidR="00B32368" w:rsidRPr="00582CB1">
        <w:t xml:space="preserve">is a </w:t>
      </w:r>
      <w:r w:rsidRPr="00582CB1">
        <w:t>change in the underlying demand for the service or product.</w:t>
      </w:r>
    </w:p>
    <w:p w14:paraId="11E9256D" w14:textId="6A7E1B3D" w:rsidR="00E21C10" w:rsidRPr="00582CB1" w:rsidRDefault="00E21C10" w:rsidP="00C41320">
      <w:pPr>
        <w:pStyle w:val="Boxed2Text"/>
        <w:spacing w:after="240" w:line="240" w:lineRule="auto"/>
      </w:pPr>
      <w:r w:rsidRPr="00582CB1">
        <w:rPr>
          <w:b/>
        </w:rPr>
        <w:t>Rise and fall clause</w:t>
      </w:r>
      <w:r w:rsidR="00111E4A" w:rsidRPr="00582CB1">
        <w:t xml:space="preserve"> - </w:t>
      </w:r>
      <w:r w:rsidRPr="00582CB1">
        <w:t>uses changes in the exchange rate to alter the delivery price of goods or services. This clause may relate to the direct currency exposure or to a third currency exposure relating to input costs for the supplier. This clause may also include a multiplier effect on the exchange rate or have a non-linear impact upon the underlying currency exposure. Rise and fall clauses may also use an average rate methodology for calculating the exchange rate, which may not align to the actual exchange rate transacted by the entity. This could result in a cash flow mismatch for the entity.</w:t>
      </w:r>
      <w:r w:rsidR="00435DFA" w:rsidRPr="00582CB1">
        <w:t xml:space="preserve"> These clauses are typically encountered in building contracts. </w:t>
      </w:r>
    </w:p>
    <w:p w14:paraId="384D786D" w14:textId="77777777" w:rsidR="00E21C10" w:rsidRPr="00582CB1" w:rsidRDefault="00E21C10" w:rsidP="001B2135">
      <w:pPr>
        <w:pStyle w:val="NumberedList1"/>
        <w:ind w:left="567" w:hanging="567"/>
      </w:pPr>
      <w:r w:rsidRPr="00582CB1">
        <w:t>There are a number of ways to mitigate forex risk, which do not necessarily occur through traditional financial instruments. These are all prohibited under the forex policy. For example, pricing a contract, agreement or arrangement in Australian dollars may give rise to additional costs for the contractor accepting the forex risk.</w:t>
      </w:r>
    </w:p>
    <w:p w14:paraId="0F11BF6C" w14:textId="40EBDF52" w:rsidR="00E21C10" w:rsidRPr="00582CB1" w:rsidRDefault="00E21C10" w:rsidP="001B2135">
      <w:pPr>
        <w:pStyle w:val="NumberedList1"/>
        <w:ind w:left="567" w:hanging="567"/>
      </w:pPr>
      <w:r w:rsidRPr="00582CB1">
        <w:t>These additional costs, if passed on to the entity, would ordinarily not represent best value for money. Where additional costs for accepting forex risk are identified as forming a component of an Australian dollar price, they must be excluded.</w:t>
      </w:r>
    </w:p>
    <w:p w14:paraId="36E95333" w14:textId="77777777" w:rsidR="00E21C10" w:rsidRPr="00582CB1" w:rsidRDefault="00E21C10" w:rsidP="001B2135">
      <w:pPr>
        <w:pStyle w:val="NumberedList1"/>
        <w:ind w:left="567" w:hanging="567"/>
      </w:pPr>
      <w:r w:rsidRPr="00582CB1">
        <w:t xml:space="preserve">Additionally, entities must not seek to mitigate forex risk by: </w:t>
      </w:r>
    </w:p>
    <w:p w14:paraId="30299183" w14:textId="77777777" w:rsidR="00E21C10" w:rsidRPr="00582CB1" w:rsidRDefault="00E21C10" w:rsidP="00E21C10">
      <w:pPr>
        <w:pStyle w:val="Bullet1"/>
        <w:ind w:left="851"/>
      </w:pPr>
      <w:r w:rsidRPr="00582CB1">
        <w:t>using foreign currency bank accounts to purchase foreign currency and place the money in a foreign bank account for a future payment</w:t>
      </w:r>
    </w:p>
    <w:p w14:paraId="45C01B17" w14:textId="05B0480B" w:rsidR="00E21C10" w:rsidRPr="00582CB1" w:rsidRDefault="00E21C10" w:rsidP="00E21C10">
      <w:pPr>
        <w:pStyle w:val="Bullet1"/>
        <w:ind w:left="851"/>
      </w:pPr>
      <w:proofErr w:type="gramStart"/>
      <w:r w:rsidRPr="00582CB1">
        <w:t>pre-pay</w:t>
      </w:r>
      <w:proofErr w:type="gramEnd"/>
      <w:r w:rsidRPr="00582CB1">
        <w:t xml:space="preserve"> purchases </w:t>
      </w:r>
      <w:r w:rsidR="002D7F1E" w:rsidRPr="00582CB1">
        <w:t>where the primary purpose of the prepayment is to remove</w:t>
      </w:r>
      <w:r w:rsidRPr="00582CB1">
        <w:t xml:space="preserve"> forex risk</w:t>
      </w:r>
      <w:r w:rsidRPr="00582CB1">
        <w:rPr>
          <w:rStyle w:val="FootnoteReference"/>
        </w:rPr>
        <w:footnoteReference w:id="9"/>
      </w:r>
      <w:r w:rsidRPr="00582CB1">
        <w:t>.</w:t>
      </w:r>
    </w:p>
    <w:p w14:paraId="75DC2CA6" w14:textId="7E6140D5" w:rsidR="0063407B" w:rsidRPr="00582CB1" w:rsidRDefault="002D7F1E" w:rsidP="00794152">
      <w:pPr>
        <w:pStyle w:val="Heading3"/>
        <w:rPr>
          <w:color w:val="auto"/>
        </w:rPr>
      </w:pPr>
      <w:bookmarkStart w:id="40" w:name="_Toc72501395"/>
      <w:r w:rsidRPr="00582CB1">
        <w:rPr>
          <w:color w:val="auto"/>
        </w:rPr>
        <w:t>Entering into</w:t>
      </w:r>
      <w:r w:rsidR="0063407B" w:rsidRPr="00582CB1">
        <w:rPr>
          <w:color w:val="auto"/>
        </w:rPr>
        <w:t xml:space="preserve"> contracts, agreements or arrangements that include hedges</w:t>
      </w:r>
      <w:bookmarkEnd w:id="40"/>
    </w:p>
    <w:p w14:paraId="1AA9E0B5" w14:textId="2B2350CD" w:rsidR="0063407B" w:rsidRPr="00582CB1" w:rsidRDefault="0063407B" w:rsidP="0063407B">
      <w:pPr>
        <w:pStyle w:val="NumberedList1"/>
        <w:ind w:left="567" w:hanging="567"/>
      </w:pPr>
      <w:r w:rsidRPr="00582CB1">
        <w:t xml:space="preserve">Embedded structures in contracts, agreements or arrangements (or other arrangements that reduce forex risk) can seem covetable to an entity. Nonetheless, they normally involve a cost or an additional risk </w:t>
      </w:r>
      <w:r w:rsidR="0009339D" w:rsidRPr="00582CB1">
        <w:t>and may be inconsistent with</w:t>
      </w:r>
      <w:r w:rsidRPr="00582CB1">
        <w:t xml:space="preserve"> the forex policy.</w:t>
      </w:r>
    </w:p>
    <w:p w14:paraId="021E31BC" w14:textId="212CD669" w:rsidR="0063407B" w:rsidRPr="00582CB1" w:rsidRDefault="0063407B" w:rsidP="0063407B">
      <w:pPr>
        <w:pStyle w:val="NumberedList1"/>
        <w:ind w:left="567" w:hanging="567"/>
      </w:pPr>
      <w:r w:rsidRPr="00582CB1">
        <w:t xml:space="preserve">In accordance with the forex policy, entities are required to exclude embedded structures from contracts, agreements or arrangements that they enter into and ensure that any actions they </w:t>
      </w:r>
      <w:r w:rsidR="002636E5" w:rsidRPr="00582CB1">
        <w:t>commit to</w:t>
      </w:r>
      <w:r w:rsidRPr="00582CB1">
        <w:t xml:space="preserve"> are not viewed as hedging their risk. However, if the embedded structures presented or the approaches contemplated are considered to </w:t>
      </w:r>
      <w:r w:rsidR="002636E5" w:rsidRPr="00582CB1">
        <w:t xml:space="preserve">be </w:t>
      </w:r>
      <w:r w:rsidRPr="00582CB1">
        <w:t xml:space="preserve">the best value for money, the entities should seek a project specific exemption through their Minister. Please refer to </w:t>
      </w:r>
      <w:hyperlink w:anchor="_Appendix_A_–" w:history="1">
        <w:r w:rsidRPr="00582CB1">
          <w:rPr>
            <w:rStyle w:val="Hyperlink"/>
          </w:rPr>
          <w:t xml:space="preserve">Appendix A. </w:t>
        </w:r>
        <w:r w:rsidR="00720241" w:rsidRPr="00582CB1">
          <w:rPr>
            <w:rStyle w:val="Hyperlink"/>
          </w:rPr>
          <w:t>Applying for</w:t>
        </w:r>
        <w:r w:rsidRPr="00582CB1">
          <w:rPr>
            <w:rStyle w:val="Hyperlink"/>
          </w:rPr>
          <w:t xml:space="preserve"> an Exemption</w:t>
        </w:r>
      </w:hyperlink>
      <w:r w:rsidRPr="00582CB1">
        <w:t xml:space="preserve"> for further information.</w:t>
      </w:r>
    </w:p>
    <w:p w14:paraId="5B66B2B1" w14:textId="18E5B207" w:rsidR="0063407B" w:rsidRPr="00582CB1" w:rsidRDefault="0063407B" w:rsidP="0063407B">
      <w:pPr>
        <w:pStyle w:val="NumberedList1"/>
        <w:ind w:left="567" w:hanging="567"/>
      </w:pPr>
      <w:r w:rsidRPr="00582CB1">
        <w:lastRenderedPageBreak/>
        <w:t xml:space="preserve">Entities may also consider it appropriate to seek external financial or legal advice, to assist in identifying </w:t>
      </w:r>
      <w:r w:rsidR="0059184C" w:rsidRPr="00582CB1">
        <w:t xml:space="preserve">and </w:t>
      </w:r>
      <w:r w:rsidRPr="00582CB1">
        <w:t xml:space="preserve">excluding requests for embedded structures in contracts, agreements and arrangements (or other arrangements that reduce forex risk). Where appropriate, entities must also seek advice to justify an application for an exemption from the hedging restriction </w:t>
      </w:r>
      <w:r w:rsidR="0059184C" w:rsidRPr="00582CB1">
        <w:t xml:space="preserve">in </w:t>
      </w:r>
      <w:r w:rsidRPr="00582CB1">
        <w:t>the forex policy.</w:t>
      </w:r>
    </w:p>
    <w:p w14:paraId="0DE20F64" w14:textId="5BE261D0" w:rsidR="000979D0" w:rsidRPr="00582CB1" w:rsidRDefault="00B8055E" w:rsidP="000979D0">
      <w:pPr>
        <w:pStyle w:val="Heading1"/>
        <w:shd w:val="clear" w:color="auto" w:fill="BDDCDF" w:themeFill="accent1"/>
        <w:rPr>
          <w:color w:val="auto"/>
        </w:rPr>
      </w:pPr>
      <w:bookmarkStart w:id="41" w:name="_Toc72501396"/>
      <w:r w:rsidRPr="00582CB1">
        <w:rPr>
          <w:color w:val="auto"/>
        </w:rPr>
        <w:t xml:space="preserve">Part 3 – </w:t>
      </w:r>
      <w:r w:rsidR="00CA4553" w:rsidRPr="00582CB1">
        <w:rPr>
          <w:color w:val="auto"/>
        </w:rPr>
        <w:t>Managing foreign exchange risk in a</w:t>
      </w:r>
      <w:r w:rsidR="000979D0" w:rsidRPr="00582CB1">
        <w:rPr>
          <w:color w:val="auto"/>
        </w:rPr>
        <w:t>c</w:t>
      </w:r>
      <w:r w:rsidR="00CA4553" w:rsidRPr="00582CB1">
        <w:rPr>
          <w:color w:val="auto"/>
        </w:rPr>
        <w:t>cordance with the F</w:t>
      </w:r>
      <w:r w:rsidR="000979D0" w:rsidRPr="00582CB1">
        <w:rPr>
          <w:color w:val="auto"/>
        </w:rPr>
        <w:t>oreign Exchange Policy</w:t>
      </w:r>
      <w:bookmarkEnd w:id="39"/>
      <w:bookmarkEnd w:id="41"/>
    </w:p>
    <w:p w14:paraId="347526B3" w14:textId="0935439C" w:rsidR="000979D0" w:rsidRPr="00582CB1" w:rsidRDefault="000979D0" w:rsidP="00794152">
      <w:pPr>
        <w:pStyle w:val="Heading3"/>
        <w:rPr>
          <w:color w:val="auto"/>
        </w:rPr>
      </w:pPr>
      <w:bookmarkStart w:id="42" w:name="_Toc525716835"/>
      <w:bookmarkStart w:id="43" w:name="_Toc72501397"/>
      <w:r w:rsidRPr="00582CB1">
        <w:rPr>
          <w:color w:val="auto"/>
        </w:rPr>
        <w:t>Identifying</w:t>
      </w:r>
      <w:r w:rsidR="00486620" w:rsidRPr="00582CB1">
        <w:rPr>
          <w:color w:val="auto"/>
        </w:rPr>
        <w:t xml:space="preserve"> foreign exchange r</w:t>
      </w:r>
      <w:r w:rsidRPr="00582CB1">
        <w:rPr>
          <w:color w:val="auto"/>
        </w:rPr>
        <w:t>isk</w:t>
      </w:r>
      <w:r w:rsidR="006853C9" w:rsidRPr="00582CB1">
        <w:rPr>
          <w:color w:val="auto"/>
        </w:rPr>
        <w:t>s</w:t>
      </w:r>
      <w:r w:rsidRPr="00582CB1">
        <w:rPr>
          <w:color w:val="auto"/>
        </w:rPr>
        <w:t>,</w:t>
      </w:r>
      <w:r w:rsidR="00486620" w:rsidRPr="00582CB1">
        <w:rPr>
          <w:color w:val="auto"/>
        </w:rPr>
        <w:t xml:space="preserve"> foreign exchange e</w:t>
      </w:r>
      <w:r w:rsidRPr="00582CB1">
        <w:rPr>
          <w:color w:val="auto"/>
        </w:rPr>
        <w:t>xposure</w:t>
      </w:r>
      <w:r w:rsidR="006853C9" w:rsidRPr="00582CB1">
        <w:rPr>
          <w:color w:val="auto"/>
        </w:rPr>
        <w:t>s</w:t>
      </w:r>
      <w:r w:rsidR="00486620" w:rsidRPr="00582CB1">
        <w:rPr>
          <w:color w:val="auto"/>
        </w:rPr>
        <w:t xml:space="preserve"> and hedging a</w:t>
      </w:r>
      <w:r w:rsidRPr="00582CB1">
        <w:rPr>
          <w:color w:val="auto"/>
        </w:rPr>
        <w:t>rrangements</w:t>
      </w:r>
      <w:bookmarkEnd w:id="42"/>
      <w:bookmarkEnd w:id="43"/>
      <w:r w:rsidRPr="00582CB1">
        <w:rPr>
          <w:color w:val="auto"/>
        </w:rPr>
        <w:t xml:space="preserve"> </w:t>
      </w:r>
    </w:p>
    <w:p w14:paraId="0D5A83C9" w14:textId="0630B37F" w:rsidR="000979D0" w:rsidRPr="00582CB1" w:rsidRDefault="001B5353" w:rsidP="001B2135">
      <w:pPr>
        <w:pStyle w:val="NumberedList1"/>
        <w:ind w:left="567" w:hanging="567"/>
      </w:pPr>
      <w:r w:rsidRPr="00582CB1">
        <w:t>As noted in paragraph 1</w:t>
      </w:r>
      <w:r w:rsidR="00A21234" w:rsidRPr="00582CB1">
        <w:t>2</w:t>
      </w:r>
      <w:r w:rsidRPr="00582CB1">
        <w:t xml:space="preserve"> above</w:t>
      </w:r>
      <w:r w:rsidR="007C6ECE" w:rsidRPr="00582CB1">
        <w:t>,</w:t>
      </w:r>
      <w:r w:rsidRPr="00582CB1">
        <w:t xml:space="preserve"> </w:t>
      </w:r>
      <w:r w:rsidR="00430485" w:rsidRPr="00582CB1">
        <w:t xml:space="preserve">forex </w:t>
      </w:r>
      <w:r w:rsidRPr="00582CB1">
        <w:t xml:space="preserve">risk </w:t>
      </w:r>
      <w:r w:rsidR="000979D0" w:rsidRPr="00582CB1">
        <w:t>is the risk that an entity’s financial performance or position will be adversely affected by fluctuations in the exchange rate between the Australian dollar and other currencies.</w:t>
      </w:r>
    </w:p>
    <w:p w14:paraId="647E78EE" w14:textId="77777777" w:rsidR="000979D0" w:rsidRPr="00582CB1" w:rsidRDefault="000979D0" w:rsidP="001B2135">
      <w:pPr>
        <w:pStyle w:val="NumberedList1"/>
        <w:ind w:left="567" w:hanging="567"/>
      </w:pPr>
      <w:r w:rsidRPr="00582CB1">
        <w:t xml:space="preserve">Foreign </w:t>
      </w:r>
      <w:r w:rsidR="001B5353" w:rsidRPr="00582CB1">
        <w:t xml:space="preserve">exchange exposure </w:t>
      </w:r>
      <w:r w:rsidRPr="00582CB1">
        <w:t>is an entity’s exposure</w:t>
      </w:r>
      <w:r w:rsidR="001B5353" w:rsidRPr="00582CB1">
        <w:t xml:space="preserve"> or sensitivity </w:t>
      </w:r>
      <w:r w:rsidRPr="00582CB1">
        <w:t>to loss or profit due to movements in the exchange rate between the Australi</w:t>
      </w:r>
      <w:r w:rsidR="00486620" w:rsidRPr="00582CB1">
        <w:t>an dollar and other currencies</w:t>
      </w:r>
      <w:r w:rsidRPr="00582CB1">
        <w:t>.</w:t>
      </w:r>
    </w:p>
    <w:p w14:paraId="62F2242A" w14:textId="69EEA5C7" w:rsidR="00486620" w:rsidRPr="00582CB1" w:rsidRDefault="000979D0" w:rsidP="001B2135">
      <w:pPr>
        <w:pStyle w:val="NumberedList1"/>
        <w:ind w:left="567" w:hanging="567"/>
      </w:pPr>
      <w:r w:rsidRPr="00582CB1">
        <w:t xml:space="preserve">Hedging arrangements are arrangements to reduce the risk of adverse </w:t>
      </w:r>
      <w:r w:rsidR="002D7F1E" w:rsidRPr="00582CB1">
        <w:t xml:space="preserve">or advantageous </w:t>
      </w:r>
      <w:r w:rsidRPr="00582CB1">
        <w:t xml:space="preserve">exchange rate movements in financial transactions. These normally </w:t>
      </w:r>
      <w:r w:rsidR="002D7F1E" w:rsidRPr="00582CB1">
        <w:t>involve</w:t>
      </w:r>
      <w:r w:rsidR="00D931B7" w:rsidRPr="00582CB1">
        <w:t xml:space="preserve"> </w:t>
      </w:r>
      <w:r w:rsidR="001B5353" w:rsidRPr="00582CB1">
        <w:t xml:space="preserve">actions to take an </w:t>
      </w:r>
      <w:r w:rsidRPr="00582CB1">
        <w:t xml:space="preserve">offsetting </w:t>
      </w:r>
      <w:r w:rsidR="001B5353" w:rsidRPr="00582CB1">
        <w:t>position, either through creating an offsetting forex risk or through the use of securities such as derivatives</w:t>
      </w:r>
      <w:r w:rsidRPr="00582CB1">
        <w:t xml:space="preserve">. </w:t>
      </w:r>
    </w:p>
    <w:p w14:paraId="7E625A10" w14:textId="09BE59D1" w:rsidR="000979D0" w:rsidRPr="00582CB1" w:rsidRDefault="000979D0" w:rsidP="001B2135">
      <w:pPr>
        <w:pStyle w:val="NumberedList1"/>
        <w:ind w:left="567" w:hanging="567"/>
      </w:pPr>
      <w:r w:rsidRPr="00582CB1">
        <w:t xml:space="preserve">See also </w:t>
      </w:r>
      <w:r w:rsidR="00D81D32" w:rsidRPr="00582CB1">
        <w:t>‘</w:t>
      </w:r>
      <w:r w:rsidRPr="00582CB1">
        <w:t>external hedge</w:t>
      </w:r>
      <w:r w:rsidR="00D81D32" w:rsidRPr="00582CB1">
        <w:t>’</w:t>
      </w:r>
      <w:r w:rsidRPr="00582CB1">
        <w:t xml:space="preserve"> and </w:t>
      </w:r>
      <w:r w:rsidR="00D81D32" w:rsidRPr="00582CB1">
        <w:t>‘</w:t>
      </w:r>
      <w:r w:rsidRPr="00582CB1">
        <w:t>natural hedge</w:t>
      </w:r>
      <w:r w:rsidR="00D81D32" w:rsidRPr="00582CB1">
        <w:t>’</w:t>
      </w:r>
      <w:r w:rsidRPr="00582CB1">
        <w:t xml:space="preserve"> in the </w:t>
      </w:r>
      <w:hyperlink w:anchor="_Appendix_B_–" w:history="1">
        <w:r w:rsidRPr="00582CB1">
          <w:rPr>
            <w:rStyle w:val="Hyperlink"/>
          </w:rPr>
          <w:t>Appendix B. Acronyms and Glossary of Terms</w:t>
        </w:r>
      </w:hyperlink>
      <w:r w:rsidRPr="00582CB1">
        <w:t xml:space="preserve"> for further information.</w:t>
      </w:r>
    </w:p>
    <w:p w14:paraId="1E260CDA" w14:textId="77777777" w:rsidR="000979D0" w:rsidRPr="00582CB1" w:rsidRDefault="00486620" w:rsidP="00794152">
      <w:pPr>
        <w:pStyle w:val="Heading3"/>
        <w:rPr>
          <w:color w:val="auto"/>
        </w:rPr>
      </w:pPr>
      <w:bookmarkStart w:id="44" w:name="_Toc525716836"/>
      <w:bookmarkStart w:id="45" w:name="_Toc72501398"/>
      <w:r w:rsidRPr="00582CB1">
        <w:rPr>
          <w:color w:val="auto"/>
        </w:rPr>
        <w:t>Measuring foreign exchange r</w:t>
      </w:r>
      <w:r w:rsidR="000979D0" w:rsidRPr="00582CB1">
        <w:rPr>
          <w:color w:val="auto"/>
        </w:rPr>
        <w:t>isk</w:t>
      </w:r>
      <w:r w:rsidRPr="00582CB1">
        <w:rPr>
          <w:color w:val="auto"/>
        </w:rPr>
        <w:t xml:space="preserve"> and hedging a</w:t>
      </w:r>
      <w:r w:rsidR="000979D0" w:rsidRPr="00582CB1">
        <w:rPr>
          <w:color w:val="auto"/>
        </w:rPr>
        <w:t>rrangements</w:t>
      </w:r>
      <w:bookmarkEnd w:id="44"/>
      <w:bookmarkEnd w:id="45"/>
    </w:p>
    <w:p w14:paraId="34C7D68C" w14:textId="7C8BDA34" w:rsidR="000979D0" w:rsidRPr="00582CB1" w:rsidRDefault="00486620" w:rsidP="001B2135">
      <w:pPr>
        <w:pStyle w:val="NumberedList1"/>
        <w:ind w:left="567" w:hanging="567"/>
      </w:pPr>
      <w:r w:rsidRPr="00582CB1">
        <w:t>E</w:t>
      </w:r>
      <w:r w:rsidR="000979D0" w:rsidRPr="00582CB1">
        <w:t>ntities are required to manage their forex risk in accordanc</w:t>
      </w:r>
      <w:r w:rsidRPr="00582CB1">
        <w:t xml:space="preserve">e with the forex policy. As </w:t>
      </w:r>
      <w:r w:rsidR="000979D0" w:rsidRPr="00582CB1">
        <w:t>entities are prohibited from hedging</w:t>
      </w:r>
      <w:r w:rsidR="0020623D" w:rsidRPr="00582CB1">
        <w:t xml:space="preserve"> against</w:t>
      </w:r>
      <w:r w:rsidR="000979D0" w:rsidRPr="00582CB1">
        <w:t xml:space="preserve"> their forex risk</w:t>
      </w:r>
      <w:r w:rsidR="0009339D" w:rsidRPr="00582CB1">
        <w:t xml:space="preserve"> unless they have been granted an exemption</w:t>
      </w:r>
      <w:r w:rsidR="000979D0" w:rsidRPr="00582CB1">
        <w:t xml:space="preserve">, the term </w:t>
      </w:r>
      <w:r w:rsidR="00D81D32" w:rsidRPr="00582CB1">
        <w:t>‘</w:t>
      </w:r>
      <w:r w:rsidR="000979D0" w:rsidRPr="00582CB1">
        <w:t>manage</w:t>
      </w:r>
      <w:r w:rsidR="00D81D32" w:rsidRPr="00582CB1">
        <w:t>’</w:t>
      </w:r>
      <w:r w:rsidR="000979D0" w:rsidRPr="00582CB1">
        <w:t xml:space="preserve"> means identifying, measuring, monitoring and reporting financial transactions/expected financial transactions with a forex component. It also means being able to </w:t>
      </w:r>
      <w:r w:rsidR="0020623D" w:rsidRPr="00582CB1">
        <w:t>assess</w:t>
      </w:r>
      <w:r w:rsidR="000979D0" w:rsidRPr="00582CB1">
        <w:t xml:space="preserve"> whether an arrangement</w:t>
      </w:r>
      <w:r w:rsidR="004D57DB" w:rsidRPr="00582CB1">
        <w:t xml:space="preserve"> involves forex risk and whether elements</w:t>
      </w:r>
      <w:r w:rsidR="000979D0" w:rsidRPr="00582CB1">
        <w:t xml:space="preserve"> will be considered a hedge under the forex policy by the Australian Government</w:t>
      </w:r>
      <w:r w:rsidR="002D7F1E" w:rsidRPr="00582CB1">
        <w:t>.</w:t>
      </w:r>
      <w:r w:rsidR="00521AD5" w:rsidRPr="00582CB1">
        <w:t xml:space="preserve"> </w:t>
      </w:r>
    </w:p>
    <w:p w14:paraId="3A67FC74" w14:textId="19267CD1" w:rsidR="0009339D" w:rsidRPr="00582CB1" w:rsidRDefault="0009339D" w:rsidP="0009339D">
      <w:pPr>
        <w:pStyle w:val="NumberedList1"/>
        <w:ind w:left="567" w:hanging="567"/>
      </w:pPr>
      <w:bookmarkStart w:id="46" w:name="_Toc495675497"/>
      <w:r w:rsidRPr="00582CB1">
        <w:t>Entities must be able to identify whether a proposed arrangement will be considered a hedge by the Australian Government, and hence instances of non-compliance with the finance law. If a hedge has been identified, entities will need to take appropriate action, such as reporting significant non-compliance to their Minister.</w:t>
      </w:r>
      <w:r w:rsidR="000D5397" w:rsidRPr="00582CB1">
        <w:t xml:space="preserve"> Further information on what constitutes significant non-compliance can be found in </w:t>
      </w:r>
      <w:hyperlink r:id="rId25" w:history="1">
        <w:r w:rsidR="000D5397" w:rsidRPr="00582CB1">
          <w:rPr>
            <w:rStyle w:val="Hyperlink"/>
            <w:rFonts w:cstheme="minorBidi"/>
            <w:i w:val="0"/>
          </w:rPr>
          <w:t>RMG214</w:t>
        </w:r>
        <w:r w:rsidR="007E3B17" w:rsidRPr="00582CB1">
          <w:rPr>
            <w:rStyle w:val="Hyperlink"/>
            <w:rFonts w:cstheme="minorBidi"/>
          </w:rPr>
          <w:t xml:space="preserve"> - </w:t>
        </w:r>
        <w:r w:rsidR="000D5397" w:rsidRPr="00582CB1">
          <w:rPr>
            <w:rStyle w:val="Hyperlink"/>
            <w:rFonts w:cstheme="minorBidi"/>
          </w:rPr>
          <w:t>Notification of significant non-compliance with the finance law</w:t>
        </w:r>
      </w:hyperlink>
      <w:r w:rsidR="000D5397" w:rsidRPr="00582CB1">
        <w:t xml:space="preserve">. </w:t>
      </w:r>
    </w:p>
    <w:p w14:paraId="424CB420" w14:textId="77777777" w:rsidR="0009339D" w:rsidRPr="00582CB1" w:rsidRDefault="0009339D" w:rsidP="0009339D">
      <w:pPr>
        <w:pStyle w:val="NumberedList1"/>
        <w:ind w:left="567" w:hanging="567"/>
      </w:pPr>
      <w:r w:rsidRPr="00582CB1">
        <w:t>Where an entity has received an exemption in relation to hedging, the entity must ensure they keep their Minister and the Finance Minister informed of any significant activities or decisions</w:t>
      </w:r>
      <w:r w:rsidRPr="00582CB1">
        <w:rPr>
          <w:rStyle w:val="FootnoteReference"/>
        </w:rPr>
        <w:footnoteReference w:id="10"/>
      </w:r>
      <w:r w:rsidRPr="00582CB1">
        <w:t>.</w:t>
      </w:r>
    </w:p>
    <w:bookmarkEnd w:id="46"/>
    <w:p w14:paraId="717E7A0B" w14:textId="1A22E46C" w:rsidR="000979D0" w:rsidRPr="00582CB1" w:rsidRDefault="000979D0" w:rsidP="0009339D">
      <w:pPr>
        <w:pStyle w:val="NumberedList1"/>
        <w:ind w:left="567" w:hanging="567"/>
      </w:pPr>
      <w:r w:rsidRPr="00582CB1">
        <w:lastRenderedPageBreak/>
        <w:t xml:space="preserve">Identifying and measuring </w:t>
      </w:r>
      <w:r w:rsidR="00486620" w:rsidRPr="00582CB1">
        <w:t xml:space="preserve">forex risk enables </w:t>
      </w:r>
      <w:r w:rsidRPr="00582CB1">
        <w:t xml:space="preserve">entities to better understand their exposure to foreign currency and accurately report to the Australian Government. The revised reporting requirements from 1 July 2017, mean that all entities will only need to report forex risk as required by the Australian Accounting Standards, CBMS </w:t>
      </w:r>
      <w:r w:rsidR="009A6EFA" w:rsidRPr="00582CB1">
        <w:t>estimates</w:t>
      </w:r>
      <w:r w:rsidR="0063407B" w:rsidRPr="00582CB1">
        <w:t xml:space="preserve"> and actuals </w:t>
      </w:r>
      <w:r w:rsidRPr="00582CB1">
        <w:t xml:space="preserve">reporting requirements and standard Budget </w:t>
      </w:r>
      <w:r w:rsidR="00964E61" w:rsidRPr="00582CB1">
        <w:t>p</w:t>
      </w:r>
      <w:r w:rsidRPr="00582CB1">
        <w:t>rocesses. Finance will no longer require a</w:t>
      </w:r>
      <w:r w:rsidR="00486620" w:rsidRPr="00582CB1">
        <w:t xml:space="preserve"> separate forex report from </w:t>
      </w:r>
      <w:r w:rsidRPr="00582CB1">
        <w:t>entities.</w:t>
      </w:r>
    </w:p>
    <w:p w14:paraId="1C1CF940" w14:textId="65750B2D" w:rsidR="000979D0" w:rsidRPr="00582CB1" w:rsidRDefault="00486620" w:rsidP="001B2135">
      <w:pPr>
        <w:pStyle w:val="NumberedList1"/>
        <w:ind w:left="567" w:hanging="567"/>
      </w:pPr>
      <w:r w:rsidRPr="00582CB1">
        <w:t xml:space="preserve">However, </w:t>
      </w:r>
      <w:r w:rsidR="000979D0" w:rsidRPr="00582CB1">
        <w:t>entities must still forecast their payments and receipts</w:t>
      </w:r>
      <w:r w:rsidR="006540FE" w:rsidRPr="00582CB1">
        <w:t>, for both internal reporting and CBMS purposes,</w:t>
      </w:r>
      <w:r w:rsidR="000979D0" w:rsidRPr="00582CB1">
        <w:t xml:space="preserve"> in terms of:</w:t>
      </w:r>
    </w:p>
    <w:p w14:paraId="1E92CC77" w14:textId="77777777" w:rsidR="000979D0" w:rsidRPr="00582CB1" w:rsidRDefault="000979D0" w:rsidP="000979D0">
      <w:pPr>
        <w:pStyle w:val="Bullet1"/>
      </w:pPr>
      <w:r w:rsidRPr="00582CB1">
        <w:t>amounts payable or recei</w:t>
      </w:r>
      <w:r w:rsidR="00486620" w:rsidRPr="00582CB1">
        <w:t>vable in a foreign currency</w:t>
      </w:r>
    </w:p>
    <w:p w14:paraId="00BABE43" w14:textId="51E8A23B" w:rsidR="000979D0" w:rsidRPr="00582CB1" w:rsidRDefault="006540FE" w:rsidP="000979D0">
      <w:pPr>
        <w:pStyle w:val="Bullet1"/>
      </w:pPr>
      <w:proofErr w:type="gramStart"/>
      <w:r w:rsidRPr="00582CB1">
        <w:t>the</w:t>
      </w:r>
      <w:proofErr w:type="gramEnd"/>
      <w:r w:rsidRPr="00582CB1">
        <w:t xml:space="preserve"> </w:t>
      </w:r>
      <w:r w:rsidR="000979D0" w:rsidRPr="00582CB1">
        <w:t xml:space="preserve">Australian dollar </w:t>
      </w:r>
      <w:r w:rsidRPr="00582CB1">
        <w:t xml:space="preserve">equivalent </w:t>
      </w:r>
      <w:r w:rsidR="00A21234" w:rsidRPr="00582CB1">
        <w:t xml:space="preserve">of </w:t>
      </w:r>
      <w:r w:rsidRPr="00582CB1">
        <w:t xml:space="preserve">these foreign currency </w:t>
      </w:r>
      <w:r w:rsidR="000979D0" w:rsidRPr="00582CB1">
        <w:t>payable</w:t>
      </w:r>
      <w:r w:rsidRPr="00582CB1">
        <w:t>s</w:t>
      </w:r>
      <w:r w:rsidR="000979D0" w:rsidRPr="00582CB1">
        <w:t xml:space="preserve"> or receivable</w:t>
      </w:r>
      <w:r w:rsidRPr="00582CB1">
        <w:t>s</w:t>
      </w:r>
      <w:r w:rsidR="000979D0" w:rsidRPr="00582CB1">
        <w:t>.</w:t>
      </w:r>
    </w:p>
    <w:p w14:paraId="1721B954" w14:textId="5DF517B3" w:rsidR="001B5353" w:rsidRPr="00582CB1" w:rsidRDefault="001B5353" w:rsidP="007C6ECE">
      <w:pPr>
        <w:pStyle w:val="NumberedList1"/>
        <w:ind w:left="567" w:hanging="567"/>
      </w:pPr>
      <w:r w:rsidRPr="00582CB1">
        <w:t xml:space="preserve">When forecasting amounts payable or receivable, entities are to use the </w:t>
      </w:r>
      <w:r w:rsidR="00FB0621" w:rsidRPr="00582CB1">
        <w:t>B</w:t>
      </w:r>
      <w:r w:rsidRPr="00582CB1">
        <w:t xml:space="preserve">udget </w:t>
      </w:r>
      <w:r w:rsidR="00FB0621" w:rsidRPr="00582CB1">
        <w:t>E</w:t>
      </w:r>
      <w:r w:rsidRPr="00582CB1">
        <w:t>xc</w:t>
      </w:r>
      <w:r w:rsidR="004C1220" w:rsidRPr="00582CB1">
        <w:t xml:space="preserve">hange </w:t>
      </w:r>
      <w:r w:rsidR="00FB0621" w:rsidRPr="00582CB1">
        <w:t>R</w:t>
      </w:r>
      <w:r w:rsidR="004C1220" w:rsidRPr="00582CB1">
        <w:t xml:space="preserve">ates </w:t>
      </w:r>
      <w:r w:rsidR="00A61EF3" w:rsidRPr="00582CB1">
        <w:t xml:space="preserve">(BERs) </w:t>
      </w:r>
      <w:r w:rsidR="004C1220" w:rsidRPr="00582CB1">
        <w:t>provided through the relevant Finance Agency Advice Unit</w:t>
      </w:r>
      <w:r w:rsidR="00AD4175" w:rsidRPr="00582CB1">
        <w:t xml:space="preserve"> (AAU)</w:t>
      </w:r>
      <w:r w:rsidR="004C1220" w:rsidRPr="00582CB1">
        <w:t>.</w:t>
      </w:r>
    </w:p>
    <w:p w14:paraId="03CF8CB5" w14:textId="77777777" w:rsidR="000979D0" w:rsidRPr="00582CB1" w:rsidRDefault="00486620" w:rsidP="001B2135">
      <w:pPr>
        <w:pStyle w:val="NumberedList1"/>
        <w:ind w:left="567" w:hanging="567"/>
      </w:pPr>
      <w:r w:rsidRPr="00582CB1">
        <w:t>E</w:t>
      </w:r>
      <w:r w:rsidR="000979D0" w:rsidRPr="00582CB1">
        <w:t>ntities must ensure that all foreign currency amounts relating to either operational or capital expenditure are correctly identified so their reporting requirements can be met.</w:t>
      </w:r>
    </w:p>
    <w:p w14:paraId="1011B672" w14:textId="064174DA" w:rsidR="000979D0" w:rsidRPr="00582CB1" w:rsidRDefault="007A0861" w:rsidP="00794152">
      <w:pPr>
        <w:pStyle w:val="Heading3"/>
        <w:rPr>
          <w:color w:val="auto"/>
        </w:rPr>
      </w:pPr>
      <w:bookmarkStart w:id="47" w:name="_Toc72501399"/>
      <w:bookmarkStart w:id="48" w:name="_Toc525716838"/>
      <w:r w:rsidRPr="00582CB1">
        <w:rPr>
          <w:color w:val="auto"/>
        </w:rPr>
        <w:t>Consultation on material e</w:t>
      </w:r>
      <w:r w:rsidR="00FA6EF1" w:rsidRPr="00582CB1">
        <w:rPr>
          <w:color w:val="auto"/>
        </w:rPr>
        <w:t>xposures</w:t>
      </w:r>
      <w:bookmarkEnd w:id="47"/>
      <w:r w:rsidR="00FA6EF1" w:rsidRPr="00582CB1">
        <w:rPr>
          <w:color w:val="auto"/>
        </w:rPr>
        <w:t xml:space="preserve"> </w:t>
      </w:r>
      <w:bookmarkEnd w:id="48"/>
    </w:p>
    <w:p w14:paraId="1290F9DA" w14:textId="40C6BE5B" w:rsidR="000979D0" w:rsidRDefault="00486620" w:rsidP="004C1220">
      <w:pPr>
        <w:pStyle w:val="NumberedList1"/>
        <w:ind w:left="567" w:hanging="567"/>
      </w:pPr>
      <w:r w:rsidRPr="00582CB1">
        <w:t>E</w:t>
      </w:r>
      <w:r w:rsidR="000979D0" w:rsidRPr="00582CB1">
        <w:t>ntities that have a</w:t>
      </w:r>
      <w:r w:rsidR="007A0861" w:rsidRPr="00582CB1">
        <w:t xml:space="preserve"> material forex expenditure commitment (</w:t>
      </w:r>
      <w:r w:rsidR="002C1562" w:rsidRPr="00582CB1">
        <w:t>i.e.</w:t>
      </w:r>
      <w:r w:rsidR="007A0861" w:rsidRPr="00582CB1">
        <w:t xml:space="preserve"> an</w:t>
      </w:r>
      <w:r w:rsidR="000979D0" w:rsidRPr="00582CB1">
        <w:t xml:space="preserve"> expenditure commitment where the total forex exposure exceeds the equivalent of AUD 100 million</w:t>
      </w:r>
      <w:r w:rsidR="007A0861" w:rsidRPr="00582CB1">
        <w:t>)</w:t>
      </w:r>
      <w:r w:rsidR="000979D0" w:rsidRPr="00582CB1">
        <w:t xml:space="preserve"> must consider the impact </w:t>
      </w:r>
      <w:r w:rsidR="009A6FA5" w:rsidRPr="00582CB1">
        <w:t>that</w:t>
      </w:r>
      <w:r w:rsidR="000979D0" w:rsidRPr="00582CB1">
        <w:t xml:space="preserve"> the large ex</w:t>
      </w:r>
      <w:r w:rsidR="000358ED" w:rsidRPr="00582CB1">
        <w:t>posure may have on the Budget</w:t>
      </w:r>
      <w:r w:rsidR="004C1220" w:rsidRPr="00582CB1">
        <w:t xml:space="preserve">, and are required to consult with </w:t>
      </w:r>
      <w:r w:rsidR="007A0861" w:rsidRPr="00582CB1">
        <w:t>their AAU</w:t>
      </w:r>
      <w:r w:rsidR="000358ED" w:rsidRPr="00582CB1">
        <w:t xml:space="preserve">. </w:t>
      </w:r>
      <w:r w:rsidR="000979D0" w:rsidRPr="00582CB1">
        <w:t xml:space="preserve">Please see </w:t>
      </w:r>
      <w:r w:rsidR="0063407B" w:rsidRPr="00582CB1">
        <w:t xml:space="preserve">Example </w:t>
      </w:r>
      <w:r w:rsidR="000979D0" w:rsidRPr="00582CB1">
        <w:t>4 below:</w:t>
      </w:r>
    </w:p>
    <w:p w14:paraId="73B8D357" w14:textId="77777777" w:rsidR="00C53949" w:rsidRPr="00C53949" w:rsidRDefault="00C53949" w:rsidP="00C53949">
      <w:pPr>
        <w:pStyle w:val="Exampletext"/>
        <w:rPr>
          <w:b/>
        </w:rPr>
      </w:pPr>
      <w:r w:rsidRPr="00C53949">
        <w:rPr>
          <w:b/>
        </w:rPr>
        <w:t>Example 4: A commitment exceeding AUD 100 million</w:t>
      </w:r>
    </w:p>
    <w:p w14:paraId="1490ABB7" w14:textId="77777777" w:rsidR="00C53949" w:rsidRPr="00C53949" w:rsidRDefault="00C53949" w:rsidP="00C53949">
      <w:pPr>
        <w:pStyle w:val="Exampletext"/>
        <w:rPr>
          <w:rFonts w:asciiTheme="majorHAnsi" w:hAnsiTheme="majorHAnsi" w:cstheme="majorHAnsi"/>
        </w:rPr>
      </w:pPr>
      <w:r w:rsidRPr="00C53949">
        <w:rPr>
          <w:rFonts w:asciiTheme="majorHAnsi" w:hAnsiTheme="majorHAnsi" w:cstheme="majorHAnsi"/>
        </w:rPr>
        <w:t>An entity begins managing a project in another country. It engages local firms to complete the work and pays them in the local currency.</w:t>
      </w:r>
    </w:p>
    <w:p w14:paraId="0D184FBE" w14:textId="77777777" w:rsidR="00C53949" w:rsidRPr="00C53949" w:rsidRDefault="00C53949" w:rsidP="00C53949">
      <w:pPr>
        <w:pStyle w:val="Exampletext"/>
        <w:rPr>
          <w:rFonts w:asciiTheme="majorHAnsi" w:hAnsiTheme="majorHAnsi" w:cstheme="majorHAnsi"/>
        </w:rPr>
      </w:pPr>
      <w:r w:rsidRPr="00C53949">
        <w:rPr>
          <w:rFonts w:asciiTheme="majorHAnsi" w:hAnsiTheme="majorHAnsi" w:cstheme="majorHAnsi"/>
        </w:rPr>
        <w:t xml:space="preserve">Three firms will be engaged to perform contracts worth AUD 60 million, AUD 40 million and AUD 20 million at the time contracts are executed. Although no single contract exceeded the AUD 100 million limit, this project will need to be considered as a whole. </w:t>
      </w:r>
    </w:p>
    <w:p w14:paraId="78B7F1B4" w14:textId="77777777" w:rsidR="00C53949" w:rsidRPr="00C53949" w:rsidRDefault="00C53949" w:rsidP="00C53949">
      <w:pPr>
        <w:pStyle w:val="Exampletext"/>
        <w:rPr>
          <w:rFonts w:asciiTheme="majorHAnsi" w:hAnsiTheme="majorHAnsi" w:cstheme="majorHAnsi"/>
        </w:rPr>
      </w:pPr>
      <w:r w:rsidRPr="00C53949">
        <w:rPr>
          <w:rFonts w:asciiTheme="majorHAnsi" w:hAnsiTheme="majorHAnsi" w:cstheme="majorHAnsi"/>
        </w:rPr>
        <w:t xml:space="preserve">In consequence, the entity will be required to consult with their AAU before entering into these contracts. If the entity later undertakes another procurement for AUD 200 million, in addition to the AUD 120 million already committed, then the entity would also need to consult with their AAU on the new commitment. </w:t>
      </w:r>
    </w:p>
    <w:p w14:paraId="3FEAA8D7" w14:textId="77777777" w:rsidR="000979D0" w:rsidRPr="00582CB1" w:rsidRDefault="0046112B" w:rsidP="00794152">
      <w:pPr>
        <w:pStyle w:val="Heading3"/>
        <w:rPr>
          <w:color w:val="auto"/>
        </w:rPr>
      </w:pPr>
      <w:bookmarkStart w:id="49" w:name="_Toc525716840"/>
      <w:bookmarkStart w:id="50" w:name="_Toc72501400"/>
      <w:r w:rsidRPr="00582CB1">
        <w:rPr>
          <w:color w:val="auto"/>
        </w:rPr>
        <w:t xml:space="preserve">Operational risk </w:t>
      </w:r>
      <w:r w:rsidR="00421F37" w:rsidRPr="00582CB1">
        <w:rPr>
          <w:color w:val="auto"/>
        </w:rPr>
        <w:t xml:space="preserve">management and internal </w:t>
      </w:r>
      <w:r w:rsidR="00FA6EF1" w:rsidRPr="00582CB1">
        <w:rPr>
          <w:color w:val="auto"/>
        </w:rPr>
        <w:t>c</w:t>
      </w:r>
      <w:r w:rsidR="000979D0" w:rsidRPr="00582CB1">
        <w:rPr>
          <w:color w:val="auto"/>
        </w:rPr>
        <w:t>ontrols</w:t>
      </w:r>
      <w:bookmarkEnd w:id="49"/>
      <w:bookmarkEnd w:id="50"/>
    </w:p>
    <w:p w14:paraId="285C0378" w14:textId="52800B43" w:rsidR="000979D0" w:rsidRPr="00582CB1" w:rsidRDefault="00010475" w:rsidP="001B2135">
      <w:pPr>
        <w:pStyle w:val="NumberedList1"/>
        <w:ind w:left="567" w:hanging="567"/>
      </w:pPr>
      <w:r w:rsidRPr="00582CB1">
        <w:t xml:space="preserve">Monitoring and management of </w:t>
      </w:r>
      <w:r w:rsidR="000979D0" w:rsidRPr="00582CB1">
        <w:t>the operation</w:t>
      </w:r>
      <w:r w:rsidR="00421F37" w:rsidRPr="00582CB1">
        <w:t>al</w:t>
      </w:r>
      <w:r w:rsidR="000979D0" w:rsidRPr="00582CB1">
        <w:t xml:space="preserve"> risk </w:t>
      </w:r>
      <w:r w:rsidRPr="00582CB1">
        <w:t xml:space="preserve">related to </w:t>
      </w:r>
      <w:r w:rsidR="000979D0" w:rsidRPr="00582CB1">
        <w:t xml:space="preserve">forex </w:t>
      </w:r>
      <w:r w:rsidR="00421F37" w:rsidRPr="00582CB1">
        <w:t>risk</w:t>
      </w:r>
      <w:r w:rsidRPr="00582CB1">
        <w:t>s</w:t>
      </w:r>
      <w:r w:rsidR="00421F37" w:rsidRPr="00582CB1">
        <w:t xml:space="preserve"> and exposures </w:t>
      </w:r>
      <w:r w:rsidR="000F7958" w:rsidRPr="00582CB1">
        <w:t xml:space="preserve">forms a part of an </w:t>
      </w:r>
      <w:r w:rsidR="000979D0" w:rsidRPr="00582CB1">
        <w:t xml:space="preserve">entity’s overall risk management obligations. Consequently </w:t>
      </w:r>
      <w:r w:rsidR="000F7958" w:rsidRPr="00582CB1">
        <w:t xml:space="preserve">it is recommended that each </w:t>
      </w:r>
      <w:r w:rsidR="000979D0" w:rsidRPr="00582CB1">
        <w:t xml:space="preserve">entity develop and document a distinct set of procedures for the </w:t>
      </w:r>
      <w:r w:rsidRPr="00582CB1">
        <w:t xml:space="preserve">monitoring and </w:t>
      </w:r>
      <w:r w:rsidR="000979D0" w:rsidRPr="00582CB1">
        <w:t xml:space="preserve">management of forex </w:t>
      </w:r>
      <w:r w:rsidRPr="00582CB1">
        <w:t xml:space="preserve">risks </w:t>
      </w:r>
      <w:r w:rsidR="000979D0" w:rsidRPr="00582CB1">
        <w:t>and exposures. Any internal procedures developed should take into accou</w:t>
      </w:r>
      <w:r w:rsidR="000F7958" w:rsidRPr="00582CB1">
        <w:t xml:space="preserve">nt these guidelines and the </w:t>
      </w:r>
      <w:r w:rsidR="000979D0" w:rsidRPr="00582CB1">
        <w:t xml:space="preserve">entity’s particular business practice. Each </w:t>
      </w:r>
      <w:r w:rsidRPr="00582CB1">
        <w:t xml:space="preserve">entity </w:t>
      </w:r>
      <w:r w:rsidR="000979D0" w:rsidRPr="00582CB1">
        <w:t>may wish to consider developing a</w:t>
      </w:r>
      <w:r w:rsidRPr="00582CB1">
        <w:t>n</w:t>
      </w:r>
      <w:r w:rsidR="000979D0" w:rsidRPr="00582CB1">
        <w:t xml:space="preserve"> </w:t>
      </w:r>
      <w:r w:rsidRPr="00582CB1">
        <w:lastRenderedPageBreak/>
        <w:t>Accountable Authority</w:t>
      </w:r>
      <w:r w:rsidR="000979D0" w:rsidRPr="00582CB1">
        <w:t xml:space="preserve"> Instruction that sets out its </w:t>
      </w:r>
      <w:r w:rsidRPr="00582CB1">
        <w:t xml:space="preserve">internal </w:t>
      </w:r>
      <w:r w:rsidR="000979D0" w:rsidRPr="00582CB1">
        <w:t xml:space="preserve">policy governing forex </w:t>
      </w:r>
      <w:r w:rsidRPr="00582CB1">
        <w:t>transactions</w:t>
      </w:r>
      <w:r w:rsidR="000979D0" w:rsidRPr="00582CB1">
        <w:t>.</w:t>
      </w:r>
      <w:r w:rsidR="000979D0" w:rsidRPr="00582CB1">
        <w:rPr>
          <w:rStyle w:val="FootnoteReference"/>
        </w:rPr>
        <w:footnoteReference w:id="11"/>
      </w:r>
      <w:r w:rsidR="000979D0" w:rsidRPr="00582CB1">
        <w:t xml:space="preserve">   </w:t>
      </w:r>
    </w:p>
    <w:p w14:paraId="6CFDD162" w14:textId="77777777" w:rsidR="000979D0" w:rsidRPr="00582CB1" w:rsidRDefault="000F7958" w:rsidP="001B2135">
      <w:pPr>
        <w:pStyle w:val="NumberedList1"/>
        <w:ind w:left="567" w:hanging="567"/>
      </w:pPr>
      <w:r w:rsidRPr="00582CB1">
        <w:t xml:space="preserve">It would be prudent for any </w:t>
      </w:r>
      <w:r w:rsidR="000979D0" w:rsidRPr="00582CB1">
        <w:t xml:space="preserve">entity-specific </w:t>
      </w:r>
      <w:r w:rsidR="00010475" w:rsidRPr="00582CB1">
        <w:t xml:space="preserve">internal </w:t>
      </w:r>
      <w:r w:rsidR="000979D0" w:rsidRPr="00582CB1">
        <w:t>forex policy or procedure documents to:</w:t>
      </w:r>
    </w:p>
    <w:p w14:paraId="60567EAE" w14:textId="77777777" w:rsidR="000979D0" w:rsidRPr="00582CB1" w:rsidRDefault="000979D0" w:rsidP="00D81D32">
      <w:pPr>
        <w:pStyle w:val="NumberedList1"/>
        <w:numPr>
          <w:ilvl w:val="0"/>
          <w:numId w:val="21"/>
        </w:numPr>
      </w:pPr>
      <w:r w:rsidRPr="00582CB1">
        <w:t>clearly s</w:t>
      </w:r>
      <w:r w:rsidR="000358ED" w:rsidRPr="00582CB1">
        <w:t>tate that hedging is prohibited</w:t>
      </w:r>
    </w:p>
    <w:p w14:paraId="7146D092" w14:textId="79E22986" w:rsidR="000979D0" w:rsidRPr="00582CB1" w:rsidRDefault="000979D0" w:rsidP="00D81D32">
      <w:pPr>
        <w:pStyle w:val="NumberedList1"/>
        <w:numPr>
          <w:ilvl w:val="0"/>
          <w:numId w:val="21"/>
        </w:numPr>
      </w:pPr>
      <w:r w:rsidRPr="00582CB1">
        <w:t xml:space="preserve">incorporate a set of controls that efficiently and effectively manage the risks associated with transacting </w:t>
      </w:r>
      <w:r w:rsidR="00010475" w:rsidRPr="00582CB1">
        <w:t xml:space="preserve">in foreign currencies and maintaining records of </w:t>
      </w:r>
      <w:r w:rsidRPr="00582CB1">
        <w:t>forex contracts, agreemen</w:t>
      </w:r>
      <w:r w:rsidR="000358ED" w:rsidRPr="00582CB1">
        <w:t>ts or arrangements</w:t>
      </w:r>
      <w:r w:rsidR="004C1220" w:rsidRPr="00582CB1">
        <w:t xml:space="preserve">, including ensuring there are sufficient funds to make payments (including confirming whether the entity’s bank has sufficient foreign currency reserves to make the payment), and which bank’s (entity’s versus recipient’s) exchange rate </w:t>
      </w:r>
      <w:r w:rsidR="002C1562" w:rsidRPr="00582CB1">
        <w:t xml:space="preserve">will </w:t>
      </w:r>
      <w:r w:rsidR="004C1220" w:rsidRPr="00582CB1">
        <w:t>apply to the transaction</w:t>
      </w:r>
    </w:p>
    <w:p w14:paraId="44BC5871" w14:textId="794DADD3" w:rsidR="000979D0" w:rsidRPr="00582CB1" w:rsidRDefault="000979D0" w:rsidP="00D81D32">
      <w:pPr>
        <w:pStyle w:val="NumberedList1"/>
        <w:numPr>
          <w:ilvl w:val="0"/>
          <w:numId w:val="21"/>
        </w:numPr>
      </w:pPr>
      <w:proofErr w:type="gramStart"/>
      <w:r w:rsidRPr="00582CB1">
        <w:t>ensure</w:t>
      </w:r>
      <w:proofErr w:type="gramEnd"/>
      <w:r w:rsidRPr="00582CB1">
        <w:t xml:space="preserve"> the </w:t>
      </w:r>
      <w:r w:rsidR="00010475" w:rsidRPr="00582CB1">
        <w:t xml:space="preserve">effective </w:t>
      </w:r>
      <w:r w:rsidRPr="00582CB1">
        <w:t>segregation of the transaction, authorisation, confirmation and recording functions.</w:t>
      </w:r>
    </w:p>
    <w:p w14:paraId="0899B401" w14:textId="60C56FA3" w:rsidR="000979D0" w:rsidRPr="00582CB1" w:rsidRDefault="000979D0" w:rsidP="001B2135">
      <w:pPr>
        <w:pStyle w:val="NumberedList1"/>
        <w:ind w:left="567" w:hanging="567"/>
      </w:pPr>
      <w:r w:rsidRPr="00582CB1">
        <w:t xml:space="preserve">Set out below are suggested </w:t>
      </w:r>
      <w:r w:rsidR="00010475" w:rsidRPr="00582CB1">
        <w:t xml:space="preserve">good </w:t>
      </w:r>
      <w:r w:rsidRPr="00582CB1">
        <w:t xml:space="preserve">practice internal control procedures for the </w:t>
      </w:r>
      <w:r w:rsidR="00485672" w:rsidRPr="00582CB1">
        <w:t>day</w:t>
      </w:r>
      <w:r w:rsidR="00461C8F" w:rsidRPr="00582CB1">
        <w:noBreakHyphen/>
      </w:r>
      <w:r w:rsidR="00485672" w:rsidRPr="00582CB1">
        <w:t>to</w:t>
      </w:r>
      <w:r w:rsidR="00461C8F" w:rsidRPr="00582CB1">
        <w:noBreakHyphen/>
      </w:r>
      <w:r w:rsidR="00485672" w:rsidRPr="00582CB1">
        <w:t xml:space="preserve">day </w:t>
      </w:r>
      <w:r w:rsidRPr="00582CB1">
        <w:t>management of forex exposures</w:t>
      </w:r>
      <w:r w:rsidR="00485672" w:rsidRPr="00582CB1">
        <w:t xml:space="preserve"> once a procurement/arrangement involving forex has been entered into</w:t>
      </w:r>
      <w:r w:rsidR="00010475" w:rsidRPr="00582CB1">
        <w:t>:</w:t>
      </w:r>
    </w:p>
    <w:p w14:paraId="0B9B52BF" w14:textId="2BBB3BCA" w:rsidR="000979D0" w:rsidRPr="00582CB1" w:rsidRDefault="000979D0" w:rsidP="00FA6EF1">
      <w:pPr>
        <w:pStyle w:val="Bullet1"/>
      </w:pPr>
      <w:r w:rsidRPr="00582CB1">
        <w:t>There should be a complete segregation</w:t>
      </w:r>
      <w:r w:rsidR="00564696" w:rsidRPr="00582CB1">
        <w:t>/separation</w:t>
      </w:r>
      <w:r w:rsidRPr="00582CB1">
        <w:t xml:space="preserve"> of duties between responsibility for executing forex transactions and responsibility for reconciling, settling, reporting, verifying and accounting for those transactions. Ideally the person responsible for reconciling and accounting for forex transactions should not also </w:t>
      </w:r>
      <w:r w:rsidR="00D83024" w:rsidRPr="00582CB1">
        <w:t xml:space="preserve">be </w:t>
      </w:r>
      <w:r w:rsidRPr="00582CB1">
        <w:t>responsible for settling that transaction.</w:t>
      </w:r>
    </w:p>
    <w:p w14:paraId="60C22EB2" w14:textId="77777777" w:rsidR="000979D0" w:rsidRPr="00582CB1" w:rsidRDefault="000979D0" w:rsidP="00FA6EF1">
      <w:pPr>
        <w:pStyle w:val="Bullet1"/>
      </w:pPr>
      <w:r w:rsidRPr="00582CB1">
        <w:t>A system should be in place to:</w:t>
      </w:r>
    </w:p>
    <w:p w14:paraId="14863D2E" w14:textId="77777777" w:rsidR="000979D0" w:rsidRPr="00582CB1" w:rsidRDefault="000979D0" w:rsidP="006E5CCE">
      <w:pPr>
        <w:pStyle w:val="Bullet2"/>
      </w:pPr>
      <w:proofErr w:type="gramStart"/>
      <w:r w:rsidRPr="00582CB1">
        <w:t>control</w:t>
      </w:r>
      <w:proofErr w:type="gramEnd"/>
      <w:r w:rsidRPr="00582CB1">
        <w:t xml:space="preserve"> access to counterparty payment details, or require independent verification of counterparty payment details. This will provide a reasonable assurance that every payment is made to the correct counterparty a</w:t>
      </w:r>
      <w:r w:rsidR="000358ED" w:rsidRPr="00582CB1">
        <w:t>nd to the correct bank account</w:t>
      </w:r>
    </w:p>
    <w:p w14:paraId="7CE5D15E" w14:textId="715FADBA" w:rsidR="000979D0" w:rsidRPr="00582CB1" w:rsidRDefault="00462724" w:rsidP="006E5CCE">
      <w:pPr>
        <w:pStyle w:val="Bullet2"/>
      </w:pPr>
      <w:r w:rsidRPr="00582CB1">
        <w:t>a</w:t>
      </w:r>
      <w:r w:rsidR="00EC67A2" w:rsidRPr="00582CB1">
        <w:t xml:space="preserve">ccurately </w:t>
      </w:r>
      <w:r w:rsidR="000979D0" w:rsidRPr="00582CB1">
        <w:t xml:space="preserve">record and allow </w:t>
      </w:r>
      <w:r w:rsidR="002C1562" w:rsidRPr="00582CB1">
        <w:t xml:space="preserve">the </w:t>
      </w:r>
      <w:r w:rsidR="000979D0" w:rsidRPr="00582CB1">
        <w:t xml:space="preserve">review, audit and reporting of foreign currency transactions including </w:t>
      </w:r>
      <w:r w:rsidR="00EC67A2" w:rsidRPr="00582CB1">
        <w:t xml:space="preserve">the following </w:t>
      </w:r>
      <w:r w:rsidR="000979D0" w:rsidRPr="00582CB1">
        <w:t>details:</w:t>
      </w:r>
    </w:p>
    <w:p w14:paraId="179E042E" w14:textId="2ACF359B" w:rsidR="000979D0" w:rsidRPr="00582CB1" w:rsidRDefault="000358ED" w:rsidP="006B13D9">
      <w:pPr>
        <w:pStyle w:val="Bullet3"/>
      </w:pPr>
      <w:r w:rsidRPr="00582CB1">
        <w:t>forex amount</w:t>
      </w:r>
      <w:r w:rsidR="00EC67A2" w:rsidRPr="00582CB1">
        <w:t xml:space="preserve"> or </w:t>
      </w:r>
      <w:r w:rsidRPr="00582CB1">
        <w:t>currency paid</w:t>
      </w:r>
      <w:r w:rsidR="00EC67A2" w:rsidRPr="00582CB1">
        <w:t>, including the cost of the transaction (if</w:t>
      </w:r>
      <w:r w:rsidR="004B3402" w:rsidRPr="00582CB1">
        <w:t> </w:t>
      </w:r>
      <w:r w:rsidR="00EC67A2" w:rsidRPr="00582CB1">
        <w:t>any)</w:t>
      </w:r>
    </w:p>
    <w:p w14:paraId="24130419" w14:textId="2D3D40A4" w:rsidR="000979D0" w:rsidRPr="00582CB1" w:rsidRDefault="000979D0" w:rsidP="006E5CCE">
      <w:pPr>
        <w:pStyle w:val="Bullet3"/>
      </w:pPr>
      <w:r w:rsidRPr="00582CB1">
        <w:t>Aust</w:t>
      </w:r>
      <w:r w:rsidR="000358ED" w:rsidRPr="00582CB1">
        <w:t>ralian dollar equivalent amount</w:t>
      </w:r>
      <w:r w:rsidR="00EC67A2" w:rsidRPr="00582CB1">
        <w:t xml:space="preserve"> of the amount paid</w:t>
      </w:r>
      <w:r w:rsidR="00224AAA" w:rsidRPr="00582CB1">
        <w:t xml:space="preserve"> </w:t>
      </w:r>
      <w:r w:rsidR="00A9312C" w:rsidRPr="00582CB1">
        <w:t>(calculated by converting the foreign currency amount at the spot rate on the day of the transaction)</w:t>
      </w:r>
    </w:p>
    <w:p w14:paraId="0890ED15" w14:textId="7FB0BFB0" w:rsidR="000979D0" w:rsidRPr="00582CB1" w:rsidRDefault="00462724" w:rsidP="006E5CCE">
      <w:pPr>
        <w:pStyle w:val="Bullet3"/>
      </w:pPr>
      <w:r w:rsidRPr="00582CB1">
        <w:t xml:space="preserve">counterparty </w:t>
      </w:r>
      <w:r w:rsidR="00EC67A2" w:rsidRPr="00582CB1">
        <w:t>name</w:t>
      </w:r>
    </w:p>
    <w:p w14:paraId="3AE3E25F" w14:textId="77777777" w:rsidR="00535961" w:rsidRPr="00582CB1" w:rsidRDefault="00535961" w:rsidP="00535961">
      <w:pPr>
        <w:pStyle w:val="Bullet3"/>
      </w:pPr>
      <w:r w:rsidRPr="00582CB1">
        <w:t xml:space="preserve">counterparty payment details </w:t>
      </w:r>
    </w:p>
    <w:p w14:paraId="537022A3" w14:textId="77777777" w:rsidR="000979D0" w:rsidRPr="00582CB1" w:rsidRDefault="00EC67A2" w:rsidP="006E5CCE">
      <w:pPr>
        <w:pStyle w:val="Bullet3"/>
      </w:pPr>
      <w:r w:rsidRPr="00582CB1">
        <w:t xml:space="preserve">payment/settlement </w:t>
      </w:r>
      <w:r w:rsidR="000358ED" w:rsidRPr="00582CB1">
        <w:t>date</w:t>
      </w:r>
    </w:p>
    <w:p w14:paraId="0FEDB609" w14:textId="77CDE881" w:rsidR="00535961" w:rsidRPr="00582CB1" w:rsidRDefault="002C1562" w:rsidP="00535961">
      <w:pPr>
        <w:pStyle w:val="Bullet3"/>
      </w:pPr>
      <w:r w:rsidRPr="00582CB1">
        <w:t xml:space="preserve">applicable </w:t>
      </w:r>
      <w:r w:rsidR="00535961" w:rsidRPr="00582CB1">
        <w:t xml:space="preserve">Budget Exchange Rate (BER) </w:t>
      </w:r>
    </w:p>
    <w:p w14:paraId="2D6D438C" w14:textId="0474307F" w:rsidR="00EC67A2" w:rsidRPr="00582CB1" w:rsidRDefault="00535961">
      <w:pPr>
        <w:pStyle w:val="Bullet3"/>
      </w:pPr>
      <w:r w:rsidRPr="00582CB1">
        <w:lastRenderedPageBreak/>
        <w:t>f</w:t>
      </w:r>
      <w:r w:rsidR="00462724" w:rsidRPr="00582CB1">
        <w:t>orex rate</w:t>
      </w:r>
      <w:r w:rsidR="00EC67A2" w:rsidRPr="00582CB1">
        <w:t xml:space="preserve"> if specified in contract/agreement (</w:t>
      </w:r>
      <w:r w:rsidR="00A82520" w:rsidRPr="00582CB1">
        <w:t>‘</w:t>
      </w:r>
      <w:r w:rsidR="00462724" w:rsidRPr="00582CB1">
        <w:t>transaction rate</w:t>
      </w:r>
      <w:r w:rsidR="00A82520" w:rsidRPr="00582CB1">
        <w:t>’</w:t>
      </w:r>
      <w:r w:rsidR="00462724" w:rsidRPr="00582CB1">
        <w:t>)</w:t>
      </w:r>
    </w:p>
    <w:p w14:paraId="53C52840" w14:textId="77777777" w:rsidR="00EC67A2" w:rsidRPr="00582CB1" w:rsidRDefault="00535961">
      <w:pPr>
        <w:pStyle w:val="Bullet3"/>
      </w:pPr>
      <w:r w:rsidRPr="00582CB1">
        <w:t>c</w:t>
      </w:r>
      <w:r w:rsidR="00EC67A2" w:rsidRPr="00582CB1">
        <w:t>urrent spot rate on:</w:t>
      </w:r>
    </w:p>
    <w:p w14:paraId="4DA609A6" w14:textId="77777777" w:rsidR="000979D0" w:rsidRPr="00582CB1" w:rsidRDefault="00EC67A2" w:rsidP="007A0861">
      <w:pPr>
        <w:pStyle w:val="Bullet3"/>
        <w:numPr>
          <w:ilvl w:val="8"/>
          <w:numId w:val="16"/>
        </w:numPr>
      </w:pPr>
      <w:r w:rsidRPr="00582CB1">
        <w:t>the date the agreement/contract was entered into</w:t>
      </w:r>
    </w:p>
    <w:p w14:paraId="75CCFC71" w14:textId="77777777" w:rsidR="00EC67A2" w:rsidRPr="00582CB1" w:rsidRDefault="00EC67A2" w:rsidP="007A0861">
      <w:pPr>
        <w:pStyle w:val="Bullet3"/>
        <w:numPr>
          <w:ilvl w:val="8"/>
          <w:numId w:val="16"/>
        </w:numPr>
      </w:pPr>
      <w:r w:rsidRPr="00582CB1">
        <w:t>settlement date</w:t>
      </w:r>
    </w:p>
    <w:p w14:paraId="53FD84C5" w14:textId="5F1BD86F" w:rsidR="00EC67A2" w:rsidRPr="00582CB1" w:rsidRDefault="00EC67A2" w:rsidP="007A0861">
      <w:pPr>
        <w:pStyle w:val="Bullet3"/>
        <w:numPr>
          <w:ilvl w:val="8"/>
          <w:numId w:val="16"/>
        </w:numPr>
      </w:pPr>
      <w:proofErr w:type="gramStart"/>
      <w:r w:rsidRPr="00582CB1">
        <w:t>other</w:t>
      </w:r>
      <w:proofErr w:type="gramEnd"/>
      <w:r w:rsidRPr="00582CB1">
        <w:t xml:space="preserve"> specific reporting dates, such </w:t>
      </w:r>
      <w:r w:rsidR="00D83024" w:rsidRPr="00582CB1">
        <w:t xml:space="preserve">as </w:t>
      </w:r>
      <w:r w:rsidRPr="00582CB1">
        <w:t>the end of the financial year on 30 June</w:t>
      </w:r>
      <w:r w:rsidR="00210336" w:rsidRPr="00582CB1">
        <w:t>.</w:t>
      </w:r>
      <w:r w:rsidRPr="00582CB1">
        <w:t xml:space="preserve"> </w:t>
      </w:r>
    </w:p>
    <w:p w14:paraId="3FDB4E03" w14:textId="77777777" w:rsidR="000979D0" w:rsidRPr="00582CB1" w:rsidRDefault="000979D0" w:rsidP="006E5CCE">
      <w:pPr>
        <w:pStyle w:val="Bullet3"/>
      </w:pPr>
      <w:r w:rsidRPr="00582CB1">
        <w:t xml:space="preserve">reason for the difference between the spot rate and the </w:t>
      </w:r>
      <w:r w:rsidR="00462724" w:rsidRPr="00582CB1">
        <w:t xml:space="preserve">transaction </w:t>
      </w:r>
      <w:r w:rsidR="00535961" w:rsidRPr="00582CB1">
        <w:t>rate</w:t>
      </w:r>
    </w:p>
    <w:p w14:paraId="5B4C97C3" w14:textId="77777777" w:rsidR="000979D0" w:rsidRPr="00582CB1" w:rsidRDefault="00486620" w:rsidP="006E5CCE">
      <w:pPr>
        <w:pStyle w:val="Bullet3"/>
      </w:pPr>
      <w:r w:rsidRPr="00582CB1">
        <w:t>reason for the transaction</w:t>
      </w:r>
      <w:r w:rsidR="00462724" w:rsidRPr="00582CB1">
        <w:t xml:space="preserve">, including </w:t>
      </w:r>
      <w:r w:rsidR="00535961" w:rsidRPr="00582CB1">
        <w:t xml:space="preserve">information on the </w:t>
      </w:r>
      <w:r w:rsidR="00462724" w:rsidRPr="00582CB1">
        <w:t>revenue, expenses, assets and/or liabilities recognised</w:t>
      </w:r>
    </w:p>
    <w:p w14:paraId="24670968" w14:textId="6D7F32D7" w:rsidR="000979D0" w:rsidRPr="00582CB1" w:rsidRDefault="000979D0" w:rsidP="006E5CCE">
      <w:pPr>
        <w:pStyle w:val="Bullet3"/>
      </w:pPr>
      <w:proofErr w:type="gramStart"/>
      <w:r w:rsidRPr="00582CB1">
        <w:t>perso</w:t>
      </w:r>
      <w:r w:rsidR="000358ED" w:rsidRPr="00582CB1">
        <w:t>n</w:t>
      </w:r>
      <w:proofErr w:type="gramEnd"/>
      <w:r w:rsidR="000358ED" w:rsidRPr="00582CB1">
        <w:t xml:space="preserve"> authorising the transactions</w:t>
      </w:r>
      <w:r w:rsidR="00210336" w:rsidRPr="00582CB1">
        <w:t>.</w:t>
      </w:r>
    </w:p>
    <w:p w14:paraId="1FE08E09" w14:textId="6A483C1F" w:rsidR="000979D0" w:rsidRPr="00582CB1" w:rsidRDefault="000979D0" w:rsidP="006E5CCE">
      <w:pPr>
        <w:pStyle w:val="Bullet2"/>
      </w:pPr>
      <w:proofErr w:type="gramStart"/>
      <w:r w:rsidRPr="00582CB1">
        <w:t>ensure</w:t>
      </w:r>
      <w:proofErr w:type="gramEnd"/>
      <w:r w:rsidRPr="00582CB1">
        <w:t xml:space="preserve"> that a record is kept of any forex transaction that is modified </w:t>
      </w:r>
      <w:r w:rsidR="00462724" w:rsidRPr="00582CB1">
        <w:t>(e.g.</w:t>
      </w:r>
      <w:r w:rsidR="004C4452" w:rsidRPr="00582CB1">
        <w:t> </w:t>
      </w:r>
      <w:r w:rsidR="00462724" w:rsidRPr="00582CB1">
        <w:t xml:space="preserve">changes to dates, amounts or rates) </w:t>
      </w:r>
      <w:r w:rsidRPr="00582CB1">
        <w:t>or cancelled, includ</w:t>
      </w:r>
      <w:r w:rsidR="00462724" w:rsidRPr="00582CB1">
        <w:t>ing</w:t>
      </w:r>
      <w:r w:rsidRPr="00582CB1">
        <w:t xml:space="preserve"> the cost of, and reason for, any such</w:t>
      </w:r>
      <w:r w:rsidR="000358ED" w:rsidRPr="00582CB1">
        <w:t xml:space="preserve"> modification or cancellation.</w:t>
      </w:r>
    </w:p>
    <w:p w14:paraId="04B5AC0A" w14:textId="77777777" w:rsidR="000979D0" w:rsidRPr="00582CB1" w:rsidRDefault="000979D0" w:rsidP="00FA6EF1">
      <w:pPr>
        <w:pStyle w:val="Bullet1"/>
      </w:pPr>
      <w:r w:rsidRPr="00582CB1">
        <w:t>A process should be in place to:</w:t>
      </w:r>
    </w:p>
    <w:p w14:paraId="4895BB06" w14:textId="77777777" w:rsidR="000979D0" w:rsidRPr="00582CB1" w:rsidRDefault="000979D0" w:rsidP="006E5CCE">
      <w:pPr>
        <w:pStyle w:val="Bullet2"/>
      </w:pPr>
      <w:r w:rsidRPr="00582CB1">
        <w:t>ensure that counterparties to forex tran</w:t>
      </w:r>
      <w:r w:rsidR="000F7958" w:rsidRPr="00582CB1">
        <w:t>sactions are approved by the</w:t>
      </w:r>
      <w:r w:rsidRPr="00582CB1">
        <w:t xml:space="preserve"> entity pri</w:t>
      </w:r>
      <w:r w:rsidR="000358ED" w:rsidRPr="00582CB1">
        <w:t>or to executing the transaction</w:t>
      </w:r>
    </w:p>
    <w:p w14:paraId="3334A248" w14:textId="77777777" w:rsidR="000979D0" w:rsidRPr="00582CB1" w:rsidRDefault="000979D0" w:rsidP="006E5CCE">
      <w:pPr>
        <w:pStyle w:val="Bullet2"/>
      </w:pPr>
      <w:r w:rsidRPr="00582CB1">
        <w:t>ensure all forex transactions</w:t>
      </w:r>
      <w:r w:rsidR="000358ED" w:rsidRPr="00582CB1">
        <w:t xml:space="preserve"> are effectively reconciled</w:t>
      </w:r>
    </w:p>
    <w:p w14:paraId="05427A7A" w14:textId="77777777" w:rsidR="000979D0" w:rsidRPr="00582CB1" w:rsidRDefault="000979D0" w:rsidP="006E5CCE">
      <w:pPr>
        <w:pStyle w:val="Bullet2"/>
      </w:pPr>
      <w:proofErr w:type="gramStart"/>
      <w:r w:rsidRPr="00582CB1">
        <w:t>ensure</w:t>
      </w:r>
      <w:proofErr w:type="gramEnd"/>
      <w:r w:rsidRPr="00582CB1">
        <w:t xml:space="preserve"> that any exceptions or variations to the authorised procedure for forex transactions is reported to an appropriate senior manager who can review and provide guidance on any remedial action that should be undertaken.</w:t>
      </w:r>
    </w:p>
    <w:p w14:paraId="62615763" w14:textId="06E44AE7" w:rsidR="0046112B" w:rsidRPr="00582CB1" w:rsidRDefault="0046112B" w:rsidP="001B2135">
      <w:pPr>
        <w:pStyle w:val="Bullet1"/>
      </w:pPr>
      <w:r w:rsidRPr="00582CB1">
        <w:t xml:space="preserve">Entities should also consider maintaining a register of foreign currency exposures as a way of monitoring the impact of forex rate movements on their operations, financial position and financial performance. </w:t>
      </w:r>
    </w:p>
    <w:p w14:paraId="7F1A4440" w14:textId="3328D336" w:rsidR="006540FE" w:rsidRPr="00582CB1" w:rsidRDefault="006540FE" w:rsidP="001B2135">
      <w:pPr>
        <w:pStyle w:val="Bullet1"/>
      </w:pPr>
      <w:r w:rsidRPr="00582CB1">
        <w:t>Entities should also maintain forecasts of foreign currency amounts payable and receivable to assist in with internal budgeting and financial management, as well as comply with the budget estimates requirements of the PGPA Act.</w:t>
      </w:r>
    </w:p>
    <w:p w14:paraId="4B624C3A" w14:textId="77C71F0B" w:rsidR="000979D0" w:rsidRPr="00582CB1" w:rsidRDefault="00FA6EF1" w:rsidP="00794152">
      <w:pPr>
        <w:pStyle w:val="Heading3"/>
        <w:rPr>
          <w:color w:val="auto"/>
        </w:rPr>
      </w:pPr>
      <w:bookmarkStart w:id="51" w:name="_Toc525716841"/>
      <w:bookmarkStart w:id="52" w:name="_Toc72501401"/>
      <w:r w:rsidRPr="00582CB1">
        <w:rPr>
          <w:color w:val="auto"/>
        </w:rPr>
        <w:t>Foreign e</w:t>
      </w:r>
      <w:r w:rsidR="000979D0" w:rsidRPr="00582CB1">
        <w:rPr>
          <w:color w:val="auto"/>
        </w:rPr>
        <w:t>xcha</w:t>
      </w:r>
      <w:r w:rsidR="00A66942" w:rsidRPr="00582CB1">
        <w:rPr>
          <w:color w:val="auto"/>
        </w:rPr>
        <w:t>nge guidance for</w:t>
      </w:r>
      <w:r w:rsidRPr="00582CB1">
        <w:rPr>
          <w:color w:val="auto"/>
        </w:rPr>
        <w:t xml:space="preserve"> </w:t>
      </w:r>
      <w:r w:rsidR="000979D0" w:rsidRPr="00582CB1">
        <w:rPr>
          <w:color w:val="auto"/>
        </w:rPr>
        <w:t>CCEs</w:t>
      </w:r>
      <w:bookmarkEnd w:id="51"/>
      <w:bookmarkEnd w:id="52"/>
    </w:p>
    <w:p w14:paraId="1513300E" w14:textId="5BE8735E" w:rsidR="006B13D9" w:rsidRPr="00582CB1" w:rsidRDefault="006E5CCE" w:rsidP="001B2135">
      <w:pPr>
        <w:pStyle w:val="NumberedList1"/>
        <w:ind w:left="567" w:hanging="567"/>
      </w:pPr>
      <w:r w:rsidRPr="00582CB1">
        <w:t xml:space="preserve">For CCEs, there are no </w:t>
      </w:r>
      <w:r w:rsidR="006B13D9" w:rsidRPr="00582CB1">
        <w:t xml:space="preserve">specific forex </w:t>
      </w:r>
      <w:r w:rsidRPr="00582CB1">
        <w:t>require</w:t>
      </w:r>
      <w:r w:rsidR="000979D0" w:rsidRPr="00582CB1">
        <w:t xml:space="preserve">ments </w:t>
      </w:r>
      <w:r w:rsidR="006B13D9" w:rsidRPr="00582CB1">
        <w:t xml:space="preserve">under </w:t>
      </w:r>
      <w:r w:rsidRPr="00582CB1">
        <w:t>the PGPA Act or</w:t>
      </w:r>
      <w:r w:rsidR="00F8341F" w:rsidRPr="00582CB1">
        <w:t xml:space="preserve"> the</w:t>
      </w:r>
      <w:r w:rsidRPr="00582CB1">
        <w:t xml:space="preserve"> </w:t>
      </w:r>
      <w:hyperlink r:id="rId26" w:history="1">
        <w:r w:rsidRPr="00582CB1">
          <w:rPr>
            <w:rStyle w:val="Hyperlink"/>
            <w:rFonts w:cstheme="minorBidi"/>
          </w:rPr>
          <w:t>Public Governance, Performance and Accountability Rule 2014</w:t>
        </w:r>
      </w:hyperlink>
      <w:r w:rsidRPr="00582CB1">
        <w:t xml:space="preserve"> (PGPA Rule).</w:t>
      </w:r>
      <w:r w:rsidR="000979D0" w:rsidRPr="00582CB1">
        <w:t xml:space="preserve"> </w:t>
      </w:r>
    </w:p>
    <w:p w14:paraId="1C273A8B" w14:textId="77777777" w:rsidR="000979D0" w:rsidRPr="00582CB1" w:rsidRDefault="000979D0" w:rsidP="001B2135">
      <w:pPr>
        <w:pStyle w:val="NumberedList1"/>
        <w:ind w:left="567" w:hanging="567"/>
      </w:pPr>
      <w:r w:rsidRPr="00582CB1">
        <w:t xml:space="preserve">However </w:t>
      </w:r>
      <w:r w:rsidR="006B13D9" w:rsidRPr="00582CB1">
        <w:t xml:space="preserve">by complying with this forex policy, </w:t>
      </w:r>
      <w:r w:rsidRPr="00582CB1">
        <w:t>CCEs will be eligible for supplementa</w:t>
      </w:r>
      <w:r w:rsidR="006B13D9" w:rsidRPr="00582CB1">
        <w:t>ry funding through the annual Appropriation Acts</w:t>
      </w:r>
      <w:r w:rsidRPr="00582CB1">
        <w:t xml:space="preserve"> if </w:t>
      </w:r>
      <w:r w:rsidR="006B13D9" w:rsidRPr="00582CB1">
        <w:t xml:space="preserve">they </w:t>
      </w:r>
      <w:r w:rsidRPr="00582CB1">
        <w:t xml:space="preserve">make a foreign exchange loss. </w:t>
      </w:r>
    </w:p>
    <w:p w14:paraId="27FD957A" w14:textId="1C33FC64" w:rsidR="000979D0" w:rsidRPr="00582CB1" w:rsidRDefault="000979D0" w:rsidP="001B2135">
      <w:pPr>
        <w:pStyle w:val="NumberedList1"/>
        <w:ind w:left="567" w:hanging="567"/>
      </w:pPr>
      <w:r w:rsidRPr="00582CB1">
        <w:t xml:space="preserve">CCEs should report </w:t>
      </w:r>
      <w:r w:rsidR="00F8341F" w:rsidRPr="00582CB1">
        <w:t xml:space="preserve">any significant/material </w:t>
      </w:r>
      <w:r w:rsidRPr="00582CB1">
        <w:t xml:space="preserve">breaches of the forex policy to </w:t>
      </w:r>
      <w:r w:rsidR="006B13D9" w:rsidRPr="00582CB1">
        <w:t xml:space="preserve">their Minister, </w:t>
      </w:r>
      <w:r w:rsidRPr="00582CB1">
        <w:t>the Finance Minister and/or in their annual report.</w:t>
      </w:r>
    </w:p>
    <w:p w14:paraId="465C3EE3" w14:textId="020C4FA9" w:rsidR="000979D0" w:rsidRPr="00582CB1" w:rsidRDefault="006E5CCE" w:rsidP="001B2135">
      <w:pPr>
        <w:pStyle w:val="NumberedList1"/>
        <w:ind w:left="567" w:hanging="567"/>
      </w:pPr>
      <w:r w:rsidRPr="00582CB1">
        <w:t xml:space="preserve">The </w:t>
      </w:r>
      <w:r w:rsidR="000979D0" w:rsidRPr="00582CB1">
        <w:t>PGPA Act require</w:t>
      </w:r>
      <w:r w:rsidRPr="00582CB1">
        <w:t>s</w:t>
      </w:r>
      <w:r w:rsidR="000979D0" w:rsidRPr="00582CB1">
        <w:t xml:space="preserve"> CCEs to provide forex information and</w:t>
      </w:r>
      <w:r w:rsidR="00B576FA" w:rsidRPr="00582CB1">
        <w:t xml:space="preserve"> report</w:t>
      </w:r>
      <w:r w:rsidR="000979D0" w:rsidRPr="00582CB1">
        <w:t xml:space="preserve"> </w:t>
      </w:r>
      <w:r w:rsidR="00735E94" w:rsidRPr="00582CB1">
        <w:t>their</w:t>
      </w:r>
      <w:r w:rsidR="000979D0" w:rsidRPr="00582CB1">
        <w:t xml:space="preserve"> activities under the following sections:</w:t>
      </w:r>
    </w:p>
    <w:p w14:paraId="5BE574F0" w14:textId="5720BB66" w:rsidR="000979D0" w:rsidRPr="00582CB1" w:rsidRDefault="000979D0" w:rsidP="006E5CCE">
      <w:pPr>
        <w:pStyle w:val="Bullet1"/>
      </w:pPr>
      <w:r w:rsidRPr="00582CB1">
        <w:lastRenderedPageBreak/>
        <w:t xml:space="preserve">CCE accountable authorities have a duty to </w:t>
      </w:r>
      <w:r w:rsidR="00735E94" w:rsidRPr="00582CB1">
        <w:t xml:space="preserve">give </w:t>
      </w:r>
      <w:r w:rsidRPr="00582CB1">
        <w:t xml:space="preserve">the Finance Minister </w:t>
      </w:r>
      <w:r w:rsidR="00A82520" w:rsidRPr="00582CB1">
        <w:t>‘</w:t>
      </w:r>
      <w:r w:rsidRPr="00582CB1">
        <w:t>any reports, documents and information in relation to those activities</w:t>
      </w:r>
      <w:r w:rsidR="00A82520" w:rsidRPr="00582CB1">
        <w:t>’</w:t>
      </w:r>
      <w:r w:rsidRPr="00582CB1">
        <w:t xml:space="preserve"> as required </w:t>
      </w:r>
      <w:r w:rsidR="006B13D9" w:rsidRPr="00582CB1">
        <w:t>(</w:t>
      </w:r>
      <w:r w:rsidRPr="00582CB1">
        <w:t>s</w:t>
      </w:r>
      <w:r w:rsidR="000A0EEE" w:rsidRPr="00582CB1">
        <w:t>ection</w:t>
      </w:r>
      <w:r w:rsidR="00591ED0" w:rsidRPr="00582CB1">
        <w:t> </w:t>
      </w:r>
      <w:r w:rsidRPr="00582CB1">
        <w:t>19(1</w:t>
      </w:r>
      <w:proofErr w:type="gramStart"/>
      <w:r w:rsidRPr="00582CB1">
        <w:t>)(</w:t>
      </w:r>
      <w:proofErr w:type="gramEnd"/>
      <w:r w:rsidRPr="00582CB1">
        <w:t>b)).</w:t>
      </w:r>
    </w:p>
    <w:p w14:paraId="0CC3F94D" w14:textId="38F0D356" w:rsidR="000979D0" w:rsidRPr="00582CB1" w:rsidRDefault="000979D0" w:rsidP="006E5CCE">
      <w:pPr>
        <w:pStyle w:val="Bullet1"/>
      </w:pPr>
      <w:r w:rsidRPr="00582CB1">
        <w:t xml:space="preserve">CCE accountable authorities must prepare </w:t>
      </w:r>
      <w:r w:rsidR="00A82520" w:rsidRPr="00582CB1">
        <w:t>‘</w:t>
      </w:r>
      <w:r w:rsidRPr="00582CB1">
        <w:t>budget estimates</w:t>
      </w:r>
      <w:r w:rsidR="00A82520" w:rsidRPr="00582CB1">
        <w:t>’</w:t>
      </w:r>
      <w:r w:rsidRPr="00582CB1">
        <w:t xml:space="preserve"> for </w:t>
      </w:r>
      <w:r w:rsidR="00735E94" w:rsidRPr="00582CB1">
        <w:t xml:space="preserve">their </w:t>
      </w:r>
      <w:r w:rsidRPr="00582CB1">
        <w:t>activities, and the Finance Secretary may give written directions to the accountable authority for the purposes of this section (s</w:t>
      </w:r>
      <w:r w:rsidR="000A0EEE" w:rsidRPr="00582CB1">
        <w:t>ection</w:t>
      </w:r>
      <w:r w:rsidR="00430485" w:rsidRPr="00582CB1">
        <w:t xml:space="preserve"> </w:t>
      </w:r>
      <w:r w:rsidRPr="00582CB1">
        <w:t>36(3)).</w:t>
      </w:r>
    </w:p>
    <w:p w14:paraId="553FB7D8" w14:textId="61825DBF" w:rsidR="000979D0" w:rsidRPr="00582CB1" w:rsidRDefault="000979D0" w:rsidP="006E5CCE">
      <w:pPr>
        <w:pStyle w:val="Bullet1"/>
      </w:pPr>
      <w:r w:rsidRPr="00582CB1">
        <w:t xml:space="preserve">CCE accountable authorities must </w:t>
      </w:r>
      <w:proofErr w:type="spellStart"/>
      <w:r w:rsidR="00A82520" w:rsidRPr="00582CB1">
        <w:t>‘</w:t>
      </w:r>
      <w:proofErr w:type="gramStart"/>
      <w:r w:rsidRPr="00582CB1">
        <w:t>cause</w:t>
      </w:r>
      <w:proofErr w:type="spellEnd"/>
      <w:proofErr w:type="gramEnd"/>
      <w:r w:rsidRPr="00582CB1">
        <w:t xml:space="preserve"> records to be kept that properly record and explain the entity’s performance in achieving its purposes</w:t>
      </w:r>
      <w:r w:rsidR="00A82520" w:rsidRPr="00582CB1">
        <w:t>’</w:t>
      </w:r>
      <w:r w:rsidRPr="00582CB1">
        <w:t xml:space="preserve"> in accordance with the PGPA rules. The Finance Minister is </w:t>
      </w:r>
      <w:r w:rsidR="00A82520" w:rsidRPr="00582CB1">
        <w:t>‘</w:t>
      </w:r>
      <w:r w:rsidRPr="00582CB1">
        <w:t>entitled to full and free access to the records kept under this section</w:t>
      </w:r>
      <w:r w:rsidR="00A82520" w:rsidRPr="00582CB1">
        <w:t>’,</w:t>
      </w:r>
      <w:r w:rsidRPr="00582CB1">
        <w:t xml:space="preserve"> subject to privacy laws (s</w:t>
      </w:r>
      <w:r w:rsidR="000A0EEE" w:rsidRPr="00582CB1">
        <w:t>ection</w:t>
      </w:r>
      <w:r w:rsidR="00430485" w:rsidRPr="00582CB1">
        <w:t xml:space="preserve"> </w:t>
      </w:r>
      <w:r w:rsidRPr="00582CB1">
        <w:t>37).</w:t>
      </w:r>
    </w:p>
    <w:p w14:paraId="087CAE24" w14:textId="38A68609" w:rsidR="000979D0" w:rsidRPr="00582CB1" w:rsidRDefault="000979D0" w:rsidP="006E5CCE">
      <w:pPr>
        <w:pStyle w:val="Bullet1"/>
      </w:pPr>
      <w:r w:rsidRPr="00582CB1">
        <w:t xml:space="preserve">CCE accountable authorities must </w:t>
      </w:r>
      <w:proofErr w:type="spellStart"/>
      <w:r w:rsidR="00A82520" w:rsidRPr="00582CB1">
        <w:t>‘</w:t>
      </w:r>
      <w:r w:rsidRPr="00582CB1">
        <w:t>cause</w:t>
      </w:r>
      <w:proofErr w:type="spellEnd"/>
      <w:r w:rsidRPr="00582CB1">
        <w:t xml:space="preserve"> accounts and records to be kept that properly record and explain the entity’s transactions and financial </w:t>
      </w:r>
      <w:r w:rsidR="00A44301" w:rsidRPr="00582CB1">
        <w:t>position</w:t>
      </w:r>
      <w:r w:rsidR="00A82520" w:rsidRPr="00582CB1">
        <w:t>’</w:t>
      </w:r>
      <w:r w:rsidRPr="00582CB1">
        <w:t xml:space="preserve"> in accordance with the PGPA rules. The Finance Minister is </w:t>
      </w:r>
      <w:r w:rsidR="00A82520" w:rsidRPr="00582CB1">
        <w:t>‘</w:t>
      </w:r>
      <w:r w:rsidRPr="00582CB1">
        <w:t>entitled to full and free access to the records kept under this section</w:t>
      </w:r>
      <w:r w:rsidR="00A82520" w:rsidRPr="00582CB1">
        <w:t>’,</w:t>
      </w:r>
      <w:r w:rsidRPr="00582CB1">
        <w:t xml:space="preserve"> subject to privacy laws (s</w:t>
      </w:r>
      <w:r w:rsidR="000A0EEE" w:rsidRPr="00582CB1">
        <w:t>ection</w:t>
      </w:r>
      <w:r w:rsidR="00430485" w:rsidRPr="00582CB1">
        <w:t xml:space="preserve"> </w:t>
      </w:r>
      <w:r w:rsidRPr="00582CB1">
        <w:t>41).</w:t>
      </w:r>
    </w:p>
    <w:p w14:paraId="3231584C" w14:textId="02E748B9" w:rsidR="000979D0" w:rsidRPr="00582CB1" w:rsidRDefault="000979D0" w:rsidP="006E5CCE">
      <w:pPr>
        <w:pStyle w:val="Bullet1"/>
      </w:pPr>
      <w:r w:rsidRPr="00582CB1">
        <w:t xml:space="preserve">In making decisions to govern a CCE, accountable authorities must </w:t>
      </w:r>
      <w:r w:rsidR="00A82520" w:rsidRPr="00582CB1">
        <w:t>‘</w:t>
      </w:r>
      <w:r w:rsidRPr="00582CB1">
        <w:t>take into account the effect of those decisions on public resources generally</w:t>
      </w:r>
      <w:r w:rsidR="00A82520" w:rsidRPr="00582CB1">
        <w:t>’</w:t>
      </w:r>
      <w:r w:rsidRPr="00582CB1">
        <w:t xml:space="preserve"> (s</w:t>
      </w:r>
      <w:r w:rsidR="000A0EEE" w:rsidRPr="00582CB1">
        <w:t>ection</w:t>
      </w:r>
      <w:r w:rsidR="00735E94" w:rsidRPr="00582CB1">
        <w:t xml:space="preserve"> </w:t>
      </w:r>
      <w:r w:rsidRPr="00582CB1">
        <w:t>15(2))</w:t>
      </w:r>
      <w:proofErr w:type="gramStart"/>
      <w:r w:rsidRPr="00582CB1">
        <w:t>.</w:t>
      </w:r>
      <w:proofErr w:type="gramEnd"/>
      <w:r w:rsidRPr="00582CB1">
        <w:t xml:space="preserve">  </w:t>
      </w:r>
    </w:p>
    <w:p w14:paraId="2A151E72" w14:textId="685B239D" w:rsidR="006853ED" w:rsidRPr="00582CB1" w:rsidRDefault="006853ED" w:rsidP="006E5CCE">
      <w:pPr>
        <w:pStyle w:val="Bullet1"/>
      </w:pPr>
      <w:r w:rsidRPr="00582CB1">
        <w:t xml:space="preserve">Annual financial statements of </w:t>
      </w:r>
      <w:r w:rsidR="00735E94" w:rsidRPr="00582CB1">
        <w:t>a</w:t>
      </w:r>
      <w:r w:rsidRPr="00582CB1">
        <w:t xml:space="preserve"> CCE must be prepared in compliance with accounting standards (s</w:t>
      </w:r>
      <w:r w:rsidR="000A0EEE" w:rsidRPr="00582CB1">
        <w:t>ection</w:t>
      </w:r>
      <w:r w:rsidR="00430485" w:rsidRPr="00582CB1">
        <w:t xml:space="preserve"> </w:t>
      </w:r>
      <w:r w:rsidRPr="00582CB1">
        <w:t>42), such</w:t>
      </w:r>
      <w:r w:rsidR="00735E94" w:rsidRPr="00582CB1">
        <w:t xml:space="preserve"> as the</w:t>
      </w:r>
      <w:r w:rsidRPr="00582CB1">
        <w:t xml:space="preserve"> Australian Accounting Standards Board (AASB) 7</w:t>
      </w:r>
      <w:r w:rsidR="007E3B17" w:rsidRPr="00582CB1">
        <w:rPr>
          <w:i/>
        </w:rPr>
        <w:t xml:space="preserve"> -</w:t>
      </w:r>
      <w:r w:rsidRPr="00582CB1">
        <w:rPr>
          <w:i/>
        </w:rPr>
        <w:t xml:space="preserve"> Financial Instruments</w:t>
      </w:r>
      <w:r w:rsidRPr="00582CB1">
        <w:t xml:space="preserve"> and AASB 121</w:t>
      </w:r>
      <w:r w:rsidR="007E3B17" w:rsidRPr="00582CB1">
        <w:rPr>
          <w:i/>
        </w:rPr>
        <w:t>-</w:t>
      </w:r>
      <w:r w:rsidRPr="00582CB1">
        <w:rPr>
          <w:i/>
        </w:rPr>
        <w:t xml:space="preserve"> The Effects of Changes in Foreign Exchange Rates</w:t>
      </w:r>
      <w:r w:rsidRPr="00582CB1">
        <w:t xml:space="preserve">. </w:t>
      </w:r>
    </w:p>
    <w:p w14:paraId="073DD628" w14:textId="77777777" w:rsidR="000979D0" w:rsidRPr="00582CB1" w:rsidRDefault="00302512" w:rsidP="002B36F1">
      <w:pPr>
        <w:pStyle w:val="Heading1"/>
        <w:shd w:val="clear" w:color="auto" w:fill="BDDCDF" w:themeFill="accent1"/>
        <w:rPr>
          <w:color w:val="auto"/>
        </w:rPr>
      </w:pPr>
      <w:bookmarkStart w:id="53" w:name="_Toc525716842"/>
      <w:bookmarkStart w:id="54" w:name="_Toc72501402"/>
      <w:r w:rsidRPr="00582CB1">
        <w:rPr>
          <w:color w:val="auto"/>
        </w:rPr>
        <w:t xml:space="preserve">Part 4 – </w:t>
      </w:r>
      <w:r w:rsidR="00B74133" w:rsidRPr="00582CB1">
        <w:rPr>
          <w:color w:val="auto"/>
        </w:rPr>
        <w:t>A</w:t>
      </w:r>
      <w:r w:rsidR="000979D0" w:rsidRPr="00582CB1">
        <w:rPr>
          <w:color w:val="auto"/>
        </w:rPr>
        <w:t>djustments</w:t>
      </w:r>
      <w:bookmarkEnd w:id="53"/>
      <w:r w:rsidR="000979D0" w:rsidRPr="00582CB1">
        <w:rPr>
          <w:color w:val="auto"/>
        </w:rPr>
        <w:t xml:space="preserve"> </w:t>
      </w:r>
      <w:r w:rsidR="00B74133" w:rsidRPr="00582CB1">
        <w:rPr>
          <w:color w:val="auto"/>
        </w:rPr>
        <w:t>to appropriations</w:t>
      </w:r>
      <w:r w:rsidR="001F5DC4" w:rsidRPr="00582CB1">
        <w:rPr>
          <w:color w:val="auto"/>
        </w:rPr>
        <w:t xml:space="preserve"> and estimates</w:t>
      </w:r>
      <w:bookmarkEnd w:id="54"/>
    </w:p>
    <w:p w14:paraId="42E1219B" w14:textId="2AC894EA" w:rsidR="00C368A7" w:rsidRPr="00582CB1" w:rsidRDefault="00C368A7" w:rsidP="00794152">
      <w:pPr>
        <w:pStyle w:val="Heading3"/>
        <w:rPr>
          <w:color w:val="auto"/>
        </w:rPr>
      </w:pPr>
      <w:bookmarkStart w:id="55" w:name="_Toc72501403"/>
      <w:r w:rsidRPr="00582CB1">
        <w:rPr>
          <w:color w:val="auto"/>
        </w:rPr>
        <w:t>Maintaining budget estimates</w:t>
      </w:r>
      <w:bookmarkEnd w:id="55"/>
      <w:r w:rsidRPr="00582CB1">
        <w:rPr>
          <w:color w:val="auto"/>
        </w:rPr>
        <w:t xml:space="preserve"> </w:t>
      </w:r>
    </w:p>
    <w:p w14:paraId="3341A370" w14:textId="0BB4F4B0" w:rsidR="00B353D1" w:rsidRPr="00582CB1" w:rsidRDefault="00B353D1" w:rsidP="00B353D1">
      <w:pPr>
        <w:pStyle w:val="NumberedList1"/>
        <w:ind w:left="567" w:hanging="567"/>
      </w:pPr>
      <w:r w:rsidRPr="00582CB1">
        <w:t xml:space="preserve">Under section 36 of the PGPA Act, Finance will issue requirements on budget estimates, including keeping estimates up-to-date for forex movements including the current financial year. These powers have been delegated to the Finance Secretary or Finance Secretary’s delegate under section 107 of the PGPA Act. </w:t>
      </w:r>
      <w:r w:rsidR="00FC4031" w:rsidRPr="00582CB1">
        <w:t xml:space="preserve">Further information on reporting requirements is outlined in </w:t>
      </w:r>
      <w:hyperlink w:anchor="_Part_5_–" w:history="1">
        <w:r w:rsidR="00FC4031" w:rsidRPr="00582CB1">
          <w:rPr>
            <w:rStyle w:val="Hyperlink"/>
          </w:rPr>
          <w:t>Part 5 - Changes in reporting requirements</w:t>
        </w:r>
      </w:hyperlink>
      <w:r w:rsidR="00FC4031" w:rsidRPr="00582CB1">
        <w:t xml:space="preserve"> below.  </w:t>
      </w:r>
    </w:p>
    <w:p w14:paraId="33B84554" w14:textId="76696B72" w:rsidR="00A64970" w:rsidRPr="00582CB1" w:rsidRDefault="00A64970" w:rsidP="00945586">
      <w:pPr>
        <w:pStyle w:val="NumberedList1"/>
        <w:ind w:left="567" w:hanging="567"/>
      </w:pPr>
      <w:r w:rsidRPr="00582CB1">
        <w:t xml:space="preserve">Entities must ensure expenditure estimates are kept up to date, using the appropriate BERs provided through their AAUs. Entities are provided with updated BERs three times a year, and should ensure their expenditure estimates are updated accordingly. Entities should ensure that they use the reason code </w:t>
      </w:r>
      <w:r w:rsidR="00D81D32" w:rsidRPr="00582CB1">
        <w:rPr>
          <w:i/>
        </w:rPr>
        <w:t>‘</w:t>
      </w:r>
      <w:r w:rsidRPr="00582CB1">
        <w:rPr>
          <w:i/>
        </w:rPr>
        <w:t>change in forex rates</w:t>
      </w:r>
      <w:r w:rsidR="00D81D32" w:rsidRPr="00582CB1">
        <w:rPr>
          <w:i/>
        </w:rPr>
        <w:t>’</w:t>
      </w:r>
      <w:r w:rsidRPr="00582CB1">
        <w:t xml:space="preserve"> when entering forex estimates adjustments.</w:t>
      </w:r>
    </w:p>
    <w:p w14:paraId="634550BA" w14:textId="3F358B20" w:rsidR="00C368A7" w:rsidRPr="00582CB1" w:rsidRDefault="00A64970" w:rsidP="00A64970">
      <w:pPr>
        <w:pStyle w:val="NumberedList1"/>
        <w:ind w:left="567" w:hanging="567"/>
      </w:pPr>
      <w:r w:rsidRPr="00582CB1">
        <w:t xml:space="preserve">Where updating expenditure estimates for multiple currency movements, supporting documentation/calculations should be provided to the relevant AAU in Finance to substantiate the changes. </w:t>
      </w:r>
    </w:p>
    <w:p w14:paraId="0E25E31A" w14:textId="30542C28" w:rsidR="00A64970" w:rsidRPr="00582CB1" w:rsidRDefault="00B353D1" w:rsidP="00C368A7">
      <w:pPr>
        <w:pStyle w:val="NumberedList1"/>
        <w:ind w:left="567" w:hanging="567"/>
      </w:pPr>
      <w:r w:rsidRPr="00582CB1">
        <w:lastRenderedPageBreak/>
        <w:t xml:space="preserve">Entities </w:t>
      </w:r>
      <w:r w:rsidR="00A82520" w:rsidRPr="00582CB1">
        <w:t>must</w:t>
      </w:r>
      <w:r w:rsidRPr="00582CB1">
        <w:t xml:space="preserve"> update their </w:t>
      </w:r>
      <w:r w:rsidR="00A64970" w:rsidRPr="00582CB1">
        <w:t xml:space="preserve">departmental and administered </w:t>
      </w:r>
      <w:r w:rsidRPr="00582CB1">
        <w:t xml:space="preserve">operating </w:t>
      </w:r>
      <w:r w:rsidR="00A64970" w:rsidRPr="00582CB1">
        <w:t>and/</w:t>
      </w:r>
      <w:r w:rsidRPr="00582CB1">
        <w:t xml:space="preserve">or capital expenditure estimates for the </w:t>
      </w:r>
      <w:r w:rsidR="00A64970" w:rsidRPr="00582CB1">
        <w:t>R</w:t>
      </w:r>
      <w:r w:rsidRPr="00582CB1">
        <w:t xml:space="preserve">evised </w:t>
      </w:r>
      <w:r w:rsidR="00A64970" w:rsidRPr="00582CB1">
        <w:t xml:space="preserve">Budget, Next Budget </w:t>
      </w:r>
      <w:r w:rsidRPr="00582CB1">
        <w:t xml:space="preserve">and </w:t>
      </w:r>
      <w:r w:rsidR="00A64970" w:rsidRPr="00582CB1">
        <w:t>F</w:t>
      </w:r>
      <w:r w:rsidRPr="00582CB1">
        <w:t xml:space="preserve">orward </w:t>
      </w:r>
      <w:r w:rsidR="00A64970" w:rsidRPr="00582CB1">
        <w:t xml:space="preserve">Estimate years </w:t>
      </w:r>
      <w:r w:rsidRPr="00582CB1">
        <w:t xml:space="preserve">for movements in the BERs. </w:t>
      </w:r>
    </w:p>
    <w:p w14:paraId="5A21B241" w14:textId="7DF3A209" w:rsidR="00D550B9" w:rsidRPr="00582CB1" w:rsidRDefault="00A64970" w:rsidP="00C368A7">
      <w:pPr>
        <w:pStyle w:val="NumberedList1"/>
        <w:ind w:left="567" w:hanging="567"/>
      </w:pPr>
      <w:r w:rsidRPr="00582CB1">
        <w:t>Departmental and administered a</w:t>
      </w:r>
      <w:r w:rsidR="00B353D1" w:rsidRPr="00582CB1">
        <w:t xml:space="preserve">ppropriation estimates </w:t>
      </w:r>
      <w:r w:rsidR="00A82520" w:rsidRPr="00582CB1">
        <w:t>must</w:t>
      </w:r>
      <w:r w:rsidR="00B353D1" w:rsidRPr="00582CB1">
        <w:t xml:space="preserve"> be updated for the </w:t>
      </w:r>
      <w:r w:rsidRPr="00582CB1">
        <w:t>N</w:t>
      </w:r>
      <w:r w:rsidR="00B353D1" w:rsidRPr="00582CB1">
        <w:t>ext</w:t>
      </w:r>
      <w:r w:rsidR="00302DFB" w:rsidRPr="00582CB1">
        <w:t> </w:t>
      </w:r>
      <w:r w:rsidRPr="00582CB1">
        <w:t>B</w:t>
      </w:r>
      <w:r w:rsidR="00B353D1" w:rsidRPr="00582CB1">
        <w:t xml:space="preserve">udget and </w:t>
      </w:r>
      <w:r w:rsidRPr="00582CB1">
        <w:t>F</w:t>
      </w:r>
      <w:r w:rsidR="00B353D1" w:rsidRPr="00582CB1">
        <w:t xml:space="preserve">orward </w:t>
      </w:r>
      <w:r w:rsidRPr="00582CB1">
        <w:t xml:space="preserve">Estimate </w:t>
      </w:r>
      <w:r w:rsidR="00B353D1" w:rsidRPr="00582CB1">
        <w:t xml:space="preserve">years, however </w:t>
      </w:r>
      <w:r w:rsidR="00A82520" w:rsidRPr="00582CB1">
        <w:t xml:space="preserve">appropriation estimates </w:t>
      </w:r>
      <w:r w:rsidR="00B353D1" w:rsidRPr="00582CB1">
        <w:t xml:space="preserve">for the </w:t>
      </w:r>
      <w:r w:rsidR="00A325D3" w:rsidRPr="00582CB1">
        <w:t>R</w:t>
      </w:r>
      <w:r w:rsidR="00C368A7" w:rsidRPr="00582CB1">
        <w:t xml:space="preserve">evised </w:t>
      </w:r>
      <w:r w:rsidR="00A325D3" w:rsidRPr="00582CB1">
        <w:t>B</w:t>
      </w:r>
      <w:r w:rsidR="00C368A7" w:rsidRPr="00582CB1">
        <w:t>udget (</w:t>
      </w:r>
      <w:r w:rsidR="00A325D3" w:rsidRPr="00582CB1">
        <w:t xml:space="preserve">i.e. </w:t>
      </w:r>
      <w:r w:rsidR="00C368A7" w:rsidRPr="00582CB1">
        <w:t>current</w:t>
      </w:r>
      <w:r w:rsidRPr="00582CB1">
        <w:t xml:space="preserve"> financial)</w:t>
      </w:r>
      <w:r w:rsidR="00C368A7" w:rsidRPr="00582CB1">
        <w:t xml:space="preserve"> year </w:t>
      </w:r>
      <w:r w:rsidR="00B353D1" w:rsidRPr="00582CB1">
        <w:t xml:space="preserve">may only be updated where </w:t>
      </w:r>
      <w:r w:rsidR="00D550B9" w:rsidRPr="00582CB1">
        <w:t>one of the following scenarios apply:</w:t>
      </w:r>
    </w:p>
    <w:p w14:paraId="3FE965FF" w14:textId="5A9FB97C" w:rsidR="00D550B9" w:rsidRPr="00582CB1" w:rsidRDefault="00D550B9" w:rsidP="00D81D32">
      <w:pPr>
        <w:pStyle w:val="NumberedList1"/>
        <w:numPr>
          <w:ilvl w:val="0"/>
          <w:numId w:val="22"/>
        </w:numPr>
        <w:ind w:left="993"/>
      </w:pPr>
      <w:r w:rsidRPr="00582CB1">
        <w:t xml:space="preserve">no-win, no-loss supplementation amount has been agreed by Finance in relation </w:t>
      </w:r>
      <w:r w:rsidR="00816BC1" w:rsidRPr="00582CB1">
        <w:t xml:space="preserve">to </w:t>
      </w:r>
      <w:r w:rsidRPr="00582CB1">
        <w:t xml:space="preserve">forex losses made on </w:t>
      </w:r>
      <w:r w:rsidR="00C368A7" w:rsidRPr="00582CB1">
        <w:t>departmental expenditure</w:t>
      </w:r>
      <w:r w:rsidRPr="00582CB1">
        <w:t xml:space="preserve"> for the prior or current financial year(s), or</w:t>
      </w:r>
    </w:p>
    <w:p w14:paraId="41510DD1" w14:textId="6E94B0AF" w:rsidR="00E75BED" w:rsidRPr="00582CB1" w:rsidRDefault="00D550B9" w:rsidP="00193F5E">
      <w:pPr>
        <w:pStyle w:val="NumberedList1"/>
        <w:numPr>
          <w:ilvl w:val="0"/>
          <w:numId w:val="22"/>
        </w:numPr>
        <w:spacing w:after="240"/>
        <w:ind w:left="992" w:hanging="357"/>
      </w:pPr>
      <w:proofErr w:type="gramStart"/>
      <w:r w:rsidRPr="00582CB1">
        <w:t>there</w:t>
      </w:r>
      <w:proofErr w:type="gramEnd"/>
      <w:r w:rsidRPr="00582CB1">
        <w:t xml:space="preserve"> is a pre-existing government decision to </w:t>
      </w:r>
      <w:r w:rsidR="00425CE9" w:rsidRPr="00582CB1">
        <w:t xml:space="preserve">provide </w:t>
      </w:r>
      <w:r w:rsidRPr="00582CB1">
        <w:t>supplementation on forex losses made in relation to administered activities</w:t>
      </w:r>
      <w:r w:rsidR="00A64970" w:rsidRPr="00582CB1">
        <w:t>/programs</w:t>
      </w:r>
      <w:r w:rsidR="00C368A7" w:rsidRPr="00582CB1">
        <w:t xml:space="preserve">. </w:t>
      </w:r>
    </w:p>
    <w:tbl>
      <w:tblPr>
        <w:tblStyle w:val="TableGrid"/>
        <w:tblW w:w="9072" w:type="dxa"/>
        <w:tblInd w:w="-5" w:type="dxa"/>
        <w:tblBorders>
          <w:top w:val="single" w:sz="4" w:space="0" w:color="BDDCDF" w:themeColor="accent1"/>
          <w:left w:val="single" w:sz="4" w:space="0" w:color="BDDCDF" w:themeColor="accent1"/>
          <w:bottom w:val="single" w:sz="4" w:space="0" w:color="BDDCDF" w:themeColor="accent1"/>
          <w:right w:val="single" w:sz="4" w:space="0" w:color="BDDCDF" w:themeColor="accent1"/>
          <w:insideH w:val="none" w:sz="0" w:space="0" w:color="auto"/>
          <w:insideV w:val="none" w:sz="0" w:space="0" w:color="auto"/>
        </w:tblBorders>
        <w:shd w:val="clear" w:color="auto" w:fill="B4B5E9"/>
        <w:tblLook w:val="04A0" w:firstRow="1" w:lastRow="0" w:firstColumn="1" w:lastColumn="0" w:noHBand="0" w:noVBand="1"/>
      </w:tblPr>
      <w:tblGrid>
        <w:gridCol w:w="9072"/>
      </w:tblGrid>
      <w:tr w:rsidR="00582CB1" w:rsidRPr="00582CB1" w14:paraId="475F938E" w14:textId="77777777" w:rsidTr="008E1F32">
        <w:tc>
          <w:tcPr>
            <w:tcW w:w="9072" w:type="dxa"/>
            <w:shd w:val="clear" w:color="auto" w:fill="B4B5E9"/>
          </w:tcPr>
          <w:p w14:paraId="58AADCA7" w14:textId="3858CA2E" w:rsidR="00B353D1" w:rsidRPr="00582CB1" w:rsidRDefault="00B353D1" w:rsidP="00B353D1">
            <w:pPr>
              <w:pStyle w:val="NumberedList1"/>
              <w:numPr>
                <w:ilvl w:val="0"/>
                <w:numId w:val="0"/>
              </w:numPr>
              <w:ind w:left="284" w:right="284"/>
              <w:rPr>
                <w:b/>
              </w:rPr>
            </w:pPr>
            <w:r w:rsidRPr="00582CB1">
              <w:rPr>
                <w:b/>
              </w:rPr>
              <w:t xml:space="preserve">Example 5: Updating </w:t>
            </w:r>
            <w:r w:rsidR="00D96FAB" w:rsidRPr="00582CB1">
              <w:rPr>
                <w:b/>
              </w:rPr>
              <w:t xml:space="preserve">departmental </w:t>
            </w:r>
            <w:r w:rsidRPr="00582CB1">
              <w:rPr>
                <w:b/>
              </w:rPr>
              <w:t>budget estimates</w:t>
            </w:r>
          </w:p>
          <w:p w14:paraId="7DD79ABE" w14:textId="7A62860C" w:rsidR="004C4B05" w:rsidRPr="00582CB1" w:rsidRDefault="00B353D1" w:rsidP="00DB775C">
            <w:pPr>
              <w:pStyle w:val="NumberedList1"/>
              <w:numPr>
                <w:ilvl w:val="0"/>
                <w:numId w:val="0"/>
              </w:numPr>
              <w:spacing w:line="240" w:lineRule="auto"/>
              <w:ind w:left="284" w:right="284"/>
            </w:pPr>
            <w:r w:rsidRPr="00582CB1">
              <w:t xml:space="preserve">An entity has forecast </w:t>
            </w:r>
            <w:r w:rsidR="004C4B05" w:rsidRPr="00582CB1">
              <w:t xml:space="preserve">departmental </w:t>
            </w:r>
            <w:r w:rsidRPr="00582CB1">
              <w:t>expenditure of $10</w:t>
            </w:r>
            <w:r w:rsidR="00766C0E" w:rsidRPr="00582CB1">
              <w:t>0</w:t>
            </w:r>
            <w:r w:rsidRPr="00582CB1">
              <w:t xml:space="preserve"> million per year</w:t>
            </w:r>
            <w:r w:rsidR="004C4B05" w:rsidRPr="00582CB1">
              <w:t xml:space="preserve"> over ten years, which involves p</w:t>
            </w:r>
            <w:r w:rsidR="00DB775C" w:rsidRPr="00582CB1">
              <w:t xml:space="preserve">urchasing services </w:t>
            </w:r>
            <w:r w:rsidR="004C4B05" w:rsidRPr="00582CB1">
              <w:t xml:space="preserve">from the United States. </w:t>
            </w:r>
            <w:r w:rsidR="002D31A9" w:rsidRPr="00582CB1">
              <w:t xml:space="preserve">The entity is currently in its second year of the ten-year contract. </w:t>
            </w:r>
          </w:p>
          <w:p w14:paraId="677A8A60" w14:textId="72D859DB" w:rsidR="00B353D1" w:rsidRPr="00582CB1" w:rsidRDefault="00B353D1" w:rsidP="00DB775C">
            <w:pPr>
              <w:pStyle w:val="NumberedList1"/>
              <w:numPr>
                <w:ilvl w:val="0"/>
                <w:numId w:val="0"/>
              </w:numPr>
              <w:spacing w:line="240" w:lineRule="auto"/>
              <w:ind w:left="284" w:right="284"/>
            </w:pPr>
            <w:r w:rsidRPr="00582CB1">
              <w:t xml:space="preserve">Updated BERs are </w:t>
            </w:r>
            <w:r w:rsidR="00DB775C" w:rsidRPr="00582CB1">
              <w:t>issued</w:t>
            </w:r>
            <w:r w:rsidRPr="00582CB1">
              <w:t>, which result</w:t>
            </w:r>
            <w:r w:rsidR="004C4B05" w:rsidRPr="00582CB1">
              <w:t>s</w:t>
            </w:r>
            <w:r w:rsidRPr="00582CB1">
              <w:t xml:space="preserve"> in a 5 per cent</w:t>
            </w:r>
            <w:r w:rsidR="004C4B05" w:rsidRPr="00582CB1">
              <w:t xml:space="preserve"> (or $</w:t>
            </w:r>
            <w:r w:rsidR="00766C0E" w:rsidRPr="00582CB1">
              <w:t>5</w:t>
            </w:r>
            <w:r w:rsidR="004C4B05" w:rsidRPr="00582CB1">
              <w:t xml:space="preserve"> million)</w:t>
            </w:r>
            <w:r w:rsidRPr="00582CB1">
              <w:t xml:space="preserve"> increase in expected expenditure in </w:t>
            </w:r>
            <w:r w:rsidR="004C4B05" w:rsidRPr="00582CB1">
              <w:t xml:space="preserve">each of </w:t>
            </w:r>
            <w:r w:rsidRPr="00582CB1">
              <w:t xml:space="preserve">the </w:t>
            </w:r>
            <w:r w:rsidR="004C4B05" w:rsidRPr="00582CB1">
              <w:t xml:space="preserve">revised budget, next budget and </w:t>
            </w:r>
            <w:r w:rsidRPr="00582CB1">
              <w:t>forward years.</w:t>
            </w:r>
          </w:p>
          <w:p w14:paraId="025BBC39" w14:textId="350D9DB5" w:rsidR="00B353D1" w:rsidRPr="00582CB1" w:rsidRDefault="004C4B05" w:rsidP="00DB775C">
            <w:pPr>
              <w:pStyle w:val="NumberedList1"/>
              <w:numPr>
                <w:ilvl w:val="0"/>
                <w:numId w:val="0"/>
              </w:numPr>
              <w:spacing w:line="240" w:lineRule="auto"/>
              <w:ind w:left="284" w:right="284"/>
            </w:pPr>
            <w:r w:rsidRPr="00582CB1">
              <w:t>To update its estimates, the entity enters the following adjustment in CBMS:</w:t>
            </w:r>
          </w:p>
          <w:tbl>
            <w:tblPr>
              <w:tblStyle w:val="TableGrid"/>
              <w:tblW w:w="0" w:type="auto"/>
              <w:tblInd w:w="2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61"/>
              <w:gridCol w:w="1265"/>
              <w:gridCol w:w="1265"/>
              <w:gridCol w:w="1266"/>
              <w:gridCol w:w="1265"/>
              <w:gridCol w:w="1266"/>
            </w:tblGrid>
            <w:tr w:rsidR="00582CB1" w:rsidRPr="00582CB1" w14:paraId="0E9A59EA" w14:textId="77777777" w:rsidTr="007132EC">
              <w:tc>
                <w:tcPr>
                  <w:tcW w:w="2061" w:type="dxa"/>
                </w:tcPr>
                <w:p w14:paraId="01BE23A5" w14:textId="0FCF8F85" w:rsidR="004C4B05" w:rsidRPr="00582CB1" w:rsidRDefault="004C4B05" w:rsidP="004C4B05">
                  <w:pPr>
                    <w:pStyle w:val="NumberedList1"/>
                    <w:numPr>
                      <w:ilvl w:val="0"/>
                      <w:numId w:val="0"/>
                    </w:numPr>
                    <w:spacing w:before="0" w:after="0" w:line="240" w:lineRule="auto"/>
                    <w:ind w:right="113"/>
                  </w:pPr>
                  <w:r w:rsidRPr="00582CB1">
                    <w:t>Account</w:t>
                  </w:r>
                </w:p>
              </w:tc>
              <w:tc>
                <w:tcPr>
                  <w:tcW w:w="1265" w:type="dxa"/>
                </w:tcPr>
                <w:p w14:paraId="40F9481A" w14:textId="71780B77" w:rsidR="004C4B05" w:rsidRPr="00582CB1" w:rsidRDefault="004C4B05" w:rsidP="004C4B05">
                  <w:pPr>
                    <w:pStyle w:val="NumberedList1"/>
                    <w:numPr>
                      <w:ilvl w:val="0"/>
                      <w:numId w:val="0"/>
                    </w:numPr>
                    <w:spacing w:before="0" w:after="0" w:line="240" w:lineRule="auto"/>
                    <w:ind w:right="113"/>
                    <w:jc w:val="right"/>
                  </w:pPr>
                  <w:r w:rsidRPr="00582CB1">
                    <w:t>Revised Budget (current financial year)</w:t>
                  </w:r>
                </w:p>
                <w:p w14:paraId="766A258A" w14:textId="6D458346" w:rsidR="004C4B05" w:rsidRPr="00582CB1" w:rsidRDefault="004C4B05" w:rsidP="00766C0E">
                  <w:pPr>
                    <w:pStyle w:val="NumberedList1"/>
                    <w:numPr>
                      <w:ilvl w:val="0"/>
                      <w:numId w:val="0"/>
                    </w:numPr>
                    <w:spacing w:before="0" w:after="0" w:line="240" w:lineRule="auto"/>
                    <w:ind w:right="113"/>
                    <w:jc w:val="right"/>
                  </w:pPr>
                  <w:r w:rsidRPr="00582CB1">
                    <w:t>$</w:t>
                  </w:r>
                  <w:r w:rsidR="00766C0E" w:rsidRPr="00582CB1">
                    <w:t>m</w:t>
                  </w:r>
                </w:p>
              </w:tc>
              <w:tc>
                <w:tcPr>
                  <w:tcW w:w="1265" w:type="dxa"/>
                </w:tcPr>
                <w:p w14:paraId="59CC6294" w14:textId="77777777" w:rsidR="004C4B05" w:rsidRPr="00582CB1" w:rsidRDefault="004C4B05" w:rsidP="004C4B05">
                  <w:pPr>
                    <w:pStyle w:val="NumberedList1"/>
                    <w:numPr>
                      <w:ilvl w:val="0"/>
                      <w:numId w:val="0"/>
                    </w:numPr>
                    <w:spacing w:before="0" w:after="0" w:line="240" w:lineRule="auto"/>
                    <w:ind w:right="113"/>
                    <w:jc w:val="right"/>
                  </w:pPr>
                  <w:r w:rsidRPr="00582CB1">
                    <w:t>Next Budget</w:t>
                  </w:r>
                </w:p>
                <w:p w14:paraId="612F0C9B" w14:textId="1C2DFBBB" w:rsidR="004C4B05" w:rsidRPr="00582CB1" w:rsidRDefault="004C4B05" w:rsidP="004C4B05">
                  <w:pPr>
                    <w:pStyle w:val="NumberedList1"/>
                    <w:numPr>
                      <w:ilvl w:val="0"/>
                      <w:numId w:val="0"/>
                    </w:numPr>
                    <w:spacing w:before="0" w:after="0" w:line="240" w:lineRule="auto"/>
                    <w:ind w:right="113"/>
                    <w:jc w:val="right"/>
                  </w:pPr>
                  <w:r w:rsidRPr="00582CB1">
                    <w:t>$m</w:t>
                  </w:r>
                </w:p>
              </w:tc>
              <w:tc>
                <w:tcPr>
                  <w:tcW w:w="1266" w:type="dxa"/>
                </w:tcPr>
                <w:p w14:paraId="271557D7" w14:textId="178AB658" w:rsidR="004C4B05" w:rsidRPr="00582CB1" w:rsidRDefault="004C4B05" w:rsidP="004C4B05">
                  <w:pPr>
                    <w:pStyle w:val="NumberedList1"/>
                    <w:numPr>
                      <w:ilvl w:val="0"/>
                      <w:numId w:val="0"/>
                    </w:numPr>
                    <w:spacing w:before="0" w:after="0" w:line="240" w:lineRule="auto"/>
                    <w:ind w:right="113"/>
                    <w:jc w:val="right"/>
                  </w:pPr>
                  <w:r w:rsidRPr="00582CB1">
                    <w:t xml:space="preserve">Forward </w:t>
                  </w:r>
                  <w:r w:rsidR="00E033BC">
                    <w:t>Year</w:t>
                  </w:r>
                  <w:r w:rsidR="00A64970" w:rsidRPr="00582CB1">
                    <w:t xml:space="preserve"> </w:t>
                  </w:r>
                  <w:r w:rsidRPr="00582CB1">
                    <w:t>1</w:t>
                  </w:r>
                </w:p>
                <w:p w14:paraId="65036F3F" w14:textId="73B9FB30" w:rsidR="004C4B05" w:rsidRPr="00582CB1" w:rsidRDefault="004C4B05" w:rsidP="004C4B05">
                  <w:pPr>
                    <w:pStyle w:val="NumberedList1"/>
                    <w:numPr>
                      <w:ilvl w:val="0"/>
                      <w:numId w:val="0"/>
                    </w:numPr>
                    <w:spacing w:before="0" w:after="0" w:line="240" w:lineRule="auto"/>
                    <w:ind w:right="113"/>
                    <w:jc w:val="right"/>
                  </w:pPr>
                  <w:r w:rsidRPr="00582CB1">
                    <w:t>$m</w:t>
                  </w:r>
                </w:p>
              </w:tc>
              <w:tc>
                <w:tcPr>
                  <w:tcW w:w="1265" w:type="dxa"/>
                </w:tcPr>
                <w:p w14:paraId="3C05829E" w14:textId="0CE19973" w:rsidR="004C4B05" w:rsidRPr="00582CB1" w:rsidRDefault="004C4B05" w:rsidP="004C4B05">
                  <w:pPr>
                    <w:pStyle w:val="NumberedList1"/>
                    <w:numPr>
                      <w:ilvl w:val="0"/>
                      <w:numId w:val="0"/>
                    </w:numPr>
                    <w:spacing w:before="0" w:after="0" w:line="240" w:lineRule="auto"/>
                    <w:ind w:right="113"/>
                    <w:jc w:val="right"/>
                  </w:pPr>
                  <w:r w:rsidRPr="00582CB1">
                    <w:t xml:space="preserve">Forward </w:t>
                  </w:r>
                  <w:r w:rsidR="00E033BC">
                    <w:t>Year</w:t>
                  </w:r>
                  <w:r w:rsidR="00A64970" w:rsidRPr="00582CB1">
                    <w:t xml:space="preserve"> </w:t>
                  </w:r>
                  <w:r w:rsidRPr="00582CB1">
                    <w:t>2</w:t>
                  </w:r>
                </w:p>
                <w:p w14:paraId="4FCFB507" w14:textId="5192A6B1" w:rsidR="004C4B05" w:rsidRPr="00582CB1" w:rsidRDefault="004C4B05" w:rsidP="004C4B05">
                  <w:pPr>
                    <w:pStyle w:val="NumberedList1"/>
                    <w:numPr>
                      <w:ilvl w:val="0"/>
                      <w:numId w:val="0"/>
                    </w:numPr>
                    <w:spacing w:before="0" w:after="0" w:line="240" w:lineRule="auto"/>
                    <w:ind w:right="113"/>
                    <w:jc w:val="right"/>
                  </w:pPr>
                  <w:r w:rsidRPr="00582CB1">
                    <w:t>$m</w:t>
                  </w:r>
                </w:p>
              </w:tc>
              <w:tc>
                <w:tcPr>
                  <w:tcW w:w="1266" w:type="dxa"/>
                </w:tcPr>
                <w:p w14:paraId="02BDCFBB" w14:textId="34EA7A3A" w:rsidR="004C4B05" w:rsidRPr="00582CB1" w:rsidRDefault="004C4B05" w:rsidP="004C4B05">
                  <w:pPr>
                    <w:pStyle w:val="NumberedList1"/>
                    <w:numPr>
                      <w:ilvl w:val="0"/>
                      <w:numId w:val="0"/>
                    </w:numPr>
                    <w:spacing w:before="0" w:after="0" w:line="240" w:lineRule="auto"/>
                    <w:ind w:right="113"/>
                    <w:jc w:val="right"/>
                  </w:pPr>
                  <w:r w:rsidRPr="00582CB1">
                    <w:t xml:space="preserve">Forward </w:t>
                  </w:r>
                  <w:r w:rsidR="00E033BC">
                    <w:t>Year</w:t>
                  </w:r>
                  <w:r w:rsidRPr="00582CB1">
                    <w:t xml:space="preserve"> 3</w:t>
                  </w:r>
                </w:p>
                <w:p w14:paraId="6E60B205" w14:textId="0306F860" w:rsidR="004C4B05" w:rsidRPr="00582CB1" w:rsidRDefault="004C4B05" w:rsidP="004C4B05">
                  <w:pPr>
                    <w:pStyle w:val="NumberedList1"/>
                    <w:numPr>
                      <w:ilvl w:val="0"/>
                      <w:numId w:val="0"/>
                    </w:numPr>
                    <w:spacing w:before="0" w:after="0" w:line="240" w:lineRule="auto"/>
                    <w:ind w:right="113"/>
                    <w:jc w:val="right"/>
                  </w:pPr>
                  <w:r w:rsidRPr="00582CB1">
                    <w:t>$m</w:t>
                  </w:r>
                </w:p>
              </w:tc>
            </w:tr>
            <w:tr w:rsidR="00582CB1" w:rsidRPr="00582CB1" w14:paraId="78A83058" w14:textId="77777777" w:rsidTr="007132EC">
              <w:tc>
                <w:tcPr>
                  <w:tcW w:w="2061" w:type="dxa"/>
                </w:tcPr>
                <w:p w14:paraId="52780F4B" w14:textId="6E041735" w:rsidR="004C4B05" w:rsidRPr="00582CB1" w:rsidRDefault="00DB775C" w:rsidP="004C4B05">
                  <w:pPr>
                    <w:pStyle w:val="NumberedList1"/>
                    <w:numPr>
                      <w:ilvl w:val="0"/>
                      <w:numId w:val="0"/>
                    </w:numPr>
                    <w:spacing w:before="0" w:after="0" w:line="240" w:lineRule="auto"/>
                    <w:ind w:right="113"/>
                  </w:pPr>
                  <w:r w:rsidRPr="00582CB1">
                    <w:t>Supply of goods and services expense</w:t>
                  </w:r>
                </w:p>
              </w:tc>
              <w:tc>
                <w:tcPr>
                  <w:tcW w:w="1265" w:type="dxa"/>
                </w:tcPr>
                <w:p w14:paraId="62EF8D4E" w14:textId="11F68DE1" w:rsidR="004C4B05" w:rsidRPr="00582CB1" w:rsidRDefault="004C4B05" w:rsidP="00766C0E">
                  <w:pPr>
                    <w:pStyle w:val="NumberedList1"/>
                    <w:numPr>
                      <w:ilvl w:val="0"/>
                      <w:numId w:val="0"/>
                    </w:numPr>
                    <w:spacing w:before="0" w:after="0" w:line="240" w:lineRule="auto"/>
                    <w:ind w:right="113"/>
                    <w:jc w:val="right"/>
                  </w:pPr>
                  <w:r w:rsidRPr="00582CB1">
                    <w:t>+</w:t>
                  </w:r>
                  <w:r w:rsidR="00766C0E" w:rsidRPr="00582CB1">
                    <w:t xml:space="preserve"> </w:t>
                  </w:r>
                  <w:r w:rsidRPr="00582CB1">
                    <w:t>5</w:t>
                  </w:r>
                </w:p>
              </w:tc>
              <w:tc>
                <w:tcPr>
                  <w:tcW w:w="1265" w:type="dxa"/>
                </w:tcPr>
                <w:p w14:paraId="1B0CDA1B" w14:textId="001F9E82" w:rsidR="004C4B05" w:rsidRPr="00582CB1" w:rsidRDefault="004C4B05" w:rsidP="004C4B05">
                  <w:pPr>
                    <w:pStyle w:val="NumberedList1"/>
                    <w:numPr>
                      <w:ilvl w:val="0"/>
                      <w:numId w:val="0"/>
                    </w:numPr>
                    <w:spacing w:before="0" w:after="0" w:line="240" w:lineRule="auto"/>
                    <w:ind w:right="113"/>
                    <w:jc w:val="right"/>
                  </w:pPr>
                  <w:r w:rsidRPr="00582CB1">
                    <w:t>+</w:t>
                  </w:r>
                  <w:r w:rsidR="00766C0E" w:rsidRPr="00582CB1">
                    <w:t xml:space="preserve"> </w:t>
                  </w:r>
                  <w:r w:rsidRPr="00582CB1">
                    <w:t>5</w:t>
                  </w:r>
                </w:p>
              </w:tc>
              <w:tc>
                <w:tcPr>
                  <w:tcW w:w="1266" w:type="dxa"/>
                </w:tcPr>
                <w:p w14:paraId="5717FF72" w14:textId="40E3150D" w:rsidR="004C4B05" w:rsidRPr="00582CB1" w:rsidRDefault="00766C0E" w:rsidP="004C4B05">
                  <w:pPr>
                    <w:pStyle w:val="NumberedList1"/>
                    <w:numPr>
                      <w:ilvl w:val="0"/>
                      <w:numId w:val="0"/>
                    </w:numPr>
                    <w:spacing w:before="0" w:after="0" w:line="240" w:lineRule="auto"/>
                    <w:ind w:right="113"/>
                    <w:jc w:val="right"/>
                  </w:pPr>
                  <w:r w:rsidRPr="00582CB1">
                    <w:t xml:space="preserve">+ </w:t>
                  </w:r>
                  <w:r w:rsidR="004C4B05" w:rsidRPr="00582CB1">
                    <w:t>5</w:t>
                  </w:r>
                </w:p>
              </w:tc>
              <w:tc>
                <w:tcPr>
                  <w:tcW w:w="1265" w:type="dxa"/>
                </w:tcPr>
                <w:p w14:paraId="4EAF96C0" w14:textId="52157B0E" w:rsidR="004C4B05" w:rsidRPr="00582CB1" w:rsidRDefault="00766C0E" w:rsidP="004C4B05">
                  <w:pPr>
                    <w:pStyle w:val="NumberedList1"/>
                    <w:numPr>
                      <w:ilvl w:val="0"/>
                      <w:numId w:val="0"/>
                    </w:numPr>
                    <w:spacing w:before="0" w:after="0" w:line="240" w:lineRule="auto"/>
                    <w:ind w:right="113"/>
                    <w:jc w:val="right"/>
                  </w:pPr>
                  <w:r w:rsidRPr="00582CB1">
                    <w:t xml:space="preserve">+ </w:t>
                  </w:r>
                  <w:r w:rsidR="004C4B05" w:rsidRPr="00582CB1">
                    <w:t>5</w:t>
                  </w:r>
                </w:p>
              </w:tc>
              <w:tc>
                <w:tcPr>
                  <w:tcW w:w="1266" w:type="dxa"/>
                </w:tcPr>
                <w:p w14:paraId="41371187" w14:textId="57E2C62A" w:rsidR="004C4B05" w:rsidRPr="00582CB1" w:rsidRDefault="00766C0E" w:rsidP="004C4B05">
                  <w:pPr>
                    <w:pStyle w:val="NumberedList1"/>
                    <w:numPr>
                      <w:ilvl w:val="0"/>
                      <w:numId w:val="0"/>
                    </w:numPr>
                    <w:spacing w:before="0" w:after="0" w:line="240" w:lineRule="auto"/>
                    <w:ind w:right="113"/>
                    <w:jc w:val="right"/>
                  </w:pPr>
                  <w:r w:rsidRPr="00582CB1">
                    <w:t xml:space="preserve">+ </w:t>
                  </w:r>
                  <w:r w:rsidR="004C4B05" w:rsidRPr="00582CB1">
                    <w:t>5</w:t>
                  </w:r>
                </w:p>
              </w:tc>
            </w:tr>
            <w:tr w:rsidR="00582CB1" w:rsidRPr="00582CB1" w14:paraId="4C5D2879" w14:textId="77777777" w:rsidTr="007132EC">
              <w:tc>
                <w:tcPr>
                  <w:tcW w:w="2061" w:type="dxa"/>
                </w:tcPr>
                <w:p w14:paraId="59F5162F" w14:textId="54C50388" w:rsidR="004C4B05" w:rsidRPr="00582CB1" w:rsidRDefault="004C4B05" w:rsidP="004C4B05">
                  <w:pPr>
                    <w:pStyle w:val="NumberedList1"/>
                    <w:numPr>
                      <w:ilvl w:val="0"/>
                      <w:numId w:val="0"/>
                    </w:numPr>
                    <w:spacing w:before="0" w:after="0" w:line="240" w:lineRule="auto"/>
                    <w:ind w:right="113"/>
                  </w:pPr>
                  <w:r w:rsidRPr="00582CB1">
                    <w:t>Cash at bank</w:t>
                  </w:r>
                </w:p>
              </w:tc>
              <w:tc>
                <w:tcPr>
                  <w:tcW w:w="1265" w:type="dxa"/>
                </w:tcPr>
                <w:p w14:paraId="2A60DFD8" w14:textId="079B84EA" w:rsidR="004C4B05" w:rsidRPr="00582CB1" w:rsidRDefault="002D31A9" w:rsidP="00766C0E">
                  <w:pPr>
                    <w:pStyle w:val="NumberedList1"/>
                    <w:numPr>
                      <w:ilvl w:val="0"/>
                      <w:numId w:val="0"/>
                    </w:numPr>
                    <w:spacing w:before="0" w:after="0" w:line="240" w:lineRule="auto"/>
                    <w:ind w:right="113"/>
                    <w:jc w:val="right"/>
                  </w:pPr>
                  <w:r w:rsidRPr="00582CB1">
                    <w:t>-</w:t>
                  </w:r>
                  <w:r w:rsidR="00766C0E" w:rsidRPr="00582CB1">
                    <w:t xml:space="preserve"> 5</w:t>
                  </w:r>
                </w:p>
              </w:tc>
              <w:tc>
                <w:tcPr>
                  <w:tcW w:w="1265" w:type="dxa"/>
                </w:tcPr>
                <w:p w14:paraId="617821FB" w14:textId="72C64DA3" w:rsidR="004C4B05" w:rsidRPr="00582CB1" w:rsidRDefault="002D31A9" w:rsidP="004C4B05">
                  <w:pPr>
                    <w:pStyle w:val="NumberedList1"/>
                    <w:numPr>
                      <w:ilvl w:val="0"/>
                      <w:numId w:val="0"/>
                    </w:numPr>
                    <w:spacing w:before="0" w:after="0" w:line="240" w:lineRule="auto"/>
                    <w:ind w:right="113"/>
                    <w:jc w:val="right"/>
                  </w:pPr>
                  <w:r w:rsidRPr="00582CB1">
                    <w:t>-</w:t>
                  </w:r>
                  <w:r w:rsidR="00766C0E" w:rsidRPr="00582CB1">
                    <w:t xml:space="preserve"> </w:t>
                  </w:r>
                  <w:r w:rsidR="004C4B05" w:rsidRPr="00582CB1">
                    <w:t>5</w:t>
                  </w:r>
                </w:p>
              </w:tc>
              <w:tc>
                <w:tcPr>
                  <w:tcW w:w="1266" w:type="dxa"/>
                </w:tcPr>
                <w:p w14:paraId="58BC8315" w14:textId="3F834800" w:rsidR="004C4B05" w:rsidRPr="00582CB1" w:rsidRDefault="002D31A9" w:rsidP="004C4B05">
                  <w:pPr>
                    <w:pStyle w:val="NumberedList1"/>
                    <w:numPr>
                      <w:ilvl w:val="0"/>
                      <w:numId w:val="0"/>
                    </w:numPr>
                    <w:spacing w:before="0" w:after="0" w:line="240" w:lineRule="auto"/>
                    <w:ind w:right="113"/>
                    <w:jc w:val="right"/>
                  </w:pPr>
                  <w:r w:rsidRPr="00582CB1">
                    <w:t>-</w:t>
                  </w:r>
                  <w:r w:rsidR="00766C0E" w:rsidRPr="00582CB1">
                    <w:t xml:space="preserve"> </w:t>
                  </w:r>
                  <w:r w:rsidR="004C4B05" w:rsidRPr="00582CB1">
                    <w:t>5</w:t>
                  </w:r>
                </w:p>
              </w:tc>
              <w:tc>
                <w:tcPr>
                  <w:tcW w:w="1265" w:type="dxa"/>
                </w:tcPr>
                <w:p w14:paraId="52FDA1DB" w14:textId="0DCDF55D" w:rsidR="004C4B05" w:rsidRPr="00582CB1" w:rsidRDefault="002D31A9" w:rsidP="004C4B05">
                  <w:pPr>
                    <w:pStyle w:val="NumberedList1"/>
                    <w:numPr>
                      <w:ilvl w:val="0"/>
                      <w:numId w:val="0"/>
                    </w:numPr>
                    <w:spacing w:before="0" w:after="0" w:line="240" w:lineRule="auto"/>
                    <w:ind w:right="113"/>
                    <w:jc w:val="right"/>
                  </w:pPr>
                  <w:r w:rsidRPr="00582CB1">
                    <w:t>-</w:t>
                  </w:r>
                  <w:r w:rsidR="00766C0E" w:rsidRPr="00582CB1">
                    <w:t xml:space="preserve"> </w:t>
                  </w:r>
                  <w:r w:rsidR="004C4B05" w:rsidRPr="00582CB1">
                    <w:t>5</w:t>
                  </w:r>
                </w:p>
              </w:tc>
              <w:tc>
                <w:tcPr>
                  <w:tcW w:w="1266" w:type="dxa"/>
                </w:tcPr>
                <w:p w14:paraId="6737379B" w14:textId="302E1823" w:rsidR="004C4B05" w:rsidRPr="00582CB1" w:rsidRDefault="002D31A9" w:rsidP="004C4B05">
                  <w:pPr>
                    <w:pStyle w:val="NumberedList1"/>
                    <w:numPr>
                      <w:ilvl w:val="0"/>
                      <w:numId w:val="0"/>
                    </w:numPr>
                    <w:spacing w:before="0" w:after="0" w:line="240" w:lineRule="auto"/>
                    <w:ind w:right="113"/>
                    <w:jc w:val="right"/>
                  </w:pPr>
                  <w:r w:rsidRPr="00582CB1">
                    <w:t>-</w:t>
                  </w:r>
                  <w:r w:rsidR="00766C0E" w:rsidRPr="00582CB1">
                    <w:t xml:space="preserve"> </w:t>
                  </w:r>
                  <w:r w:rsidR="004C4B05" w:rsidRPr="00582CB1">
                    <w:t>5</w:t>
                  </w:r>
                </w:p>
              </w:tc>
            </w:tr>
            <w:tr w:rsidR="00582CB1" w:rsidRPr="00582CB1" w14:paraId="0155B91A" w14:textId="77777777" w:rsidTr="007132EC">
              <w:trPr>
                <w:trHeight w:val="1185"/>
              </w:trPr>
              <w:tc>
                <w:tcPr>
                  <w:tcW w:w="2061" w:type="dxa"/>
                </w:tcPr>
                <w:p w14:paraId="73E5022B" w14:textId="465829D4" w:rsidR="004C4B05" w:rsidRPr="00582CB1" w:rsidRDefault="00DB775C" w:rsidP="00DB775C">
                  <w:pPr>
                    <w:pStyle w:val="NumberedList1"/>
                    <w:numPr>
                      <w:ilvl w:val="0"/>
                      <w:numId w:val="0"/>
                    </w:numPr>
                    <w:spacing w:before="0" w:after="0" w:line="240" w:lineRule="auto"/>
                    <w:ind w:right="113"/>
                  </w:pPr>
                  <w:r w:rsidRPr="00582CB1">
                    <w:t xml:space="preserve">Appropriation revenue - </w:t>
                  </w:r>
                  <w:r w:rsidR="00766C0E" w:rsidRPr="00582CB1">
                    <w:t xml:space="preserve"> Appropriation Bill (No. </w:t>
                  </w:r>
                  <w:r w:rsidRPr="00582CB1">
                    <w:t>1</w:t>
                  </w:r>
                  <w:r w:rsidR="00766C0E" w:rsidRPr="00582CB1">
                    <w:t>)</w:t>
                  </w:r>
                </w:p>
              </w:tc>
              <w:tc>
                <w:tcPr>
                  <w:tcW w:w="1265" w:type="dxa"/>
                </w:tcPr>
                <w:p w14:paraId="33911831" w14:textId="266AB397" w:rsidR="004C4B05" w:rsidRPr="00582CB1" w:rsidRDefault="004C4B05" w:rsidP="004C4B05">
                  <w:pPr>
                    <w:pStyle w:val="NumberedList1"/>
                    <w:numPr>
                      <w:ilvl w:val="0"/>
                      <w:numId w:val="0"/>
                    </w:numPr>
                    <w:spacing w:before="0" w:after="0" w:line="240" w:lineRule="auto"/>
                    <w:ind w:right="113"/>
                    <w:jc w:val="right"/>
                  </w:pPr>
                  <w:r w:rsidRPr="00582CB1">
                    <w:t>Nil</w:t>
                  </w:r>
                </w:p>
              </w:tc>
              <w:tc>
                <w:tcPr>
                  <w:tcW w:w="1265" w:type="dxa"/>
                </w:tcPr>
                <w:p w14:paraId="6059F148" w14:textId="4DB15857" w:rsidR="004C4B05" w:rsidRPr="00582CB1" w:rsidRDefault="00766C0E" w:rsidP="004C4B05">
                  <w:pPr>
                    <w:pStyle w:val="NumberedList1"/>
                    <w:numPr>
                      <w:ilvl w:val="0"/>
                      <w:numId w:val="0"/>
                    </w:numPr>
                    <w:spacing w:before="0" w:after="0" w:line="240" w:lineRule="auto"/>
                    <w:ind w:right="113"/>
                    <w:jc w:val="right"/>
                  </w:pPr>
                  <w:r w:rsidRPr="00582CB1">
                    <w:t xml:space="preserve">+ </w:t>
                  </w:r>
                  <w:r w:rsidR="004C4B05" w:rsidRPr="00582CB1">
                    <w:t>5</w:t>
                  </w:r>
                </w:p>
              </w:tc>
              <w:tc>
                <w:tcPr>
                  <w:tcW w:w="1266" w:type="dxa"/>
                </w:tcPr>
                <w:p w14:paraId="758A3D0E" w14:textId="3B04DF14" w:rsidR="004C4B05" w:rsidRPr="00582CB1" w:rsidRDefault="00766C0E" w:rsidP="004C4B05">
                  <w:pPr>
                    <w:pStyle w:val="NumberedList1"/>
                    <w:numPr>
                      <w:ilvl w:val="0"/>
                      <w:numId w:val="0"/>
                    </w:numPr>
                    <w:spacing w:before="0" w:after="0" w:line="240" w:lineRule="auto"/>
                    <w:ind w:right="113"/>
                    <w:jc w:val="right"/>
                  </w:pPr>
                  <w:r w:rsidRPr="00582CB1">
                    <w:t xml:space="preserve">+ </w:t>
                  </w:r>
                  <w:r w:rsidR="004C4B05" w:rsidRPr="00582CB1">
                    <w:t>5</w:t>
                  </w:r>
                </w:p>
              </w:tc>
              <w:tc>
                <w:tcPr>
                  <w:tcW w:w="1265" w:type="dxa"/>
                </w:tcPr>
                <w:p w14:paraId="5355437C" w14:textId="52A0A3C0" w:rsidR="004C4B05" w:rsidRPr="00582CB1" w:rsidRDefault="00766C0E" w:rsidP="004C4B05">
                  <w:pPr>
                    <w:pStyle w:val="NumberedList1"/>
                    <w:numPr>
                      <w:ilvl w:val="0"/>
                      <w:numId w:val="0"/>
                    </w:numPr>
                    <w:spacing w:before="0" w:after="0" w:line="240" w:lineRule="auto"/>
                    <w:ind w:right="113"/>
                    <w:jc w:val="right"/>
                  </w:pPr>
                  <w:r w:rsidRPr="00582CB1">
                    <w:t xml:space="preserve">+ </w:t>
                  </w:r>
                  <w:r w:rsidR="004C4B05" w:rsidRPr="00582CB1">
                    <w:t>5</w:t>
                  </w:r>
                </w:p>
              </w:tc>
              <w:tc>
                <w:tcPr>
                  <w:tcW w:w="1266" w:type="dxa"/>
                </w:tcPr>
                <w:p w14:paraId="090AE090" w14:textId="570BBAC9" w:rsidR="004C4B05" w:rsidRPr="00582CB1" w:rsidRDefault="004C4B05" w:rsidP="004C4B05">
                  <w:pPr>
                    <w:pStyle w:val="NumberedList1"/>
                    <w:numPr>
                      <w:ilvl w:val="0"/>
                      <w:numId w:val="0"/>
                    </w:numPr>
                    <w:spacing w:before="0" w:after="0" w:line="240" w:lineRule="auto"/>
                    <w:ind w:right="113"/>
                    <w:jc w:val="right"/>
                  </w:pPr>
                  <w:r w:rsidRPr="00582CB1">
                    <w:t>+</w:t>
                  </w:r>
                  <w:r w:rsidR="00766C0E" w:rsidRPr="00582CB1">
                    <w:t xml:space="preserve"> </w:t>
                  </w:r>
                  <w:r w:rsidRPr="00582CB1">
                    <w:t>5</w:t>
                  </w:r>
                </w:p>
              </w:tc>
            </w:tr>
          </w:tbl>
          <w:p w14:paraId="3CEC1147" w14:textId="28C960C9" w:rsidR="00B353D1" w:rsidRPr="00582CB1" w:rsidRDefault="00E75BED" w:rsidP="00C26170">
            <w:pPr>
              <w:pStyle w:val="NumberedList1"/>
              <w:numPr>
                <w:ilvl w:val="0"/>
                <w:numId w:val="0"/>
              </w:numPr>
              <w:ind w:left="284" w:right="284"/>
            </w:pPr>
            <w:r w:rsidRPr="00582CB1">
              <w:t xml:space="preserve">For the previous financial year (year one of the contract), the entity conducts a reconciliation as part of preparing its annual financial statements and identifies a forex loss of $6 million due to unfavourable movements in the exchange rate. </w:t>
            </w:r>
          </w:p>
        </w:tc>
      </w:tr>
      <w:tr w:rsidR="00582CB1" w:rsidRPr="00582CB1" w14:paraId="271BD214" w14:textId="77777777" w:rsidTr="008E1F32">
        <w:tc>
          <w:tcPr>
            <w:tcW w:w="9072" w:type="dxa"/>
            <w:shd w:val="clear" w:color="auto" w:fill="B4B5E9"/>
          </w:tcPr>
          <w:p w14:paraId="4BDCE3B2" w14:textId="77777777" w:rsidR="00C26170" w:rsidRDefault="00C26170" w:rsidP="00E75BED">
            <w:pPr>
              <w:pStyle w:val="NumberedList1"/>
              <w:numPr>
                <w:ilvl w:val="0"/>
                <w:numId w:val="0"/>
              </w:numPr>
              <w:ind w:left="284" w:right="284"/>
            </w:pPr>
            <w:bookmarkStart w:id="56" w:name="_GoBack"/>
            <w:r w:rsidRPr="00582CB1">
              <w:t xml:space="preserve">The entity seeks no-win, no-win supplementation for the prior year forex loss. The AAU agrees to the retrospective supplementation, as it is above the relevant thresholds (more than $5 million). The entity recognises the expected supplementation in its financial statements in accordance with </w:t>
            </w:r>
            <w:hyperlink r:id="rId27" w:history="1">
              <w:r w:rsidRPr="00582CB1">
                <w:rPr>
                  <w:rStyle w:val="Hyperlink"/>
                  <w:rFonts w:cstheme="minorBidi"/>
                </w:rPr>
                <w:t>RMG116 Accounting for annual appropriations</w:t>
              </w:r>
            </w:hyperlink>
            <w:r w:rsidRPr="00582CB1">
              <w:t>.</w:t>
            </w:r>
          </w:p>
          <w:p w14:paraId="71355C1E" w14:textId="3E9A9898" w:rsidR="00FD7D2F" w:rsidRPr="00582CB1" w:rsidRDefault="00FD7D2F" w:rsidP="00E75BED">
            <w:pPr>
              <w:pStyle w:val="NumberedList1"/>
              <w:numPr>
                <w:ilvl w:val="0"/>
                <w:numId w:val="0"/>
              </w:numPr>
              <w:ind w:left="284" w:right="284"/>
            </w:pPr>
          </w:p>
        </w:tc>
      </w:tr>
      <w:bookmarkEnd w:id="56"/>
      <w:tr w:rsidR="00582CB1" w:rsidRPr="00582CB1" w14:paraId="4942AFA6" w14:textId="77777777" w:rsidTr="008E1F32">
        <w:tc>
          <w:tcPr>
            <w:tcW w:w="9072" w:type="dxa"/>
            <w:shd w:val="clear" w:color="auto" w:fill="B4B5E9"/>
          </w:tcPr>
          <w:p w14:paraId="470776E0" w14:textId="77777777" w:rsidR="00E75BED" w:rsidRPr="00582CB1" w:rsidRDefault="00E75BED" w:rsidP="00E75BED">
            <w:pPr>
              <w:pStyle w:val="NumberedList1"/>
              <w:numPr>
                <w:ilvl w:val="0"/>
                <w:numId w:val="0"/>
              </w:numPr>
              <w:ind w:left="284" w:right="284"/>
            </w:pPr>
            <w:r w:rsidRPr="00582CB1">
              <w:lastRenderedPageBreak/>
              <w:t xml:space="preserve">To receive the actual supplementation through the next set of Appropriation Bills in February, the entity enters the following adjustment in Annual Estimates module of CBMS: </w:t>
            </w:r>
          </w:p>
          <w:tbl>
            <w:tblPr>
              <w:tblStyle w:val="TableGrid"/>
              <w:tblW w:w="0" w:type="auto"/>
              <w:tblInd w:w="28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61"/>
              <w:gridCol w:w="1265"/>
              <w:gridCol w:w="1265"/>
              <w:gridCol w:w="1266"/>
              <w:gridCol w:w="1265"/>
              <w:gridCol w:w="1266"/>
            </w:tblGrid>
            <w:tr w:rsidR="00582CB1" w:rsidRPr="00582CB1" w14:paraId="50AD0E92" w14:textId="77777777" w:rsidTr="007132EC">
              <w:tc>
                <w:tcPr>
                  <w:tcW w:w="2061" w:type="dxa"/>
                </w:tcPr>
                <w:p w14:paraId="04684EC4" w14:textId="77777777" w:rsidR="00E75BED" w:rsidRPr="00582CB1" w:rsidRDefault="00E75BED" w:rsidP="00E75BED">
                  <w:pPr>
                    <w:pStyle w:val="NumberedList1"/>
                    <w:numPr>
                      <w:ilvl w:val="0"/>
                      <w:numId w:val="0"/>
                    </w:numPr>
                    <w:spacing w:before="0" w:after="0" w:line="240" w:lineRule="auto"/>
                    <w:ind w:right="113"/>
                  </w:pPr>
                  <w:r w:rsidRPr="00582CB1">
                    <w:t>Account</w:t>
                  </w:r>
                </w:p>
              </w:tc>
              <w:tc>
                <w:tcPr>
                  <w:tcW w:w="1265" w:type="dxa"/>
                </w:tcPr>
                <w:p w14:paraId="30A26216" w14:textId="77777777" w:rsidR="00E75BED" w:rsidRPr="00582CB1" w:rsidRDefault="00E75BED" w:rsidP="00E75BED">
                  <w:pPr>
                    <w:pStyle w:val="NumberedList1"/>
                    <w:numPr>
                      <w:ilvl w:val="0"/>
                      <w:numId w:val="0"/>
                    </w:numPr>
                    <w:spacing w:before="0" w:after="0" w:line="240" w:lineRule="auto"/>
                    <w:ind w:right="113"/>
                    <w:jc w:val="right"/>
                  </w:pPr>
                  <w:r w:rsidRPr="00582CB1">
                    <w:t>Revised Budget (current financial year)</w:t>
                  </w:r>
                </w:p>
                <w:p w14:paraId="6099B843" w14:textId="77777777" w:rsidR="00E75BED" w:rsidRPr="00582CB1" w:rsidRDefault="00E75BED" w:rsidP="00E75BED">
                  <w:pPr>
                    <w:pStyle w:val="NumberedList1"/>
                    <w:numPr>
                      <w:ilvl w:val="0"/>
                      <w:numId w:val="0"/>
                    </w:numPr>
                    <w:spacing w:before="0" w:after="0" w:line="240" w:lineRule="auto"/>
                    <w:ind w:right="113"/>
                    <w:jc w:val="right"/>
                  </w:pPr>
                  <w:r w:rsidRPr="00582CB1">
                    <w:t>$m</w:t>
                  </w:r>
                </w:p>
              </w:tc>
              <w:tc>
                <w:tcPr>
                  <w:tcW w:w="1265" w:type="dxa"/>
                </w:tcPr>
                <w:p w14:paraId="043ECD1E" w14:textId="77777777" w:rsidR="00E75BED" w:rsidRPr="00582CB1" w:rsidRDefault="00E75BED" w:rsidP="00E75BED">
                  <w:pPr>
                    <w:pStyle w:val="NumberedList1"/>
                    <w:numPr>
                      <w:ilvl w:val="0"/>
                      <w:numId w:val="0"/>
                    </w:numPr>
                    <w:spacing w:before="0" w:after="0" w:line="240" w:lineRule="auto"/>
                    <w:ind w:right="113"/>
                    <w:jc w:val="right"/>
                  </w:pPr>
                  <w:r w:rsidRPr="00582CB1">
                    <w:t>Next Budget</w:t>
                  </w:r>
                </w:p>
                <w:p w14:paraId="784FA527" w14:textId="77777777" w:rsidR="00E75BED" w:rsidRPr="00582CB1" w:rsidRDefault="00E75BED" w:rsidP="00E75BED">
                  <w:pPr>
                    <w:pStyle w:val="NumberedList1"/>
                    <w:numPr>
                      <w:ilvl w:val="0"/>
                      <w:numId w:val="0"/>
                    </w:numPr>
                    <w:spacing w:before="0" w:after="0" w:line="240" w:lineRule="auto"/>
                    <w:ind w:right="113"/>
                    <w:jc w:val="right"/>
                  </w:pPr>
                  <w:r w:rsidRPr="00582CB1">
                    <w:t>$m</w:t>
                  </w:r>
                </w:p>
              </w:tc>
              <w:tc>
                <w:tcPr>
                  <w:tcW w:w="1266" w:type="dxa"/>
                </w:tcPr>
                <w:p w14:paraId="227FBE48" w14:textId="77777777" w:rsidR="00E75BED" w:rsidRPr="00582CB1" w:rsidRDefault="00E75BED" w:rsidP="00E75BED">
                  <w:pPr>
                    <w:pStyle w:val="NumberedList1"/>
                    <w:numPr>
                      <w:ilvl w:val="0"/>
                      <w:numId w:val="0"/>
                    </w:numPr>
                    <w:spacing w:before="0" w:after="0" w:line="240" w:lineRule="auto"/>
                    <w:ind w:right="113"/>
                    <w:jc w:val="right"/>
                  </w:pPr>
                  <w:r w:rsidRPr="00582CB1">
                    <w:t>Forward Year 1</w:t>
                  </w:r>
                </w:p>
                <w:p w14:paraId="19B3A667" w14:textId="77777777" w:rsidR="00E75BED" w:rsidRPr="00582CB1" w:rsidRDefault="00E75BED" w:rsidP="00E75BED">
                  <w:pPr>
                    <w:pStyle w:val="NumberedList1"/>
                    <w:numPr>
                      <w:ilvl w:val="0"/>
                      <w:numId w:val="0"/>
                    </w:numPr>
                    <w:spacing w:before="0" w:after="0" w:line="240" w:lineRule="auto"/>
                    <w:ind w:right="113"/>
                    <w:jc w:val="right"/>
                  </w:pPr>
                  <w:r w:rsidRPr="00582CB1">
                    <w:t>$m</w:t>
                  </w:r>
                </w:p>
              </w:tc>
              <w:tc>
                <w:tcPr>
                  <w:tcW w:w="1265" w:type="dxa"/>
                </w:tcPr>
                <w:p w14:paraId="1C037385" w14:textId="77777777" w:rsidR="00E75BED" w:rsidRPr="00582CB1" w:rsidRDefault="00E75BED" w:rsidP="00E75BED">
                  <w:pPr>
                    <w:pStyle w:val="NumberedList1"/>
                    <w:numPr>
                      <w:ilvl w:val="0"/>
                      <w:numId w:val="0"/>
                    </w:numPr>
                    <w:spacing w:before="0" w:after="0" w:line="240" w:lineRule="auto"/>
                    <w:ind w:right="113"/>
                    <w:jc w:val="right"/>
                  </w:pPr>
                  <w:r w:rsidRPr="00582CB1">
                    <w:t>Forward Year 2</w:t>
                  </w:r>
                </w:p>
                <w:p w14:paraId="4B736E56" w14:textId="77777777" w:rsidR="00E75BED" w:rsidRPr="00582CB1" w:rsidRDefault="00E75BED" w:rsidP="00E75BED">
                  <w:pPr>
                    <w:pStyle w:val="NumberedList1"/>
                    <w:numPr>
                      <w:ilvl w:val="0"/>
                      <w:numId w:val="0"/>
                    </w:numPr>
                    <w:spacing w:before="0" w:after="0" w:line="240" w:lineRule="auto"/>
                    <w:ind w:right="113"/>
                    <w:jc w:val="right"/>
                  </w:pPr>
                  <w:r w:rsidRPr="00582CB1">
                    <w:t>$m</w:t>
                  </w:r>
                </w:p>
              </w:tc>
              <w:tc>
                <w:tcPr>
                  <w:tcW w:w="1266" w:type="dxa"/>
                </w:tcPr>
                <w:p w14:paraId="265CBBDA" w14:textId="77777777" w:rsidR="00E75BED" w:rsidRPr="00582CB1" w:rsidRDefault="00E75BED" w:rsidP="00E75BED">
                  <w:pPr>
                    <w:pStyle w:val="NumberedList1"/>
                    <w:numPr>
                      <w:ilvl w:val="0"/>
                      <w:numId w:val="0"/>
                    </w:numPr>
                    <w:spacing w:before="0" w:after="0" w:line="240" w:lineRule="auto"/>
                    <w:ind w:right="113"/>
                    <w:jc w:val="right"/>
                  </w:pPr>
                  <w:r w:rsidRPr="00582CB1">
                    <w:t>Forward Year 3</w:t>
                  </w:r>
                </w:p>
                <w:p w14:paraId="4E9F4F2B" w14:textId="77777777" w:rsidR="00E75BED" w:rsidRPr="00582CB1" w:rsidRDefault="00E75BED" w:rsidP="00E75BED">
                  <w:pPr>
                    <w:pStyle w:val="NumberedList1"/>
                    <w:numPr>
                      <w:ilvl w:val="0"/>
                      <w:numId w:val="0"/>
                    </w:numPr>
                    <w:spacing w:before="0" w:after="0" w:line="240" w:lineRule="auto"/>
                    <w:ind w:right="113"/>
                    <w:jc w:val="right"/>
                  </w:pPr>
                  <w:r w:rsidRPr="00582CB1">
                    <w:t>$m</w:t>
                  </w:r>
                </w:p>
              </w:tc>
            </w:tr>
            <w:tr w:rsidR="00582CB1" w:rsidRPr="00582CB1" w14:paraId="05D1B18E" w14:textId="77777777" w:rsidTr="007132EC">
              <w:tc>
                <w:tcPr>
                  <w:tcW w:w="2061" w:type="dxa"/>
                </w:tcPr>
                <w:p w14:paraId="1A14CABD" w14:textId="77777777" w:rsidR="00E75BED" w:rsidRPr="00582CB1" w:rsidRDefault="00E75BED" w:rsidP="00E75BED">
                  <w:pPr>
                    <w:pStyle w:val="NumberedList1"/>
                    <w:numPr>
                      <w:ilvl w:val="0"/>
                      <w:numId w:val="0"/>
                    </w:numPr>
                    <w:spacing w:before="0" w:after="0" w:line="240" w:lineRule="auto"/>
                    <w:ind w:right="113"/>
                  </w:pPr>
                  <w:r w:rsidRPr="00582CB1">
                    <w:t>Appropriations receivable</w:t>
                  </w:r>
                </w:p>
              </w:tc>
              <w:tc>
                <w:tcPr>
                  <w:tcW w:w="1265" w:type="dxa"/>
                </w:tcPr>
                <w:p w14:paraId="2AB26404" w14:textId="77777777" w:rsidR="00E75BED" w:rsidRPr="00582CB1" w:rsidRDefault="00E75BED" w:rsidP="00E75BED">
                  <w:pPr>
                    <w:pStyle w:val="NumberedList1"/>
                    <w:numPr>
                      <w:ilvl w:val="0"/>
                      <w:numId w:val="0"/>
                    </w:numPr>
                    <w:spacing w:before="0" w:after="0" w:line="240" w:lineRule="auto"/>
                    <w:ind w:right="113"/>
                    <w:jc w:val="right"/>
                  </w:pPr>
                  <w:r w:rsidRPr="00582CB1">
                    <w:t>+ 6</w:t>
                  </w:r>
                </w:p>
              </w:tc>
              <w:tc>
                <w:tcPr>
                  <w:tcW w:w="1265" w:type="dxa"/>
                </w:tcPr>
                <w:p w14:paraId="18B3BF81" w14:textId="77777777" w:rsidR="00E75BED" w:rsidRPr="00582CB1" w:rsidRDefault="00E75BED" w:rsidP="00E75BED">
                  <w:pPr>
                    <w:pStyle w:val="NumberedList1"/>
                    <w:numPr>
                      <w:ilvl w:val="0"/>
                      <w:numId w:val="0"/>
                    </w:numPr>
                    <w:spacing w:before="0" w:after="0" w:line="240" w:lineRule="auto"/>
                    <w:ind w:right="113"/>
                    <w:jc w:val="right"/>
                  </w:pPr>
                  <w:r w:rsidRPr="00582CB1">
                    <w:t>Nil</w:t>
                  </w:r>
                </w:p>
              </w:tc>
              <w:tc>
                <w:tcPr>
                  <w:tcW w:w="1266" w:type="dxa"/>
                </w:tcPr>
                <w:p w14:paraId="42C6675E" w14:textId="77777777" w:rsidR="00E75BED" w:rsidRPr="00582CB1" w:rsidRDefault="00E75BED" w:rsidP="00E75BED">
                  <w:pPr>
                    <w:pStyle w:val="NumberedList1"/>
                    <w:numPr>
                      <w:ilvl w:val="0"/>
                      <w:numId w:val="0"/>
                    </w:numPr>
                    <w:spacing w:before="0" w:after="0" w:line="240" w:lineRule="auto"/>
                    <w:ind w:right="113"/>
                    <w:jc w:val="right"/>
                  </w:pPr>
                  <w:r w:rsidRPr="00582CB1">
                    <w:t>Nil</w:t>
                  </w:r>
                </w:p>
              </w:tc>
              <w:tc>
                <w:tcPr>
                  <w:tcW w:w="1265" w:type="dxa"/>
                </w:tcPr>
                <w:p w14:paraId="50786122" w14:textId="77777777" w:rsidR="00E75BED" w:rsidRPr="00582CB1" w:rsidRDefault="00E75BED" w:rsidP="00E75BED">
                  <w:pPr>
                    <w:pStyle w:val="NumberedList1"/>
                    <w:numPr>
                      <w:ilvl w:val="0"/>
                      <w:numId w:val="0"/>
                    </w:numPr>
                    <w:spacing w:before="0" w:after="0" w:line="240" w:lineRule="auto"/>
                    <w:ind w:right="113"/>
                    <w:jc w:val="right"/>
                  </w:pPr>
                  <w:r w:rsidRPr="00582CB1">
                    <w:t>Nil</w:t>
                  </w:r>
                </w:p>
              </w:tc>
              <w:tc>
                <w:tcPr>
                  <w:tcW w:w="1266" w:type="dxa"/>
                </w:tcPr>
                <w:p w14:paraId="353322FA" w14:textId="77777777" w:rsidR="00E75BED" w:rsidRPr="00582CB1" w:rsidRDefault="00E75BED" w:rsidP="00E75BED">
                  <w:pPr>
                    <w:pStyle w:val="NumberedList1"/>
                    <w:numPr>
                      <w:ilvl w:val="0"/>
                      <w:numId w:val="0"/>
                    </w:numPr>
                    <w:spacing w:before="0" w:after="0" w:line="240" w:lineRule="auto"/>
                    <w:ind w:right="113"/>
                    <w:jc w:val="right"/>
                  </w:pPr>
                  <w:r w:rsidRPr="00582CB1">
                    <w:t>Nil</w:t>
                  </w:r>
                </w:p>
              </w:tc>
            </w:tr>
            <w:tr w:rsidR="00582CB1" w:rsidRPr="00582CB1" w14:paraId="66EF7931" w14:textId="77777777" w:rsidTr="007132EC">
              <w:tc>
                <w:tcPr>
                  <w:tcW w:w="2061" w:type="dxa"/>
                </w:tcPr>
                <w:p w14:paraId="58955B2B" w14:textId="77777777" w:rsidR="00E75BED" w:rsidRPr="00582CB1" w:rsidRDefault="00E75BED" w:rsidP="00E75BED">
                  <w:pPr>
                    <w:pStyle w:val="NumberedList1"/>
                    <w:numPr>
                      <w:ilvl w:val="0"/>
                      <w:numId w:val="0"/>
                    </w:numPr>
                    <w:spacing w:before="0" w:after="0" w:line="240" w:lineRule="auto"/>
                    <w:ind w:right="113"/>
                  </w:pPr>
                  <w:r w:rsidRPr="00582CB1">
                    <w:t>Appropriation revenue – Appropriation Bill (No. 3)</w:t>
                  </w:r>
                </w:p>
              </w:tc>
              <w:tc>
                <w:tcPr>
                  <w:tcW w:w="1265" w:type="dxa"/>
                </w:tcPr>
                <w:p w14:paraId="74D75E81" w14:textId="77777777" w:rsidR="00E75BED" w:rsidRPr="00582CB1" w:rsidRDefault="00E75BED" w:rsidP="00E75BED">
                  <w:pPr>
                    <w:pStyle w:val="NumberedList1"/>
                    <w:numPr>
                      <w:ilvl w:val="0"/>
                      <w:numId w:val="0"/>
                    </w:numPr>
                    <w:spacing w:before="0" w:after="0" w:line="240" w:lineRule="auto"/>
                    <w:ind w:right="113"/>
                    <w:jc w:val="right"/>
                  </w:pPr>
                  <w:r w:rsidRPr="00582CB1">
                    <w:t>+ 6</w:t>
                  </w:r>
                </w:p>
              </w:tc>
              <w:tc>
                <w:tcPr>
                  <w:tcW w:w="1265" w:type="dxa"/>
                </w:tcPr>
                <w:p w14:paraId="05516B8F" w14:textId="77777777" w:rsidR="00E75BED" w:rsidRPr="00582CB1" w:rsidRDefault="00E75BED" w:rsidP="00E75BED">
                  <w:pPr>
                    <w:pStyle w:val="NumberedList1"/>
                    <w:numPr>
                      <w:ilvl w:val="0"/>
                      <w:numId w:val="0"/>
                    </w:numPr>
                    <w:spacing w:before="0" w:after="0" w:line="240" w:lineRule="auto"/>
                    <w:ind w:right="113"/>
                    <w:jc w:val="right"/>
                  </w:pPr>
                  <w:r w:rsidRPr="00582CB1">
                    <w:t>Nil</w:t>
                  </w:r>
                </w:p>
              </w:tc>
              <w:tc>
                <w:tcPr>
                  <w:tcW w:w="1266" w:type="dxa"/>
                </w:tcPr>
                <w:p w14:paraId="1F98079F" w14:textId="77777777" w:rsidR="00E75BED" w:rsidRPr="00582CB1" w:rsidRDefault="00E75BED" w:rsidP="00E75BED">
                  <w:pPr>
                    <w:pStyle w:val="NumberedList1"/>
                    <w:numPr>
                      <w:ilvl w:val="0"/>
                      <w:numId w:val="0"/>
                    </w:numPr>
                    <w:spacing w:before="0" w:after="0" w:line="240" w:lineRule="auto"/>
                    <w:ind w:right="113"/>
                    <w:jc w:val="right"/>
                  </w:pPr>
                  <w:r w:rsidRPr="00582CB1">
                    <w:t>Nil</w:t>
                  </w:r>
                </w:p>
              </w:tc>
              <w:tc>
                <w:tcPr>
                  <w:tcW w:w="1265" w:type="dxa"/>
                </w:tcPr>
                <w:p w14:paraId="26691ADB" w14:textId="77777777" w:rsidR="00E75BED" w:rsidRPr="00582CB1" w:rsidRDefault="00E75BED" w:rsidP="00E75BED">
                  <w:pPr>
                    <w:pStyle w:val="NumberedList1"/>
                    <w:numPr>
                      <w:ilvl w:val="0"/>
                      <w:numId w:val="0"/>
                    </w:numPr>
                    <w:spacing w:before="0" w:after="0" w:line="240" w:lineRule="auto"/>
                    <w:ind w:right="113"/>
                    <w:jc w:val="right"/>
                  </w:pPr>
                  <w:r w:rsidRPr="00582CB1">
                    <w:t>Nil</w:t>
                  </w:r>
                </w:p>
              </w:tc>
              <w:tc>
                <w:tcPr>
                  <w:tcW w:w="1266" w:type="dxa"/>
                </w:tcPr>
                <w:p w14:paraId="293810F6" w14:textId="77777777" w:rsidR="00E75BED" w:rsidRPr="00582CB1" w:rsidRDefault="00E75BED" w:rsidP="00E75BED">
                  <w:pPr>
                    <w:pStyle w:val="NumberedList1"/>
                    <w:numPr>
                      <w:ilvl w:val="0"/>
                      <w:numId w:val="0"/>
                    </w:numPr>
                    <w:spacing w:before="0" w:after="0" w:line="240" w:lineRule="auto"/>
                    <w:ind w:right="113"/>
                    <w:jc w:val="right"/>
                  </w:pPr>
                  <w:r w:rsidRPr="00582CB1">
                    <w:t>Nil</w:t>
                  </w:r>
                </w:p>
              </w:tc>
            </w:tr>
          </w:tbl>
          <w:p w14:paraId="760F6FD8" w14:textId="77777777" w:rsidR="00E75BED" w:rsidRPr="00582CB1" w:rsidRDefault="00E75BED" w:rsidP="00B353D1">
            <w:pPr>
              <w:pStyle w:val="NumberedList1"/>
              <w:numPr>
                <w:ilvl w:val="0"/>
                <w:numId w:val="0"/>
              </w:numPr>
              <w:ind w:left="284" w:right="284"/>
              <w:rPr>
                <w:b/>
              </w:rPr>
            </w:pPr>
          </w:p>
        </w:tc>
      </w:tr>
      <w:tr w:rsidR="00582CB1" w:rsidRPr="00582CB1" w14:paraId="4F7191BC" w14:textId="77777777" w:rsidTr="008E1F32">
        <w:trPr>
          <w:trHeight w:val="187"/>
        </w:trPr>
        <w:tc>
          <w:tcPr>
            <w:tcW w:w="9072" w:type="dxa"/>
            <w:shd w:val="clear" w:color="auto" w:fill="B4B5E9"/>
          </w:tcPr>
          <w:p w14:paraId="1AEE9FB5" w14:textId="77777777" w:rsidR="00193F5E" w:rsidRPr="00582CB1" w:rsidRDefault="00193F5E" w:rsidP="00E75BED">
            <w:pPr>
              <w:pStyle w:val="NumberedList1"/>
              <w:numPr>
                <w:ilvl w:val="0"/>
                <w:numId w:val="0"/>
              </w:numPr>
              <w:ind w:left="284" w:right="284"/>
            </w:pPr>
          </w:p>
        </w:tc>
      </w:tr>
    </w:tbl>
    <w:p w14:paraId="5A872902" w14:textId="55D48F70" w:rsidR="00C368A7" w:rsidRPr="00582CB1" w:rsidRDefault="00DB775C" w:rsidP="00794152">
      <w:pPr>
        <w:pStyle w:val="Heading3"/>
        <w:rPr>
          <w:color w:val="auto"/>
        </w:rPr>
      </w:pPr>
      <w:bookmarkStart w:id="57" w:name="_Toc72501404"/>
      <w:r w:rsidRPr="00582CB1">
        <w:rPr>
          <w:color w:val="auto"/>
        </w:rPr>
        <w:t xml:space="preserve">Departmental </w:t>
      </w:r>
      <w:r w:rsidR="006C5F48" w:rsidRPr="00582CB1">
        <w:rPr>
          <w:color w:val="auto"/>
        </w:rPr>
        <w:t xml:space="preserve">no-win, no-loss </w:t>
      </w:r>
      <w:r w:rsidRPr="00582CB1">
        <w:rPr>
          <w:color w:val="auto"/>
        </w:rPr>
        <w:t>supplementation</w:t>
      </w:r>
      <w:bookmarkEnd w:id="57"/>
    </w:p>
    <w:p w14:paraId="6A4D6EBB" w14:textId="3A9E44E4" w:rsidR="000979D0" w:rsidRPr="00582CB1" w:rsidRDefault="005C7816" w:rsidP="00DB775C">
      <w:pPr>
        <w:pStyle w:val="NumberedList1"/>
        <w:ind w:left="567" w:hanging="567"/>
      </w:pPr>
      <w:r w:rsidRPr="00582CB1">
        <w:t>Subject to the th</w:t>
      </w:r>
      <w:r w:rsidR="002636E5" w:rsidRPr="00582CB1">
        <w:t xml:space="preserve">resholds outlined in paragraph </w:t>
      </w:r>
      <w:r w:rsidRPr="00582CB1">
        <w:t xml:space="preserve">51 below, </w:t>
      </w:r>
      <w:r w:rsidR="00AB4D7F" w:rsidRPr="00582CB1">
        <w:t xml:space="preserve">all </w:t>
      </w:r>
      <w:r w:rsidR="00AF1743" w:rsidRPr="00582CB1">
        <w:t xml:space="preserve">relevant entities </w:t>
      </w:r>
      <w:r w:rsidR="000979D0" w:rsidRPr="00582CB1">
        <w:t>will have departmental appropriation estimates a</w:t>
      </w:r>
      <w:r w:rsidR="006C5F48" w:rsidRPr="00582CB1">
        <w:t xml:space="preserve">djusted on a </w:t>
      </w:r>
      <w:r w:rsidR="00A82520" w:rsidRPr="00582CB1">
        <w:t>‘</w:t>
      </w:r>
      <w:r w:rsidR="006C5F48" w:rsidRPr="00582CB1">
        <w:t>no</w:t>
      </w:r>
      <w:r w:rsidR="006C5F48" w:rsidRPr="00582CB1">
        <w:noBreakHyphen/>
      </w:r>
      <w:r w:rsidR="000979D0" w:rsidRPr="00582CB1">
        <w:t>win, no-loss</w:t>
      </w:r>
      <w:r w:rsidR="00A82520" w:rsidRPr="00582CB1">
        <w:t>’</w:t>
      </w:r>
      <w:r w:rsidR="000979D0" w:rsidRPr="00582CB1">
        <w:t xml:space="preserve"> basis for realised </w:t>
      </w:r>
      <w:r w:rsidR="001F5DC4" w:rsidRPr="00582CB1">
        <w:t xml:space="preserve">(actual) </w:t>
      </w:r>
      <w:r w:rsidR="000979D0" w:rsidRPr="00582CB1">
        <w:t>net forex gains as follows:</w:t>
      </w:r>
    </w:p>
    <w:p w14:paraId="379DF099" w14:textId="2AE84749" w:rsidR="000979D0" w:rsidRPr="00582CB1" w:rsidRDefault="000979D0" w:rsidP="00D81D32">
      <w:pPr>
        <w:pStyle w:val="NumberedList1"/>
        <w:numPr>
          <w:ilvl w:val="0"/>
          <w:numId w:val="22"/>
        </w:numPr>
        <w:ind w:left="851"/>
      </w:pPr>
      <w:r w:rsidRPr="00582CB1">
        <w:t>for realised forex losses</w:t>
      </w:r>
      <w:r w:rsidR="006C5F48" w:rsidRPr="00582CB1">
        <w:t xml:space="preserve"> (</w:t>
      </w:r>
      <w:r w:rsidR="003616E8" w:rsidRPr="00582CB1">
        <w:t>i.e.</w:t>
      </w:r>
      <w:r w:rsidR="006C5F48" w:rsidRPr="00582CB1">
        <w:t xml:space="preserve"> those typically identified as part of preparing annual financial statements)</w:t>
      </w:r>
      <w:r w:rsidRPr="00582CB1">
        <w:t>, supplementation for departmental appropriation</w:t>
      </w:r>
      <w:r w:rsidR="00112118" w:rsidRPr="00582CB1">
        <w:t>s</w:t>
      </w:r>
      <w:r w:rsidRPr="00582CB1">
        <w:t xml:space="preserve"> </w:t>
      </w:r>
      <w:r w:rsidR="00112118" w:rsidRPr="00582CB1">
        <w:t xml:space="preserve">for the current or previous financial year </w:t>
      </w:r>
      <w:r w:rsidR="006C5F48" w:rsidRPr="00582CB1">
        <w:t xml:space="preserve">will be provided through the next set of </w:t>
      </w:r>
      <w:r w:rsidRPr="00582CB1">
        <w:t>annual Appropriation Act</w:t>
      </w:r>
      <w:r w:rsidR="006C5F48" w:rsidRPr="00582CB1">
        <w:t>s, usually the Additional Estimates Appropriation Acts</w:t>
      </w:r>
    </w:p>
    <w:p w14:paraId="4123F04E" w14:textId="5142931F" w:rsidR="000979D0" w:rsidRPr="00582CB1" w:rsidRDefault="000979D0" w:rsidP="00D81D32">
      <w:pPr>
        <w:pStyle w:val="NumberedList1"/>
        <w:numPr>
          <w:ilvl w:val="0"/>
          <w:numId w:val="22"/>
        </w:numPr>
        <w:ind w:left="851"/>
      </w:pPr>
      <w:r w:rsidRPr="00582CB1">
        <w:t xml:space="preserve">for realised forex gains, the </w:t>
      </w:r>
      <w:r w:rsidR="00112118" w:rsidRPr="00582CB1">
        <w:t xml:space="preserve">excess </w:t>
      </w:r>
      <w:r w:rsidRPr="00582CB1">
        <w:t xml:space="preserve">cash amount </w:t>
      </w:r>
      <w:r w:rsidR="00112118" w:rsidRPr="00582CB1">
        <w:t xml:space="preserve">for the current or previous financial year </w:t>
      </w:r>
      <w:r w:rsidRPr="00582CB1">
        <w:t xml:space="preserve">must </w:t>
      </w:r>
      <w:r w:rsidR="006C5F48" w:rsidRPr="00582CB1">
        <w:t xml:space="preserve">either </w:t>
      </w:r>
      <w:r w:rsidRPr="00582CB1">
        <w:t xml:space="preserve">be remitted to </w:t>
      </w:r>
      <w:r w:rsidR="00302512" w:rsidRPr="00582CB1">
        <w:t>the Official Public Account</w:t>
      </w:r>
      <w:r w:rsidR="001F5DC4" w:rsidRPr="00582CB1">
        <w:t xml:space="preserve"> (OPA)</w:t>
      </w:r>
      <w:r w:rsidR="00966ADE" w:rsidRPr="00582CB1">
        <w:t xml:space="preserve"> or withheld under section 51 of the PGPA Act</w:t>
      </w:r>
    </w:p>
    <w:p w14:paraId="1AC6A832" w14:textId="30FD49B0" w:rsidR="000979D0" w:rsidRPr="00582CB1" w:rsidRDefault="000979D0" w:rsidP="00D81D32">
      <w:pPr>
        <w:pStyle w:val="NumberedList1"/>
        <w:numPr>
          <w:ilvl w:val="0"/>
          <w:numId w:val="22"/>
        </w:numPr>
        <w:ind w:left="851"/>
      </w:pPr>
      <w:proofErr w:type="gramStart"/>
      <w:r w:rsidRPr="00582CB1">
        <w:t>for</w:t>
      </w:r>
      <w:proofErr w:type="gramEnd"/>
      <w:r w:rsidRPr="00582CB1">
        <w:t xml:space="preserve"> forex exposures, the most recent </w:t>
      </w:r>
      <w:r w:rsidR="00A61EF3" w:rsidRPr="00582CB1">
        <w:t>BERs</w:t>
      </w:r>
      <w:r w:rsidRPr="00582CB1">
        <w:t xml:space="preserve"> (provided at each estimates update) should be used to update appropriation estimates</w:t>
      </w:r>
      <w:r w:rsidR="00112118" w:rsidRPr="00582CB1">
        <w:t xml:space="preserve"> for the forward estimate years only (not the current or prior financial years)</w:t>
      </w:r>
      <w:r w:rsidRPr="00582CB1">
        <w:t xml:space="preserve">.  </w:t>
      </w:r>
    </w:p>
    <w:p w14:paraId="35199C4B" w14:textId="2E2400C2" w:rsidR="006026E9" w:rsidRPr="00582CB1" w:rsidRDefault="006026E9" w:rsidP="006026E9">
      <w:pPr>
        <w:pStyle w:val="NumberedList1"/>
        <w:numPr>
          <w:ilvl w:val="0"/>
          <w:numId w:val="0"/>
        </w:numPr>
        <w:ind w:left="360"/>
      </w:pPr>
      <w:r w:rsidRPr="00582CB1">
        <w:t xml:space="preserve">Where an entity considers supplementation may be required </w:t>
      </w:r>
      <w:r w:rsidR="008A2162" w:rsidRPr="00582CB1">
        <w:t>for the current financial year</w:t>
      </w:r>
      <w:r w:rsidRPr="00582CB1">
        <w:t xml:space="preserve">, they should contact their AAU to discuss the realised forex losses </w:t>
      </w:r>
      <w:r w:rsidR="005F76BE" w:rsidRPr="00582CB1">
        <w:t xml:space="preserve">made to </w:t>
      </w:r>
      <w:r w:rsidRPr="00582CB1">
        <w:t xml:space="preserve">date. </w:t>
      </w:r>
    </w:p>
    <w:p w14:paraId="522F410F" w14:textId="089540A7" w:rsidR="00112118" w:rsidRPr="00582CB1" w:rsidRDefault="001D5232" w:rsidP="00DB775C">
      <w:pPr>
        <w:pStyle w:val="NumberedList1"/>
        <w:ind w:left="567" w:hanging="567"/>
      </w:pPr>
      <w:r w:rsidRPr="00582CB1">
        <w:t xml:space="preserve">Entities </w:t>
      </w:r>
      <w:r w:rsidR="000979D0" w:rsidRPr="00582CB1">
        <w:t>can claim supplementation for</w:t>
      </w:r>
      <w:r w:rsidR="001F5DC4" w:rsidRPr="00582CB1">
        <w:t xml:space="preserve"> depar</w:t>
      </w:r>
      <w:r w:rsidR="00B42874" w:rsidRPr="00582CB1">
        <w:t>t</w:t>
      </w:r>
      <w:r w:rsidR="001F5DC4" w:rsidRPr="00582CB1">
        <w:t>mental</w:t>
      </w:r>
      <w:r w:rsidR="000979D0" w:rsidRPr="00582CB1">
        <w:t xml:space="preserve"> forex losses</w:t>
      </w:r>
      <w:r w:rsidR="00112118" w:rsidRPr="00582CB1">
        <w:t xml:space="preserve"> and</w:t>
      </w:r>
      <w:r w:rsidR="00191095" w:rsidRPr="00582CB1">
        <w:t>/or</w:t>
      </w:r>
      <w:r w:rsidR="00112118" w:rsidRPr="00582CB1">
        <w:t xml:space="preserve"> </w:t>
      </w:r>
      <w:r w:rsidR="000979D0" w:rsidRPr="00582CB1">
        <w:t xml:space="preserve">must return forex gains to the </w:t>
      </w:r>
      <w:r w:rsidR="00430485" w:rsidRPr="00582CB1">
        <w:t>OPA</w:t>
      </w:r>
      <w:r w:rsidR="00966ADE" w:rsidRPr="00582CB1">
        <w:t xml:space="preserve"> (or amounts</w:t>
      </w:r>
      <w:r w:rsidR="00191095" w:rsidRPr="00582CB1">
        <w:t xml:space="preserve"> will be</w:t>
      </w:r>
      <w:r w:rsidR="00966ADE" w:rsidRPr="00582CB1">
        <w:t xml:space="preserve"> withheld under section 51 of the PGPA Act)</w:t>
      </w:r>
      <w:r w:rsidR="000979D0" w:rsidRPr="00582CB1">
        <w:t>, if the net forex loss/gain is greater than</w:t>
      </w:r>
      <w:r w:rsidR="00AD4175" w:rsidRPr="00582CB1">
        <w:t xml:space="preserve"> either of the following thresholds</w:t>
      </w:r>
      <w:r w:rsidR="00112118" w:rsidRPr="00582CB1">
        <w:t>:</w:t>
      </w:r>
    </w:p>
    <w:p w14:paraId="79DFAD72" w14:textId="0FCBF8ED" w:rsidR="00112118" w:rsidRPr="00582CB1" w:rsidRDefault="000979D0" w:rsidP="00D81D32">
      <w:pPr>
        <w:pStyle w:val="NumberedList3"/>
        <w:numPr>
          <w:ilvl w:val="2"/>
          <w:numId w:val="24"/>
        </w:numPr>
      </w:pPr>
      <w:r w:rsidRPr="00582CB1">
        <w:t>AUD 5 million</w:t>
      </w:r>
      <w:r w:rsidR="00112118" w:rsidRPr="00582CB1">
        <w:t>; or</w:t>
      </w:r>
    </w:p>
    <w:p w14:paraId="150DD5D1" w14:textId="77777777" w:rsidR="00112118" w:rsidRPr="00582CB1" w:rsidRDefault="000979D0" w:rsidP="00D81D32">
      <w:pPr>
        <w:pStyle w:val="NumberedList3"/>
        <w:numPr>
          <w:ilvl w:val="2"/>
          <w:numId w:val="24"/>
        </w:numPr>
      </w:pPr>
      <w:proofErr w:type="gramStart"/>
      <w:r w:rsidRPr="00582CB1">
        <w:t>one</w:t>
      </w:r>
      <w:proofErr w:type="gramEnd"/>
      <w:r w:rsidRPr="00582CB1">
        <w:t xml:space="preserve"> per cent of the entity’s departmental appropriations</w:t>
      </w:r>
      <w:r w:rsidR="00112118" w:rsidRPr="00582CB1">
        <w:t xml:space="preserve"> for that financial year (operating and capital combined)</w:t>
      </w:r>
      <w:r w:rsidRPr="00582CB1">
        <w:t xml:space="preserve">. </w:t>
      </w:r>
    </w:p>
    <w:p w14:paraId="4ED07FE0" w14:textId="416F97EA" w:rsidR="000979D0" w:rsidRPr="00582CB1" w:rsidRDefault="000979D0" w:rsidP="001B2135">
      <w:pPr>
        <w:pStyle w:val="NumberedList2"/>
        <w:numPr>
          <w:ilvl w:val="0"/>
          <w:numId w:val="0"/>
        </w:numPr>
        <w:ind w:left="568"/>
      </w:pPr>
      <w:r w:rsidRPr="00582CB1">
        <w:t>Any amounts below these thresholds will not be eligible for supplementation</w:t>
      </w:r>
      <w:r w:rsidR="00FB0621" w:rsidRPr="00582CB1">
        <w:t xml:space="preserve"> and gains </w:t>
      </w:r>
      <w:r w:rsidRPr="00582CB1">
        <w:t>may be retained by the entity.</w:t>
      </w:r>
    </w:p>
    <w:p w14:paraId="7123C29F" w14:textId="3A99FA79" w:rsidR="00606E4C" w:rsidRPr="00582CB1" w:rsidRDefault="00606E4C" w:rsidP="002636E5">
      <w:pPr>
        <w:pStyle w:val="NumberedList1"/>
        <w:ind w:left="567" w:hanging="567"/>
      </w:pPr>
      <w:r w:rsidRPr="00582CB1">
        <w:lastRenderedPageBreak/>
        <w:t xml:space="preserve">Any entity may apply for an exemption from the forex policy. In these cases, the entity still needs to demonstrate why an exemption is required and that the granting of an exemption by the Finance Minister will not adversely affect the Australian Government. The exemption will mean that the entity will be allowed to undertake hedging and will not have to return realised forex gains to the OPA/have amounts withheld under section 51 of the PGPA Act. However the entity will not be eligible for supplementation and will still be required to comply with the reporting requirements. Please refer to </w:t>
      </w:r>
      <w:hyperlink w:anchor="_Appendix_A_–" w:history="1">
        <w:r w:rsidRPr="00582CB1">
          <w:rPr>
            <w:rStyle w:val="Hyperlink"/>
          </w:rPr>
          <w:t>Appendix A. Obtaining an Exemption</w:t>
        </w:r>
      </w:hyperlink>
      <w:r w:rsidRPr="00582CB1">
        <w:t xml:space="preserve"> for further information.</w:t>
      </w:r>
    </w:p>
    <w:p w14:paraId="4E27622F" w14:textId="443F7F71" w:rsidR="00C368A7" w:rsidRPr="00582CB1" w:rsidRDefault="006C5F48" w:rsidP="00794152">
      <w:pPr>
        <w:pStyle w:val="Heading3"/>
        <w:rPr>
          <w:color w:val="auto"/>
        </w:rPr>
      </w:pPr>
      <w:bookmarkStart w:id="58" w:name="_Toc72501405"/>
      <w:r w:rsidRPr="00582CB1">
        <w:rPr>
          <w:color w:val="auto"/>
        </w:rPr>
        <w:t>Administered supplementation</w:t>
      </w:r>
      <w:bookmarkEnd w:id="58"/>
    </w:p>
    <w:p w14:paraId="34BBDB48" w14:textId="77777777" w:rsidR="00FC4031" w:rsidRPr="00582CB1" w:rsidRDefault="00B42874" w:rsidP="00DB775C">
      <w:pPr>
        <w:pStyle w:val="NumberedList1"/>
        <w:ind w:left="567" w:hanging="567"/>
      </w:pPr>
      <w:r w:rsidRPr="00582CB1">
        <w:t xml:space="preserve">Supplementation is not </w:t>
      </w:r>
      <w:r w:rsidR="006C5F48" w:rsidRPr="00582CB1">
        <w:t xml:space="preserve">automatically </w:t>
      </w:r>
      <w:r w:rsidRPr="00582CB1">
        <w:t xml:space="preserve">available for </w:t>
      </w:r>
      <w:r w:rsidR="006C5F48" w:rsidRPr="00582CB1">
        <w:t xml:space="preserve">forex losses made on </w:t>
      </w:r>
      <w:r w:rsidRPr="00582CB1">
        <w:t>administered activities/programs</w:t>
      </w:r>
      <w:r w:rsidR="00FC4031" w:rsidRPr="00582CB1">
        <w:t xml:space="preserve">. </w:t>
      </w:r>
    </w:p>
    <w:p w14:paraId="47805DE2" w14:textId="7FB22040" w:rsidR="006C5F48" w:rsidRPr="00582CB1" w:rsidRDefault="00FC4031" w:rsidP="00DB775C">
      <w:pPr>
        <w:pStyle w:val="NumberedList1"/>
        <w:ind w:left="567" w:hanging="567"/>
      </w:pPr>
      <w:r w:rsidRPr="00582CB1">
        <w:t>F</w:t>
      </w:r>
      <w:r w:rsidR="00B42874" w:rsidRPr="00582CB1">
        <w:t xml:space="preserve">orex gains </w:t>
      </w:r>
      <w:r w:rsidRPr="00582CB1">
        <w:t xml:space="preserve">made on administered activities/programs </w:t>
      </w:r>
      <w:r w:rsidR="00B42874" w:rsidRPr="00582CB1">
        <w:t xml:space="preserve">are to be returned to the OPA </w:t>
      </w:r>
      <w:r w:rsidR="002D799B" w:rsidRPr="00582CB1">
        <w:t xml:space="preserve">or amounts will need to be withheld under section 51 of the PGPA Act by the end of the financial year, </w:t>
      </w:r>
      <w:r w:rsidR="00B42874" w:rsidRPr="00582CB1">
        <w:t xml:space="preserve">as </w:t>
      </w:r>
      <w:r w:rsidR="002D799B" w:rsidRPr="00582CB1">
        <w:t>administered forex gains</w:t>
      </w:r>
      <w:r w:rsidR="00B42874" w:rsidRPr="00582CB1">
        <w:t xml:space="preserve"> cannot be retained under the </w:t>
      </w:r>
      <w:r w:rsidR="002D799B" w:rsidRPr="00582CB1">
        <w:t xml:space="preserve">section 74 of </w:t>
      </w:r>
      <w:r w:rsidR="00B42874" w:rsidRPr="00582CB1">
        <w:t xml:space="preserve">PGPA Act and </w:t>
      </w:r>
      <w:r w:rsidR="002D799B" w:rsidRPr="00582CB1">
        <w:t xml:space="preserve">section 27 of the </w:t>
      </w:r>
      <w:r w:rsidR="00B42874" w:rsidRPr="00582CB1">
        <w:t xml:space="preserve">PGPA Rule. </w:t>
      </w:r>
    </w:p>
    <w:p w14:paraId="79BEFCB6" w14:textId="09A5C5EF" w:rsidR="005C7238" w:rsidRPr="00582CB1" w:rsidRDefault="005C7238" w:rsidP="005C7238">
      <w:pPr>
        <w:pStyle w:val="NumberedList1"/>
        <w:ind w:left="567" w:hanging="567"/>
      </w:pPr>
      <w:r w:rsidRPr="00582CB1">
        <w:t xml:space="preserve">Where an entity is likely to make a forex loss in the current financial year, an entity may seek Finance agreement to use other funding sources to cover the additional costs in the short-term, such as using prior year appropriations where available, underspends from another administered program within the same outcome, or if the expenditure </w:t>
      </w:r>
      <w:r w:rsidR="009C13AA" w:rsidRPr="00582CB1">
        <w:t>fits within certain legislated requirements</w:t>
      </w:r>
      <w:r w:rsidR="005A379D" w:rsidRPr="00582CB1">
        <w:t>,</w:t>
      </w:r>
      <w:r w:rsidR="009C13AA" w:rsidRPr="00582CB1">
        <w:t xml:space="preserve"> seeking an allocation from the Advance to the Finance Minister provisions (see the </w:t>
      </w:r>
      <w:hyperlink r:id="rId28" w:history="1">
        <w:r w:rsidR="009C13AA" w:rsidRPr="00582CB1">
          <w:rPr>
            <w:rStyle w:val="Hyperlink"/>
            <w:rFonts w:cstheme="minorBidi"/>
          </w:rPr>
          <w:t>RMG100 Guide to Appropriations</w:t>
        </w:r>
      </w:hyperlink>
      <w:r w:rsidR="009C13AA" w:rsidRPr="00582CB1">
        <w:t xml:space="preserve"> for more information on the Advance to the Finance Minister). </w:t>
      </w:r>
    </w:p>
    <w:p w14:paraId="314121AC" w14:textId="64431A12" w:rsidR="006C5F48" w:rsidRPr="00582CB1" w:rsidRDefault="00B42874" w:rsidP="00945586">
      <w:pPr>
        <w:pStyle w:val="NumberedList1"/>
        <w:ind w:left="567" w:hanging="567"/>
      </w:pPr>
      <w:r w:rsidRPr="00582CB1">
        <w:t xml:space="preserve">Should entities </w:t>
      </w:r>
      <w:r w:rsidR="009C13AA" w:rsidRPr="00582CB1">
        <w:t>be</w:t>
      </w:r>
      <w:r w:rsidR="005C7238" w:rsidRPr="00582CB1">
        <w:t xml:space="preserve"> unable to identify alternative funding</w:t>
      </w:r>
      <w:r w:rsidRPr="00582CB1">
        <w:t xml:space="preserve"> </w:t>
      </w:r>
      <w:r w:rsidR="005C7238" w:rsidRPr="00582CB1">
        <w:t xml:space="preserve">sources </w:t>
      </w:r>
      <w:r w:rsidRPr="00582CB1">
        <w:t xml:space="preserve">to cover expected </w:t>
      </w:r>
      <w:r w:rsidR="006C5F48" w:rsidRPr="00582CB1">
        <w:t xml:space="preserve">administered </w:t>
      </w:r>
      <w:r w:rsidRPr="00582CB1">
        <w:t>forex losses</w:t>
      </w:r>
      <w:r w:rsidR="005C7238" w:rsidRPr="00582CB1">
        <w:t>, or if forex losses are expected over a longer period</w:t>
      </w:r>
      <w:r w:rsidRPr="00582CB1">
        <w:t xml:space="preserve">, </w:t>
      </w:r>
      <w:r w:rsidR="005C7238" w:rsidRPr="00582CB1">
        <w:t>they may seek funding</w:t>
      </w:r>
      <w:r w:rsidRPr="00582CB1">
        <w:t xml:space="preserve"> through the normal Budget processes</w:t>
      </w:r>
      <w:r w:rsidR="006C5F48" w:rsidRPr="00582CB1">
        <w:t xml:space="preserve">, for example, seeking an explicit government decision to </w:t>
      </w:r>
      <w:r w:rsidR="00D96FAB" w:rsidRPr="00582CB1">
        <w:t xml:space="preserve">ongoing estimate variations to </w:t>
      </w:r>
      <w:r w:rsidR="006C5F48" w:rsidRPr="00582CB1">
        <w:t xml:space="preserve">activity/program funding </w:t>
      </w:r>
      <w:r w:rsidR="00D96FAB" w:rsidRPr="00582CB1">
        <w:t xml:space="preserve">in relation to </w:t>
      </w:r>
      <w:r w:rsidR="006C5F48" w:rsidRPr="00582CB1">
        <w:t>exchange rate</w:t>
      </w:r>
      <w:r w:rsidR="00D96FAB" w:rsidRPr="00582CB1">
        <w:t xml:space="preserve"> movement</w:t>
      </w:r>
      <w:r w:rsidR="006C5F48" w:rsidRPr="00582CB1">
        <w:t>s</w:t>
      </w:r>
      <w:r w:rsidR="005C7238" w:rsidRPr="00582CB1">
        <w:t xml:space="preserve"> or seeking one-off supplementation through the next set of Appropriation Bills</w:t>
      </w:r>
      <w:r w:rsidRPr="00582CB1">
        <w:t xml:space="preserve">. </w:t>
      </w:r>
      <w:r w:rsidR="00AD4175" w:rsidRPr="00582CB1">
        <w:t xml:space="preserve">Entities should contact their AAU for advice </w:t>
      </w:r>
      <w:r w:rsidR="006C5F48" w:rsidRPr="00582CB1">
        <w:t xml:space="preserve">on how they can seek </w:t>
      </w:r>
      <w:r w:rsidR="00AD4175" w:rsidRPr="00582CB1">
        <w:t>additional funding.</w:t>
      </w:r>
      <w:r w:rsidR="00A44301" w:rsidRPr="00582CB1">
        <w:t xml:space="preserve"> </w:t>
      </w:r>
    </w:p>
    <w:p w14:paraId="2FC6A31F" w14:textId="3D5AF032" w:rsidR="00B42874" w:rsidRPr="00582CB1" w:rsidRDefault="00A44301" w:rsidP="00945586">
      <w:pPr>
        <w:pStyle w:val="NumberedList1"/>
        <w:ind w:left="567" w:hanging="567"/>
      </w:pPr>
      <w:r w:rsidRPr="00582CB1">
        <w:t xml:space="preserve">Entities </w:t>
      </w:r>
      <w:r w:rsidR="006C5F48" w:rsidRPr="00582CB1">
        <w:t xml:space="preserve">may also wish to consider including a contingency for forex movements when developing proposals </w:t>
      </w:r>
      <w:r w:rsidR="009C13AA" w:rsidRPr="00582CB1">
        <w:t xml:space="preserve">which </w:t>
      </w:r>
      <w:r w:rsidR="00FC4031" w:rsidRPr="00582CB1">
        <w:t>involve overseas payments</w:t>
      </w:r>
      <w:r w:rsidR="009C13AA" w:rsidRPr="00582CB1">
        <w:t>, particularly those tha</w:t>
      </w:r>
      <w:r w:rsidR="002636E5" w:rsidRPr="00582CB1">
        <w:t>t</w:t>
      </w:r>
      <w:r w:rsidR="009C13AA" w:rsidRPr="00582CB1">
        <w:t xml:space="preserve"> span a number of years</w:t>
      </w:r>
      <w:r w:rsidRPr="00582CB1">
        <w:t xml:space="preserve">. </w:t>
      </w:r>
      <w:r w:rsidR="00D91809" w:rsidRPr="00582CB1">
        <w:t xml:space="preserve">Any proposed </w:t>
      </w:r>
      <w:r w:rsidR="0083233F" w:rsidRPr="00582CB1">
        <w:t xml:space="preserve">contingencies should be </w:t>
      </w:r>
      <w:r w:rsidR="00D91809" w:rsidRPr="00582CB1">
        <w:t xml:space="preserve">explicitly </w:t>
      </w:r>
      <w:r w:rsidR="0083233F" w:rsidRPr="00582CB1">
        <w:t xml:space="preserve">noted in the policy </w:t>
      </w:r>
      <w:r w:rsidR="00626997" w:rsidRPr="00582CB1">
        <w:t xml:space="preserve">proposal and costing, </w:t>
      </w:r>
      <w:r w:rsidR="00D91809" w:rsidRPr="00582CB1">
        <w:t xml:space="preserve">and include a description of how forex movements in </w:t>
      </w:r>
      <w:r w:rsidR="00626997" w:rsidRPr="00582CB1">
        <w:t>expenditure and appropriation estimates will be handled</w:t>
      </w:r>
      <w:r w:rsidR="0083233F" w:rsidRPr="00582CB1">
        <w:t xml:space="preserve">. </w:t>
      </w:r>
    </w:p>
    <w:p w14:paraId="4851428D" w14:textId="77777777" w:rsidR="000979D0" w:rsidRPr="00582CB1" w:rsidRDefault="00302512" w:rsidP="00794152">
      <w:pPr>
        <w:pStyle w:val="Heading3"/>
        <w:rPr>
          <w:color w:val="auto"/>
        </w:rPr>
      </w:pPr>
      <w:bookmarkStart w:id="59" w:name="_Toc525716843"/>
      <w:bookmarkStart w:id="60" w:name="_Toc72501406"/>
      <w:r w:rsidRPr="00582CB1">
        <w:rPr>
          <w:color w:val="auto"/>
        </w:rPr>
        <w:t>Measurement of g</w:t>
      </w:r>
      <w:r w:rsidR="000979D0" w:rsidRPr="00582CB1">
        <w:rPr>
          <w:color w:val="auto"/>
        </w:rPr>
        <w:t>ain</w:t>
      </w:r>
      <w:r w:rsidRPr="00582CB1">
        <w:rPr>
          <w:color w:val="auto"/>
        </w:rPr>
        <w:t>s and l</w:t>
      </w:r>
      <w:r w:rsidR="000979D0" w:rsidRPr="00582CB1">
        <w:rPr>
          <w:color w:val="auto"/>
        </w:rPr>
        <w:t>osses</w:t>
      </w:r>
      <w:bookmarkEnd w:id="59"/>
      <w:bookmarkEnd w:id="60"/>
    </w:p>
    <w:p w14:paraId="7072ECD1" w14:textId="6C52C74D" w:rsidR="000979D0" w:rsidRPr="00582CB1" w:rsidRDefault="000979D0" w:rsidP="00DB775C">
      <w:pPr>
        <w:pStyle w:val="NumberedList1"/>
        <w:ind w:left="567" w:hanging="567"/>
      </w:pPr>
      <w:r w:rsidRPr="00582CB1">
        <w:t xml:space="preserve">A reconciliation of forex gains and losses involves comparing the Australian dollar amounts of </w:t>
      </w:r>
      <w:r w:rsidR="00910D84" w:rsidRPr="00582CB1">
        <w:t xml:space="preserve">transactions incurred </w:t>
      </w:r>
      <w:r w:rsidR="00F03CF0" w:rsidRPr="00582CB1">
        <w:t>in a particular financial year (</w:t>
      </w:r>
      <w:r w:rsidR="00910D84" w:rsidRPr="00582CB1">
        <w:t>converted at the spot rate on the transaction date(s)</w:t>
      </w:r>
      <w:r w:rsidR="00F03CF0" w:rsidRPr="00582CB1">
        <w:t>)</w:t>
      </w:r>
      <w:r w:rsidR="00910D84" w:rsidRPr="00582CB1">
        <w:t>,</w:t>
      </w:r>
      <w:r w:rsidRPr="00582CB1">
        <w:t xml:space="preserve"> </w:t>
      </w:r>
      <w:r w:rsidR="00910D84" w:rsidRPr="00582CB1">
        <w:t>with the appropriations provided for that financial year (which were calculated using the BERs at the time)</w:t>
      </w:r>
      <w:r w:rsidRPr="00582CB1">
        <w:t>. For expected gains and losses</w:t>
      </w:r>
      <w:r w:rsidR="00A82520" w:rsidRPr="00582CB1">
        <w:t xml:space="preserve"> (‘</w:t>
      </w:r>
      <w:r w:rsidR="004A2AC6" w:rsidRPr="00582CB1">
        <w:t>exposures</w:t>
      </w:r>
      <w:r w:rsidR="00A82520" w:rsidRPr="00582CB1">
        <w:t>’</w:t>
      </w:r>
      <w:r w:rsidR="004A2AC6" w:rsidRPr="00582CB1">
        <w:t>)</w:t>
      </w:r>
      <w:r w:rsidRPr="00582CB1">
        <w:t xml:space="preserve">, the reconciliation involves comparing the estimated Australian dollar amount of the </w:t>
      </w:r>
      <w:r w:rsidR="004A2AC6" w:rsidRPr="00582CB1">
        <w:t xml:space="preserve">expected </w:t>
      </w:r>
      <w:r w:rsidRPr="00582CB1">
        <w:t>transaction</w:t>
      </w:r>
      <w:r w:rsidR="004A2AC6" w:rsidRPr="00582CB1">
        <w:t xml:space="preserve">s, converted at the </w:t>
      </w:r>
      <w:r w:rsidR="00A82520" w:rsidRPr="00582CB1">
        <w:t>‘</w:t>
      </w:r>
      <w:r w:rsidR="004A2AC6" w:rsidRPr="00582CB1">
        <w:t>closing</w:t>
      </w:r>
      <w:r w:rsidR="00A82520" w:rsidRPr="00582CB1">
        <w:t>’</w:t>
      </w:r>
      <w:r w:rsidR="004A2AC6" w:rsidRPr="00582CB1">
        <w:t xml:space="preserve"> spot rates on 30 June</w:t>
      </w:r>
      <w:r w:rsidRPr="00582CB1">
        <w:t>.</w:t>
      </w:r>
      <w:r w:rsidR="004A2AC6" w:rsidRPr="00582CB1">
        <w:t xml:space="preserve"> </w:t>
      </w:r>
      <w:r w:rsidR="004A2AC6" w:rsidRPr="00582CB1">
        <w:lastRenderedPageBreak/>
        <w:t>For more information on how to measure foreign currency transactions, please see AASB 121</w:t>
      </w:r>
      <w:r w:rsidR="003616E8" w:rsidRPr="00582CB1">
        <w:rPr>
          <w:i/>
        </w:rPr>
        <w:t xml:space="preserve"> - </w:t>
      </w:r>
      <w:r w:rsidR="004A2AC6" w:rsidRPr="00582CB1">
        <w:rPr>
          <w:i/>
        </w:rPr>
        <w:t>The Effects of Changes in Foreign Exchange Rates</w:t>
      </w:r>
      <w:r w:rsidR="003616E8" w:rsidRPr="00582CB1">
        <w:rPr>
          <w:i/>
        </w:rPr>
        <w:t xml:space="preserve"> </w:t>
      </w:r>
      <w:r w:rsidR="00151AB6" w:rsidRPr="00582CB1">
        <w:t>(AASB 121)</w:t>
      </w:r>
      <w:r w:rsidR="004A2AC6" w:rsidRPr="00582CB1">
        <w:t>.</w:t>
      </w:r>
    </w:p>
    <w:p w14:paraId="03F406B7" w14:textId="77777777" w:rsidR="000979D0" w:rsidRPr="00582CB1" w:rsidRDefault="000F7958" w:rsidP="00DB775C">
      <w:pPr>
        <w:pStyle w:val="NumberedList1"/>
        <w:ind w:left="567" w:hanging="567"/>
      </w:pPr>
      <w:r w:rsidRPr="00582CB1">
        <w:t xml:space="preserve">Where an </w:t>
      </w:r>
      <w:r w:rsidR="000979D0" w:rsidRPr="00582CB1">
        <w:t>entity expends foreign currency, the calculation requires a reconciliation of the Austra</w:t>
      </w:r>
      <w:r w:rsidRPr="00582CB1">
        <w:t xml:space="preserve">lian dollar </w:t>
      </w:r>
      <w:r w:rsidR="00F40C36" w:rsidRPr="00582CB1">
        <w:t xml:space="preserve">amount </w:t>
      </w:r>
      <w:r w:rsidRPr="00582CB1">
        <w:t xml:space="preserve">that the </w:t>
      </w:r>
      <w:r w:rsidR="000979D0" w:rsidRPr="00582CB1">
        <w:t xml:space="preserve">entity </w:t>
      </w:r>
      <w:r w:rsidR="00F40C36" w:rsidRPr="00582CB1">
        <w:t xml:space="preserve">originally </w:t>
      </w:r>
      <w:r w:rsidR="000979D0" w:rsidRPr="00582CB1">
        <w:t>budgeted for, against the Austr</w:t>
      </w:r>
      <w:r w:rsidRPr="00582CB1">
        <w:t>alian dollar amount that the</w:t>
      </w:r>
      <w:r w:rsidR="000979D0" w:rsidRPr="00582CB1">
        <w:t xml:space="preserve"> entity require</w:t>
      </w:r>
      <w:r w:rsidR="00F40C36" w:rsidRPr="00582CB1">
        <w:t>s</w:t>
      </w:r>
      <w:r w:rsidR="000979D0" w:rsidRPr="00582CB1">
        <w:t xml:space="preserve"> to make the payment.</w:t>
      </w:r>
    </w:p>
    <w:p w14:paraId="43B24677" w14:textId="35453D46" w:rsidR="000979D0" w:rsidRPr="00582CB1" w:rsidRDefault="000F7958" w:rsidP="00DB775C">
      <w:pPr>
        <w:pStyle w:val="NumberedList1"/>
        <w:ind w:left="567" w:hanging="567"/>
      </w:pPr>
      <w:r w:rsidRPr="00582CB1">
        <w:t xml:space="preserve">Where an </w:t>
      </w:r>
      <w:r w:rsidR="000979D0" w:rsidRPr="00582CB1">
        <w:t xml:space="preserve">entity </w:t>
      </w:r>
      <w:r w:rsidR="00F40C36" w:rsidRPr="00582CB1">
        <w:t xml:space="preserve">is able to retain </w:t>
      </w:r>
      <w:r w:rsidR="000979D0" w:rsidRPr="00582CB1">
        <w:t xml:space="preserve">amounts in foreign currency </w:t>
      </w:r>
      <w:r w:rsidR="00F40C36" w:rsidRPr="00582CB1">
        <w:t xml:space="preserve">and use these towards </w:t>
      </w:r>
      <w:r w:rsidRPr="00582CB1">
        <w:t xml:space="preserve">expenditure </w:t>
      </w:r>
      <w:r w:rsidR="000979D0" w:rsidRPr="00582CB1">
        <w:t xml:space="preserve">(that is, for </w:t>
      </w:r>
      <w:r w:rsidR="00F40C36" w:rsidRPr="00582CB1">
        <w:t>non-corporate Commonwealth entities</w:t>
      </w:r>
      <w:r w:rsidR="000979D0" w:rsidRPr="00582CB1">
        <w:t xml:space="preserve">, the amounts are subsequently </w:t>
      </w:r>
      <w:r w:rsidR="00F40C36" w:rsidRPr="00582CB1">
        <w:t>retained by crediting</w:t>
      </w:r>
      <w:r w:rsidR="000979D0" w:rsidRPr="00582CB1">
        <w:t xml:space="preserve"> a Special Account or </w:t>
      </w:r>
      <w:r w:rsidR="00F40C36" w:rsidRPr="00582CB1">
        <w:t xml:space="preserve">by crediting its departmental appropriation in accordance with </w:t>
      </w:r>
      <w:r w:rsidR="003A2E91" w:rsidRPr="00582CB1">
        <w:t xml:space="preserve">section </w:t>
      </w:r>
      <w:r w:rsidR="00F40C36" w:rsidRPr="00582CB1">
        <w:t>74 of the PGPA Act</w:t>
      </w:r>
      <w:r w:rsidR="000979D0" w:rsidRPr="00582CB1">
        <w:t>), the calculation requires a reconciliation of the Austra</w:t>
      </w:r>
      <w:r w:rsidRPr="00582CB1">
        <w:t xml:space="preserve">lian dollar amount that the </w:t>
      </w:r>
      <w:r w:rsidR="000979D0" w:rsidRPr="00582CB1">
        <w:t>entity was budgeted to receive in Australian dollars, against the Austra</w:t>
      </w:r>
      <w:r w:rsidRPr="00582CB1">
        <w:t xml:space="preserve">lian dollar amount that the </w:t>
      </w:r>
      <w:r w:rsidR="000979D0" w:rsidRPr="00582CB1">
        <w:t>entity actually receives.</w:t>
      </w:r>
    </w:p>
    <w:p w14:paraId="3C4C7B07" w14:textId="0EA24199" w:rsidR="00FC4031" w:rsidRPr="00582CB1" w:rsidRDefault="00FC4031" w:rsidP="00DB775C">
      <w:pPr>
        <w:pStyle w:val="NumberedList1"/>
        <w:ind w:left="567" w:hanging="567"/>
      </w:pPr>
      <w:r w:rsidRPr="00582CB1">
        <w:t xml:space="preserve">Entities should provide a copy of their reconciliation to their AAU if seeking supplementation for forex losses or returning forex gains. </w:t>
      </w:r>
    </w:p>
    <w:p w14:paraId="29460E9C" w14:textId="77777777" w:rsidR="000979D0" w:rsidRPr="00582CB1" w:rsidRDefault="00302512" w:rsidP="002B36F1">
      <w:pPr>
        <w:pStyle w:val="Heading1"/>
        <w:shd w:val="clear" w:color="auto" w:fill="BDDCDF" w:themeFill="accent1"/>
        <w:rPr>
          <w:color w:val="auto"/>
        </w:rPr>
      </w:pPr>
      <w:bookmarkStart w:id="61" w:name="_Part_5_–"/>
      <w:bookmarkStart w:id="62" w:name="_Toc525716844"/>
      <w:bookmarkStart w:id="63" w:name="_Toc72501407"/>
      <w:bookmarkEnd w:id="61"/>
      <w:r w:rsidRPr="00582CB1">
        <w:rPr>
          <w:color w:val="auto"/>
        </w:rPr>
        <w:t>Part 5 – Changes in reporting r</w:t>
      </w:r>
      <w:r w:rsidR="000979D0" w:rsidRPr="00582CB1">
        <w:rPr>
          <w:color w:val="auto"/>
        </w:rPr>
        <w:t>equirements</w:t>
      </w:r>
      <w:bookmarkEnd w:id="62"/>
      <w:bookmarkEnd w:id="63"/>
    </w:p>
    <w:p w14:paraId="7FAB462B" w14:textId="344BF09A" w:rsidR="000979D0" w:rsidRPr="00582CB1" w:rsidRDefault="000979D0" w:rsidP="00DB775C">
      <w:pPr>
        <w:pStyle w:val="NumberedList1"/>
        <w:ind w:left="567" w:hanging="567"/>
      </w:pPr>
      <w:r w:rsidRPr="00582CB1">
        <w:t>The reporting requirements of the forex policy were designed so that the Government is provided with information regarding the Government’s realised forex gains and losses. However</w:t>
      </w:r>
      <w:r w:rsidR="002636E5" w:rsidRPr="00582CB1">
        <w:t>,</w:t>
      </w:r>
      <w:r w:rsidRPr="00582CB1">
        <w:t xml:space="preserve"> effective from 1 July 2017</w:t>
      </w:r>
      <w:r w:rsidR="00F40C36" w:rsidRPr="00582CB1">
        <w:t>,</w:t>
      </w:r>
      <w:r w:rsidRPr="00582CB1">
        <w:t xml:space="preserve"> changes have been made to forex reporting requirements and </w:t>
      </w:r>
      <w:r w:rsidR="00F03CF0" w:rsidRPr="00582CB1">
        <w:t xml:space="preserve">how entities adjust </w:t>
      </w:r>
      <w:r w:rsidRPr="00582CB1">
        <w:t>department</w:t>
      </w:r>
      <w:r w:rsidR="00371EF6" w:rsidRPr="00582CB1">
        <w:t>al</w:t>
      </w:r>
      <w:r w:rsidRPr="00582CB1">
        <w:t xml:space="preserve"> funding estimates on a </w:t>
      </w:r>
      <w:r w:rsidR="00A82520" w:rsidRPr="00582CB1">
        <w:t>‘no-win, no</w:t>
      </w:r>
      <w:r w:rsidR="00A82520" w:rsidRPr="00582CB1">
        <w:noBreakHyphen/>
      </w:r>
      <w:r w:rsidRPr="00582CB1">
        <w:t>loss</w:t>
      </w:r>
      <w:r w:rsidR="00A82520" w:rsidRPr="00582CB1">
        <w:t>’</w:t>
      </w:r>
      <w:r w:rsidRPr="00582CB1">
        <w:t xml:space="preserve"> basis.</w:t>
      </w:r>
    </w:p>
    <w:p w14:paraId="68AFD51B" w14:textId="7F8B06C0" w:rsidR="000979D0" w:rsidRPr="00582CB1" w:rsidRDefault="00486620" w:rsidP="00DB775C">
      <w:pPr>
        <w:pStyle w:val="NumberedList1"/>
        <w:ind w:left="567" w:hanging="567"/>
      </w:pPr>
      <w:r w:rsidRPr="00582CB1">
        <w:t>E</w:t>
      </w:r>
      <w:r w:rsidR="000979D0" w:rsidRPr="00582CB1">
        <w:t xml:space="preserve">ntities </w:t>
      </w:r>
      <w:r w:rsidR="002636E5" w:rsidRPr="00582CB1">
        <w:t>are</w:t>
      </w:r>
      <w:r w:rsidR="000979D0" w:rsidRPr="00582CB1">
        <w:t xml:space="preserve"> no longer required to </w:t>
      </w:r>
      <w:r w:rsidR="00FD5EED" w:rsidRPr="00582CB1">
        <w:t xml:space="preserve">provide a separate annual </w:t>
      </w:r>
      <w:r w:rsidR="000979D0" w:rsidRPr="00582CB1">
        <w:t xml:space="preserve">report </w:t>
      </w:r>
      <w:r w:rsidR="00FD5EED" w:rsidRPr="00582CB1">
        <w:t xml:space="preserve">on </w:t>
      </w:r>
      <w:r w:rsidR="000979D0" w:rsidRPr="00582CB1">
        <w:t>their actual and/or expected forex risk</w:t>
      </w:r>
      <w:r w:rsidR="00371EF6" w:rsidRPr="00582CB1">
        <w:t>s</w:t>
      </w:r>
      <w:r w:rsidR="000979D0" w:rsidRPr="00582CB1">
        <w:t xml:space="preserve"> </w:t>
      </w:r>
      <w:r w:rsidR="00FD5EED" w:rsidRPr="00582CB1">
        <w:t>an</w:t>
      </w:r>
      <w:r w:rsidR="00371EF6" w:rsidRPr="00582CB1">
        <w:t>d</w:t>
      </w:r>
      <w:r w:rsidR="00FD5EED" w:rsidRPr="00582CB1">
        <w:t xml:space="preserve"> exposures</w:t>
      </w:r>
      <w:r w:rsidRPr="00582CB1">
        <w:t xml:space="preserve">. All </w:t>
      </w:r>
      <w:r w:rsidR="00F03CF0" w:rsidRPr="00582CB1">
        <w:t>relevant</w:t>
      </w:r>
      <w:r w:rsidRPr="00582CB1">
        <w:t xml:space="preserve"> </w:t>
      </w:r>
      <w:r w:rsidR="000979D0" w:rsidRPr="00582CB1">
        <w:t xml:space="preserve">entities </w:t>
      </w:r>
      <w:r w:rsidR="002636E5" w:rsidRPr="00582CB1">
        <w:t>have</w:t>
      </w:r>
      <w:r w:rsidR="000979D0" w:rsidRPr="00582CB1">
        <w:t xml:space="preserve"> automatically be</w:t>
      </w:r>
      <w:r w:rsidR="002636E5" w:rsidRPr="00582CB1">
        <w:t>en</w:t>
      </w:r>
      <w:r w:rsidR="000979D0" w:rsidRPr="00582CB1">
        <w:t xml:space="preserve"> ‘opted in’ to forex reporting and their forex </w:t>
      </w:r>
      <w:r w:rsidR="00936F5D" w:rsidRPr="00582CB1">
        <w:t xml:space="preserve">risks and exposures </w:t>
      </w:r>
      <w:r w:rsidR="002636E5" w:rsidRPr="00582CB1">
        <w:t>ar</w:t>
      </w:r>
      <w:r w:rsidR="00936F5D" w:rsidRPr="00582CB1">
        <w:t xml:space="preserve">e </w:t>
      </w:r>
      <w:r w:rsidR="000979D0" w:rsidRPr="00582CB1">
        <w:t xml:space="preserve">monitored using </w:t>
      </w:r>
      <w:r w:rsidR="00936F5D" w:rsidRPr="00582CB1">
        <w:t xml:space="preserve">information captured in </w:t>
      </w:r>
      <w:r w:rsidR="000979D0" w:rsidRPr="00582CB1">
        <w:t xml:space="preserve">CBMS and </w:t>
      </w:r>
      <w:r w:rsidR="00FD5EED" w:rsidRPr="00582CB1">
        <w:t xml:space="preserve">their audited </w:t>
      </w:r>
      <w:r w:rsidR="00936F5D" w:rsidRPr="00582CB1">
        <w:t>financial statements</w:t>
      </w:r>
      <w:r w:rsidR="000979D0" w:rsidRPr="00582CB1">
        <w:rPr>
          <w:sz w:val="24"/>
          <w:szCs w:val="24"/>
        </w:rPr>
        <w:t>.</w:t>
      </w:r>
    </w:p>
    <w:p w14:paraId="3C8F65D1" w14:textId="4DC4C15C" w:rsidR="000979D0" w:rsidRPr="00582CB1" w:rsidRDefault="00302512" w:rsidP="00794152">
      <w:pPr>
        <w:pStyle w:val="Heading3"/>
        <w:rPr>
          <w:color w:val="auto"/>
        </w:rPr>
      </w:pPr>
      <w:bookmarkStart w:id="64" w:name="_Toc525716845"/>
      <w:bookmarkStart w:id="65" w:name="_Toc72501408"/>
      <w:r w:rsidRPr="00582CB1">
        <w:rPr>
          <w:color w:val="auto"/>
        </w:rPr>
        <w:t xml:space="preserve">Foreign exchange reporting </w:t>
      </w:r>
      <w:r w:rsidR="00906CD2" w:rsidRPr="00582CB1">
        <w:rPr>
          <w:color w:val="auto"/>
        </w:rPr>
        <w:t>in</w:t>
      </w:r>
      <w:r w:rsidRPr="00582CB1">
        <w:rPr>
          <w:color w:val="auto"/>
        </w:rPr>
        <w:t xml:space="preserve"> CBMS and annual </w:t>
      </w:r>
      <w:bookmarkEnd w:id="64"/>
      <w:r w:rsidR="00936F5D" w:rsidRPr="00582CB1">
        <w:rPr>
          <w:color w:val="auto"/>
        </w:rPr>
        <w:t>financial statements</w:t>
      </w:r>
      <w:bookmarkEnd w:id="65"/>
    </w:p>
    <w:p w14:paraId="33D7BFB9" w14:textId="6A1C182A" w:rsidR="000979D0" w:rsidRPr="00582CB1" w:rsidRDefault="000979D0" w:rsidP="00DB775C">
      <w:pPr>
        <w:pStyle w:val="NumberedList1"/>
        <w:ind w:left="567" w:hanging="567"/>
      </w:pPr>
      <w:r w:rsidRPr="00582CB1">
        <w:t>When payments are made, the actual spot rate or an appropriate average</w:t>
      </w:r>
      <w:r w:rsidR="009D3853" w:rsidRPr="00582CB1">
        <w:t xml:space="preserve"> rate</w:t>
      </w:r>
      <w:r w:rsidRPr="00582CB1">
        <w:t xml:space="preserve"> must be used</w:t>
      </w:r>
      <w:r w:rsidR="00824D35" w:rsidRPr="00582CB1">
        <w:t xml:space="preserve"> when recording the transaction</w:t>
      </w:r>
      <w:r w:rsidRPr="00582CB1">
        <w:t xml:space="preserve">. This </w:t>
      </w:r>
      <w:r w:rsidR="00824D35" w:rsidRPr="00582CB1">
        <w:t xml:space="preserve">figure </w:t>
      </w:r>
      <w:r w:rsidRPr="00582CB1">
        <w:t xml:space="preserve">will be the basis for the reconciliation back to the original </w:t>
      </w:r>
      <w:r w:rsidR="00936F5D" w:rsidRPr="00582CB1">
        <w:t xml:space="preserve">budgeted </w:t>
      </w:r>
      <w:r w:rsidRPr="00582CB1">
        <w:t>amount in order to record the net realised gain or loss in any single financial year.</w:t>
      </w:r>
    </w:p>
    <w:p w14:paraId="76E2FDC3" w14:textId="4A8E54F0" w:rsidR="000979D0" w:rsidRPr="00582CB1" w:rsidRDefault="000979D0" w:rsidP="00DB775C">
      <w:pPr>
        <w:pStyle w:val="NumberedList1"/>
        <w:ind w:left="567" w:hanging="567"/>
      </w:pPr>
      <w:r w:rsidRPr="00582CB1">
        <w:t>Under AASB 121, if multiple transactions/payments occur during a specific time period (such as a week or month), then it is acceptable for practical reasons to use an average rate that approximates the actual rate on the date of each transaction. However, this is only acceptable if the exchange rate does not fluctuate significantly during that time period.</w:t>
      </w:r>
    </w:p>
    <w:p w14:paraId="7D2E0EB5" w14:textId="4FF575D4" w:rsidR="000979D0" w:rsidRPr="00582CB1" w:rsidRDefault="000979D0" w:rsidP="00DB775C">
      <w:pPr>
        <w:pStyle w:val="NumberedList1"/>
        <w:ind w:left="567" w:hanging="567"/>
      </w:pPr>
      <w:r w:rsidRPr="00582CB1">
        <w:t xml:space="preserve">If the entity makes a </w:t>
      </w:r>
      <w:r w:rsidR="007622FD">
        <w:t xml:space="preserve">net </w:t>
      </w:r>
      <w:r w:rsidRPr="00582CB1">
        <w:t xml:space="preserve">loss </w:t>
      </w:r>
      <w:r w:rsidR="007622FD">
        <w:t xml:space="preserve">for a year </w:t>
      </w:r>
      <w:r w:rsidRPr="00582CB1">
        <w:t xml:space="preserve">greater than </w:t>
      </w:r>
      <w:r w:rsidR="00936F5D" w:rsidRPr="00582CB1">
        <w:t>AUD</w:t>
      </w:r>
      <w:r w:rsidR="00371EF6" w:rsidRPr="00582CB1">
        <w:t xml:space="preserve"> </w:t>
      </w:r>
      <w:r w:rsidRPr="00582CB1">
        <w:t xml:space="preserve">5 million </w:t>
      </w:r>
      <w:r w:rsidR="00824D35" w:rsidRPr="00582CB1">
        <w:t xml:space="preserve">or more than </w:t>
      </w:r>
      <w:r w:rsidR="006C6A3C" w:rsidRPr="00582CB1">
        <w:t>one</w:t>
      </w:r>
      <w:r w:rsidR="00A82520" w:rsidRPr="00582CB1">
        <w:t xml:space="preserve"> per cent of that year</w:t>
      </w:r>
      <w:r w:rsidR="005A379D" w:rsidRPr="00582CB1">
        <w:t>’</w:t>
      </w:r>
      <w:r w:rsidR="00824D35" w:rsidRPr="00582CB1">
        <w:t xml:space="preserve">s </w:t>
      </w:r>
      <w:r w:rsidR="007622FD">
        <w:t xml:space="preserve">total </w:t>
      </w:r>
      <w:r w:rsidR="00824D35" w:rsidRPr="00582CB1">
        <w:t>departmental appropriation</w:t>
      </w:r>
      <w:r w:rsidR="007622FD">
        <w:t>s</w:t>
      </w:r>
      <w:r w:rsidR="00824D35" w:rsidRPr="00582CB1">
        <w:t xml:space="preserve"> </w:t>
      </w:r>
      <w:r w:rsidR="00FD5EED" w:rsidRPr="00582CB1">
        <w:t>(whichever is lower)</w:t>
      </w:r>
      <w:r w:rsidRPr="00582CB1">
        <w:t xml:space="preserve">, then </w:t>
      </w:r>
      <w:r w:rsidR="00936F5D" w:rsidRPr="00582CB1">
        <w:t>entities will be able to adjust their appropriation estimates for supplementation</w:t>
      </w:r>
      <w:r w:rsidRPr="00582CB1">
        <w:t xml:space="preserve">. Entities </w:t>
      </w:r>
      <w:r w:rsidR="00824D35" w:rsidRPr="00582CB1">
        <w:t>normally</w:t>
      </w:r>
      <w:r w:rsidRPr="00582CB1">
        <w:t xml:space="preserve"> </w:t>
      </w:r>
      <w:r w:rsidR="003604D0" w:rsidRPr="00582CB1">
        <w:t xml:space="preserve">adjust their estimates </w:t>
      </w:r>
      <w:r w:rsidRPr="00582CB1">
        <w:t xml:space="preserve">for supplementation </w:t>
      </w:r>
      <w:r w:rsidR="00824D35" w:rsidRPr="00582CB1">
        <w:t>during</w:t>
      </w:r>
      <w:r w:rsidRPr="00582CB1">
        <w:t xml:space="preserve"> the Additional Estimates period following the financial year in which they made an actual (realis</w:t>
      </w:r>
      <w:r w:rsidR="008A2162" w:rsidRPr="00582CB1">
        <w:t xml:space="preserve">ed) loss. </w:t>
      </w:r>
      <w:r w:rsidR="002636E5" w:rsidRPr="00582CB1">
        <w:t>T</w:t>
      </w:r>
      <w:r w:rsidR="008A2162" w:rsidRPr="00582CB1">
        <w:t xml:space="preserve">here </w:t>
      </w:r>
      <w:r w:rsidR="008A2162" w:rsidRPr="00582CB1">
        <w:lastRenderedPageBreak/>
        <w:t xml:space="preserve">will usually </w:t>
      </w:r>
      <w:r w:rsidRPr="00582CB1">
        <w:t>be a lag of one financial year between the year the loss is made and the year the supplementation to appropriation estimates is received.</w:t>
      </w:r>
    </w:p>
    <w:p w14:paraId="6AF7331B" w14:textId="7C077166" w:rsidR="000358ED" w:rsidRPr="00582CB1" w:rsidRDefault="000979D0" w:rsidP="00DB775C">
      <w:pPr>
        <w:pStyle w:val="NumberedList1"/>
        <w:ind w:left="567" w:hanging="567"/>
      </w:pPr>
      <w:r w:rsidRPr="00582CB1">
        <w:t xml:space="preserve">Forex information included in </w:t>
      </w:r>
      <w:r w:rsidR="00042B5B" w:rsidRPr="00582CB1">
        <w:t xml:space="preserve">entities’ </w:t>
      </w:r>
      <w:r w:rsidRPr="00582CB1">
        <w:t>annual financial statement</w:t>
      </w:r>
      <w:r w:rsidR="003604D0" w:rsidRPr="00582CB1">
        <w:t>s</w:t>
      </w:r>
      <w:r w:rsidRPr="00582CB1">
        <w:t xml:space="preserve"> and</w:t>
      </w:r>
      <w:r w:rsidR="003604D0" w:rsidRPr="00582CB1">
        <w:t xml:space="preserve"> the actuals data entered into CBMS is used to produce</w:t>
      </w:r>
      <w:r w:rsidRPr="00582CB1">
        <w:t xml:space="preserve"> the </w:t>
      </w:r>
      <w:r w:rsidR="003604D0" w:rsidRPr="00582CB1">
        <w:t xml:space="preserve">whole-of-government </w:t>
      </w:r>
      <w:r w:rsidRPr="00582CB1">
        <w:t>Consolidated Financial Statements</w:t>
      </w:r>
      <w:r w:rsidR="002636E5" w:rsidRPr="00582CB1">
        <w:t>, which are</w:t>
      </w:r>
      <w:r w:rsidRPr="00582CB1">
        <w:t xml:space="preserve"> prepared </w:t>
      </w:r>
      <w:r w:rsidR="002636E5" w:rsidRPr="00582CB1">
        <w:t xml:space="preserve">in accordance </w:t>
      </w:r>
      <w:r w:rsidRPr="00582CB1">
        <w:t>with</w:t>
      </w:r>
      <w:r w:rsidR="007E3B17" w:rsidRPr="00582CB1">
        <w:t xml:space="preserve"> Australian</w:t>
      </w:r>
      <w:r w:rsidRPr="00582CB1">
        <w:t xml:space="preserve"> Accounting Standard</w:t>
      </w:r>
      <w:r w:rsidR="003604D0" w:rsidRPr="00582CB1">
        <w:t xml:space="preserve">s. </w:t>
      </w:r>
    </w:p>
    <w:p w14:paraId="011DF357" w14:textId="77777777" w:rsidR="000979D0" w:rsidRPr="00582CB1" w:rsidRDefault="000358ED" w:rsidP="002B36F1">
      <w:pPr>
        <w:pStyle w:val="Heading1"/>
        <w:shd w:val="clear" w:color="auto" w:fill="BDDCDF" w:themeFill="accent1"/>
        <w:rPr>
          <w:color w:val="auto"/>
        </w:rPr>
      </w:pPr>
      <w:bookmarkStart w:id="66" w:name="_Toc525716846"/>
      <w:bookmarkStart w:id="67" w:name="_Toc72501409"/>
      <w:r w:rsidRPr="00582CB1">
        <w:rPr>
          <w:color w:val="auto"/>
        </w:rPr>
        <w:t xml:space="preserve">Part 6 – </w:t>
      </w:r>
      <w:r w:rsidR="00DC375F" w:rsidRPr="00582CB1">
        <w:rPr>
          <w:color w:val="auto"/>
        </w:rPr>
        <w:t xml:space="preserve">Entity case </w:t>
      </w:r>
      <w:r w:rsidRPr="00582CB1">
        <w:rPr>
          <w:color w:val="auto"/>
        </w:rPr>
        <w:t>s</w:t>
      </w:r>
      <w:r w:rsidR="000979D0" w:rsidRPr="00582CB1">
        <w:rPr>
          <w:color w:val="auto"/>
        </w:rPr>
        <w:t>tudy</w:t>
      </w:r>
      <w:bookmarkEnd w:id="66"/>
      <w:bookmarkEnd w:id="67"/>
    </w:p>
    <w:p w14:paraId="750D1370" w14:textId="77777777" w:rsidR="000979D0" w:rsidRPr="00582CB1" w:rsidRDefault="000979D0" w:rsidP="000358ED">
      <w:pPr>
        <w:pStyle w:val="Boxed2Heading"/>
      </w:pPr>
      <w:bookmarkStart w:id="68" w:name="_Toc525716847"/>
      <w:r w:rsidRPr="00582CB1">
        <w:t>Case Study</w:t>
      </w:r>
      <w:bookmarkEnd w:id="68"/>
    </w:p>
    <w:p w14:paraId="11AFB0CB" w14:textId="54ACE048" w:rsidR="000979D0" w:rsidRPr="00582CB1" w:rsidRDefault="00A11AE0" w:rsidP="000358ED">
      <w:pPr>
        <w:pStyle w:val="Boxed2Text"/>
        <w:rPr>
          <w:b/>
        </w:rPr>
      </w:pPr>
      <w:r w:rsidRPr="00582CB1">
        <w:rPr>
          <w:b/>
        </w:rPr>
        <w:t>Issue</w:t>
      </w:r>
    </w:p>
    <w:p w14:paraId="5A3AA2BE" w14:textId="4507BFD1" w:rsidR="00A11AE0" w:rsidRPr="00582CB1" w:rsidRDefault="00DC375F" w:rsidP="00A11AE0">
      <w:pPr>
        <w:pStyle w:val="Boxed2Text"/>
      </w:pPr>
      <w:r w:rsidRPr="00582CB1">
        <w:t xml:space="preserve">EFG </w:t>
      </w:r>
      <w:r w:rsidR="00D540A9" w:rsidRPr="00582CB1">
        <w:t xml:space="preserve">Pty Ltd is </w:t>
      </w:r>
      <w:r w:rsidR="006150AB" w:rsidRPr="00582CB1">
        <w:t>a P</w:t>
      </w:r>
      <w:r w:rsidR="00D540A9" w:rsidRPr="00582CB1">
        <w:t xml:space="preserve">ublic </w:t>
      </w:r>
      <w:r w:rsidR="006150AB" w:rsidRPr="00582CB1">
        <w:t>N</w:t>
      </w:r>
      <w:r w:rsidR="000979D0" w:rsidRPr="00582CB1">
        <w:t>on-</w:t>
      </w:r>
      <w:r w:rsidR="006150AB" w:rsidRPr="00582CB1">
        <w:t>F</w:t>
      </w:r>
      <w:r w:rsidR="000979D0" w:rsidRPr="00582CB1">
        <w:t xml:space="preserve">inancial </w:t>
      </w:r>
      <w:r w:rsidR="006150AB" w:rsidRPr="00582CB1">
        <w:t>C</w:t>
      </w:r>
      <w:r w:rsidRPr="00582CB1">
        <w:t xml:space="preserve">orporation </w:t>
      </w:r>
      <w:r w:rsidR="000979D0" w:rsidRPr="00582CB1">
        <w:t xml:space="preserve">(PNFC) and is </w:t>
      </w:r>
      <w:r w:rsidR="006150AB" w:rsidRPr="00582CB1">
        <w:t xml:space="preserve">a </w:t>
      </w:r>
      <w:r w:rsidR="00A11AE0" w:rsidRPr="00582CB1">
        <w:t xml:space="preserve">wholly owned and </w:t>
      </w:r>
      <w:r w:rsidR="000979D0" w:rsidRPr="00582CB1">
        <w:t xml:space="preserve">controlled </w:t>
      </w:r>
      <w:r w:rsidR="00591ED0" w:rsidRPr="00582CB1">
        <w:t>subsidiary</w:t>
      </w:r>
      <w:r w:rsidR="000979D0" w:rsidRPr="00582CB1">
        <w:t xml:space="preserve"> of the XY</w:t>
      </w:r>
      <w:r w:rsidR="00FD5EED" w:rsidRPr="00582CB1">
        <w:t xml:space="preserve">Z </w:t>
      </w:r>
      <w:r w:rsidR="000979D0" w:rsidRPr="00582CB1">
        <w:t>Organisation (</w:t>
      </w:r>
      <w:r w:rsidR="00805B8C" w:rsidRPr="00582CB1">
        <w:t xml:space="preserve">a </w:t>
      </w:r>
      <w:r w:rsidRPr="00582CB1">
        <w:t xml:space="preserve">corporate Commonwealth entity within the General Government Sector, or </w:t>
      </w:r>
      <w:r w:rsidR="000979D0" w:rsidRPr="00582CB1">
        <w:t xml:space="preserve">GGS). The business of </w:t>
      </w:r>
      <w:r w:rsidRPr="00582CB1">
        <w:t>EFG</w:t>
      </w:r>
      <w:r w:rsidR="000979D0" w:rsidRPr="00582CB1">
        <w:t xml:space="preserve"> Pty Ltd </w:t>
      </w:r>
      <w:r w:rsidR="00B636F9" w:rsidRPr="00582CB1">
        <w:t xml:space="preserve">is </w:t>
      </w:r>
      <w:r w:rsidR="000979D0" w:rsidRPr="00582CB1">
        <w:t>to supply products to the international market (US and European market</w:t>
      </w:r>
      <w:r w:rsidR="00824D35" w:rsidRPr="00582CB1">
        <w:t>s</w:t>
      </w:r>
      <w:r w:rsidR="000979D0" w:rsidRPr="00582CB1">
        <w:t xml:space="preserve">). </w:t>
      </w:r>
      <w:r w:rsidR="00763F52" w:rsidRPr="00582CB1">
        <w:t>EF</w:t>
      </w:r>
      <w:r w:rsidR="006150AB" w:rsidRPr="00582CB1">
        <w:t>G</w:t>
      </w:r>
      <w:r w:rsidR="00763F52" w:rsidRPr="00582CB1">
        <w:t xml:space="preserve"> Pty </w:t>
      </w:r>
      <w:proofErr w:type="spellStart"/>
      <w:r w:rsidR="00763F52" w:rsidRPr="00582CB1">
        <w:t>Ltd’s</w:t>
      </w:r>
      <w:proofErr w:type="spellEnd"/>
      <w:r w:rsidR="00763F52" w:rsidRPr="00582CB1">
        <w:t xml:space="preserve"> </w:t>
      </w:r>
      <w:r w:rsidR="000979D0" w:rsidRPr="00582CB1">
        <w:t>product</w:t>
      </w:r>
      <w:r w:rsidR="00763F52" w:rsidRPr="00582CB1">
        <w:t>s</w:t>
      </w:r>
      <w:r w:rsidR="000979D0" w:rsidRPr="00582CB1">
        <w:t xml:space="preserve"> are priced in USD and Euro, </w:t>
      </w:r>
      <w:r w:rsidR="00944D3D" w:rsidRPr="00582CB1">
        <w:t xml:space="preserve">so </w:t>
      </w:r>
      <w:r w:rsidR="000979D0" w:rsidRPr="00582CB1">
        <w:t>they are subject to considerable foreign exchange risks</w:t>
      </w:r>
      <w:r w:rsidR="00A11AE0" w:rsidRPr="00582CB1">
        <w:t xml:space="preserve"> which they have </w:t>
      </w:r>
      <w:r w:rsidR="00E12DEA" w:rsidRPr="00582CB1">
        <w:t>entered into</w:t>
      </w:r>
      <w:r w:rsidR="00A11AE0" w:rsidRPr="00582CB1">
        <w:t xml:space="preserve"> hedging arrangements to mitigate</w:t>
      </w:r>
      <w:r w:rsidR="000979D0" w:rsidRPr="00582CB1">
        <w:t xml:space="preserve">. </w:t>
      </w:r>
    </w:p>
    <w:p w14:paraId="4E48CAB2" w14:textId="15B139DE" w:rsidR="00A11AE0" w:rsidRPr="00582CB1" w:rsidRDefault="00A11AE0" w:rsidP="00A11AE0">
      <w:pPr>
        <w:pStyle w:val="Boxed2Text"/>
      </w:pPr>
      <w:r w:rsidRPr="00582CB1">
        <w:t xml:space="preserve">XYZ Organisation seeks advice on whether the activities of its subsidiary are subject to the forex policy. </w:t>
      </w:r>
    </w:p>
    <w:p w14:paraId="408FDFA0" w14:textId="77777777" w:rsidR="00A11AE0" w:rsidRPr="00582CB1" w:rsidRDefault="00A11AE0" w:rsidP="007E3B17">
      <w:pPr>
        <w:pStyle w:val="Boxed2Text"/>
        <w:rPr>
          <w:b/>
        </w:rPr>
      </w:pPr>
      <w:r w:rsidRPr="00582CB1">
        <w:rPr>
          <w:b/>
        </w:rPr>
        <w:t>Advice</w:t>
      </w:r>
    </w:p>
    <w:p w14:paraId="1B52C428" w14:textId="31DE848D" w:rsidR="000979D0" w:rsidRPr="00582CB1" w:rsidRDefault="000979D0" w:rsidP="007E3B17">
      <w:pPr>
        <w:pStyle w:val="Boxed2Text"/>
      </w:pPr>
      <w:r w:rsidRPr="00582CB1">
        <w:t xml:space="preserve">XYZ Organisation has not opted out of the forex policy. This means they are eligible for supplementary funding via the annual Appropriation </w:t>
      </w:r>
      <w:r w:rsidR="00DC375F" w:rsidRPr="00582CB1">
        <w:t xml:space="preserve">Acts </w:t>
      </w:r>
      <w:r w:rsidRPr="00582CB1">
        <w:t xml:space="preserve">should they make an actual forex loss, however as a condition of that supplementary funding, they are not allowed to hedge. </w:t>
      </w:r>
    </w:p>
    <w:p w14:paraId="513BF9DD" w14:textId="051CAA12" w:rsidR="000979D0" w:rsidRPr="00582CB1" w:rsidRDefault="000979D0" w:rsidP="000358ED">
      <w:pPr>
        <w:pStyle w:val="Boxed2Text"/>
      </w:pPr>
      <w:r w:rsidRPr="00582CB1">
        <w:t xml:space="preserve">The </w:t>
      </w:r>
      <w:r w:rsidR="00A82520" w:rsidRPr="00582CB1">
        <w:t>‘</w:t>
      </w:r>
      <w:r w:rsidRPr="00582CB1">
        <w:t>no hedging</w:t>
      </w:r>
      <w:r w:rsidR="00A82520" w:rsidRPr="00582CB1">
        <w:t>’</w:t>
      </w:r>
      <w:r w:rsidRPr="00582CB1">
        <w:t xml:space="preserve"> rule applies to the XYZ Organisation itself and is based on the forex losses reported in their financial statements.  </w:t>
      </w:r>
    </w:p>
    <w:p w14:paraId="04ED6A22" w14:textId="53F9D6C3" w:rsidR="000979D0" w:rsidRPr="00582CB1" w:rsidRDefault="000979D0" w:rsidP="000358ED">
      <w:pPr>
        <w:pStyle w:val="Boxed2Text"/>
      </w:pPr>
      <w:r w:rsidRPr="00582CB1">
        <w:t xml:space="preserve">If </w:t>
      </w:r>
      <w:r w:rsidR="00E12DEA" w:rsidRPr="00582CB1">
        <w:t xml:space="preserve">EFG Pty </w:t>
      </w:r>
      <w:proofErr w:type="spellStart"/>
      <w:r w:rsidR="00E12DEA" w:rsidRPr="00582CB1">
        <w:t>Ltd’s</w:t>
      </w:r>
      <w:proofErr w:type="spellEnd"/>
      <w:r w:rsidR="00E12DEA" w:rsidRPr="00582CB1">
        <w:t xml:space="preserve"> financials are consolidated into</w:t>
      </w:r>
      <w:r w:rsidR="006150AB" w:rsidRPr="00582CB1">
        <w:t xml:space="preserve"> </w:t>
      </w:r>
      <w:r w:rsidRPr="00582CB1">
        <w:t>XYZ Organisation</w:t>
      </w:r>
      <w:r w:rsidR="00E12DEA" w:rsidRPr="00582CB1">
        <w:t>’s</w:t>
      </w:r>
      <w:r w:rsidRPr="00582CB1">
        <w:t xml:space="preserve"> financial statements, then </w:t>
      </w:r>
      <w:r w:rsidR="00E12DEA" w:rsidRPr="00582CB1">
        <w:t xml:space="preserve">EFG Pty </w:t>
      </w:r>
      <w:proofErr w:type="spellStart"/>
      <w:r w:rsidR="00E12DEA" w:rsidRPr="00582CB1">
        <w:t>Ltd’s</w:t>
      </w:r>
      <w:proofErr w:type="spellEnd"/>
      <w:r w:rsidR="00E12DEA" w:rsidRPr="00582CB1">
        <w:t xml:space="preserve"> activities </w:t>
      </w:r>
      <w:r w:rsidRPr="00582CB1">
        <w:t xml:space="preserve">may also be indirectly subject to the forex policy. </w:t>
      </w:r>
    </w:p>
    <w:p w14:paraId="230D3B79" w14:textId="7F3C6363" w:rsidR="000979D0" w:rsidRPr="00582CB1" w:rsidRDefault="000979D0" w:rsidP="000358ED">
      <w:pPr>
        <w:pStyle w:val="Boxed2Text"/>
      </w:pPr>
      <w:r w:rsidRPr="00582CB1">
        <w:t xml:space="preserve">If </w:t>
      </w:r>
      <w:r w:rsidR="006150AB" w:rsidRPr="00582CB1">
        <w:t xml:space="preserve">the </w:t>
      </w:r>
      <w:r w:rsidRPr="00582CB1">
        <w:t>XYZ Organisation wish</w:t>
      </w:r>
      <w:r w:rsidR="006150AB" w:rsidRPr="00582CB1">
        <w:t>es</w:t>
      </w:r>
      <w:r w:rsidRPr="00582CB1">
        <w:t xml:space="preserve"> to continue receiving supplementary funding and also allow their subsidiary </w:t>
      </w:r>
      <w:r w:rsidR="00944D3D" w:rsidRPr="00582CB1">
        <w:t xml:space="preserve">EFG Pty Ltd </w:t>
      </w:r>
      <w:r w:rsidRPr="00582CB1">
        <w:t xml:space="preserve">to hedge, they should write to the Finance Minister to seek an exemption for their subsidiary from the </w:t>
      </w:r>
      <w:r w:rsidR="006150AB" w:rsidRPr="00582CB1">
        <w:t xml:space="preserve">‘no </w:t>
      </w:r>
      <w:r w:rsidRPr="00582CB1">
        <w:t>hedging</w:t>
      </w:r>
      <w:r w:rsidR="006150AB" w:rsidRPr="00582CB1">
        <w:t>’</w:t>
      </w:r>
      <w:r w:rsidRPr="00582CB1">
        <w:t xml:space="preserve"> policy. </w:t>
      </w:r>
    </w:p>
    <w:p w14:paraId="4DAF4F5F" w14:textId="149664FC" w:rsidR="000979D0" w:rsidRPr="00582CB1" w:rsidRDefault="006150AB" w:rsidP="000358ED">
      <w:pPr>
        <w:pStyle w:val="Boxed2Text"/>
      </w:pPr>
      <w:r w:rsidRPr="00582CB1">
        <w:t xml:space="preserve">The </w:t>
      </w:r>
      <w:r w:rsidR="000979D0" w:rsidRPr="00582CB1">
        <w:t>XYZ Organisation can also choose to opt out of the forex policy completely, but they will forgo any supplementary funding from Government</w:t>
      </w:r>
      <w:r w:rsidR="00C0764A" w:rsidRPr="00582CB1">
        <w:t xml:space="preserve"> and would need to </w:t>
      </w:r>
      <w:r w:rsidR="00F03CF0" w:rsidRPr="00582CB1">
        <w:t xml:space="preserve">seek the Finance Minister’s approval to report </w:t>
      </w:r>
      <w:r w:rsidR="00C0764A" w:rsidRPr="00582CB1">
        <w:t>an operating loss</w:t>
      </w:r>
      <w:r w:rsidR="00F03CF0" w:rsidRPr="00582CB1">
        <w:t xml:space="preserve"> </w:t>
      </w:r>
      <w:r w:rsidR="006050F3" w:rsidRPr="00582CB1">
        <w:t>for</w:t>
      </w:r>
      <w:r w:rsidR="00F03CF0" w:rsidRPr="00582CB1">
        <w:t xml:space="preserve"> any forecast or actual forex losses</w:t>
      </w:r>
      <w:r w:rsidR="000979D0" w:rsidRPr="00582CB1">
        <w:t xml:space="preserve">. </w:t>
      </w:r>
    </w:p>
    <w:p w14:paraId="683F7799" w14:textId="77777777" w:rsidR="00E12DEA" w:rsidRPr="00582CB1" w:rsidRDefault="00E12DEA">
      <w:pPr>
        <w:suppressAutoHyphens w:val="0"/>
        <w:spacing w:before="0" w:after="120" w:line="440" w:lineRule="atLeast"/>
        <w:rPr>
          <w:rFonts w:asciiTheme="majorHAnsi" w:eastAsiaTheme="majorEastAsia" w:hAnsiTheme="majorHAnsi" w:cstheme="majorBidi"/>
          <w:bCs/>
          <w:sz w:val="40"/>
          <w:szCs w:val="28"/>
        </w:rPr>
      </w:pPr>
      <w:bookmarkStart w:id="69" w:name="_Toc525716848"/>
      <w:r w:rsidRPr="00582CB1">
        <w:br w:type="page"/>
      </w:r>
    </w:p>
    <w:p w14:paraId="5D0B7DA2" w14:textId="2D9C824C" w:rsidR="000979D0" w:rsidRPr="00582CB1" w:rsidRDefault="00302512" w:rsidP="00AB62AB">
      <w:pPr>
        <w:pStyle w:val="Heading1"/>
        <w:shd w:val="clear" w:color="auto" w:fill="BDDCDF" w:themeFill="accent1"/>
        <w:rPr>
          <w:color w:val="auto"/>
        </w:rPr>
      </w:pPr>
      <w:bookmarkStart w:id="70" w:name="_Toc72501410"/>
      <w:r w:rsidRPr="00582CB1">
        <w:rPr>
          <w:color w:val="auto"/>
        </w:rPr>
        <w:lastRenderedPageBreak/>
        <w:t>Frequently asked q</w:t>
      </w:r>
      <w:r w:rsidR="000979D0" w:rsidRPr="00582CB1">
        <w:rPr>
          <w:color w:val="auto"/>
        </w:rPr>
        <w:t>uestions (FAQs)</w:t>
      </w:r>
      <w:bookmarkEnd w:id="69"/>
      <w:bookmarkEnd w:id="70"/>
    </w:p>
    <w:p w14:paraId="1CDFAA5D" w14:textId="77777777" w:rsidR="00232DF5" w:rsidRPr="00582CB1" w:rsidRDefault="000979D0" w:rsidP="001B2135">
      <w:pPr>
        <w:pStyle w:val="NumberedList1"/>
        <w:numPr>
          <w:ilvl w:val="0"/>
          <w:numId w:val="0"/>
        </w:numPr>
        <w:ind w:left="284" w:hanging="284"/>
        <w:rPr>
          <w:u w:val="single"/>
        </w:rPr>
      </w:pPr>
      <w:r w:rsidRPr="00582CB1">
        <w:rPr>
          <w:rStyle w:val="Heading4nonumbersChar"/>
          <w:rFonts w:eastAsiaTheme="minorHAnsi"/>
          <w:color w:val="auto"/>
        </w:rPr>
        <w:t>Question 1:</w:t>
      </w:r>
    </w:p>
    <w:p w14:paraId="4B976496" w14:textId="7E7742CB" w:rsidR="00232DF5" w:rsidRPr="00582CB1" w:rsidRDefault="000979D0" w:rsidP="006E5CCE">
      <w:pPr>
        <w:pStyle w:val="NumberedList1"/>
        <w:numPr>
          <w:ilvl w:val="0"/>
          <w:numId w:val="0"/>
        </w:numPr>
        <w:ind w:left="284"/>
      </w:pPr>
      <w:r w:rsidRPr="00582CB1">
        <w:t xml:space="preserve">We are </w:t>
      </w:r>
      <w:r w:rsidR="00DC375F" w:rsidRPr="00582CB1">
        <w:t>updating our appropriation estimates</w:t>
      </w:r>
      <w:r w:rsidRPr="00582CB1">
        <w:t xml:space="preserve"> as part of our Budget updates, </w:t>
      </w:r>
      <w:r w:rsidR="00C45EAA" w:rsidRPr="00582CB1">
        <w:t xml:space="preserve">but </w:t>
      </w:r>
      <w:r w:rsidRPr="00582CB1">
        <w:t xml:space="preserve">we </w:t>
      </w:r>
      <w:r w:rsidR="00C45EAA" w:rsidRPr="00582CB1">
        <w:t xml:space="preserve">are </w:t>
      </w:r>
      <w:r w:rsidRPr="00582CB1">
        <w:t>find</w:t>
      </w:r>
      <w:r w:rsidR="00C45EAA" w:rsidRPr="00582CB1">
        <w:t>ing</w:t>
      </w:r>
      <w:r w:rsidRPr="00582CB1">
        <w:t xml:space="preserve"> these are not covering our </w:t>
      </w:r>
      <w:r w:rsidR="00DC375F" w:rsidRPr="00582CB1">
        <w:t>actual</w:t>
      </w:r>
      <w:r w:rsidR="005A6B40" w:rsidRPr="00582CB1">
        <w:t xml:space="preserve"> departmental</w:t>
      </w:r>
      <w:r w:rsidR="00DC375F" w:rsidRPr="00582CB1">
        <w:t xml:space="preserve"> forex </w:t>
      </w:r>
      <w:r w:rsidRPr="00582CB1">
        <w:t>cost</w:t>
      </w:r>
      <w:r w:rsidR="00DC375F" w:rsidRPr="00582CB1">
        <w:t>s</w:t>
      </w:r>
      <w:r w:rsidR="00232DF5" w:rsidRPr="00582CB1">
        <w:t>:</w:t>
      </w:r>
    </w:p>
    <w:p w14:paraId="09FAAE2E" w14:textId="490AFE22" w:rsidR="00232DF5" w:rsidRPr="00582CB1" w:rsidRDefault="000979D0" w:rsidP="00232DF5">
      <w:pPr>
        <w:pStyle w:val="Bullet1"/>
        <w:rPr>
          <w:u w:val="single"/>
        </w:rPr>
      </w:pPr>
      <w:proofErr w:type="gramStart"/>
      <w:r w:rsidRPr="00582CB1">
        <w:t>what</w:t>
      </w:r>
      <w:proofErr w:type="gramEnd"/>
      <w:r w:rsidRPr="00582CB1">
        <w:t xml:space="preserve"> is the appropriat</w:t>
      </w:r>
      <w:r w:rsidR="00232DF5" w:rsidRPr="00582CB1">
        <w:t xml:space="preserve">e avenue to </w:t>
      </w:r>
      <w:r w:rsidR="00DC375F" w:rsidRPr="00582CB1">
        <w:t>cover these additional costs</w:t>
      </w:r>
      <w:r w:rsidR="00232DF5" w:rsidRPr="00582CB1">
        <w:t xml:space="preserve">— can we </w:t>
      </w:r>
      <w:r w:rsidR="00C0764A" w:rsidRPr="00582CB1">
        <w:t>seek supplementation</w:t>
      </w:r>
      <w:r w:rsidR="00232DF5" w:rsidRPr="00582CB1">
        <w:t xml:space="preserve"> </w:t>
      </w:r>
      <w:r w:rsidR="00C0764A" w:rsidRPr="00582CB1">
        <w:t xml:space="preserve">for </w:t>
      </w:r>
      <w:r w:rsidR="00232DF5" w:rsidRPr="00582CB1">
        <w:t xml:space="preserve">a </w:t>
      </w:r>
      <w:r w:rsidR="00DC375F" w:rsidRPr="00582CB1">
        <w:t>loss</w:t>
      </w:r>
      <w:r w:rsidR="00232DF5" w:rsidRPr="00582CB1">
        <w:t xml:space="preserve"> </w:t>
      </w:r>
      <w:r w:rsidR="00C0764A" w:rsidRPr="00582CB1">
        <w:t xml:space="preserve">that </w:t>
      </w:r>
      <w:r w:rsidR="005C6F2E" w:rsidRPr="00582CB1">
        <w:t xml:space="preserve">was </w:t>
      </w:r>
      <w:r w:rsidR="00DC375F" w:rsidRPr="00582CB1">
        <w:t xml:space="preserve">incurred two years ago as part of </w:t>
      </w:r>
      <w:r w:rsidR="00232DF5" w:rsidRPr="00582CB1">
        <w:t xml:space="preserve">this budget update, </w:t>
      </w:r>
      <w:r w:rsidR="00C0764A" w:rsidRPr="00582CB1">
        <w:t xml:space="preserve">with the funding to be provided </w:t>
      </w:r>
      <w:r w:rsidR="00DC375F" w:rsidRPr="00582CB1">
        <w:t>in the upcoming Appropriation Act</w:t>
      </w:r>
      <w:r w:rsidR="00232DF5" w:rsidRPr="00582CB1">
        <w:t>?</w:t>
      </w:r>
    </w:p>
    <w:p w14:paraId="70F8CC76" w14:textId="77777777" w:rsidR="000979D0" w:rsidRPr="00582CB1" w:rsidRDefault="000979D0" w:rsidP="00232DF5">
      <w:pPr>
        <w:pStyle w:val="Heading4nonumbers"/>
        <w:rPr>
          <w:color w:val="auto"/>
        </w:rPr>
      </w:pPr>
      <w:r w:rsidRPr="00582CB1">
        <w:rPr>
          <w:color w:val="auto"/>
        </w:rPr>
        <w:t>Answer:</w:t>
      </w:r>
    </w:p>
    <w:p w14:paraId="13C8BC16" w14:textId="324BC99B" w:rsidR="000979D0" w:rsidRPr="00582CB1" w:rsidRDefault="000979D0" w:rsidP="006E5CCE">
      <w:pPr>
        <w:pStyle w:val="NumberedList1"/>
        <w:numPr>
          <w:ilvl w:val="0"/>
          <w:numId w:val="0"/>
        </w:numPr>
        <w:ind w:left="284"/>
      </w:pPr>
      <w:r w:rsidRPr="00582CB1">
        <w:t>Yes</w:t>
      </w:r>
      <w:r w:rsidR="005C6F2E" w:rsidRPr="00582CB1">
        <w:t>,</w:t>
      </w:r>
      <w:r w:rsidRPr="00582CB1">
        <w:t xml:space="preserve"> you can </w:t>
      </w:r>
      <w:r w:rsidR="00C0764A" w:rsidRPr="00582CB1">
        <w:t xml:space="preserve">seek supplementation </w:t>
      </w:r>
      <w:r w:rsidRPr="00582CB1">
        <w:t xml:space="preserve">for </w:t>
      </w:r>
      <w:r w:rsidR="00DC375F" w:rsidRPr="00582CB1">
        <w:t xml:space="preserve">prior year </w:t>
      </w:r>
      <w:r w:rsidR="005A6B40" w:rsidRPr="00582CB1">
        <w:t xml:space="preserve">departmental </w:t>
      </w:r>
      <w:r w:rsidRPr="00582CB1">
        <w:t>forex losses in a subsequent budget update</w:t>
      </w:r>
      <w:r w:rsidR="00E12DEA" w:rsidRPr="00582CB1">
        <w:t>, provided the loss is over the relevant thresholds ($5 million or one per cent of the entity’s total departmental appropriations for the year the loss was made)</w:t>
      </w:r>
      <w:r w:rsidRPr="00582CB1">
        <w:t xml:space="preserve">. You will just need to enter an adjustment in CBMS, and provide your AAU with supporting documentation to support the validation, such as an extract from </w:t>
      </w:r>
      <w:r w:rsidR="00DC375F" w:rsidRPr="00582CB1">
        <w:t xml:space="preserve">the relevant </w:t>
      </w:r>
      <w:r w:rsidRPr="00582CB1">
        <w:t xml:space="preserve">annual report outlining the actual </w:t>
      </w:r>
      <w:r w:rsidR="00DC375F" w:rsidRPr="00582CB1">
        <w:t xml:space="preserve">forex </w:t>
      </w:r>
      <w:r w:rsidRPr="00582CB1">
        <w:t>loss made</w:t>
      </w:r>
      <w:r w:rsidR="00DC375F" w:rsidRPr="00582CB1">
        <w:t xml:space="preserve"> and the appropriations provided for that particular year</w:t>
      </w:r>
      <w:r w:rsidRPr="00582CB1">
        <w:t xml:space="preserve">. </w:t>
      </w:r>
    </w:p>
    <w:p w14:paraId="51D66DBE" w14:textId="77777777" w:rsidR="000979D0" w:rsidRPr="00582CB1" w:rsidRDefault="000979D0" w:rsidP="001B2135">
      <w:pPr>
        <w:pStyle w:val="Heading4nonumbers"/>
        <w:rPr>
          <w:color w:val="auto"/>
        </w:rPr>
      </w:pPr>
      <w:r w:rsidRPr="00582CB1">
        <w:rPr>
          <w:color w:val="auto"/>
        </w:rPr>
        <w:t>Question 2:</w:t>
      </w:r>
    </w:p>
    <w:p w14:paraId="2A3D044A" w14:textId="4ECA8800" w:rsidR="000979D0" w:rsidRPr="00582CB1" w:rsidRDefault="000979D0" w:rsidP="00824D35">
      <w:pPr>
        <w:pStyle w:val="NumberedList1"/>
        <w:numPr>
          <w:ilvl w:val="0"/>
          <w:numId w:val="0"/>
        </w:numPr>
        <w:ind w:left="284"/>
      </w:pPr>
      <w:r w:rsidRPr="00582CB1">
        <w:t xml:space="preserve">Can </w:t>
      </w:r>
      <w:r w:rsidR="00260A2B" w:rsidRPr="00582CB1">
        <w:t xml:space="preserve">my entity </w:t>
      </w:r>
      <w:r w:rsidRPr="00582CB1">
        <w:t xml:space="preserve">claim </w:t>
      </w:r>
      <w:r w:rsidR="005A6B40" w:rsidRPr="00582CB1">
        <w:t xml:space="preserve">departmental </w:t>
      </w:r>
      <w:r w:rsidRPr="00582CB1">
        <w:t xml:space="preserve">supplementation for forex loss if </w:t>
      </w:r>
      <w:r w:rsidR="00F03CF0" w:rsidRPr="00582CB1">
        <w:t>the loss</w:t>
      </w:r>
      <w:r w:rsidR="00967AE3" w:rsidRPr="00582CB1">
        <w:t xml:space="preserve"> </w:t>
      </w:r>
      <w:r w:rsidRPr="00582CB1">
        <w:t xml:space="preserve">is less than two per </w:t>
      </w:r>
      <w:r w:rsidR="00742471" w:rsidRPr="00582CB1">
        <w:t>c</w:t>
      </w:r>
      <w:r w:rsidRPr="00582CB1">
        <w:t xml:space="preserve">ent of </w:t>
      </w:r>
      <w:r w:rsidR="00F03CF0" w:rsidRPr="00582CB1">
        <w:t xml:space="preserve">my entity’s total </w:t>
      </w:r>
      <w:r w:rsidR="00742471" w:rsidRPr="00582CB1">
        <w:t xml:space="preserve">departmental </w:t>
      </w:r>
      <w:r w:rsidRPr="00582CB1">
        <w:t>appropriation</w:t>
      </w:r>
      <w:r w:rsidR="00F03CF0" w:rsidRPr="00582CB1">
        <w:t>s for that year</w:t>
      </w:r>
      <w:r w:rsidRPr="00582CB1">
        <w:t>?</w:t>
      </w:r>
      <w:r w:rsidR="00742471" w:rsidRPr="00582CB1">
        <w:t xml:space="preserve"> </w:t>
      </w:r>
      <w:r w:rsidRPr="00582CB1">
        <w:t xml:space="preserve">Does the threshold include </w:t>
      </w:r>
      <w:r w:rsidR="00742471" w:rsidRPr="00582CB1">
        <w:t>eq</w:t>
      </w:r>
      <w:r w:rsidRPr="00582CB1">
        <w:t xml:space="preserve">uity </w:t>
      </w:r>
      <w:r w:rsidR="00742471" w:rsidRPr="00582CB1">
        <w:t xml:space="preserve">injection </w:t>
      </w:r>
      <w:r w:rsidRPr="00582CB1">
        <w:t>and Departmental Capital Budget (DCB)</w:t>
      </w:r>
      <w:r w:rsidR="00742471" w:rsidRPr="00582CB1">
        <w:t xml:space="preserve"> funding?</w:t>
      </w:r>
    </w:p>
    <w:p w14:paraId="01DA64CD" w14:textId="77777777" w:rsidR="000979D0" w:rsidRPr="00582CB1" w:rsidRDefault="000979D0" w:rsidP="001B2135">
      <w:pPr>
        <w:pStyle w:val="Heading4nonumbers"/>
        <w:rPr>
          <w:color w:val="auto"/>
        </w:rPr>
      </w:pPr>
      <w:r w:rsidRPr="00582CB1">
        <w:rPr>
          <w:color w:val="auto"/>
        </w:rPr>
        <w:t>Answer:</w:t>
      </w:r>
    </w:p>
    <w:p w14:paraId="6FF0F187" w14:textId="05B27BA6" w:rsidR="001D7B03" w:rsidRPr="00582CB1" w:rsidRDefault="001D7B03" w:rsidP="00824D35">
      <w:pPr>
        <w:pStyle w:val="NumberedList1"/>
        <w:numPr>
          <w:ilvl w:val="0"/>
          <w:numId w:val="0"/>
        </w:numPr>
        <w:ind w:left="284"/>
      </w:pPr>
      <w:r w:rsidRPr="00582CB1">
        <w:t xml:space="preserve">The threshold for your entity to be eligible for supplementation for </w:t>
      </w:r>
      <w:r w:rsidR="005A6B40" w:rsidRPr="00582CB1">
        <w:t xml:space="preserve">departmental </w:t>
      </w:r>
      <w:r w:rsidRPr="00582CB1">
        <w:t>forex loss</w:t>
      </w:r>
      <w:r w:rsidR="00F34AAB" w:rsidRPr="00582CB1">
        <w:t xml:space="preserve">es is </w:t>
      </w:r>
      <w:r w:rsidR="00F34AAB" w:rsidRPr="00582CB1">
        <w:rPr>
          <w:u w:val="single"/>
        </w:rPr>
        <w:t>the lesser of</w:t>
      </w:r>
      <w:r w:rsidR="00F34AAB" w:rsidRPr="00582CB1">
        <w:t>:</w:t>
      </w:r>
    </w:p>
    <w:p w14:paraId="37F7A106" w14:textId="6039F79D" w:rsidR="000979D0" w:rsidRPr="00582CB1" w:rsidRDefault="006F65B6" w:rsidP="00D81D32">
      <w:pPr>
        <w:pStyle w:val="NumberedList1"/>
        <w:numPr>
          <w:ilvl w:val="0"/>
          <w:numId w:val="23"/>
        </w:numPr>
      </w:pPr>
      <w:r w:rsidRPr="00582CB1">
        <w:t xml:space="preserve">forex losses of </w:t>
      </w:r>
      <w:r w:rsidR="00232DF5" w:rsidRPr="00582CB1">
        <w:t>more than $5 million</w:t>
      </w:r>
      <w:r w:rsidRPr="00582CB1">
        <w:t>;</w:t>
      </w:r>
      <w:r w:rsidR="000979D0" w:rsidRPr="00582CB1">
        <w:t xml:space="preserve"> or </w:t>
      </w:r>
    </w:p>
    <w:p w14:paraId="31E9226C" w14:textId="7F5FA459" w:rsidR="000979D0" w:rsidRPr="00582CB1" w:rsidRDefault="006F65B6" w:rsidP="00D81D32">
      <w:pPr>
        <w:pStyle w:val="NumberedList1"/>
        <w:numPr>
          <w:ilvl w:val="0"/>
          <w:numId w:val="23"/>
        </w:numPr>
      </w:pPr>
      <w:proofErr w:type="gramStart"/>
      <w:r w:rsidRPr="00582CB1">
        <w:t>forex</w:t>
      </w:r>
      <w:proofErr w:type="gramEnd"/>
      <w:r w:rsidRPr="00582CB1">
        <w:t xml:space="preserve"> losses of </w:t>
      </w:r>
      <w:r w:rsidR="000979D0" w:rsidRPr="00582CB1">
        <w:t xml:space="preserve">more than one per cent of your (total) departmental appropriation. </w:t>
      </w:r>
    </w:p>
    <w:p w14:paraId="57DA4866" w14:textId="5B3202A2" w:rsidR="000979D0" w:rsidRPr="00582CB1" w:rsidRDefault="000979D0" w:rsidP="00C0764A">
      <w:pPr>
        <w:pStyle w:val="NumberedList1"/>
        <w:numPr>
          <w:ilvl w:val="0"/>
          <w:numId w:val="0"/>
        </w:numPr>
        <w:ind w:left="284"/>
      </w:pPr>
      <w:r w:rsidRPr="00582CB1">
        <w:t xml:space="preserve">For example, if </w:t>
      </w:r>
      <w:r w:rsidR="00C0764A" w:rsidRPr="00582CB1">
        <w:t>an entity’s total departmental appropriations for the year were $10 million and the forex loss made was $200,000, the entity could seek supplementation for the $200,000 as the loss represents more than one percent (</w:t>
      </w:r>
      <w:r w:rsidR="00151AB6" w:rsidRPr="00582CB1">
        <w:t>i.e.</w:t>
      </w:r>
      <w:r w:rsidR="00C0764A" w:rsidRPr="00582CB1">
        <w:t xml:space="preserve"> two per cent</w:t>
      </w:r>
      <w:r w:rsidR="00F03CF0" w:rsidRPr="00582CB1">
        <w:t xml:space="preserve"> of the entity’s total departmental appropriations for that year</w:t>
      </w:r>
      <w:r w:rsidR="00C0764A" w:rsidRPr="00582CB1">
        <w:t xml:space="preserve">). </w:t>
      </w:r>
    </w:p>
    <w:p w14:paraId="6C184F9D" w14:textId="7894DF4E" w:rsidR="000979D0" w:rsidRPr="00582CB1" w:rsidRDefault="000979D0" w:rsidP="00C0764A">
      <w:pPr>
        <w:pStyle w:val="NumberedList1"/>
        <w:numPr>
          <w:ilvl w:val="0"/>
          <w:numId w:val="0"/>
        </w:numPr>
        <w:ind w:left="284"/>
      </w:pPr>
      <w:r w:rsidRPr="00582CB1">
        <w:t xml:space="preserve">The threshold covers the total of all departmental appropriations - operating, equity </w:t>
      </w:r>
      <w:r w:rsidR="00824D35" w:rsidRPr="00582CB1">
        <w:t xml:space="preserve">injection </w:t>
      </w:r>
      <w:r w:rsidRPr="00582CB1">
        <w:t>and DCB.</w:t>
      </w:r>
    </w:p>
    <w:p w14:paraId="7BB31CB6" w14:textId="77777777" w:rsidR="000979D0" w:rsidRPr="00582CB1" w:rsidRDefault="000979D0" w:rsidP="001B2135">
      <w:pPr>
        <w:pStyle w:val="Heading4nonumbers"/>
        <w:rPr>
          <w:color w:val="auto"/>
        </w:rPr>
      </w:pPr>
      <w:r w:rsidRPr="00582CB1">
        <w:rPr>
          <w:color w:val="auto"/>
        </w:rPr>
        <w:t>Question 3:</w:t>
      </w:r>
    </w:p>
    <w:p w14:paraId="21617ADD" w14:textId="103574F6" w:rsidR="000979D0" w:rsidRPr="00582CB1" w:rsidRDefault="000979D0" w:rsidP="006E5CCE">
      <w:pPr>
        <w:pStyle w:val="NumberedList1"/>
        <w:numPr>
          <w:ilvl w:val="0"/>
          <w:numId w:val="0"/>
        </w:numPr>
        <w:ind w:left="284"/>
      </w:pPr>
      <w:r w:rsidRPr="00582CB1">
        <w:t xml:space="preserve">Our entity estimates that we will </w:t>
      </w:r>
      <w:r w:rsidR="008306E8" w:rsidRPr="00582CB1">
        <w:t xml:space="preserve">incur </w:t>
      </w:r>
      <w:r w:rsidRPr="00582CB1">
        <w:t xml:space="preserve">approximately $5.5 million </w:t>
      </w:r>
      <w:r w:rsidR="008306E8" w:rsidRPr="00582CB1">
        <w:t xml:space="preserve">in </w:t>
      </w:r>
      <w:r w:rsidR="00484F64" w:rsidRPr="00582CB1">
        <w:t xml:space="preserve">departmental </w:t>
      </w:r>
      <w:r w:rsidRPr="00582CB1">
        <w:t>forex loss</w:t>
      </w:r>
      <w:r w:rsidR="00C0764A" w:rsidRPr="00582CB1">
        <w:t>es</w:t>
      </w:r>
      <w:r w:rsidRPr="00582CB1">
        <w:t xml:space="preserve">. Can you please advise if we are eligible for </w:t>
      </w:r>
      <w:r w:rsidR="00C0764A" w:rsidRPr="00582CB1">
        <w:t xml:space="preserve">supplementation </w:t>
      </w:r>
      <w:r w:rsidRPr="00582CB1">
        <w:t xml:space="preserve">and </w:t>
      </w:r>
      <w:r w:rsidR="00C0764A" w:rsidRPr="00582CB1">
        <w:t>what is the process for seeking the funding</w:t>
      </w:r>
      <w:r w:rsidRPr="00582CB1">
        <w:t>?</w:t>
      </w:r>
    </w:p>
    <w:p w14:paraId="33B336CB" w14:textId="77777777" w:rsidR="000979D0" w:rsidRPr="00582CB1" w:rsidRDefault="000979D0" w:rsidP="001B2135">
      <w:pPr>
        <w:pStyle w:val="Heading4nonumbers"/>
        <w:rPr>
          <w:color w:val="auto"/>
        </w:rPr>
      </w:pPr>
      <w:r w:rsidRPr="00582CB1">
        <w:rPr>
          <w:color w:val="auto"/>
        </w:rPr>
        <w:lastRenderedPageBreak/>
        <w:t>Answer:</w:t>
      </w:r>
    </w:p>
    <w:p w14:paraId="7D49E0A9" w14:textId="51732DDD" w:rsidR="000979D0" w:rsidRPr="00582CB1" w:rsidRDefault="000979D0" w:rsidP="006E5CCE">
      <w:pPr>
        <w:pStyle w:val="NumberedList1"/>
        <w:numPr>
          <w:ilvl w:val="0"/>
          <w:numId w:val="0"/>
        </w:numPr>
        <w:ind w:left="284"/>
      </w:pPr>
      <w:r w:rsidRPr="00582CB1">
        <w:t>Your entity wi</w:t>
      </w:r>
      <w:r w:rsidR="00C0764A" w:rsidRPr="00582CB1">
        <w:t xml:space="preserve">ll be eligible for </w:t>
      </w:r>
      <w:r w:rsidR="00484F64" w:rsidRPr="00582CB1">
        <w:t xml:space="preserve">departmental </w:t>
      </w:r>
      <w:r w:rsidR="00C0764A" w:rsidRPr="00582CB1">
        <w:t xml:space="preserve">supplementation </w:t>
      </w:r>
      <w:r w:rsidRPr="00582CB1">
        <w:t xml:space="preserve">via the next annual </w:t>
      </w:r>
      <w:r w:rsidR="00DC375F" w:rsidRPr="00582CB1">
        <w:t>Appropriation Acts</w:t>
      </w:r>
      <w:r w:rsidRPr="00582CB1">
        <w:t xml:space="preserve">, as the current estimate of the loss is over the $5 million threshold. </w:t>
      </w:r>
    </w:p>
    <w:p w14:paraId="163CA836" w14:textId="34EF31D3" w:rsidR="000979D0" w:rsidRPr="00582CB1" w:rsidRDefault="000979D0" w:rsidP="006E5CCE">
      <w:pPr>
        <w:pStyle w:val="NumberedList1"/>
        <w:numPr>
          <w:ilvl w:val="0"/>
          <w:numId w:val="0"/>
        </w:numPr>
        <w:ind w:left="284"/>
      </w:pPr>
      <w:r w:rsidRPr="00582CB1">
        <w:t xml:space="preserve">The amount of </w:t>
      </w:r>
      <w:r w:rsidR="008306E8" w:rsidRPr="00582CB1">
        <w:t xml:space="preserve">supplementation </w:t>
      </w:r>
      <w:r w:rsidR="004202C3" w:rsidRPr="00582CB1">
        <w:t xml:space="preserve">actually </w:t>
      </w:r>
      <w:r w:rsidRPr="00582CB1">
        <w:t xml:space="preserve">provided will be determined </w:t>
      </w:r>
      <w:r w:rsidR="008306E8" w:rsidRPr="00582CB1">
        <w:t xml:space="preserve">through a reconciliation of </w:t>
      </w:r>
      <w:r w:rsidRPr="00582CB1">
        <w:t xml:space="preserve">your </w:t>
      </w:r>
      <w:r w:rsidR="00C0764A" w:rsidRPr="00582CB1">
        <w:t xml:space="preserve">total </w:t>
      </w:r>
      <w:r w:rsidRPr="00582CB1">
        <w:t>actual foreign exchange loss</w:t>
      </w:r>
      <w:r w:rsidR="008306E8" w:rsidRPr="00582CB1">
        <w:t>es</w:t>
      </w:r>
      <w:r w:rsidRPr="00582CB1">
        <w:t xml:space="preserve"> </w:t>
      </w:r>
      <w:r w:rsidR="00C0764A" w:rsidRPr="00582CB1">
        <w:t xml:space="preserve">(across all currencies) </w:t>
      </w:r>
      <w:r w:rsidRPr="00582CB1">
        <w:t xml:space="preserve">from </w:t>
      </w:r>
      <w:r w:rsidR="008306E8" w:rsidRPr="00582CB1">
        <w:t>annual financial statements with the budget estimates at the time the appropriations were provided.</w:t>
      </w:r>
    </w:p>
    <w:p w14:paraId="300DD9FD" w14:textId="56DD5309" w:rsidR="000979D0" w:rsidRPr="00582CB1" w:rsidRDefault="000979D0" w:rsidP="001B2135">
      <w:pPr>
        <w:pStyle w:val="NumberedList1"/>
        <w:numPr>
          <w:ilvl w:val="0"/>
          <w:numId w:val="0"/>
        </w:numPr>
        <w:ind w:left="284"/>
      </w:pPr>
      <w:r w:rsidRPr="00582CB1">
        <w:t xml:space="preserve">Once the amount of the actual loss has been confirmed, your entity will be able to enter an adjustment in CBMS at the next estimates update for </w:t>
      </w:r>
      <w:r w:rsidR="004202C3" w:rsidRPr="00582CB1">
        <w:t>supplementation</w:t>
      </w:r>
      <w:r w:rsidRPr="00582CB1">
        <w:t xml:space="preserve">. </w:t>
      </w:r>
      <w:r w:rsidR="008306E8" w:rsidRPr="00582CB1">
        <w:t xml:space="preserve">Please contact the relevant AAU for more information. </w:t>
      </w:r>
    </w:p>
    <w:p w14:paraId="1E70857F" w14:textId="77777777" w:rsidR="000979D0" w:rsidRPr="00582CB1" w:rsidRDefault="000979D0" w:rsidP="001B2135">
      <w:pPr>
        <w:pStyle w:val="Heading4nonumbers"/>
        <w:rPr>
          <w:color w:val="auto"/>
        </w:rPr>
      </w:pPr>
      <w:r w:rsidRPr="00582CB1">
        <w:rPr>
          <w:color w:val="auto"/>
        </w:rPr>
        <w:t>Question 4:</w:t>
      </w:r>
    </w:p>
    <w:p w14:paraId="5DBE10A8" w14:textId="0AB520B9" w:rsidR="000979D0" w:rsidRPr="00582CB1" w:rsidRDefault="000979D0" w:rsidP="006E5CCE">
      <w:pPr>
        <w:pStyle w:val="NumberedList1"/>
        <w:numPr>
          <w:ilvl w:val="0"/>
          <w:numId w:val="0"/>
        </w:numPr>
        <w:ind w:left="284"/>
      </w:pPr>
      <w:r w:rsidRPr="00582CB1">
        <w:t xml:space="preserve">In </w:t>
      </w:r>
      <w:r w:rsidR="00CE68FE" w:rsidRPr="00582CB1">
        <w:t xml:space="preserve">the </w:t>
      </w:r>
      <w:r w:rsidRPr="00582CB1">
        <w:t xml:space="preserve">previous </w:t>
      </w:r>
      <w:r w:rsidR="00CE68FE" w:rsidRPr="00582CB1">
        <w:t xml:space="preserve">financial </w:t>
      </w:r>
      <w:r w:rsidRPr="00582CB1">
        <w:t>year</w:t>
      </w:r>
      <w:r w:rsidR="00360825" w:rsidRPr="00582CB1">
        <w:t>,</w:t>
      </w:r>
      <w:r w:rsidRPr="00582CB1">
        <w:t xml:space="preserve"> our entity processed a journal to recognise the supplementation required </w:t>
      </w:r>
      <w:r w:rsidR="00360825" w:rsidRPr="00582CB1">
        <w:t xml:space="preserve">for </w:t>
      </w:r>
      <w:r w:rsidR="00484F64" w:rsidRPr="00582CB1">
        <w:t xml:space="preserve">departmental </w:t>
      </w:r>
      <w:r w:rsidRPr="00582CB1">
        <w:t>forex loss</w:t>
      </w:r>
      <w:r w:rsidR="00360825" w:rsidRPr="00582CB1">
        <w:t xml:space="preserve">es </w:t>
      </w:r>
      <w:r w:rsidRPr="00582CB1">
        <w:t xml:space="preserve">as an appropriation receivable. Do we need to wait until the </w:t>
      </w:r>
      <w:r w:rsidR="00360825" w:rsidRPr="00582CB1">
        <w:t xml:space="preserve">appropriation </w:t>
      </w:r>
      <w:r w:rsidRPr="00582CB1">
        <w:t>is legally available before recognising the appropriation receivable?</w:t>
      </w:r>
    </w:p>
    <w:p w14:paraId="5F91EDB9" w14:textId="77777777" w:rsidR="000979D0" w:rsidRPr="00582CB1" w:rsidRDefault="000979D0" w:rsidP="001B2135">
      <w:pPr>
        <w:pStyle w:val="Heading4nonumbers"/>
        <w:rPr>
          <w:color w:val="auto"/>
        </w:rPr>
      </w:pPr>
      <w:r w:rsidRPr="00582CB1">
        <w:rPr>
          <w:color w:val="auto"/>
        </w:rPr>
        <w:t>Answer:</w:t>
      </w:r>
    </w:p>
    <w:p w14:paraId="7C59B33C" w14:textId="57931F3C" w:rsidR="000979D0" w:rsidRPr="00582CB1" w:rsidRDefault="000979D0" w:rsidP="006E5CCE">
      <w:pPr>
        <w:pStyle w:val="NumberedList1"/>
        <w:numPr>
          <w:ilvl w:val="0"/>
          <w:numId w:val="0"/>
        </w:numPr>
        <w:ind w:left="284"/>
      </w:pPr>
      <w:r w:rsidRPr="00582CB1">
        <w:t>Supplementary funding for for</w:t>
      </w:r>
      <w:r w:rsidR="007B6B9F" w:rsidRPr="00582CB1">
        <w:t>ex</w:t>
      </w:r>
      <w:r w:rsidRPr="00582CB1">
        <w:t xml:space="preserve"> losses is provided via the next available annual Appropriation Acts (usually through the Additional Estimates process), so the appropriation </w:t>
      </w:r>
      <w:r w:rsidR="00360825" w:rsidRPr="00582CB1">
        <w:t>should not be recognised as an appropriation receivable</w:t>
      </w:r>
      <w:r w:rsidR="008770C5" w:rsidRPr="00582CB1">
        <w:t>,</w:t>
      </w:r>
      <w:r w:rsidR="00484F64" w:rsidRPr="00582CB1">
        <w:t xml:space="preserve"> but rather accrued appropriation revenue</w:t>
      </w:r>
      <w:r w:rsidR="00360825" w:rsidRPr="00582CB1">
        <w:t xml:space="preserve">. </w:t>
      </w:r>
    </w:p>
    <w:p w14:paraId="183E0D9E" w14:textId="25D4621D" w:rsidR="000979D0" w:rsidRPr="00582CB1" w:rsidRDefault="000979D0" w:rsidP="001B2135">
      <w:pPr>
        <w:ind w:left="284"/>
      </w:pPr>
      <w:r w:rsidRPr="00582CB1">
        <w:t xml:space="preserve">The </w:t>
      </w:r>
      <w:hyperlink r:id="rId29" w:history="1">
        <w:r w:rsidRPr="00582CB1">
          <w:rPr>
            <w:rStyle w:val="Hyperlink"/>
            <w:rFonts w:cstheme="minorBidi"/>
          </w:rPr>
          <w:t>P</w:t>
        </w:r>
        <w:r w:rsidR="007B6B9F" w:rsidRPr="00582CB1">
          <w:rPr>
            <w:rStyle w:val="Hyperlink"/>
            <w:rFonts w:cstheme="minorBidi"/>
          </w:rPr>
          <w:t xml:space="preserve">ublic </w:t>
        </w:r>
        <w:r w:rsidRPr="00582CB1">
          <w:rPr>
            <w:rStyle w:val="Hyperlink"/>
            <w:rFonts w:cstheme="minorBidi"/>
          </w:rPr>
          <w:t>G</w:t>
        </w:r>
        <w:r w:rsidR="007B6B9F" w:rsidRPr="00582CB1">
          <w:rPr>
            <w:rStyle w:val="Hyperlink"/>
            <w:rFonts w:cstheme="minorBidi"/>
          </w:rPr>
          <w:t xml:space="preserve">overnance, </w:t>
        </w:r>
        <w:r w:rsidRPr="00582CB1">
          <w:rPr>
            <w:rStyle w:val="Hyperlink"/>
            <w:rFonts w:cstheme="minorBidi"/>
          </w:rPr>
          <w:t>P</w:t>
        </w:r>
        <w:r w:rsidR="007B6B9F" w:rsidRPr="00582CB1">
          <w:rPr>
            <w:rStyle w:val="Hyperlink"/>
            <w:rFonts w:cstheme="minorBidi"/>
          </w:rPr>
          <w:t xml:space="preserve">erformance and </w:t>
        </w:r>
        <w:r w:rsidRPr="00582CB1">
          <w:rPr>
            <w:rStyle w:val="Hyperlink"/>
            <w:rFonts w:cstheme="minorBidi"/>
          </w:rPr>
          <w:t>A</w:t>
        </w:r>
        <w:r w:rsidR="007B6B9F" w:rsidRPr="00582CB1">
          <w:rPr>
            <w:rStyle w:val="Hyperlink"/>
            <w:rFonts w:cstheme="minorBidi"/>
          </w:rPr>
          <w:t>ccountability</w:t>
        </w:r>
        <w:r w:rsidRPr="00582CB1">
          <w:rPr>
            <w:rStyle w:val="Hyperlink"/>
            <w:rFonts w:cstheme="minorBidi"/>
          </w:rPr>
          <w:t xml:space="preserve"> </w:t>
        </w:r>
        <w:r w:rsidR="00360825" w:rsidRPr="00582CB1">
          <w:rPr>
            <w:rStyle w:val="Hyperlink"/>
            <w:rFonts w:cstheme="minorBidi"/>
          </w:rPr>
          <w:t xml:space="preserve">(Financial Reporting) </w:t>
        </w:r>
        <w:r w:rsidRPr="00582CB1">
          <w:rPr>
            <w:rStyle w:val="Hyperlink"/>
            <w:rFonts w:cstheme="minorBidi"/>
          </w:rPr>
          <w:t xml:space="preserve">Rule </w:t>
        </w:r>
        <w:r w:rsidR="00360825" w:rsidRPr="00582CB1">
          <w:rPr>
            <w:rStyle w:val="Hyperlink"/>
            <w:rFonts w:cstheme="minorBidi"/>
          </w:rPr>
          <w:t>2015</w:t>
        </w:r>
      </w:hyperlink>
      <w:r w:rsidR="00484F64" w:rsidRPr="00582CB1">
        <w:t xml:space="preserve">, </w:t>
      </w:r>
      <w:hyperlink r:id="rId30" w:history="1">
        <w:r w:rsidR="004202C3" w:rsidRPr="00582CB1">
          <w:rPr>
            <w:rStyle w:val="Hyperlink"/>
            <w:rFonts w:cstheme="minorBidi"/>
          </w:rPr>
          <w:t>RMG125 Commonwealth Entities Financial Statements Guide</w:t>
        </w:r>
      </w:hyperlink>
      <w:r w:rsidR="004202C3" w:rsidRPr="00582CB1">
        <w:t xml:space="preserve"> </w:t>
      </w:r>
      <w:r w:rsidR="00484F64" w:rsidRPr="00582CB1">
        <w:t xml:space="preserve">and </w:t>
      </w:r>
      <w:hyperlink r:id="rId31" w:history="1">
        <w:r w:rsidR="00484F64" w:rsidRPr="00582CB1">
          <w:rPr>
            <w:rStyle w:val="Hyperlink"/>
            <w:rFonts w:cstheme="minorBidi"/>
          </w:rPr>
          <w:t>RMG116 Accounting for annual appropriations</w:t>
        </w:r>
      </w:hyperlink>
      <w:r w:rsidR="00484F64" w:rsidRPr="00582CB1">
        <w:t xml:space="preserve"> </w:t>
      </w:r>
      <w:r w:rsidRPr="00582CB1">
        <w:t>provide information on when appropriation adjustments or supplementation can be recognised</w:t>
      </w:r>
      <w:r w:rsidR="00360825" w:rsidRPr="00582CB1">
        <w:t>.</w:t>
      </w:r>
    </w:p>
    <w:p w14:paraId="1F9D33F4" w14:textId="77777777" w:rsidR="000979D0" w:rsidRPr="00582CB1" w:rsidRDefault="000979D0" w:rsidP="001B2135">
      <w:pPr>
        <w:pStyle w:val="Heading4nonumbers"/>
        <w:rPr>
          <w:color w:val="auto"/>
        </w:rPr>
      </w:pPr>
      <w:r w:rsidRPr="00582CB1">
        <w:rPr>
          <w:color w:val="auto"/>
        </w:rPr>
        <w:t>Question 5:</w:t>
      </w:r>
    </w:p>
    <w:p w14:paraId="6CDECB0A" w14:textId="77777777" w:rsidR="000979D0" w:rsidRPr="00582CB1" w:rsidRDefault="000979D0" w:rsidP="006E5CCE">
      <w:pPr>
        <w:pStyle w:val="NumberedList1"/>
        <w:numPr>
          <w:ilvl w:val="0"/>
          <w:numId w:val="0"/>
        </w:numPr>
        <w:ind w:left="284"/>
      </w:pPr>
      <w:r w:rsidRPr="00582CB1">
        <w:t>If the entity was to establish a new mandatory whole of government arrangement with a US based company, can we agree for invoices to be provided in USD or must invoices be in AUD?</w:t>
      </w:r>
    </w:p>
    <w:p w14:paraId="3A202FB3" w14:textId="77777777" w:rsidR="000979D0" w:rsidRPr="00582CB1" w:rsidRDefault="000979D0" w:rsidP="001B2135">
      <w:pPr>
        <w:pStyle w:val="Heading4nonumbers"/>
        <w:rPr>
          <w:color w:val="auto"/>
        </w:rPr>
      </w:pPr>
      <w:r w:rsidRPr="00582CB1">
        <w:rPr>
          <w:color w:val="auto"/>
        </w:rPr>
        <w:t>Answer:</w:t>
      </w:r>
    </w:p>
    <w:p w14:paraId="7FD2C39C" w14:textId="554B914E" w:rsidR="000979D0" w:rsidRPr="00582CB1" w:rsidRDefault="000979D0" w:rsidP="006E5CCE">
      <w:pPr>
        <w:pStyle w:val="NumberedList1"/>
        <w:numPr>
          <w:ilvl w:val="0"/>
          <w:numId w:val="0"/>
        </w:numPr>
        <w:ind w:left="284"/>
      </w:pPr>
      <w:r w:rsidRPr="00582CB1">
        <w:t xml:space="preserve">The </w:t>
      </w:r>
      <w:r w:rsidR="00360825" w:rsidRPr="00582CB1">
        <w:t xml:space="preserve">forex policy </w:t>
      </w:r>
      <w:r w:rsidRPr="00582CB1">
        <w:t xml:space="preserve">does not require invoices (whether issued by Commonwealth entities, or received from external parties) to be denominated in any particular currency. The preference for </w:t>
      </w:r>
      <w:r w:rsidR="00360825" w:rsidRPr="00582CB1">
        <w:t xml:space="preserve">Australian Government </w:t>
      </w:r>
      <w:r w:rsidRPr="00582CB1">
        <w:t xml:space="preserve">dealings is AUD, but use of USD or any other currency is not prohibited. The guiding principle is what is in the best interests of </w:t>
      </w:r>
      <w:r w:rsidR="00360825" w:rsidRPr="00582CB1">
        <w:t xml:space="preserve">and </w:t>
      </w:r>
      <w:r w:rsidR="0092447A" w:rsidRPr="00582CB1">
        <w:t xml:space="preserve">represents </w:t>
      </w:r>
      <w:r w:rsidR="00360825" w:rsidRPr="00582CB1">
        <w:t xml:space="preserve">best value for money for </w:t>
      </w:r>
      <w:r w:rsidRPr="00582CB1">
        <w:t xml:space="preserve">the </w:t>
      </w:r>
      <w:r w:rsidR="00360825" w:rsidRPr="00582CB1">
        <w:t xml:space="preserve">Australian Government </w:t>
      </w:r>
      <w:r w:rsidRPr="00582CB1">
        <w:t>as a whole. Any reporting by Commonwealth entities must still be in AUD, in accordance with accounting standards.</w:t>
      </w:r>
      <w:r w:rsidR="008256BA" w:rsidRPr="00582CB1">
        <w:t xml:space="preserve"> Entities may choose to request invoices be issued in a particular currency, however costs in the invoice should be converted at the spot rate on the day the invoice is issued, rather than another exchange rate. </w:t>
      </w:r>
      <w:r w:rsidR="002D799B" w:rsidRPr="00582CB1">
        <w:t>For guidance on how to measure transactions subject to forex movements, please refer to AASB 121</w:t>
      </w:r>
      <w:r w:rsidR="00151AB6" w:rsidRPr="00582CB1">
        <w:t>.</w:t>
      </w:r>
    </w:p>
    <w:p w14:paraId="4CFC0B55" w14:textId="3B9D433C" w:rsidR="008770C5" w:rsidRPr="00582CB1" w:rsidRDefault="008770C5" w:rsidP="008770C5">
      <w:pPr>
        <w:pStyle w:val="Heading4nonumbers"/>
        <w:rPr>
          <w:color w:val="auto"/>
        </w:rPr>
      </w:pPr>
      <w:r w:rsidRPr="00582CB1">
        <w:rPr>
          <w:color w:val="auto"/>
        </w:rPr>
        <w:lastRenderedPageBreak/>
        <w:t>Question 6:</w:t>
      </w:r>
    </w:p>
    <w:p w14:paraId="1B2933A9" w14:textId="5B8A1BEA" w:rsidR="008770C5" w:rsidRPr="00582CB1" w:rsidRDefault="008770C5" w:rsidP="006E5CCE">
      <w:pPr>
        <w:pStyle w:val="NumberedList1"/>
        <w:numPr>
          <w:ilvl w:val="0"/>
          <w:numId w:val="0"/>
        </w:numPr>
        <w:ind w:left="284"/>
      </w:pPr>
      <w:r w:rsidRPr="00582CB1">
        <w:t xml:space="preserve">The Government agreed to provide additional administered funding for my entity’s forex expenditure via estimates variations. How should we recognise this? </w:t>
      </w:r>
    </w:p>
    <w:p w14:paraId="05DA336C" w14:textId="7D0ED427" w:rsidR="008770C5" w:rsidRPr="00582CB1" w:rsidRDefault="008770C5" w:rsidP="008770C5">
      <w:pPr>
        <w:pStyle w:val="Heading4nonumbers"/>
        <w:rPr>
          <w:color w:val="auto"/>
        </w:rPr>
      </w:pPr>
      <w:r w:rsidRPr="00582CB1">
        <w:rPr>
          <w:color w:val="auto"/>
        </w:rPr>
        <w:t xml:space="preserve">Answer: </w:t>
      </w:r>
    </w:p>
    <w:p w14:paraId="3CEDD22E" w14:textId="6D563A86" w:rsidR="008770C5" w:rsidRPr="00582CB1" w:rsidRDefault="008770C5" w:rsidP="006E5CCE">
      <w:pPr>
        <w:pStyle w:val="NumberedList1"/>
        <w:numPr>
          <w:ilvl w:val="0"/>
          <w:numId w:val="0"/>
        </w:numPr>
        <w:ind w:left="284"/>
      </w:pPr>
      <w:r w:rsidRPr="00582CB1">
        <w:t>Where the Government has agreed to updates in administered funding for forex movements, these should be recognised in a similar manner to changes in appropriations for indexation, for example:</w:t>
      </w:r>
    </w:p>
    <w:p w14:paraId="28B62126" w14:textId="45CDA775" w:rsidR="008770C5" w:rsidRPr="00582CB1" w:rsidRDefault="008770C5" w:rsidP="006E5CCE">
      <w:pPr>
        <w:pStyle w:val="NumberedList1"/>
        <w:numPr>
          <w:ilvl w:val="0"/>
          <w:numId w:val="0"/>
        </w:numPr>
        <w:ind w:left="284"/>
      </w:pPr>
      <w:r w:rsidRPr="00582CB1">
        <w:t>Reason code: Change in forex rates</w:t>
      </w:r>
    </w:p>
    <w:p w14:paraId="25DA0763" w14:textId="6B76430E" w:rsidR="008770C5" w:rsidRPr="00582CB1" w:rsidRDefault="008770C5" w:rsidP="006E5CCE">
      <w:pPr>
        <w:pStyle w:val="NumberedList1"/>
        <w:numPr>
          <w:ilvl w:val="0"/>
          <w:numId w:val="0"/>
        </w:numPr>
        <w:ind w:left="284"/>
      </w:pPr>
      <w:r w:rsidRPr="00582CB1">
        <w:t xml:space="preserve">DR </w:t>
      </w:r>
      <w:r w:rsidR="00DE4879" w:rsidRPr="00582CB1">
        <w:tab/>
      </w:r>
      <w:r w:rsidR="00DE4879" w:rsidRPr="00582CB1">
        <w:tab/>
      </w:r>
      <w:r w:rsidRPr="00582CB1">
        <w:t>Expenses</w:t>
      </w:r>
      <w:r w:rsidR="00DE4879" w:rsidRPr="00582CB1">
        <w:t>/Assets</w:t>
      </w:r>
    </w:p>
    <w:p w14:paraId="790F924F" w14:textId="57A58B69" w:rsidR="008770C5" w:rsidRPr="00582CB1" w:rsidRDefault="00DE4879" w:rsidP="00DE4879">
      <w:pPr>
        <w:pStyle w:val="NumberedList1"/>
        <w:numPr>
          <w:ilvl w:val="0"/>
          <w:numId w:val="0"/>
        </w:numPr>
        <w:ind w:left="1436" w:hanging="1152"/>
      </w:pPr>
      <w:r w:rsidRPr="00582CB1">
        <w:t>C</w:t>
      </w:r>
      <w:r w:rsidR="008770C5" w:rsidRPr="00582CB1">
        <w:t xml:space="preserve">R </w:t>
      </w:r>
      <w:r w:rsidRPr="00582CB1">
        <w:tab/>
      </w:r>
      <w:r w:rsidRPr="00582CB1">
        <w:tab/>
      </w:r>
      <w:r w:rsidR="008770C5" w:rsidRPr="00582CB1">
        <w:t>Administered appropriations from the Official Public Account/Revenue from Government</w:t>
      </w:r>
    </w:p>
    <w:p w14:paraId="6C9FD080" w14:textId="77777777" w:rsidR="008770C5" w:rsidRPr="00582CB1" w:rsidRDefault="008770C5" w:rsidP="006E5CCE">
      <w:pPr>
        <w:pStyle w:val="NumberedList1"/>
        <w:numPr>
          <w:ilvl w:val="0"/>
          <w:numId w:val="0"/>
        </w:numPr>
        <w:ind w:left="284"/>
      </w:pPr>
    </w:p>
    <w:p w14:paraId="53A732DA" w14:textId="77777777" w:rsidR="00232DF5" w:rsidRPr="00582CB1" w:rsidRDefault="00232DF5">
      <w:pPr>
        <w:suppressAutoHyphens w:val="0"/>
        <w:spacing w:before="0" w:after="120" w:line="440" w:lineRule="atLeast"/>
        <w:rPr>
          <w:rFonts w:asciiTheme="majorHAnsi" w:eastAsiaTheme="majorEastAsia" w:hAnsiTheme="majorHAnsi" w:cstheme="majorBidi"/>
          <w:bCs/>
          <w:sz w:val="40"/>
          <w:szCs w:val="28"/>
        </w:rPr>
      </w:pPr>
      <w:bookmarkStart w:id="71" w:name="_Toc525716849"/>
      <w:r w:rsidRPr="00582CB1">
        <w:br w:type="page"/>
      </w:r>
    </w:p>
    <w:p w14:paraId="5056C6B6" w14:textId="782294C4" w:rsidR="00443728" w:rsidRPr="00582CB1" w:rsidRDefault="00443728" w:rsidP="00443728">
      <w:pPr>
        <w:pStyle w:val="Heading1"/>
        <w:shd w:val="clear" w:color="auto" w:fill="BDDCDF" w:themeFill="accent1"/>
        <w:rPr>
          <w:color w:val="auto"/>
        </w:rPr>
      </w:pPr>
      <w:bookmarkStart w:id="72" w:name="_Appendix_A_–"/>
      <w:bookmarkStart w:id="73" w:name="_Toc72501411"/>
      <w:bookmarkStart w:id="74" w:name="_Toc308092705"/>
      <w:bookmarkStart w:id="75" w:name="_Toc525716850"/>
      <w:bookmarkEnd w:id="71"/>
      <w:bookmarkEnd w:id="72"/>
      <w:r w:rsidRPr="00582CB1">
        <w:rPr>
          <w:color w:val="auto"/>
        </w:rPr>
        <w:lastRenderedPageBreak/>
        <w:t xml:space="preserve">Appendix A – Applying for an </w:t>
      </w:r>
      <w:r w:rsidR="007B6B9F" w:rsidRPr="00582CB1">
        <w:rPr>
          <w:color w:val="auto"/>
        </w:rPr>
        <w:t>E</w:t>
      </w:r>
      <w:r w:rsidRPr="00582CB1">
        <w:rPr>
          <w:color w:val="auto"/>
        </w:rPr>
        <w:t>xemption</w:t>
      </w:r>
      <w:bookmarkEnd w:id="73"/>
    </w:p>
    <w:bookmarkEnd w:id="74"/>
    <w:bookmarkEnd w:id="75"/>
    <w:p w14:paraId="2C121513" w14:textId="77777777" w:rsidR="000979D0" w:rsidRPr="00582CB1" w:rsidRDefault="000979D0" w:rsidP="000979D0">
      <w:r w:rsidRPr="00582CB1">
        <w:t xml:space="preserve">A GGS entity may apply to the Finance Minister (via its own Portfolio Minister) for an exemption from the hedging restriction imposed by the forex policy. The Finance Minister will consult with the Treasurer on any such </w:t>
      </w:r>
      <w:r w:rsidR="00486620" w:rsidRPr="00582CB1">
        <w:t xml:space="preserve">application. All </w:t>
      </w:r>
      <w:r w:rsidRPr="00582CB1">
        <w:t>entities seeking an exemption must liaise with their Finance AAU in the first instance prior to initiating ministerial correspondence.</w:t>
      </w:r>
    </w:p>
    <w:p w14:paraId="4CBF5564" w14:textId="77777777" w:rsidR="000979D0" w:rsidRPr="00582CB1" w:rsidRDefault="000979D0" w:rsidP="000979D0">
      <w:r w:rsidRPr="00582CB1">
        <w:t>All applications must be supported by a robust argument demonstrating the business need for an exemption. Exemptions can either be in the form of a general exemption from the entire forex policy</w:t>
      </w:r>
      <w:r w:rsidR="00635735" w:rsidRPr="00582CB1">
        <w:t>,</w:t>
      </w:r>
      <w:r w:rsidRPr="00582CB1">
        <w:t xml:space="preserve"> for a specific activity/transaction involving foreign currencies</w:t>
      </w:r>
      <w:r w:rsidR="00635735" w:rsidRPr="00582CB1">
        <w:t>, or for a wholly-owned subsidiary of the GGS entity</w:t>
      </w:r>
      <w:r w:rsidRPr="00582CB1">
        <w:t>.</w:t>
      </w:r>
    </w:p>
    <w:p w14:paraId="633BAED9" w14:textId="77777777" w:rsidR="000979D0" w:rsidRPr="00582CB1" w:rsidRDefault="00302512" w:rsidP="000979D0">
      <w:r w:rsidRPr="00582CB1">
        <w:rPr>
          <w:b/>
        </w:rPr>
        <w:t>General e</w:t>
      </w:r>
      <w:r w:rsidR="000979D0" w:rsidRPr="00582CB1">
        <w:rPr>
          <w:b/>
        </w:rPr>
        <w:t>xemptions</w:t>
      </w:r>
    </w:p>
    <w:p w14:paraId="03AFACA7" w14:textId="77777777" w:rsidR="000979D0" w:rsidRPr="00582CB1" w:rsidRDefault="000979D0" w:rsidP="000979D0">
      <w:r w:rsidRPr="00582CB1">
        <w:t>General exemptions from the forex policy will only be granted in exceptional circumstances, such as if the entity demonstrates that the restrictions imposed by the forex policy would unduly restrict the entity from carrying out core functions. In general, only CCEs will be granted a general exemption from the forex policy.</w:t>
      </w:r>
    </w:p>
    <w:p w14:paraId="057F32C7" w14:textId="77777777" w:rsidR="000979D0" w:rsidRPr="00582CB1" w:rsidRDefault="000979D0" w:rsidP="000979D0">
      <w:r w:rsidRPr="00582CB1">
        <w:rPr>
          <w:b/>
        </w:rPr>
        <w:t>Part</w:t>
      </w:r>
      <w:r w:rsidR="00302512" w:rsidRPr="00582CB1">
        <w:rPr>
          <w:b/>
        </w:rPr>
        <w:t>ial e</w:t>
      </w:r>
      <w:r w:rsidRPr="00582CB1">
        <w:rPr>
          <w:b/>
        </w:rPr>
        <w:t>xemptions</w:t>
      </w:r>
    </w:p>
    <w:p w14:paraId="7BCBA0EE" w14:textId="77777777" w:rsidR="000979D0" w:rsidRPr="00582CB1" w:rsidRDefault="000F7958" w:rsidP="000979D0">
      <w:r w:rsidRPr="00582CB1">
        <w:t>If a</w:t>
      </w:r>
      <w:r w:rsidR="00635735" w:rsidRPr="00582CB1">
        <w:t>n</w:t>
      </w:r>
      <w:r w:rsidRPr="00582CB1">
        <w:t xml:space="preserve"> </w:t>
      </w:r>
      <w:r w:rsidR="000979D0" w:rsidRPr="00582CB1">
        <w:t>entity intends to undertake an activity or a transaction involving an arrangement that would be described as hedging under the forex policy, then the entity may apply to the Finance Minister for a partial exemption from the forex policy. For example, the entity is unable to exclude a request for a fixed exchange rate in a proposed contract, or the restrictions imposed by the forex policy would unduly restrict an entity from carrying out a function.</w:t>
      </w:r>
    </w:p>
    <w:p w14:paraId="4DE9C3D8" w14:textId="77777777" w:rsidR="007002C8" w:rsidRPr="00582CB1" w:rsidRDefault="007002C8">
      <w:pPr>
        <w:suppressAutoHyphens w:val="0"/>
        <w:spacing w:before="0" w:after="120" w:line="440" w:lineRule="atLeast"/>
        <w:rPr>
          <w:rFonts w:asciiTheme="majorHAnsi" w:eastAsiaTheme="majorEastAsia" w:hAnsiTheme="majorHAnsi" w:cstheme="majorBidi"/>
          <w:bCs/>
          <w:sz w:val="30"/>
          <w:szCs w:val="26"/>
        </w:rPr>
      </w:pPr>
      <w:r w:rsidRPr="00582CB1">
        <w:rPr>
          <w:rFonts w:asciiTheme="majorHAnsi" w:eastAsiaTheme="majorEastAsia" w:hAnsiTheme="majorHAnsi" w:cstheme="majorBidi"/>
          <w:bCs/>
          <w:sz w:val="30"/>
          <w:szCs w:val="26"/>
        </w:rPr>
        <w:br w:type="page"/>
      </w:r>
    </w:p>
    <w:p w14:paraId="1C0B1933" w14:textId="276F11DC" w:rsidR="00443728" w:rsidRPr="00582CB1" w:rsidRDefault="00443728" w:rsidP="00443728">
      <w:pPr>
        <w:pStyle w:val="Heading1"/>
        <w:shd w:val="clear" w:color="auto" w:fill="BDDCDF" w:themeFill="accent1"/>
        <w:rPr>
          <w:color w:val="auto"/>
        </w:rPr>
      </w:pPr>
      <w:bookmarkStart w:id="76" w:name="_Appendix_B_–"/>
      <w:bookmarkStart w:id="77" w:name="_Toc72501412"/>
      <w:bookmarkStart w:id="78" w:name="_Toc525716851"/>
      <w:bookmarkEnd w:id="76"/>
      <w:r w:rsidRPr="00582CB1">
        <w:rPr>
          <w:color w:val="auto"/>
        </w:rPr>
        <w:lastRenderedPageBreak/>
        <w:t xml:space="preserve">Appendix B – Acronyms and </w:t>
      </w:r>
      <w:r w:rsidR="007B6B9F" w:rsidRPr="00582CB1">
        <w:rPr>
          <w:color w:val="auto"/>
        </w:rPr>
        <w:t>G</w:t>
      </w:r>
      <w:r w:rsidRPr="00582CB1">
        <w:rPr>
          <w:color w:val="auto"/>
        </w:rPr>
        <w:t>lossary</w:t>
      </w:r>
      <w:r w:rsidR="007B6B9F" w:rsidRPr="00582CB1">
        <w:rPr>
          <w:color w:val="auto"/>
        </w:rPr>
        <w:t xml:space="preserve"> of Terms</w:t>
      </w:r>
      <w:bookmarkEnd w:id="77"/>
    </w:p>
    <w:bookmarkEnd w:id="78"/>
    <w:p w14:paraId="70D28A4C" w14:textId="77777777" w:rsidR="000979D0" w:rsidRPr="00582CB1" w:rsidRDefault="000979D0" w:rsidP="006E5CCE">
      <w:pPr>
        <w:pStyle w:val="NumberedList1"/>
        <w:numPr>
          <w:ilvl w:val="0"/>
          <w:numId w:val="0"/>
        </w:numPr>
      </w:pPr>
      <w:r w:rsidRPr="00582CB1">
        <w:rPr>
          <w:b/>
        </w:rPr>
        <w:t>AUD</w:t>
      </w:r>
      <w:r w:rsidRPr="00582CB1">
        <w:t xml:space="preserve"> – Australian dollar(s).</w:t>
      </w:r>
    </w:p>
    <w:p w14:paraId="58107E78" w14:textId="4FED0ED9" w:rsidR="000979D0" w:rsidRPr="00582CB1" w:rsidRDefault="000979D0" w:rsidP="006E5CCE">
      <w:pPr>
        <w:pStyle w:val="NumberedList1"/>
        <w:numPr>
          <w:ilvl w:val="0"/>
          <w:numId w:val="0"/>
        </w:numPr>
      </w:pPr>
      <w:r w:rsidRPr="00582CB1">
        <w:rPr>
          <w:b/>
        </w:rPr>
        <w:t xml:space="preserve">Budget Exchange Rate </w:t>
      </w:r>
      <w:r w:rsidR="00635735" w:rsidRPr="00582CB1">
        <w:rPr>
          <w:b/>
        </w:rPr>
        <w:t>(BER)</w:t>
      </w:r>
      <w:r w:rsidR="00635735" w:rsidRPr="00582CB1">
        <w:t xml:space="preserve"> </w:t>
      </w:r>
      <w:r w:rsidRPr="00582CB1">
        <w:t xml:space="preserve">– the exchange rate used for calculating the Australian dollar equivalent of </w:t>
      </w:r>
      <w:r w:rsidR="007B6B9F" w:rsidRPr="00582CB1">
        <w:t>b</w:t>
      </w:r>
      <w:r w:rsidRPr="00582CB1">
        <w:t>udgeted foreign currency amounts</w:t>
      </w:r>
      <w:r w:rsidR="00824D35" w:rsidRPr="00582CB1">
        <w:t>,</w:t>
      </w:r>
      <w:r w:rsidRPr="00582CB1">
        <w:t xml:space="preserve"> as </w:t>
      </w:r>
      <w:r w:rsidR="00824D35" w:rsidRPr="00582CB1">
        <w:t xml:space="preserve">provided to entities through Finance Agency Advice Units. </w:t>
      </w:r>
    </w:p>
    <w:p w14:paraId="0BD09AFD" w14:textId="77777777" w:rsidR="000979D0" w:rsidRPr="00582CB1" w:rsidRDefault="000979D0" w:rsidP="006E5CCE">
      <w:pPr>
        <w:pStyle w:val="NumberedList1"/>
        <w:numPr>
          <w:ilvl w:val="0"/>
          <w:numId w:val="0"/>
        </w:numPr>
      </w:pPr>
      <w:r w:rsidRPr="00582CB1">
        <w:rPr>
          <w:b/>
        </w:rPr>
        <w:t>Cap/s</w:t>
      </w:r>
      <w:r w:rsidRPr="00582CB1">
        <w:t xml:space="preserve"> – an option contract whereby the seller agrees to pay the purchaser, in return for an upfront premium, the difference between a reference rate and a strike rate when the reference rate exceeds the strike rate.</w:t>
      </w:r>
    </w:p>
    <w:p w14:paraId="1C9B2931" w14:textId="7C44DFCC" w:rsidR="007B6B9F" w:rsidRPr="00582CB1" w:rsidRDefault="007B6B9F" w:rsidP="006E5CCE">
      <w:pPr>
        <w:pStyle w:val="NumberedList1"/>
        <w:numPr>
          <w:ilvl w:val="0"/>
          <w:numId w:val="0"/>
        </w:numPr>
      </w:pPr>
      <w:r w:rsidRPr="00582CB1">
        <w:rPr>
          <w:b/>
        </w:rPr>
        <w:t>Commonwealth company</w:t>
      </w:r>
      <w:r w:rsidRPr="00582CB1">
        <w:t xml:space="preserve"> – see section 89 of the</w:t>
      </w:r>
      <w:r w:rsidRPr="00582CB1">
        <w:rPr>
          <w:i/>
        </w:rPr>
        <w:t xml:space="preserve"> Public Governance, Performance and Accountability Act 2013 (PGPA Act)</w:t>
      </w:r>
      <w:r w:rsidR="00F00C0D" w:rsidRPr="00582CB1">
        <w:rPr>
          <w:i/>
        </w:rPr>
        <w:t>.</w:t>
      </w:r>
    </w:p>
    <w:p w14:paraId="5CD683C5" w14:textId="3777FC80" w:rsidR="000979D0" w:rsidRPr="00582CB1" w:rsidRDefault="000979D0" w:rsidP="006E5CCE">
      <w:pPr>
        <w:pStyle w:val="NumberedList1"/>
        <w:numPr>
          <w:ilvl w:val="0"/>
          <w:numId w:val="0"/>
        </w:numPr>
      </w:pPr>
      <w:r w:rsidRPr="00582CB1">
        <w:rPr>
          <w:b/>
        </w:rPr>
        <w:t>Commonwealth entity</w:t>
      </w:r>
      <w:r w:rsidRPr="00582CB1">
        <w:t xml:space="preserve"> – </w:t>
      </w:r>
      <w:r w:rsidR="00912969" w:rsidRPr="00582CB1">
        <w:t>s</w:t>
      </w:r>
      <w:r w:rsidR="007E26E3" w:rsidRPr="00582CB1">
        <w:t>ee section 10 of the</w:t>
      </w:r>
      <w:r w:rsidR="007B6B9F" w:rsidRPr="00582CB1">
        <w:t xml:space="preserve"> PGPA Act</w:t>
      </w:r>
      <w:r w:rsidR="007E26E3" w:rsidRPr="00582CB1">
        <w:t xml:space="preserve">. </w:t>
      </w:r>
    </w:p>
    <w:p w14:paraId="2C8A0EAF" w14:textId="77777777" w:rsidR="000979D0" w:rsidRPr="00582CB1" w:rsidRDefault="000979D0" w:rsidP="006E5CCE">
      <w:pPr>
        <w:pStyle w:val="NumberedList1"/>
        <w:numPr>
          <w:ilvl w:val="0"/>
          <w:numId w:val="0"/>
        </w:numPr>
      </w:pPr>
      <w:r w:rsidRPr="00582CB1">
        <w:rPr>
          <w:b/>
        </w:rPr>
        <w:t xml:space="preserve">Corporate Commonwealth entity </w:t>
      </w:r>
      <w:r w:rsidR="007E26E3" w:rsidRPr="00582CB1">
        <w:rPr>
          <w:b/>
        </w:rPr>
        <w:t>(CCE)</w:t>
      </w:r>
      <w:r w:rsidR="007E26E3" w:rsidRPr="00582CB1">
        <w:t xml:space="preserve"> </w:t>
      </w:r>
      <w:r w:rsidRPr="00582CB1">
        <w:t xml:space="preserve">– </w:t>
      </w:r>
      <w:r w:rsidR="00912969" w:rsidRPr="00582CB1">
        <w:t xml:space="preserve">see </w:t>
      </w:r>
      <w:r w:rsidR="00D23504" w:rsidRPr="00582CB1">
        <w:t>section</w:t>
      </w:r>
      <w:r w:rsidR="00912969" w:rsidRPr="00582CB1">
        <w:t xml:space="preserve"> 11 of the </w:t>
      </w:r>
      <w:r w:rsidR="00D23504" w:rsidRPr="00582CB1">
        <w:t xml:space="preserve">PGPA Act. </w:t>
      </w:r>
    </w:p>
    <w:p w14:paraId="47621B8D" w14:textId="77777777" w:rsidR="000979D0" w:rsidRPr="00582CB1" w:rsidRDefault="000979D0" w:rsidP="006E5CCE">
      <w:pPr>
        <w:pStyle w:val="NumberedList1"/>
        <w:numPr>
          <w:ilvl w:val="0"/>
          <w:numId w:val="0"/>
        </w:numPr>
      </w:pPr>
      <w:r w:rsidRPr="00582CB1">
        <w:rPr>
          <w:b/>
        </w:rPr>
        <w:t>Counterpar</w:t>
      </w:r>
      <w:r w:rsidR="005C58C3" w:rsidRPr="00582CB1">
        <w:rPr>
          <w:b/>
        </w:rPr>
        <w:t>ty</w:t>
      </w:r>
      <w:r w:rsidR="005C58C3" w:rsidRPr="00582CB1">
        <w:t xml:space="preserve"> – </w:t>
      </w:r>
      <w:r w:rsidR="000F7958" w:rsidRPr="00582CB1">
        <w:t>the other party that participates in a</w:t>
      </w:r>
      <w:r w:rsidR="005C58C3" w:rsidRPr="00582CB1">
        <w:t xml:space="preserve"> (foreign currency) financial transaction. E</w:t>
      </w:r>
      <w:r w:rsidR="000F7958" w:rsidRPr="00582CB1">
        <w:t>very transaction must have a counterparty in order for the transaction to go through.</w:t>
      </w:r>
    </w:p>
    <w:p w14:paraId="19C7D11C" w14:textId="77777777" w:rsidR="000979D0" w:rsidRPr="00582CB1" w:rsidRDefault="000979D0" w:rsidP="006E5CCE">
      <w:pPr>
        <w:pStyle w:val="NumberedList1"/>
        <w:numPr>
          <w:ilvl w:val="0"/>
          <w:numId w:val="0"/>
        </w:numPr>
      </w:pPr>
      <w:r w:rsidRPr="00582CB1">
        <w:rPr>
          <w:b/>
        </w:rPr>
        <w:t>Currency</w:t>
      </w:r>
      <w:r w:rsidRPr="00582CB1">
        <w:t xml:space="preserve"> – the Australian dollar or any foreign currency.</w:t>
      </w:r>
    </w:p>
    <w:p w14:paraId="21ADCD54" w14:textId="77777777" w:rsidR="000979D0" w:rsidRPr="00582CB1" w:rsidRDefault="000979D0" w:rsidP="006E5CCE">
      <w:pPr>
        <w:pStyle w:val="NumberedList1"/>
        <w:numPr>
          <w:ilvl w:val="0"/>
          <w:numId w:val="0"/>
        </w:numPr>
      </w:pPr>
      <w:r w:rsidRPr="00582CB1">
        <w:rPr>
          <w:b/>
        </w:rPr>
        <w:t>Derivatives</w:t>
      </w:r>
      <w:r w:rsidRPr="00582CB1">
        <w:t xml:space="preserve"> – securities that move in terms of one or more underlying assets. Examples include options, swaps, futures and forward contracts. Underlying assets can be stocks, bonds, commodities, currencies, indices or interest rates. Derivatives can be effective hedges against their underlying assets, since the relationship between derivatives and underlying assets is more or less clearly defined.</w:t>
      </w:r>
    </w:p>
    <w:p w14:paraId="23AAE529" w14:textId="025F9407" w:rsidR="005C58C3" w:rsidRPr="00582CB1" w:rsidRDefault="005C58C3" w:rsidP="006E5CCE">
      <w:pPr>
        <w:pStyle w:val="NumberedList1"/>
        <w:numPr>
          <w:ilvl w:val="0"/>
          <w:numId w:val="0"/>
        </w:numPr>
        <w:rPr>
          <w:rFonts w:cstheme="minorHAnsi"/>
        </w:rPr>
      </w:pPr>
      <w:r w:rsidRPr="00582CB1">
        <w:rPr>
          <w:rFonts w:asciiTheme="majorHAnsi" w:hAnsiTheme="majorHAnsi" w:cstheme="majorHAnsi"/>
          <w:b/>
        </w:rPr>
        <w:t>Export</w:t>
      </w:r>
      <w:r w:rsidRPr="00582CB1">
        <w:rPr>
          <w:rFonts w:asciiTheme="majorHAnsi" w:hAnsiTheme="majorHAnsi" w:cstheme="majorHAnsi"/>
        </w:rPr>
        <w:t xml:space="preserve"> </w:t>
      </w:r>
      <w:r w:rsidRPr="00582CB1">
        <w:rPr>
          <w:rFonts w:asciiTheme="majorHAnsi" w:hAnsiTheme="majorHAnsi" w:cstheme="majorHAnsi"/>
          <w:b/>
        </w:rPr>
        <w:t>Finance Australia (EFA)</w:t>
      </w:r>
      <w:r w:rsidR="004C51DE" w:rsidRPr="00582CB1">
        <w:rPr>
          <w:rFonts w:asciiTheme="majorHAnsi" w:hAnsiTheme="majorHAnsi" w:cstheme="majorHAnsi"/>
        </w:rPr>
        <w:t xml:space="preserve"> – means the entity established under s</w:t>
      </w:r>
      <w:r w:rsidR="007B6B9F" w:rsidRPr="00582CB1">
        <w:rPr>
          <w:rFonts w:asciiTheme="majorHAnsi" w:hAnsiTheme="majorHAnsi" w:cstheme="majorHAnsi"/>
        </w:rPr>
        <w:t>ection</w:t>
      </w:r>
      <w:r w:rsidR="004C51DE" w:rsidRPr="00582CB1">
        <w:rPr>
          <w:rFonts w:asciiTheme="majorHAnsi" w:hAnsiTheme="majorHAnsi" w:cstheme="majorHAnsi"/>
        </w:rPr>
        <w:t xml:space="preserve"> 6 of the </w:t>
      </w:r>
      <w:r w:rsidR="004C51DE" w:rsidRPr="00582CB1">
        <w:rPr>
          <w:rFonts w:cstheme="minorHAnsi"/>
          <w:i/>
          <w:iCs/>
        </w:rPr>
        <w:t>Export Finance and Insurance Corporation Act 1991</w:t>
      </w:r>
      <w:r w:rsidR="004C51DE" w:rsidRPr="00582CB1">
        <w:rPr>
          <w:rFonts w:cstheme="minorHAnsi"/>
          <w:iCs/>
        </w:rPr>
        <w:t xml:space="preserve"> and trading </w:t>
      </w:r>
      <w:r w:rsidR="001D3966" w:rsidRPr="00582CB1">
        <w:rPr>
          <w:rFonts w:cstheme="minorHAnsi"/>
          <w:iCs/>
        </w:rPr>
        <w:t>under one of the names in</w:t>
      </w:r>
      <w:r w:rsidR="004C51DE" w:rsidRPr="00582CB1">
        <w:rPr>
          <w:rFonts w:cstheme="minorHAnsi"/>
          <w:iCs/>
        </w:rPr>
        <w:t xml:space="preserve"> s</w:t>
      </w:r>
      <w:r w:rsidR="007B6B9F" w:rsidRPr="00582CB1">
        <w:rPr>
          <w:rFonts w:cstheme="minorHAnsi"/>
          <w:iCs/>
        </w:rPr>
        <w:t xml:space="preserve">ection </w:t>
      </w:r>
      <w:r w:rsidR="004C51DE" w:rsidRPr="00582CB1">
        <w:rPr>
          <w:rFonts w:cstheme="minorHAnsi"/>
          <w:iCs/>
        </w:rPr>
        <w:t>81 of that Act.</w:t>
      </w:r>
    </w:p>
    <w:p w14:paraId="6E2620F8" w14:textId="3ABD6551" w:rsidR="000979D0" w:rsidRPr="00582CB1" w:rsidRDefault="000979D0" w:rsidP="006E5CCE">
      <w:pPr>
        <w:pStyle w:val="NumberedList1"/>
        <w:numPr>
          <w:ilvl w:val="0"/>
          <w:numId w:val="0"/>
        </w:numPr>
      </w:pPr>
      <w:r w:rsidRPr="00582CB1">
        <w:rPr>
          <w:b/>
        </w:rPr>
        <w:t>Embedded structures</w:t>
      </w:r>
      <w:r w:rsidRPr="00582CB1">
        <w:t xml:space="preserve"> – options or other structures, included within a contract</w:t>
      </w:r>
      <w:r w:rsidR="008B78EB" w:rsidRPr="00582CB1">
        <w:t>,</w:t>
      </w:r>
      <w:r w:rsidRPr="00582CB1">
        <w:t xml:space="preserve"> agreement or arrangement, which alter or transfer the forex risks faced by either party. </w:t>
      </w:r>
    </w:p>
    <w:p w14:paraId="47CBCA72" w14:textId="3055F3D6" w:rsidR="000979D0" w:rsidRPr="00582CB1" w:rsidRDefault="000F7958" w:rsidP="000F7958">
      <w:pPr>
        <w:pStyle w:val="NumberedList1"/>
        <w:numPr>
          <w:ilvl w:val="0"/>
          <w:numId w:val="0"/>
        </w:numPr>
        <w:ind w:left="426" w:hanging="426"/>
      </w:pPr>
      <w:r w:rsidRPr="00582CB1">
        <w:rPr>
          <w:b/>
        </w:rPr>
        <w:t>Entity</w:t>
      </w:r>
      <w:r w:rsidRPr="00582CB1">
        <w:t xml:space="preserve"> – </w:t>
      </w:r>
      <w:r w:rsidR="00D23504" w:rsidRPr="00582CB1">
        <w:t>see Commonwealth entity</w:t>
      </w:r>
      <w:r w:rsidR="007B6B9F" w:rsidRPr="00582CB1">
        <w:t xml:space="preserve"> or Commonwealth </w:t>
      </w:r>
      <w:proofErr w:type="gramStart"/>
      <w:r w:rsidR="007B6B9F" w:rsidRPr="00582CB1">
        <w:t>company</w:t>
      </w:r>
      <w:proofErr w:type="gramEnd"/>
      <w:r w:rsidR="008B78EB" w:rsidRPr="00582CB1">
        <w:t>.</w:t>
      </w:r>
    </w:p>
    <w:p w14:paraId="70225718" w14:textId="77777777" w:rsidR="000979D0" w:rsidRPr="00582CB1" w:rsidRDefault="000979D0" w:rsidP="006E5CCE">
      <w:pPr>
        <w:pStyle w:val="NumberedList1"/>
        <w:numPr>
          <w:ilvl w:val="0"/>
          <w:numId w:val="0"/>
        </w:numPr>
      </w:pPr>
      <w:r w:rsidRPr="00582CB1">
        <w:rPr>
          <w:b/>
        </w:rPr>
        <w:t>Exchange rate</w:t>
      </w:r>
      <w:r w:rsidRPr="00582CB1">
        <w:t xml:space="preserve"> – see foreign exchange rate.</w:t>
      </w:r>
    </w:p>
    <w:p w14:paraId="70743232" w14:textId="77777777" w:rsidR="000979D0" w:rsidRPr="00582CB1" w:rsidRDefault="000979D0" w:rsidP="006E5CCE">
      <w:pPr>
        <w:pStyle w:val="NumberedList1"/>
        <w:numPr>
          <w:ilvl w:val="0"/>
          <w:numId w:val="0"/>
        </w:numPr>
      </w:pPr>
      <w:r w:rsidRPr="00582CB1">
        <w:rPr>
          <w:b/>
        </w:rPr>
        <w:t>Exposure</w:t>
      </w:r>
      <w:r w:rsidRPr="00582CB1">
        <w:t xml:space="preserve"> – see foreign exchange exposure.</w:t>
      </w:r>
    </w:p>
    <w:p w14:paraId="34B69962" w14:textId="77777777" w:rsidR="000979D0" w:rsidRPr="00582CB1" w:rsidRDefault="000979D0" w:rsidP="006E5CCE">
      <w:pPr>
        <w:pStyle w:val="NumberedList1"/>
        <w:numPr>
          <w:ilvl w:val="0"/>
          <w:numId w:val="0"/>
        </w:numPr>
      </w:pPr>
      <w:r w:rsidRPr="00582CB1">
        <w:rPr>
          <w:b/>
        </w:rPr>
        <w:t>External hedge</w:t>
      </w:r>
      <w:r w:rsidRPr="00582CB1">
        <w:t xml:space="preserve"> – any transaction strategy undert</w:t>
      </w:r>
      <w:r w:rsidR="000F7958" w:rsidRPr="00582CB1">
        <w:t xml:space="preserve">aken by an </w:t>
      </w:r>
      <w:r w:rsidRPr="00582CB1">
        <w:t>entity with a counterparty external to the GGS, which alters or transfers the forex risk faced by the GGS entity. External hedges include, but are not limited to:</w:t>
      </w:r>
    </w:p>
    <w:p w14:paraId="5C2709C2" w14:textId="77777777" w:rsidR="000979D0" w:rsidRPr="00582CB1" w:rsidRDefault="000979D0" w:rsidP="007A0861">
      <w:pPr>
        <w:pStyle w:val="NumberedList1"/>
        <w:numPr>
          <w:ilvl w:val="0"/>
          <w:numId w:val="20"/>
        </w:numPr>
      </w:pPr>
      <w:r w:rsidRPr="00582CB1">
        <w:t>Structures inserted (embedded) into contracts or arrangements that reduce or alter the exposure to</w:t>
      </w:r>
      <w:r w:rsidR="00486620" w:rsidRPr="00582CB1">
        <w:t xml:space="preserve"> exchange rate fluctuations</w:t>
      </w:r>
    </w:p>
    <w:p w14:paraId="60AE4A6A" w14:textId="77777777" w:rsidR="000979D0" w:rsidRPr="00582CB1" w:rsidRDefault="000979D0" w:rsidP="007A0861">
      <w:pPr>
        <w:pStyle w:val="NumberedList1"/>
        <w:numPr>
          <w:ilvl w:val="0"/>
          <w:numId w:val="20"/>
        </w:numPr>
      </w:pPr>
      <w:r w:rsidRPr="00582CB1">
        <w:t>Financial instruments such as forward exchange contracts, swaps and options.</w:t>
      </w:r>
    </w:p>
    <w:p w14:paraId="1969B6C7" w14:textId="77777777" w:rsidR="000979D0" w:rsidRPr="00582CB1" w:rsidRDefault="000979D0" w:rsidP="006E5CCE">
      <w:pPr>
        <w:pStyle w:val="NumberedList1"/>
        <w:numPr>
          <w:ilvl w:val="0"/>
          <w:numId w:val="0"/>
        </w:numPr>
      </w:pPr>
      <w:r w:rsidRPr="00582CB1">
        <w:rPr>
          <w:b/>
        </w:rPr>
        <w:t>Finance</w:t>
      </w:r>
      <w:r w:rsidRPr="00582CB1">
        <w:t xml:space="preserve"> – the Department of Finance.</w:t>
      </w:r>
    </w:p>
    <w:p w14:paraId="0795A3D9" w14:textId="10DD386E" w:rsidR="000979D0" w:rsidRPr="00582CB1" w:rsidRDefault="000979D0" w:rsidP="006E5CCE">
      <w:pPr>
        <w:pStyle w:val="NumberedList1"/>
        <w:numPr>
          <w:ilvl w:val="0"/>
          <w:numId w:val="0"/>
        </w:numPr>
      </w:pPr>
      <w:r w:rsidRPr="00582CB1">
        <w:rPr>
          <w:b/>
        </w:rPr>
        <w:lastRenderedPageBreak/>
        <w:t>Floor</w:t>
      </w:r>
      <w:r w:rsidRPr="00582CB1">
        <w:t xml:space="preserve"> – an option contract whereby the seller agrees to pay the purchaser, in return for an upfront premium, the difference between a reference rate and a strike rate, if the strike rate exceed</w:t>
      </w:r>
      <w:r w:rsidR="002F7052" w:rsidRPr="00582CB1">
        <w:t>s</w:t>
      </w:r>
      <w:r w:rsidRPr="00582CB1">
        <w:t xml:space="preserve"> the reference rate.</w:t>
      </w:r>
    </w:p>
    <w:p w14:paraId="12BB6E1D" w14:textId="77777777" w:rsidR="000979D0" w:rsidRPr="00582CB1" w:rsidRDefault="000979D0" w:rsidP="006E5CCE">
      <w:pPr>
        <w:pStyle w:val="NumberedList1"/>
        <w:numPr>
          <w:ilvl w:val="0"/>
          <w:numId w:val="0"/>
        </w:numPr>
      </w:pPr>
      <w:r w:rsidRPr="00582CB1">
        <w:rPr>
          <w:b/>
        </w:rPr>
        <w:t>Foreign currency</w:t>
      </w:r>
      <w:r w:rsidRPr="00582CB1">
        <w:t xml:space="preserve"> – the currency of any country other than Australia, which is an authorised medium of exchange.</w:t>
      </w:r>
    </w:p>
    <w:p w14:paraId="3B7BFD71" w14:textId="372487FD" w:rsidR="000979D0" w:rsidRPr="00582CB1" w:rsidRDefault="000979D0" w:rsidP="006E5CCE">
      <w:pPr>
        <w:pStyle w:val="NumberedList1"/>
        <w:numPr>
          <w:ilvl w:val="0"/>
          <w:numId w:val="0"/>
        </w:numPr>
      </w:pPr>
      <w:r w:rsidRPr="00582CB1">
        <w:rPr>
          <w:b/>
        </w:rPr>
        <w:t>Foreign exchange</w:t>
      </w:r>
      <w:r w:rsidRPr="00582CB1">
        <w:t xml:space="preserve"> – transactions that cause a change in the foreign currency position of an entity. Usually abbreviated to </w:t>
      </w:r>
      <w:r w:rsidR="00A84383" w:rsidRPr="00582CB1">
        <w:t>‘</w:t>
      </w:r>
      <w:r w:rsidRPr="00582CB1">
        <w:t>forex</w:t>
      </w:r>
      <w:r w:rsidR="00A84383" w:rsidRPr="00582CB1">
        <w:t>’</w:t>
      </w:r>
      <w:r w:rsidRPr="00582CB1">
        <w:t xml:space="preserve"> and sometimes to </w:t>
      </w:r>
      <w:r w:rsidR="00A84383" w:rsidRPr="00582CB1">
        <w:t>‘</w:t>
      </w:r>
      <w:r w:rsidRPr="00582CB1">
        <w:t>FX</w:t>
      </w:r>
      <w:r w:rsidR="00A84383" w:rsidRPr="00582CB1">
        <w:t>’</w:t>
      </w:r>
      <w:r w:rsidRPr="00582CB1">
        <w:t>.</w:t>
      </w:r>
    </w:p>
    <w:p w14:paraId="1EB6A6A7" w14:textId="357DBDEC" w:rsidR="000979D0" w:rsidRPr="00582CB1" w:rsidRDefault="000979D0">
      <w:pPr>
        <w:pStyle w:val="NumberedList1"/>
        <w:numPr>
          <w:ilvl w:val="0"/>
          <w:numId w:val="0"/>
        </w:numPr>
      </w:pPr>
      <w:r w:rsidRPr="00582CB1">
        <w:rPr>
          <w:b/>
        </w:rPr>
        <w:t>Foreign exchange exposure</w:t>
      </w:r>
      <w:r w:rsidRPr="00582CB1">
        <w:t xml:space="preserve"> – </w:t>
      </w:r>
      <w:r w:rsidR="0051577A" w:rsidRPr="00582CB1">
        <w:t xml:space="preserve">an entity’s exposure or sensitivity to loss (or profit) due to movement in the exchange rate between the Australian dollar and a foreign currency. May be measured in terms </w:t>
      </w:r>
      <w:r w:rsidR="00A37AE6" w:rsidRPr="00582CB1">
        <w:t xml:space="preserve">of </w:t>
      </w:r>
      <w:r w:rsidR="0051577A" w:rsidRPr="00582CB1">
        <w:t>the value of the underlying transaction (</w:t>
      </w:r>
      <w:r w:rsidR="00203B75" w:rsidRPr="00582CB1">
        <w:t>i.e.</w:t>
      </w:r>
      <w:r w:rsidR="0051577A" w:rsidRPr="00582CB1">
        <w:t xml:space="preserve"> the purchase of an asset), or its </w:t>
      </w:r>
      <w:r w:rsidR="006A2205" w:rsidRPr="00582CB1">
        <w:t xml:space="preserve">financial </w:t>
      </w:r>
      <w:r w:rsidR="0051577A" w:rsidRPr="00582CB1">
        <w:t xml:space="preserve">impact on elements of the entity’s </w:t>
      </w:r>
      <w:r w:rsidR="00CF29F6" w:rsidRPr="00582CB1">
        <w:t>balance sheet or income statement</w:t>
      </w:r>
      <w:r w:rsidR="0051577A" w:rsidRPr="00582CB1">
        <w:t xml:space="preserve"> (revenue, expenses, cash flows, assets or liabilities).</w:t>
      </w:r>
    </w:p>
    <w:p w14:paraId="60241CE6" w14:textId="77777777" w:rsidR="000979D0" w:rsidRPr="00582CB1" w:rsidRDefault="000979D0" w:rsidP="006E5CCE">
      <w:pPr>
        <w:pStyle w:val="NumberedList1"/>
        <w:numPr>
          <w:ilvl w:val="0"/>
          <w:numId w:val="0"/>
        </w:numPr>
      </w:pPr>
      <w:r w:rsidRPr="00582CB1">
        <w:rPr>
          <w:b/>
        </w:rPr>
        <w:t>Foreign exchange rate</w:t>
      </w:r>
      <w:r w:rsidRPr="00582CB1">
        <w:t xml:space="preserve"> – the amount of one currency required to purchase another, and always expressed in terms of a currency pair. Also known as the exchange rate.</w:t>
      </w:r>
    </w:p>
    <w:p w14:paraId="6475814A" w14:textId="77777777" w:rsidR="000979D0" w:rsidRPr="00582CB1" w:rsidRDefault="000979D0" w:rsidP="006E5CCE">
      <w:pPr>
        <w:pStyle w:val="NumberedList1"/>
        <w:numPr>
          <w:ilvl w:val="0"/>
          <w:numId w:val="0"/>
        </w:numPr>
      </w:pPr>
      <w:r w:rsidRPr="00582CB1">
        <w:rPr>
          <w:b/>
        </w:rPr>
        <w:t>Foreign exchange risk</w:t>
      </w:r>
      <w:r w:rsidRPr="00582CB1">
        <w:t xml:space="preserve"> –</w:t>
      </w:r>
      <w:r w:rsidR="006A2205" w:rsidRPr="00582CB1">
        <w:t xml:space="preserve"> </w:t>
      </w:r>
      <w:r w:rsidRPr="00582CB1">
        <w:t xml:space="preserve">the risk that an entity’s financial </w:t>
      </w:r>
      <w:r w:rsidR="006A2205" w:rsidRPr="00582CB1">
        <w:t xml:space="preserve">performance or </w:t>
      </w:r>
      <w:r w:rsidRPr="00582CB1">
        <w:t>position will be affected by changes in forex rates when financial transactions involve currencies other than the base/home currency of the entity. Can be divided into three main types:</w:t>
      </w:r>
    </w:p>
    <w:p w14:paraId="0AEDD6A4" w14:textId="77777777" w:rsidR="000979D0" w:rsidRPr="00582CB1" w:rsidRDefault="000979D0" w:rsidP="007A0861">
      <w:pPr>
        <w:pStyle w:val="NumberedList1"/>
        <w:numPr>
          <w:ilvl w:val="0"/>
          <w:numId w:val="19"/>
        </w:numPr>
      </w:pPr>
      <w:r w:rsidRPr="00582CB1">
        <w:t>Transactions risk – arises if an entity must pay and/or receive foreign currency at a future date and at an unknown exchange rate. This type of exposure is generally contractual and affects the income statement.</w:t>
      </w:r>
    </w:p>
    <w:p w14:paraId="6150147D" w14:textId="77777777" w:rsidR="000979D0" w:rsidRPr="00582CB1" w:rsidRDefault="000979D0" w:rsidP="007A0861">
      <w:pPr>
        <w:pStyle w:val="NumberedList1"/>
        <w:numPr>
          <w:ilvl w:val="0"/>
          <w:numId w:val="19"/>
        </w:numPr>
      </w:pPr>
      <w:r w:rsidRPr="00582CB1">
        <w:t>Translation/accounting risk – arises if assets and/or liabilities are held in a foreign currency and must be translated (converted into the base currency) at a future date. This type of exposure affects the balance sheet. Often observed with companies that own subsidiaries operating in a different country.</w:t>
      </w:r>
    </w:p>
    <w:p w14:paraId="582EE11E" w14:textId="77777777" w:rsidR="000979D0" w:rsidRPr="00582CB1" w:rsidRDefault="000979D0" w:rsidP="007A0861">
      <w:pPr>
        <w:pStyle w:val="NumberedList1"/>
        <w:numPr>
          <w:ilvl w:val="0"/>
          <w:numId w:val="19"/>
        </w:numPr>
      </w:pPr>
      <w:r w:rsidRPr="00582CB1">
        <w:t>Economic/operating risk – defined as the change in the economic value of an entity due to unanticipated changes in exchange rates.</w:t>
      </w:r>
    </w:p>
    <w:p w14:paraId="197F1058" w14:textId="4DBEB0E4" w:rsidR="000979D0" w:rsidRPr="00582CB1" w:rsidRDefault="006A2205">
      <w:pPr>
        <w:pStyle w:val="NumberedList1"/>
        <w:numPr>
          <w:ilvl w:val="0"/>
          <w:numId w:val="0"/>
        </w:numPr>
      </w:pPr>
      <w:r w:rsidRPr="00582CB1">
        <w:t>This RMG</w:t>
      </w:r>
      <w:r w:rsidR="000979D0" w:rsidRPr="00582CB1">
        <w:t xml:space="preserve"> only relates to transactions risk.</w:t>
      </w:r>
    </w:p>
    <w:p w14:paraId="3AA2CEA5" w14:textId="77777777" w:rsidR="000979D0" w:rsidRPr="00582CB1" w:rsidRDefault="000979D0" w:rsidP="006E5CCE">
      <w:pPr>
        <w:pStyle w:val="NumberedList1"/>
        <w:numPr>
          <w:ilvl w:val="0"/>
          <w:numId w:val="0"/>
        </w:numPr>
      </w:pPr>
      <w:r w:rsidRPr="00582CB1">
        <w:rPr>
          <w:b/>
        </w:rPr>
        <w:t>Forex</w:t>
      </w:r>
      <w:r w:rsidRPr="00582CB1">
        <w:t xml:space="preserve"> – see foreign exchange.</w:t>
      </w:r>
    </w:p>
    <w:p w14:paraId="12DE5F25" w14:textId="77777777" w:rsidR="000979D0" w:rsidRPr="00582CB1" w:rsidRDefault="000979D0" w:rsidP="006E5CCE">
      <w:pPr>
        <w:pStyle w:val="NumberedList1"/>
        <w:numPr>
          <w:ilvl w:val="0"/>
          <w:numId w:val="0"/>
        </w:numPr>
      </w:pPr>
      <w:r w:rsidRPr="00582CB1">
        <w:rPr>
          <w:b/>
        </w:rPr>
        <w:t>Forward exchange contract</w:t>
      </w:r>
      <w:r w:rsidRPr="00582CB1">
        <w:t xml:space="preserve"> – an agreement to exchange a specified amount of one currency for another at a future date.</w:t>
      </w:r>
    </w:p>
    <w:p w14:paraId="77F4C1B0" w14:textId="77777777" w:rsidR="000979D0" w:rsidRPr="00582CB1" w:rsidRDefault="000979D0" w:rsidP="006E5CCE">
      <w:pPr>
        <w:pStyle w:val="NumberedList1"/>
        <w:numPr>
          <w:ilvl w:val="0"/>
          <w:numId w:val="0"/>
        </w:numPr>
      </w:pPr>
      <w:r w:rsidRPr="00582CB1">
        <w:rPr>
          <w:b/>
        </w:rPr>
        <w:t xml:space="preserve">FX </w:t>
      </w:r>
      <w:r w:rsidRPr="00582CB1">
        <w:t>– see foreign exchange.</w:t>
      </w:r>
    </w:p>
    <w:p w14:paraId="03B7866F" w14:textId="5683313F" w:rsidR="000979D0" w:rsidRPr="00582CB1" w:rsidRDefault="000979D0" w:rsidP="006E5CCE">
      <w:pPr>
        <w:pStyle w:val="NumberedList1"/>
        <w:numPr>
          <w:ilvl w:val="0"/>
          <w:numId w:val="0"/>
        </w:numPr>
      </w:pPr>
      <w:r w:rsidRPr="00582CB1">
        <w:rPr>
          <w:b/>
        </w:rPr>
        <w:t>General government sector</w:t>
      </w:r>
      <w:r w:rsidRPr="00582CB1">
        <w:t xml:space="preserve"> – </w:t>
      </w:r>
      <w:r w:rsidR="00902949" w:rsidRPr="00582CB1">
        <w:t xml:space="preserve">a group comprising entities that are primarily budget-funded or that obtain their funds from </w:t>
      </w:r>
      <w:r w:rsidR="006A2205" w:rsidRPr="00582CB1">
        <w:t xml:space="preserve">the Australian Government </w:t>
      </w:r>
      <w:r w:rsidR="00902949" w:rsidRPr="00582CB1">
        <w:t xml:space="preserve">generally. </w:t>
      </w:r>
      <w:r w:rsidRPr="00582CB1">
        <w:t>Defined by the Australian equivalents of international statistics</w:t>
      </w:r>
      <w:r w:rsidR="006A2205" w:rsidRPr="00582CB1">
        <w:t xml:space="preserve"> standard</w:t>
      </w:r>
      <w:r w:rsidR="001D316D" w:rsidRPr="00582CB1">
        <w:t>s</w:t>
      </w:r>
      <w:r w:rsidRPr="00582CB1">
        <w:t xml:space="preserve"> known as the </w:t>
      </w:r>
      <w:hyperlink r:id="rId32" w:history="1">
        <w:r w:rsidRPr="00582CB1">
          <w:rPr>
            <w:rStyle w:val="Hyperlink"/>
          </w:rPr>
          <w:t>Government Finance Statistics</w:t>
        </w:r>
      </w:hyperlink>
      <w:r w:rsidRPr="00582CB1">
        <w:t>.</w:t>
      </w:r>
      <w:r w:rsidR="006A2205" w:rsidRPr="00582CB1">
        <w:t xml:space="preserve"> Please see the </w:t>
      </w:r>
      <w:hyperlink r:id="rId33" w:history="1">
        <w:r w:rsidR="006A2205" w:rsidRPr="00582CB1">
          <w:rPr>
            <w:rStyle w:val="Hyperlink"/>
            <w:rFonts w:cstheme="minorBidi"/>
            <w:i w:val="0"/>
          </w:rPr>
          <w:t>PGPA Act Flipchart</w:t>
        </w:r>
      </w:hyperlink>
      <w:r w:rsidR="006A2205" w:rsidRPr="00582CB1">
        <w:t xml:space="preserve"> for a list of Australian Government entities that </w:t>
      </w:r>
      <w:r w:rsidR="001D316D" w:rsidRPr="00582CB1">
        <w:t xml:space="preserve">form part of the general government sector. Typically comprises NCEs and CCEs. </w:t>
      </w:r>
    </w:p>
    <w:p w14:paraId="32AD0FCA" w14:textId="77777777" w:rsidR="000979D0" w:rsidRPr="00582CB1" w:rsidRDefault="000979D0" w:rsidP="006E5CCE">
      <w:pPr>
        <w:pStyle w:val="NumberedList1"/>
        <w:numPr>
          <w:ilvl w:val="0"/>
          <w:numId w:val="0"/>
        </w:numPr>
      </w:pPr>
      <w:r w:rsidRPr="00582CB1">
        <w:rPr>
          <w:b/>
        </w:rPr>
        <w:t>GGS</w:t>
      </w:r>
      <w:r w:rsidRPr="00582CB1">
        <w:t xml:space="preserve"> – see general government sector.</w:t>
      </w:r>
    </w:p>
    <w:p w14:paraId="34438C74" w14:textId="77777777" w:rsidR="000979D0" w:rsidRPr="00582CB1" w:rsidRDefault="000979D0" w:rsidP="006E5CCE">
      <w:pPr>
        <w:pStyle w:val="NumberedList1"/>
        <w:numPr>
          <w:ilvl w:val="0"/>
          <w:numId w:val="0"/>
        </w:numPr>
      </w:pPr>
      <w:r w:rsidRPr="00582CB1">
        <w:rPr>
          <w:b/>
        </w:rPr>
        <w:t>GGS entity</w:t>
      </w:r>
      <w:r w:rsidRPr="00582CB1">
        <w:t xml:space="preserve"> – any Commonwealth entity classified as part of</w:t>
      </w:r>
      <w:r w:rsidR="000F7958" w:rsidRPr="00582CB1">
        <w:t xml:space="preserve"> the general government sector.</w:t>
      </w:r>
    </w:p>
    <w:p w14:paraId="1E701057" w14:textId="4EA1617B" w:rsidR="009A2858" w:rsidRPr="00582CB1" w:rsidRDefault="009A2858" w:rsidP="006E5CCE">
      <w:pPr>
        <w:pStyle w:val="NumberedList1"/>
        <w:numPr>
          <w:ilvl w:val="0"/>
          <w:numId w:val="0"/>
        </w:numPr>
      </w:pPr>
      <w:r w:rsidRPr="00582CB1">
        <w:rPr>
          <w:b/>
          <w:shd w:val="clear" w:color="auto" w:fill="FFFFFF"/>
        </w:rPr>
        <w:lastRenderedPageBreak/>
        <w:t>Government policy order</w:t>
      </w:r>
      <w:r w:rsidRPr="00582CB1">
        <w:rPr>
          <w:shd w:val="clear" w:color="auto" w:fill="FFFFFF"/>
        </w:rPr>
        <w:t xml:space="preserve"> – specifies a policy of </w:t>
      </w:r>
      <w:r w:rsidRPr="00582CB1">
        <w:t>the Australian Government that is to apply in relation to one or more corporate Commonwealth entities</w:t>
      </w:r>
      <w:r w:rsidR="008855F9" w:rsidRPr="00582CB1">
        <w:t xml:space="preserve"> or Commonwealth companies</w:t>
      </w:r>
      <w:r w:rsidRPr="00582CB1">
        <w:t xml:space="preserve">. It is a legislative instrument, but section 42 (disallowance) of the </w:t>
      </w:r>
      <w:r w:rsidRPr="00582CB1">
        <w:rPr>
          <w:i/>
        </w:rPr>
        <w:t>Legislation Act 2003</w:t>
      </w:r>
      <w:r w:rsidRPr="00582CB1">
        <w:t xml:space="preserve"> does not apply to it.</w:t>
      </w:r>
    </w:p>
    <w:p w14:paraId="4C2F970C" w14:textId="77777777" w:rsidR="000979D0" w:rsidRPr="00582CB1" w:rsidRDefault="000979D0" w:rsidP="006E5CCE">
      <w:pPr>
        <w:pStyle w:val="NumberedList1"/>
        <w:numPr>
          <w:ilvl w:val="0"/>
          <w:numId w:val="0"/>
        </w:numPr>
      </w:pPr>
      <w:r w:rsidRPr="00582CB1">
        <w:rPr>
          <w:b/>
        </w:rPr>
        <w:t>Hedge</w:t>
      </w:r>
      <w:r w:rsidRPr="00582CB1">
        <w:t xml:space="preserve"> –</w:t>
      </w:r>
      <w:r w:rsidR="00ED4505" w:rsidRPr="00582CB1">
        <w:t xml:space="preserve"> a</w:t>
      </w:r>
      <w:r w:rsidRPr="00582CB1">
        <w:t>n arrangement to reduce the risk of adverse exchange rate movements in a financial transaction. Normally consists of taking an offsetting position in a related security such as derivatives. See also external hedge and natural hedge.</w:t>
      </w:r>
    </w:p>
    <w:p w14:paraId="58C27F19" w14:textId="77777777" w:rsidR="000979D0" w:rsidRPr="00582CB1" w:rsidRDefault="000979D0" w:rsidP="006E5CCE">
      <w:pPr>
        <w:pStyle w:val="NumberedList1"/>
        <w:numPr>
          <w:ilvl w:val="0"/>
          <w:numId w:val="0"/>
        </w:numPr>
      </w:pPr>
      <w:r w:rsidRPr="00582CB1">
        <w:rPr>
          <w:b/>
        </w:rPr>
        <w:t>Managing</w:t>
      </w:r>
      <w:r w:rsidRPr="00582CB1">
        <w:t xml:space="preserve"> – identifying, measuring, monitoring and reporting forex exposures. Also includes being able to identify whether an arrangement will be considered a hedge by the government.</w:t>
      </w:r>
    </w:p>
    <w:p w14:paraId="3892D6D2" w14:textId="77777777" w:rsidR="000979D0" w:rsidRPr="00582CB1" w:rsidRDefault="000979D0" w:rsidP="006E5CCE">
      <w:pPr>
        <w:pStyle w:val="NumberedList1"/>
        <w:numPr>
          <w:ilvl w:val="0"/>
          <w:numId w:val="0"/>
        </w:numPr>
      </w:pPr>
      <w:r w:rsidRPr="00582CB1">
        <w:rPr>
          <w:b/>
        </w:rPr>
        <w:t>Natural hedge</w:t>
      </w:r>
      <w:r w:rsidRPr="00582CB1">
        <w:t xml:space="preserve"> – a hedge that occurs naturally as a result of an entity’s normal operations, without the use of derivatives. For example, revenue received in a foreign currency and used to pay known commitments in the same foreign currency would be considered a natural hedge.</w:t>
      </w:r>
    </w:p>
    <w:p w14:paraId="74480FFA" w14:textId="77777777" w:rsidR="000979D0" w:rsidRPr="00582CB1" w:rsidRDefault="000979D0" w:rsidP="006E5CCE">
      <w:pPr>
        <w:pStyle w:val="NumberedList1"/>
        <w:numPr>
          <w:ilvl w:val="0"/>
          <w:numId w:val="0"/>
        </w:numPr>
      </w:pPr>
      <w:r w:rsidRPr="00582CB1">
        <w:rPr>
          <w:b/>
        </w:rPr>
        <w:t>NCE</w:t>
      </w:r>
      <w:r w:rsidRPr="00582CB1">
        <w:t xml:space="preserve"> – see non-corporate Commonwealth entity.</w:t>
      </w:r>
    </w:p>
    <w:p w14:paraId="0B99D3EC" w14:textId="77777777" w:rsidR="000979D0" w:rsidRPr="00582CB1" w:rsidRDefault="000979D0" w:rsidP="006E5CCE">
      <w:pPr>
        <w:pStyle w:val="NumberedList1"/>
        <w:numPr>
          <w:ilvl w:val="0"/>
          <w:numId w:val="0"/>
        </w:numPr>
      </w:pPr>
      <w:r w:rsidRPr="00582CB1">
        <w:rPr>
          <w:b/>
        </w:rPr>
        <w:t>Non-corporate Commonwealth entity</w:t>
      </w:r>
      <w:r w:rsidR="00D23504" w:rsidRPr="00582CB1">
        <w:rPr>
          <w:b/>
        </w:rPr>
        <w:t xml:space="preserve"> (NCE)</w:t>
      </w:r>
      <w:r w:rsidRPr="00582CB1">
        <w:t xml:space="preserve"> – </w:t>
      </w:r>
      <w:r w:rsidR="00D23504" w:rsidRPr="00582CB1">
        <w:t>see section 11 of the PGPA Act.</w:t>
      </w:r>
    </w:p>
    <w:p w14:paraId="2763C001" w14:textId="77777777" w:rsidR="00D825E3" w:rsidRPr="00582CB1" w:rsidRDefault="00D825E3" w:rsidP="006E5CCE">
      <w:pPr>
        <w:pStyle w:val="NumberedList1"/>
        <w:numPr>
          <w:ilvl w:val="0"/>
          <w:numId w:val="0"/>
        </w:numPr>
      </w:pPr>
      <w:r w:rsidRPr="00582CB1">
        <w:rPr>
          <w:b/>
        </w:rPr>
        <w:t>PGPA Act</w:t>
      </w:r>
      <w:r w:rsidRPr="00582CB1">
        <w:t xml:space="preserve"> – </w:t>
      </w:r>
      <w:r w:rsidRPr="00582CB1">
        <w:rPr>
          <w:i/>
        </w:rPr>
        <w:t>Public Governance, Performance and Accountability Act 2013</w:t>
      </w:r>
    </w:p>
    <w:p w14:paraId="38C9B3D7" w14:textId="77777777" w:rsidR="000979D0" w:rsidRPr="00582CB1" w:rsidRDefault="000979D0" w:rsidP="006E5CCE">
      <w:pPr>
        <w:pStyle w:val="NumberedList1"/>
        <w:numPr>
          <w:ilvl w:val="0"/>
          <w:numId w:val="0"/>
        </w:numPr>
      </w:pPr>
      <w:r w:rsidRPr="00582CB1">
        <w:rPr>
          <w:b/>
        </w:rPr>
        <w:t>Reference rate</w:t>
      </w:r>
      <w:r w:rsidRPr="00582CB1">
        <w:t xml:space="preserve"> – an interest rate benchmark upon which a floating-rate security or interest rate swap is based.</w:t>
      </w:r>
    </w:p>
    <w:p w14:paraId="2D0511E7" w14:textId="77777777" w:rsidR="000979D0" w:rsidRPr="00582CB1" w:rsidRDefault="000979D0" w:rsidP="006E5CCE">
      <w:pPr>
        <w:pStyle w:val="NumberedList1"/>
        <w:numPr>
          <w:ilvl w:val="0"/>
          <w:numId w:val="0"/>
        </w:numPr>
      </w:pPr>
      <w:r w:rsidRPr="00582CB1">
        <w:rPr>
          <w:b/>
        </w:rPr>
        <w:t>Segregation of duties</w:t>
      </w:r>
      <w:r w:rsidRPr="00582CB1">
        <w:t xml:space="preserve"> – the separating of the transacting, settlement and accounting</w:t>
      </w:r>
      <w:r w:rsidR="006526AE" w:rsidRPr="00582CB1">
        <w:t>/reporting</w:t>
      </w:r>
      <w:r w:rsidRPr="00582CB1">
        <w:t xml:space="preserve"> functions with regard to forex activities.</w:t>
      </w:r>
    </w:p>
    <w:p w14:paraId="368C99BE" w14:textId="77777777" w:rsidR="000979D0" w:rsidRPr="00582CB1" w:rsidRDefault="000979D0" w:rsidP="006E5CCE">
      <w:pPr>
        <w:pStyle w:val="NumberedList1"/>
        <w:numPr>
          <w:ilvl w:val="0"/>
          <w:numId w:val="0"/>
        </w:numPr>
      </w:pPr>
      <w:r w:rsidRPr="00582CB1">
        <w:rPr>
          <w:b/>
        </w:rPr>
        <w:t>Settlement</w:t>
      </w:r>
      <w:r w:rsidRPr="00582CB1">
        <w:t xml:space="preserve"> – actual physical exchange of one currency for another between a dealer and a client.</w:t>
      </w:r>
    </w:p>
    <w:p w14:paraId="4AF2EB29" w14:textId="77777777" w:rsidR="000979D0" w:rsidRPr="00582CB1" w:rsidRDefault="000979D0" w:rsidP="006E5CCE">
      <w:pPr>
        <w:pStyle w:val="NumberedList1"/>
        <w:numPr>
          <w:ilvl w:val="0"/>
          <w:numId w:val="0"/>
        </w:numPr>
      </w:pPr>
      <w:r w:rsidRPr="00582CB1">
        <w:rPr>
          <w:b/>
        </w:rPr>
        <w:t>Settlement rate</w:t>
      </w:r>
      <w:r w:rsidRPr="00582CB1">
        <w:t xml:space="preserve"> – the exchange rate applying at the time the foreign</w:t>
      </w:r>
      <w:r w:rsidR="000F7958" w:rsidRPr="00582CB1">
        <w:t xml:space="preserve"> currency is purchased by an </w:t>
      </w:r>
      <w:r w:rsidRPr="00582CB1">
        <w:t>entity.</w:t>
      </w:r>
    </w:p>
    <w:p w14:paraId="64345544" w14:textId="77777777" w:rsidR="000979D0" w:rsidRPr="00582CB1" w:rsidRDefault="000979D0" w:rsidP="006E5CCE">
      <w:pPr>
        <w:pStyle w:val="NumberedList1"/>
        <w:numPr>
          <w:ilvl w:val="0"/>
          <w:numId w:val="0"/>
        </w:numPr>
      </w:pPr>
      <w:r w:rsidRPr="00582CB1">
        <w:rPr>
          <w:b/>
        </w:rPr>
        <w:t>Spot rate</w:t>
      </w:r>
      <w:r w:rsidRPr="00582CB1">
        <w:t xml:space="preserve"> – the current exchange rate at which a currency can be bought or sold. It prices the value of </w:t>
      </w:r>
      <w:r w:rsidR="00042B5B" w:rsidRPr="00582CB1">
        <w:t xml:space="preserve">the Australian dollar </w:t>
      </w:r>
      <w:r w:rsidRPr="00582CB1">
        <w:t>compared to foreign currencies today rather than at some point in the future.</w:t>
      </w:r>
    </w:p>
    <w:p w14:paraId="46B7F595" w14:textId="77777777" w:rsidR="000979D0" w:rsidRPr="00582CB1" w:rsidRDefault="000979D0" w:rsidP="006E5CCE">
      <w:pPr>
        <w:pStyle w:val="NumberedList1"/>
        <w:numPr>
          <w:ilvl w:val="0"/>
          <w:numId w:val="0"/>
        </w:numPr>
      </w:pPr>
      <w:r w:rsidRPr="00582CB1">
        <w:rPr>
          <w:b/>
        </w:rPr>
        <w:t>Strike rate</w:t>
      </w:r>
      <w:r w:rsidRPr="00582CB1">
        <w:t xml:space="preserve"> – the interest rate at which a specific derivative contract can be exercised. Used mostly to describe stock and index options in which strike rates are fixed in the contract.</w:t>
      </w:r>
    </w:p>
    <w:p w14:paraId="1A5533D7" w14:textId="77777777" w:rsidR="000979D0" w:rsidRPr="00582CB1" w:rsidRDefault="000979D0" w:rsidP="006E5CCE">
      <w:pPr>
        <w:pStyle w:val="NumberedList1"/>
        <w:numPr>
          <w:ilvl w:val="0"/>
          <w:numId w:val="0"/>
        </w:numPr>
      </w:pPr>
      <w:r w:rsidRPr="00582CB1">
        <w:rPr>
          <w:b/>
        </w:rPr>
        <w:t>Treasury</w:t>
      </w:r>
      <w:r w:rsidRPr="00582CB1">
        <w:t xml:space="preserve"> – the Department of the Treasury.</w:t>
      </w:r>
    </w:p>
    <w:p w14:paraId="51B2895C" w14:textId="77777777" w:rsidR="00302512" w:rsidRPr="004F07FC" w:rsidRDefault="00302512" w:rsidP="004F07FC">
      <w:pPr>
        <w:pStyle w:val="Boxed2Heading"/>
        <w:pBdr>
          <w:bottom w:val="single" w:sz="4" w:space="0" w:color="BDDCDF" w:themeColor="accent1"/>
        </w:pBdr>
        <w:spacing w:line="240" w:lineRule="auto"/>
        <w:rPr>
          <w:sz w:val="16"/>
          <w:szCs w:val="16"/>
        </w:rPr>
      </w:pPr>
    </w:p>
    <w:sectPr w:rsidR="00302512" w:rsidRPr="004F07FC" w:rsidSect="005B696C">
      <w:headerReference w:type="even" r:id="rId34"/>
      <w:headerReference w:type="default" r:id="rId35"/>
      <w:footerReference w:type="even" r:id="rId36"/>
      <w:footerReference w:type="default" r:id="rId37"/>
      <w:headerReference w:type="first" r:id="rId38"/>
      <w:footerReference w:type="first" r:id="rId39"/>
      <w:type w:val="continuous"/>
      <w:pgSz w:w="11906" w:h="16838" w:code="9"/>
      <w:pgMar w:top="1560"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11813" w14:textId="77777777" w:rsidR="009307F4" w:rsidRDefault="009307F4" w:rsidP="00EF4574">
      <w:pPr>
        <w:spacing w:before="0" w:after="0" w:line="240" w:lineRule="auto"/>
      </w:pPr>
      <w:r>
        <w:separator/>
      </w:r>
    </w:p>
    <w:p w14:paraId="35259048" w14:textId="77777777" w:rsidR="009307F4" w:rsidRDefault="009307F4"/>
  </w:endnote>
  <w:endnote w:type="continuationSeparator" w:id="0">
    <w:p w14:paraId="5992DD46" w14:textId="77777777" w:rsidR="009307F4" w:rsidRDefault="009307F4" w:rsidP="00EF4574">
      <w:pPr>
        <w:spacing w:before="0" w:after="0" w:line="240" w:lineRule="auto"/>
      </w:pPr>
      <w:r>
        <w:continuationSeparator/>
      </w:r>
    </w:p>
    <w:p w14:paraId="723FB70B" w14:textId="77777777" w:rsidR="009307F4" w:rsidRDefault="009307F4"/>
  </w:endnote>
  <w:endnote w:type="continuationNotice" w:id="1">
    <w:p w14:paraId="633512F6" w14:textId="77777777" w:rsidR="009307F4" w:rsidRDefault="009307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useoSans-500">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9DA2" w14:textId="77777777" w:rsidR="009307F4" w:rsidRDefault="00930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E770A" w14:textId="1FF58254" w:rsidR="009307F4" w:rsidRDefault="009307F4" w:rsidP="005B696C">
    <w:pPr>
      <w:pStyle w:val="Footer"/>
    </w:pPr>
    <w:r>
      <w:rPr>
        <w:noProof/>
        <w:lang w:eastAsia="en-AU"/>
      </w:rPr>
      <mc:AlternateContent>
        <mc:Choice Requires="wps">
          <w:drawing>
            <wp:anchor distT="0" distB="0" distL="114300" distR="114300" simplePos="0" relativeHeight="251658240" behindDoc="1" locked="0" layoutInCell="1" allowOverlap="1" wp14:anchorId="72B40D24" wp14:editId="0069227B">
              <wp:simplePos x="0" y="0"/>
              <wp:positionH relativeFrom="page">
                <wp:posOffset>6341926</wp:posOffset>
              </wp:positionH>
              <wp:positionV relativeFrom="page">
                <wp:posOffset>10076815</wp:posOffset>
              </wp:positionV>
              <wp:extent cx="324000" cy="324000"/>
              <wp:effectExtent l="0" t="0" r="19050" b="19050"/>
              <wp:wrapNone/>
              <wp:docPr id="5" name="Oval 5"/>
              <wp:cNvGraphicFramePr/>
              <a:graphic xmlns:a="http://schemas.openxmlformats.org/drawingml/2006/main">
                <a:graphicData uri="http://schemas.microsoft.com/office/word/2010/wordprocessingShape">
                  <wps:wsp>
                    <wps:cNvSpPr/>
                    <wps:spPr>
                      <a:xfrm>
                        <a:off x="0" y="0"/>
                        <a:ext cx="324000" cy="324000"/>
                      </a:xfrm>
                      <a:prstGeom prst="ellipse">
                        <a:avLst/>
                      </a:prstGeom>
                      <a:solidFill>
                        <a:schemeClr val="accent1"/>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31ECAB" w14:textId="77777777" w:rsidR="009307F4" w:rsidRDefault="009307F4" w:rsidP="005B69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40D24" id="Oval 5" o:spid="_x0000_s1026" style="position:absolute;margin-left:499.35pt;margin-top:793.45pt;width:25.5pt;height:2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" fillcolor="#bddcdf [3204]" strokecolor="#1c1c1c [3215]" strokeweight=".5pt">
              <v:stroke joinstyle="miter"/>
              <v:textbox>
                <w:txbxContent>
                  <w:p w14:paraId="1E31ECAB" w14:textId="77777777" w:rsidR="00E911BA" w:rsidRDefault="00E911BA" w:rsidP="005B696C">
                    <w:pPr>
                      <w:jc w:val="center"/>
                    </w:pPr>
                  </w:p>
                </w:txbxContent>
              </v:textbox>
              <w10:wrap anchorx="page" anchory="page"/>
            </v:oval>
          </w:pict>
        </mc:Fallback>
      </mc:AlternateContent>
    </w:r>
    <w:r>
      <w:tab/>
    </w:r>
    <w:r>
      <w:tab/>
    </w:r>
    <w:r>
      <w:fldChar w:fldCharType="begin"/>
    </w:r>
    <w:r>
      <w:instrText xml:space="preserve"> PAGE   \* MERGEFORMAT </w:instrText>
    </w:r>
    <w:r>
      <w:fldChar w:fldCharType="separate"/>
    </w:r>
    <w:r w:rsidR="00633E39">
      <w:rPr>
        <w:noProof/>
      </w:rPr>
      <w:t>27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4C16D" w14:textId="77777777" w:rsidR="009307F4" w:rsidRDefault="009307F4">
    <w:pPr>
      <w:pStyle w:val="Footer"/>
    </w:pPr>
  </w:p>
  <w:p w14:paraId="581D774B" w14:textId="77777777" w:rsidR="009307F4" w:rsidRDefault="009307F4" w:rsidP="000A6A8B">
    <w:pPr>
      <w:pStyle w:val="Footer"/>
      <w:jc w:val="center"/>
      <w:rPr>
        <w:rStyle w:val="Classification"/>
      </w:rPr>
    </w:pPr>
  </w:p>
  <w:p w14:paraId="7D766C75" w14:textId="77777777" w:rsidR="009307F4" w:rsidRPr="000A6A8B" w:rsidRDefault="009307F4"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B4357" w14:textId="77777777" w:rsidR="009307F4" w:rsidRDefault="009307F4" w:rsidP="0020122A">
      <w:pPr>
        <w:pStyle w:val="FootnoteSeparator"/>
      </w:pPr>
    </w:p>
  </w:footnote>
  <w:footnote w:type="continuationSeparator" w:id="0">
    <w:p w14:paraId="73D17EB8" w14:textId="77777777" w:rsidR="009307F4" w:rsidRDefault="009307F4" w:rsidP="00EF4574">
      <w:pPr>
        <w:spacing w:before="0" w:after="0" w:line="240" w:lineRule="auto"/>
      </w:pPr>
      <w:r>
        <w:continuationSeparator/>
      </w:r>
    </w:p>
    <w:p w14:paraId="46F73C46" w14:textId="77777777" w:rsidR="009307F4" w:rsidRDefault="009307F4"/>
  </w:footnote>
  <w:footnote w:type="continuationNotice" w:id="1">
    <w:p w14:paraId="6D1F5D26" w14:textId="77777777" w:rsidR="009307F4" w:rsidRDefault="009307F4">
      <w:pPr>
        <w:spacing w:before="0" w:after="0" w:line="240" w:lineRule="auto"/>
      </w:pPr>
    </w:p>
  </w:footnote>
  <w:footnote w:id="2">
    <w:p w14:paraId="16869BE9" w14:textId="77777777" w:rsidR="009307F4" w:rsidRPr="00D26DF4" w:rsidRDefault="009307F4" w:rsidP="00D26DF4">
      <w:pPr>
        <w:pStyle w:val="FootnoteText"/>
        <w:ind w:left="142" w:hanging="142"/>
        <w:rPr>
          <w:rStyle w:val="FnotetextChar"/>
        </w:rPr>
      </w:pPr>
      <w:r>
        <w:rPr>
          <w:rStyle w:val="FootnoteReference"/>
        </w:rPr>
        <w:footnoteRef/>
      </w:r>
      <w:r>
        <w:t xml:space="preserve">  </w:t>
      </w:r>
      <w:r w:rsidRPr="00D26DF4">
        <w:rPr>
          <w:rStyle w:val="FnotetextChar"/>
        </w:rPr>
        <w:t xml:space="preserve">In certain </w:t>
      </w:r>
      <w:r w:rsidRPr="00C738A8">
        <w:rPr>
          <w:rStyle w:val="FnotetextChar"/>
        </w:rPr>
        <w:t>circumstances, EFA may seek supplementation for forex losses made on its National Interest Account, but must also return forex gains to the Official Public Account.</w:t>
      </w:r>
    </w:p>
  </w:footnote>
  <w:footnote w:id="3">
    <w:p w14:paraId="4518046C" w14:textId="77777777" w:rsidR="009307F4" w:rsidRDefault="009307F4">
      <w:pPr>
        <w:pStyle w:val="FootnoteText"/>
      </w:pPr>
      <w:r>
        <w:rPr>
          <w:rStyle w:val="FootnoteReference"/>
        </w:rPr>
        <w:footnoteRef/>
      </w:r>
      <w:r>
        <w:t xml:space="preserve"> Further information on these types of entities can be found on the Finance website: </w:t>
      </w:r>
      <w:hyperlink r:id="rId1" w:history="1">
        <w:r w:rsidRPr="00A86EAC">
          <w:rPr>
            <w:rStyle w:val="Hyperlink"/>
            <w:rFonts w:cstheme="minorBidi"/>
          </w:rPr>
          <w:t>https://www.finance.gov.au/government/managing-commonwealth-resources/structure-australian-government-public-sector/pgpa-act-flipchart-and-list</w:t>
        </w:r>
      </w:hyperlink>
      <w:r>
        <w:t xml:space="preserve">. </w:t>
      </w:r>
    </w:p>
  </w:footnote>
  <w:footnote w:id="4">
    <w:p w14:paraId="3C594136" w14:textId="6A7A364D" w:rsidR="009307F4" w:rsidRDefault="009307F4" w:rsidP="00D60C0D">
      <w:pPr>
        <w:pStyle w:val="FootnoteText"/>
      </w:pPr>
      <w:r w:rsidRPr="00C738A8">
        <w:rPr>
          <w:rStyle w:val="FootnoteReference"/>
        </w:rPr>
        <w:footnoteRef/>
      </w:r>
      <w:r w:rsidRPr="00C738A8">
        <w:t xml:space="preserve">  </w:t>
      </w:r>
      <w:r w:rsidRPr="00C738A8">
        <w:rPr>
          <w:rStyle w:val="FnotetextChar"/>
        </w:rPr>
        <w:t>Except for the AOFM and the ABC. The National Interest Account of the EFA has also been granted a general exemption from the policy, but may still apply for supplementation under certain</w:t>
      </w:r>
      <w:r w:rsidRPr="00C738A8">
        <w:t xml:space="preserve"> circumstances.</w:t>
      </w:r>
    </w:p>
  </w:footnote>
  <w:footnote w:id="5">
    <w:p w14:paraId="47278444" w14:textId="77777777" w:rsidR="009307F4" w:rsidRDefault="009307F4">
      <w:pPr>
        <w:pStyle w:val="FootnoteText"/>
      </w:pPr>
      <w:r>
        <w:rPr>
          <w:rStyle w:val="FootnoteReference"/>
        </w:rPr>
        <w:footnoteRef/>
      </w:r>
      <w:r>
        <w:t xml:space="preserve"> PGPA Act – section 15.</w:t>
      </w:r>
    </w:p>
  </w:footnote>
  <w:footnote w:id="6">
    <w:p w14:paraId="520A01C3" w14:textId="77777777" w:rsidR="009307F4" w:rsidRDefault="009307F4">
      <w:pPr>
        <w:pStyle w:val="FootnoteText"/>
      </w:pPr>
      <w:r>
        <w:rPr>
          <w:rStyle w:val="FootnoteReference"/>
        </w:rPr>
        <w:footnoteRef/>
      </w:r>
      <w:r>
        <w:t xml:space="preserve"> PGPA Act – section 16.</w:t>
      </w:r>
    </w:p>
  </w:footnote>
  <w:footnote w:id="7">
    <w:p w14:paraId="64F2869B" w14:textId="77777777" w:rsidR="009307F4" w:rsidRDefault="009307F4">
      <w:pPr>
        <w:pStyle w:val="FootnoteText"/>
      </w:pPr>
      <w:r>
        <w:rPr>
          <w:rStyle w:val="FootnoteReference"/>
        </w:rPr>
        <w:footnoteRef/>
      </w:r>
      <w:r>
        <w:t xml:space="preserve"> Commonwealth Procurement Rules</w:t>
      </w:r>
    </w:p>
  </w:footnote>
  <w:footnote w:id="8">
    <w:p w14:paraId="780C707E" w14:textId="69EC8F9B" w:rsidR="009307F4" w:rsidRDefault="009307F4">
      <w:pPr>
        <w:pStyle w:val="FootnoteText"/>
      </w:pPr>
      <w:r>
        <w:rPr>
          <w:rStyle w:val="FootnoteReference"/>
        </w:rPr>
        <w:footnoteRef/>
      </w:r>
      <w:r>
        <w:t xml:space="preserve"> PGPA Act – section 21. </w:t>
      </w:r>
    </w:p>
  </w:footnote>
  <w:footnote w:id="9">
    <w:p w14:paraId="4722D04F" w14:textId="6E25685A" w:rsidR="009307F4" w:rsidRPr="00B92431" w:rsidRDefault="009307F4" w:rsidP="00E21C10">
      <w:pPr>
        <w:pStyle w:val="FootnoteText"/>
      </w:pPr>
      <w:r>
        <w:rPr>
          <w:rStyle w:val="FootnoteReference"/>
        </w:rPr>
        <w:footnoteRef/>
      </w:r>
      <w:r>
        <w:t xml:space="preserve"> However, this does not prohibit contracts, arrangements or agreements from being priced in Australian dollars, </w:t>
      </w:r>
      <w:r>
        <w:rPr>
          <w:u w:val="single"/>
        </w:rPr>
        <w:t>provided</w:t>
      </w:r>
      <w:r>
        <w:t xml:space="preserve"> this represents best value for money, and has not been directly requested by the entity. The forex policy does not prohibit arrangements in which a contractor may have assumed a forex risk, it has not been expressly recognised in the arrangement, and it represents the best value for money at the time the tenders are evaluated.</w:t>
      </w:r>
    </w:p>
  </w:footnote>
  <w:footnote w:id="10">
    <w:p w14:paraId="13A6FC21" w14:textId="77777777" w:rsidR="009307F4" w:rsidRDefault="009307F4" w:rsidP="0009339D">
      <w:pPr>
        <w:pStyle w:val="FootnoteText"/>
      </w:pPr>
      <w:r>
        <w:rPr>
          <w:rStyle w:val="FootnoteReference"/>
        </w:rPr>
        <w:footnoteRef/>
      </w:r>
      <w:r>
        <w:t xml:space="preserve"> PGPA Act sections 19 and 91.</w:t>
      </w:r>
    </w:p>
  </w:footnote>
  <w:footnote w:id="11">
    <w:p w14:paraId="1D9E4509" w14:textId="77777777" w:rsidR="009307F4" w:rsidRDefault="009307F4" w:rsidP="000979D0">
      <w:pPr>
        <w:pStyle w:val="FootnoteText"/>
      </w:pPr>
      <w:r>
        <w:rPr>
          <w:rStyle w:val="FootnoteReference"/>
        </w:rPr>
        <w:footnoteRef/>
      </w:r>
      <w:r>
        <w:t xml:space="preserve"> RMG 206 Accountable Authority Instructions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BAF4" w14:textId="77777777" w:rsidR="009307F4" w:rsidRDefault="00930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0F3F2" w14:textId="77777777" w:rsidR="009307F4" w:rsidRPr="00DB6D69" w:rsidRDefault="009307F4">
    <w:pPr>
      <w:pStyle w:val="Header"/>
      <w:rPr>
        <w:b/>
      </w:rPr>
    </w:pPr>
    <w:r w:rsidRPr="00DB6D69">
      <w:rPr>
        <w:b/>
      </w:rPr>
      <w:t>Department of Finance</w:t>
    </w:r>
  </w:p>
  <w:p w14:paraId="30AB2F8E" w14:textId="04A26991" w:rsidR="009307F4" w:rsidRDefault="009307F4">
    <w:pPr>
      <w:pStyle w:val="Header"/>
    </w:pPr>
    <w:r>
      <w:t>Australian Government f</w:t>
    </w:r>
    <w:r w:rsidRPr="00CC0417">
      <w:t>oreign e</w:t>
    </w:r>
    <w:r>
      <w:t>xchange risk management - guidelines for entities (RMG 120</w:t>
    </w:r>
    <w:r w:rsidRPr="00CC0417">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5E748" w14:textId="77777777" w:rsidR="009307F4" w:rsidRDefault="009307F4" w:rsidP="000A6A8B">
    <w:pPr>
      <w:pStyle w:val="Header"/>
      <w:jc w:val="center"/>
    </w:pPr>
    <w:r>
      <w:rPr>
        <w:noProof/>
        <w:lang w:eastAsia="en-AU"/>
      </w:rPr>
      <w:drawing>
        <wp:anchor distT="0" distB="0" distL="114300" distR="114300" simplePos="0" relativeHeight="251658243" behindDoc="1" locked="0" layoutInCell="1" allowOverlap="1" wp14:anchorId="5C5C7AA9" wp14:editId="62DA8527">
          <wp:simplePos x="0" y="0"/>
          <wp:positionH relativeFrom="page">
            <wp:posOffset>0</wp:posOffset>
          </wp:positionH>
          <wp:positionV relativeFrom="page">
            <wp:posOffset>0</wp:posOffset>
          </wp:positionV>
          <wp:extent cx="7559640" cy="1069416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e_Long_Report_Mask.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4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2" behindDoc="1" locked="0" layoutInCell="1" allowOverlap="1" wp14:anchorId="743316A3" wp14:editId="66F85383">
              <wp:simplePos x="0" y="0"/>
              <wp:positionH relativeFrom="column">
                <wp:posOffset>-633730</wp:posOffset>
              </wp:positionH>
              <wp:positionV relativeFrom="paragraph">
                <wp:posOffset>2319655</wp:posOffset>
              </wp:positionV>
              <wp:extent cx="7086600" cy="3949700"/>
              <wp:effectExtent l="0" t="0" r="0" b="0"/>
              <wp:wrapNone/>
              <wp:docPr id="4" name="Isosceles Triangle 4"/>
              <wp:cNvGraphicFramePr/>
              <a:graphic xmlns:a="http://schemas.openxmlformats.org/drawingml/2006/main">
                <a:graphicData uri="http://schemas.microsoft.com/office/word/2010/wordprocessingShape">
                  <wps:wsp>
                    <wps:cNvSpPr/>
                    <wps:spPr>
                      <a:xfrm>
                        <a:off x="0" y="0"/>
                        <a:ext cx="7086600" cy="3949700"/>
                      </a:xfrm>
                      <a:prstGeom prst="triangle">
                        <a:avLst>
                          <a:gd name="adj" fmla="val 100000"/>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98D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9.9pt;margin-top:182.65pt;width:558pt;height:31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" adj="21600" fillcolor="#92c5c5 [3205]" stroked="f" strokeweight="1pt"/>
          </w:pict>
        </mc:Fallback>
      </mc:AlternateContent>
    </w:r>
    <w:r>
      <w:rPr>
        <w:noProof/>
        <w:lang w:eastAsia="en-AU"/>
      </w:rPr>
      <mc:AlternateContent>
        <mc:Choice Requires="wps">
          <w:drawing>
            <wp:anchor distT="0" distB="0" distL="114300" distR="114300" simplePos="0" relativeHeight="251658241" behindDoc="1" locked="0" layoutInCell="1" allowOverlap="1" wp14:anchorId="5FA8C2CC" wp14:editId="6845EFC3">
              <wp:simplePos x="0" y="0"/>
              <wp:positionH relativeFrom="column">
                <wp:posOffset>-633730</wp:posOffset>
              </wp:positionH>
              <wp:positionV relativeFrom="paragraph">
                <wp:posOffset>2624455</wp:posOffset>
              </wp:positionV>
              <wp:extent cx="7086600" cy="7467600"/>
              <wp:effectExtent l="0" t="0" r="0" b="0"/>
              <wp:wrapNone/>
              <wp:docPr id="2" name="Rectangle 2"/>
              <wp:cNvGraphicFramePr/>
              <a:graphic xmlns:a="http://schemas.openxmlformats.org/drawingml/2006/main">
                <a:graphicData uri="http://schemas.microsoft.com/office/word/2010/wordprocessingShape">
                  <wps:wsp>
                    <wps:cNvSpPr/>
                    <wps:spPr>
                      <a:xfrm>
                        <a:off x="0" y="0"/>
                        <a:ext cx="7086600" cy="746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B1CE6" id="Rectangle 2" o:spid="_x0000_s1026" style="position:absolute;margin-left:-49.9pt;margin-top:206.65pt;width:558pt;height:58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" fillcolor="#bddcdf [3204]" stroked="f" strokeweight="1pt"/>
          </w:pict>
        </mc:Fallback>
      </mc:AlternateContent>
    </w:r>
    <w:r>
      <w:rPr>
        <w:noProof/>
        <w:lang w:eastAsia="en-AU"/>
      </w:rPr>
      <w:drawing>
        <wp:anchor distT="0" distB="0" distL="114300" distR="114300" simplePos="0" relativeHeight="251658244" behindDoc="0" locked="0" layoutInCell="1" allowOverlap="1" wp14:anchorId="5E0BFC02" wp14:editId="0CCFAF59">
          <wp:simplePos x="0" y="0"/>
          <wp:positionH relativeFrom="page">
            <wp:posOffset>900430</wp:posOffset>
          </wp:positionH>
          <wp:positionV relativeFrom="page">
            <wp:posOffset>900430</wp:posOffset>
          </wp:positionV>
          <wp:extent cx="2350800" cy="5749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nce_Logo.png"/>
                  <pic:cNvPicPr/>
                </pic:nvPicPr>
                <pic:blipFill>
                  <a:blip r:embed="rId2">
                    <a:extLst>
                      <a:ext uri="{28A0092B-C50C-407E-A947-70E740481C1C}">
                        <a14:useLocalDpi xmlns:a14="http://schemas.microsoft.com/office/drawing/2010/main" val="0"/>
                      </a:ext>
                    </a:extLst>
                  </a:blip>
                  <a:stretch>
                    <a:fillRect/>
                  </a:stretch>
                </pic:blipFill>
                <pic:spPr>
                  <a:xfrm>
                    <a:off x="0" y="0"/>
                    <a:ext cx="2350800" cy="5749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1E0C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76AA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E4E726"/>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DA740EC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470F93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E88E1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38EA66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0354585C"/>
    <w:multiLevelType w:val="hybridMultilevel"/>
    <w:tmpl w:val="29E82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69355D0"/>
    <w:multiLevelType w:val="hybridMultilevel"/>
    <w:tmpl w:val="BB5EAD8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0A2F6B80"/>
    <w:multiLevelType w:val="multilevel"/>
    <w:tmpl w:val="F2820230"/>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11BD4530"/>
    <w:multiLevelType w:val="multilevel"/>
    <w:tmpl w:val="E1EEE818"/>
    <w:lvl w:ilvl="0">
      <w:start w:val="1"/>
      <w:numFmt w:val="bullet"/>
      <w:pStyle w:val="Bullet2"/>
      <w:lvlText w:val="o"/>
      <w:lvlJc w:val="left"/>
      <w:pPr>
        <w:ind w:left="284" w:hanging="284"/>
      </w:pPr>
      <w:rPr>
        <w:rFonts w:ascii="Courier New" w:hAnsi="Courier New" w:cs="Courier New"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166E23D3"/>
    <w:multiLevelType w:val="hybridMultilevel"/>
    <w:tmpl w:val="028E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D8176B"/>
    <w:multiLevelType w:val="hybridMultilevel"/>
    <w:tmpl w:val="8D4E8DE6"/>
    <w:lvl w:ilvl="0" w:tplc="2FCC1686">
      <w:start w:val="1"/>
      <w:numFmt w:val="bullet"/>
      <w:pStyle w:val="Bullets2ndindent"/>
      <w:lvlText w:val=""/>
      <w:lvlJc w:val="left"/>
      <w:pPr>
        <w:ind w:left="1211"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7B0E8A"/>
    <w:multiLevelType w:val="hybridMultilevel"/>
    <w:tmpl w:val="CBECB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57E97"/>
    <w:multiLevelType w:val="hybridMultilevel"/>
    <w:tmpl w:val="8346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4214C9"/>
    <w:multiLevelType w:val="multilevel"/>
    <w:tmpl w:val="0D18962A"/>
    <w:styleLink w:val="Bullets"/>
    <w:lvl w:ilvl="0">
      <w:start w:val="1"/>
      <w:numFmt w:val="bullet"/>
      <w:pStyle w:val="FCList"/>
      <w:lvlText w:val="•"/>
      <w:lvlJc w:val="left"/>
      <w:pPr>
        <w:tabs>
          <w:tab w:val="num" w:pos="284"/>
        </w:tabs>
        <w:ind w:left="284" w:hanging="284"/>
      </w:pPr>
      <w:rPr>
        <w:rFonts w:ascii="Cambria" w:hAnsi="Cambria" w:hint="default"/>
        <w:color w:val="C2B000"/>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pStyle w:val="Bulletslast1stindent"/>
      <w:lvlText w:val="•"/>
      <w:lvlJc w:val="left"/>
      <w:pPr>
        <w:tabs>
          <w:tab w:val="num" w:pos="284"/>
        </w:tabs>
        <w:ind w:left="284" w:hanging="284"/>
      </w:pPr>
      <w:rPr>
        <w:rFonts w:ascii="Cambria" w:hAnsi="Cambria" w:hint="default"/>
        <w:color w:val="C2B000"/>
      </w:rPr>
    </w:lvl>
    <w:lvl w:ilvl="3">
      <w:start w:val="1"/>
      <w:numFmt w:val="bullet"/>
      <w:pStyle w:val="Bulletslast2ndinden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615800"/>
        <w:sz w:val="16"/>
      </w:rPr>
    </w:lvl>
    <w:lvl w:ilvl="6">
      <w:start w:val="1"/>
      <w:numFmt w:val="bullet"/>
      <w:pStyle w:val="Tablebullets2ndindent"/>
      <w:lvlText w:val=""/>
      <w:lvlJc w:val="left"/>
      <w:pPr>
        <w:tabs>
          <w:tab w:val="num" w:pos="437"/>
        </w:tabs>
        <w:ind w:left="437" w:hanging="171"/>
      </w:pPr>
      <w:rPr>
        <w:rFonts w:ascii="Symbol" w:hAnsi="Symbol" w:hint="default"/>
        <w:color w:val="615800"/>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2A4A0978"/>
    <w:multiLevelType w:val="hybridMultilevel"/>
    <w:tmpl w:val="DE8E88B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364F29A9"/>
    <w:multiLevelType w:val="multilevel"/>
    <w:tmpl w:val="92A42DD2"/>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pStyle w:val="Bullet1"/>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87D31C8"/>
    <w:multiLevelType w:val="hybridMultilevel"/>
    <w:tmpl w:val="6C78A2C8"/>
    <w:lvl w:ilvl="0" w:tplc="77F6B5E2">
      <w:start w:val="1"/>
      <w:numFmt w:val="bullet"/>
      <w:pStyle w:val="Bullets1stindent"/>
      <w:lvlText w:val=""/>
      <w:lvlJc w:val="left"/>
      <w:pPr>
        <w:ind w:left="720" w:hanging="360"/>
      </w:pPr>
      <w:rPr>
        <w:rFonts w:ascii="Symbol" w:hAnsi="Symbol" w:hint="default"/>
      </w:rPr>
    </w:lvl>
    <w:lvl w:ilvl="1" w:tplc="0C090017">
      <w:start w:val="1"/>
      <w:numFmt w:val="bullet"/>
      <w:lvlText w:val="o"/>
      <w:lvlJc w:val="left"/>
      <w:pPr>
        <w:ind w:left="1440" w:hanging="360"/>
      </w:pPr>
      <w:rPr>
        <w:rFonts w:ascii="Courier New" w:hAnsi="Courier New" w:cs="Courier New" w:hint="default"/>
      </w:rPr>
    </w:lvl>
    <w:lvl w:ilvl="2" w:tplc="0C09001B">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20" w15:restartNumberingAfterBreak="0">
    <w:nsid w:val="4B45690C"/>
    <w:multiLevelType w:val="multilevel"/>
    <w:tmpl w:val="593E359A"/>
    <w:lvl w:ilvl="0">
      <w:start w:val="1"/>
      <w:numFmt w:val="bullet"/>
      <w:pStyle w:val="Bullet3"/>
      <w:lvlText w:val=""/>
      <w:lvlJc w:val="left"/>
      <w:pPr>
        <w:ind w:left="284" w:hanging="284"/>
      </w:pPr>
      <w:rPr>
        <w:rFonts w:ascii="Wingdings" w:hAnsi="Wingding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bullet"/>
      <w:lvlText w:val=""/>
      <w:lvlJc w:val="left"/>
      <w:pPr>
        <w:ind w:left="2556" w:hanging="284"/>
      </w:pPr>
      <w:rPr>
        <w:rFonts w:ascii="Symbol" w:hAnsi="Symbol" w:hint="default"/>
      </w:rPr>
    </w:lvl>
  </w:abstractNum>
  <w:abstractNum w:abstractNumId="21" w15:restartNumberingAfterBreak="0">
    <w:nsid w:val="4F1523F7"/>
    <w:multiLevelType w:val="multilevel"/>
    <w:tmpl w:val="1C5C7DB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2" w15:restartNumberingAfterBreak="0">
    <w:nsid w:val="53EC49A7"/>
    <w:multiLevelType w:val="hybridMultilevel"/>
    <w:tmpl w:val="EFC6007C"/>
    <w:lvl w:ilvl="0" w:tplc="93384DE0">
      <w:start w:val="1"/>
      <w:numFmt w:val="decimal"/>
      <w:pStyle w:val="ListParagraph"/>
      <w:lvlText w:val="%1."/>
      <w:lvlJc w:val="left"/>
      <w:pPr>
        <w:ind w:left="360" w:hanging="360"/>
      </w:pPr>
      <w:rPr>
        <w:rFonts w:hint="default"/>
      </w:rPr>
    </w:lvl>
    <w:lvl w:ilvl="1" w:tplc="A7ACFB9C">
      <w:start w:val="1"/>
      <w:numFmt w:val="lowerLetter"/>
      <w:pStyle w:val="Numberedpara1stindent"/>
      <w:lvlText w:val="%2."/>
      <w:lvlJc w:val="left"/>
      <w:pPr>
        <w:ind w:left="1440" w:hanging="360"/>
      </w:pPr>
      <w:rPr>
        <w:rFonts w:hint="default"/>
      </w:rPr>
    </w:lvl>
    <w:lvl w:ilvl="2" w:tplc="FDDA3FAC">
      <w:start w:val="1"/>
      <w:numFmt w:val="bullet"/>
      <w:lvlText w:val="–"/>
      <w:lvlJc w:val="left"/>
      <w:pPr>
        <w:ind w:left="2160" w:hanging="180"/>
      </w:pPr>
      <w:rPr>
        <w:rFonts w:ascii="Calibri" w:hAnsi="Calibri" w:hint="default"/>
      </w:rPr>
    </w:lvl>
    <w:lvl w:ilvl="3" w:tplc="0C09000F">
      <w:start w:val="1"/>
      <w:numFmt w:val="decimal"/>
      <w:lvlText w:val="%4."/>
      <w:lvlJc w:val="left"/>
      <w:pPr>
        <w:ind w:left="2880" w:hanging="360"/>
      </w:pPr>
    </w:lvl>
    <w:lvl w:ilvl="4" w:tplc="DDE67586">
      <w:numFmt w:val="bullet"/>
      <w:lvlText w:val="-"/>
      <w:lvlJc w:val="left"/>
      <w:pPr>
        <w:ind w:left="3600" w:hanging="360"/>
      </w:pPr>
      <w:rPr>
        <w:rFonts w:ascii="Cambria" w:eastAsia="Times New Roman" w:hAnsi="Cambria"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C5037DA"/>
    <w:multiLevelType w:val="hybridMultilevel"/>
    <w:tmpl w:val="CCEE5346"/>
    <w:lvl w:ilvl="0" w:tplc="724C3ADE">
      <w:start w:val="1"/>
      <w:numFmt w:val="bullet"/>
      <w:pStyle w:val="Bullets3rdindent"/>
      <w:lvlText w:val="o"/>
      <w:lvlJc w:val="left"/>
      <w:pPr>
        <w:ind w:left="1996" w:hanging="360"/>
      </w:pPr>
      <w:rPr>
        <w:rFonts w:ascii="Courier New" w:hAnsi="Courier New" w:cs="Courier New"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7128511F"/>
    <w:multiLevelType w:val="hybridMultilevel"/>
    <w:tmpl w:val="96B6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FA5281"/>
    <w:multiLevelType w:val="multilevel"/>
    <w:tmpl w:val="52FE3B94"/>
    <w:lvl w:ilvl="0">
      <w:start w:val="1"/>
      <w:numFmt w:val="decimal"/>
      <w:pStyle w:val="Bulletsnumbers"/>
      <w:lvlText w:val="%1."/>
      <w:lvlJc w:val="left"/>
      <w:pPr>
        <w:tabs>
          <w:tab w:val="num" w:pos="284"/>
        </w:tabs>
        <w:ind w:left="284" w:hanging="284"/>
      </w:pPr>
      <w:rPr>
        <w:rFonts w:hint="default"/>
        <w:color w:val="auto"/>
      </w:rPr>
    </w:lvl>
    <w:lvl w:ilvl="1">
      <w:start w:val="1"/>
      <w:numFmt w:val="bullet"/>
      <w:lvlText w:val="•"/>
      <w:lvlJc w:val="left"/>
      <w:pPr>
        <w:tabs>
          <w:tab w:val="num" w:pos="567"/>
        </w:tabs>
        <w:ind w:left="567" w:hanging="283"/>
      </w:pPr>
      <w:rPr>
        <w:rFonts w:ascii="Cambria" w:hAnsi="Cambria" w:hint="default"/>
        <w:color w:val="C2B000"/>
      </w:rPr>
    </w:lvl>
    <w:lvl w:ilvl="2">
      <w:start w:val="1"/>
      <w:numFmt w:val="bullet"/>
      <w:lvlText w:val="•"/>
      <w:lvlJc w:val="left"/>
      <w:pPr>
        <w:tabs>
          <w:tab w:val="num" w:pos="284"/>
        </w:tabs>
        <w:ind w:left="284" w:hanging="284"/>
      </w:pPr>
      <w:rPr>
        <w:rFonts w:ascii="Cambria" w:hAnsi="Cambria" w:hint="default"/>
        <w:color w:val="C2B000"/>
      </w:rPr>
    </w:lvl>
    <w:lvl w:ilvl="3">
      <w:start w:val="1"/>
      <w:numFmt w:val="bullet"/>
      <w:lvlText w:val="•"/>
      <w:lvlJc w:val="left"/>
      <w:pPr>
        <w:tabs>
          <w:tab w:val="num" w:pos="567"/>
        </w:tabs>
        <w:ind w:left="567" w:hanging="283"/>
      </w:pPr>
      <w:rPr>
        <w:rFonts w:ascii="Cambria" w:hAnsi="Cambria" w:hint="default"/>
        <w:color w:val="C2B000"/>
      </w:rPr>
    </w:lvl>
    <w:lvl w:ilvl="4">
      <w:start w:val="1"/>
      <w:numFmt w:val="none"/>
      <w:lvlText w:val=""/>
      <w:lvlJc w:val="left"/>
      <w:pPr>
        <w:ind w:left="0" w:firstLine="0"/>
      </w:pPr>
      <w:rPr>
        <w:rFonts w:hint="default"/>
      </w:rPr>
    </w:lvl>
    <w:lvl w:ilvl="5">
      <w:start w:val="1"/>
      <w:numFmt w:val="bullet"/>
      <w:lvlText w:val="•"/>
      <w:lvlJc w:val="left"/>
      <w:pPr>
        <w:tabs>
          <w:tab w:val="num" w:pos="266"/>
        </w:tabs>
        <w:ind w:left="266" w:hanging="170"/>
      </w:pPr>
      <w:rPr>
        <w:rFonts w:ascii="Cambria" w:hAnsi="Cambria" w:hint="default"/>
        <w:color w:val="C2B000"/>
      </w:rPr>
    </w:lvl>
    <w:lvl w:ilvl="6">
      <w:start w:val="1"/>
      <w:numFmt w:val="bullet"/>
      <w:lvlText w:val="•"/>
      <w:lvlJc w:val="left"/>
      <w:pPr>
        <w:tabs>
          <w:tab w:val="num" w:pos="437"/>
        </w:tabs>
        <w:ind w:left="437" w:hanging="171"/>
      </w:pPr>
      <w:rPr>
        <w:rFonts w:ascii="Cambria" w:hAnsi="Cambria" w:hint="default"/>
        <w:color w:val="C2B000"/>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B3205F3"/>
    <w:multiLevelType w:val="hybridMultilevel"/>
    <w:tmpl w:val="133EA1D2"/>
    <w:lvl w:ilvl="0" w:tplc="A380D2F8">
      <w:start w:val="1"/>
      <w:numFmt w:val="decimal"/>
      <w:pStyle w:val="Numbered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9"/>
    <w:lvlOverride w:ilvl="0">
      <w:lvl w:ilvl="0">
        <w:start w:val="1"/>
        <w:numFmt w:val="decimal"/>
        <w:pStyle w:val="NumberedList1"/>
        <w:lvlText w:val="%1."/>
        <w:lvlJc w:val="left"/>
        <w:pPr>
          <w:ind w:left="2552" w:hanging="284"/>
        </w:pPr>
        <w:rPr>
          <w:rFonts w:hint="default"/>
        </w:rPr>
      </w:lvl>
    </w:lvlOverride>
    <w:lvlOverride w:ilvl="1">
      <w:lvl w:ilvl="1">
        <w:start w:val="1"/>
        <w:numFmt w:val="lowerLetter"/>
        <w:pStyle w:val="NumberedList2"/>
        <w:lvlText w:val="%2."/>
        <w:lvlJc w:val="left"/>
        <w:pPr>
          <w:ind w:left="568" w:hanging="284"/>
        </w:pPr>
        <w:rPr>
          <w:rFonts w:hint="default"/>
        </w:rPr>
      </w:lvl>
    </w:lvlOverride>
    <w:lvlOverride w:ilvl="2">
      <w:lvl w:ilvl="2">
        <w:start w:val="1"/>
        <w:numFmt w:val="lowerRoman"/>
        <w:pStyle w:val="NumberedList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
    <w:abstractNumId w:val="17"/>
  </w:num>
  <w:num w:numId="4">
    <w:abstractNumId w:val="23"/>
  </w:num>
  <w:num w:numId="5">
    <w:abstractNumId w:val="25"/>
  </w:num>
  <w:num w:numId="6">
    <w:abstractNumId w:val="21"/>
  </w:num>
  <w:num w:numId="7">
    <w:abstractNumId w:val="15"/>
  </w:num>
  <w:num w:numId="8">
    <w:abstractNumId w:val="27"/>
  </w:num>
  <w:num w:numId="9">
    <w:abstractNumId w:val="19"/>
  </w:num>
  <w:num w:numId="10">
    <w:abstractNumId w:val="12"/>
  </w:num>
  <w:num w:numId="11">
    <w:abstractNumId w:val="22"/>
  </w:num>
  <w:num w:numId="12">
    <w:abstractNumId w:val="24"/>
  </w:num>
  <w:num w:numId="13">
    <w:abstractNumId w:val="9"/>
  </w:num>
  <w:num w:numId="14">
    <w:abstractNumId w:val="18"/>
  </w:num>
  <w:num w:numId="15">
    <w:abstractNumId w:val="10"/>
  </w:num>
  <w:num w:numId="16">
    <w:abstractNumId w:val="20"/>
  </w:num>
  <w:num w:numId="17">
    <w:abstractNumId w:val="29"/>
  </w:num>
  <w:num w:numId="18">
    <w:abstractNumId w:val="13"/>
  </w:num>
  <w:num w:numId="19">
    <w:abstractNumId w:val="14"/>
  </w:num>
  <w:num w:numId="20">
    <w:abstractNumId w:val="26"/>
  </w:num>
  <w:num w:numId="21">
    <w:abstractNumId w:val="16"/>
  </w:num>
  <w:num w:numId="22">
    <w:abstractNumId w:val="11"/>
  </w:num>
  <w:num w:numId="23">
    <w:abstractNumId w:val="8"/>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34BC"/>
    <w:rsid w:val="00003F3C"/>
    <w:rsid w:val="00004250"/>
    <w:rsid w:val="00010475"/>
    <w:rsid w:val="0001388A"/>
    <w:rsid w:val="000205B7"/>
    <w:rsid w:val="0002625F"/>
    <w:rsid w:val="0002782F"/>
    <w:rsid w:val="0003233F"/>
    <w:rsid w:val="000358ED"/>
    <w:rsid w:val="00042B5B"/>
    <w:rsid w:val="00054E4D"/>
    <w:rsid w:val="00060073"/>
    <w:rsid w:val="000603C7"/>
    <w:rsid w:val="0006587C"/>
    <w:rsid w:val="00065F17"/>
    <w:rsid w:val="000678CC"/>
    <w:rsid w:val="0007026D"/>
    <w:rsid w:val="00070F25"/>
    <w:rsid w:val="00072A21"/>
    <w:rsid w:val="00074576"/>
    <w:rsid w:val="00076DA8"/>
    <w:rsid w:val="00082082"/>
    <w:rsid w:val="000822DC"/>
    <w:rsid w:val="000829F4"/>
    <w:rsid w:val="0009339D"/>
    <w:rsid w:val="000965F4"/>
    <w:rsid w:val="000979D0"/>
    <w:rsid w:val="000A0EEE"/>
    <w:rsid w:val="000A4B30"/>
    <w:rsid w:val="000A4D6A"/>
    <w:rsid w:val="000A6A8B"/>
    <w:rsid w:val="000C0393"/>
    <w:rsid w:val="000C2A48"/>
    <w:rsid w:val="000C5F75"/>
    <w:rsid w:val="000D5397"/>
    <w:rsid w:val="000D55A4"/>
    <w:rsid w:val="000D60B1"/>
    <w:rsid w:val="000D6ACF"/>
    <w:rsid w:val="000E1AF2"/>
    <w:rsid w:val="000F2DD2"/>
    <w:rsid w:val="000F7958"/>
    <w:rsid w:val="000F7BDE"/>
    <w:rsid w:val="00104A98"/>
    <w:rsid w:val="00111E4A"/>
    <w:rsid w:val="00112118"/>
    <w:rsid w:val="001162A2"/>
    <w:rsid w:val="00132249"/>
    <w:rsid w:val="001350E9"/>
    <w:rsid w:val="00136530"/>
    <w:rsid w:val="00144B01"/>
    <w:rsid w:val="00146D5D"/>
    <w:rsid w:val="0015074D"/>
    <w:rsid w:val="00151AB6"/>
    <w:rsid w:val="001541EA"/>
    <w:rsid w:val="001612A4"/>
    <w:rsid w:val="001640B8"/>
    <w:rsid w:val="00174938"/>
    <w:rsid w:val="0017666F"/>
    <w:rsid w:val="00190E2D"/>
    <w:rsid w:val="00190F5E"/>
    <w:rsid w:val="00191095"/>
    <w:rsid w:val="00192EF0"/>
    <w:rsid w:val="001935DA"/>
    <w:rsid w:val="00193F5E"/>
    <w:rsid w:val="00195619"/>
    <w:rsid w:val="00197ADC"/>
    <w:rsid w:val="001B2135"/>
    <w:rsid w:val="001B5353"/>
    <w:rsid w:val="001B772C"/>
    <w:rsid w:val="001C24F2"/>
    <w:rsid w:val="001C57BF"/>
    <w:rsid w:val="001C6EA7"/>
    <w:rsid w:val="001C7759"/>
    <w:rsid w:val="001D0AFC"/>
    <w:rsid w:val="001D265D"/>
    <w:rsid w:val="001D316D"/>
    <w:rsid w:val="001D3966"/>
    <w:rsid w:val="001D5232"/>
    <w:rsid w:val="001D7B03"/>
    <w:rsid w:val="001D7EB4"/>
    <w:rsid w:val="001E1200"/>
    <w:rsid w:val="001E1DC0"/>
    <w:rsid w:val="001E2069"/>
    <w:rsid w:val="001F444C"/>
    <w:rsid w:val="001F5DC4"/>
    <w:rsid w:val="0020122A"/>
    <w:rsid w:val="00201AA7"/>
    <w:rsid w:val="00202EAF"/>
    <w:rsid w:val="0020331D"/>
    <w:rsid w:val="00203B75"/>
    <w:rsid w:val="0020623D"/>
    <w:rsid w:val="00210336"/>
    <w:rsid w:val="00216206"/>
    <w:rsid w:val="00224AAA"/>
    <w:rsid w:val="00226309"/>
    <w:rsid w:val="00232DF5"/>
    <w:rsid w:val="0023326A"/>
    <w:rsid w:val="00242D30"/>
    <w:rsid w:val="002524EF"/>
    <w:rsid w:val="00260A2B"/>
    <w:rsid w:val="002636E5"/>
    <w:rsid w:val="002663FA"/>
    <w:rsid w:val="002676C9"/>
    <w:rsid w:val="00267BF3"/>
    <w:rsid w:val="002731AE"/>
    <w:rsid w:val="00275E01"/>
    <w:rsid w:val="002809A5"/>
    <w:rsid w:val="0028423C"/>
    <w:rsid w:val="0028523E"/>
    <w:rsid w:val="0028602A"/>
    <w:rsid w:val="0028719E"/>
    <w:rsid w:val="002919A5"/>
    <w:rsid w:val="002921AF"/>
    <w:rsid w:val="002941CC"/>
    <w:rsid w:val="00297CA3"/>
    <w:rsid w:val="002A06BA"/>
    <w:rsid w:val="002A554E"/>
    <w:rsid w:val="002A6312"/>
    <w:rsid w:val="002B36F1"/>
    <w:rsid w:val="002B636A"/>
    <w:rsid w:val="002C1562"/>
    <w:rsid w:val="002C6290"/>
    <w:rsid w:val="002D31A9"/>
    <w:rsid w:val="002D69E4"/>
    <w:rsid w:val="002D7560"/>
    <w:rsid w:val="002D799B"/>
    <w:rsid w:val="002D7F1E"/>
    <w:rsid w:val="002E4D88"/>
    <w:rsid w:val="002E735D"/>
    <w:rsid w:val="002F7052"/>
    <w:rsid w:val="00301144"/>
    <w:rsid w:val="00302512"/>
    <w:rsid w:val="00302DFB"/>
    <w:rsid w:val="00306058"/>
    <w:rsid w:val="003109AB"/>
    <w:rsid w:val="003140C3"/>
    <w:rsid w:val="003148B7"/>
    <w:rsid w:val="003158C3"/>
    <w:rsid w:val="003164C5"/>
    <w:rsid w:val="003263FA"/>
    <w:rsid w:val="003274CD"/>
    <w:rsid w:val="00337D6C"/>
    <w:rsid w:val="003431BD"/>
    <w:rsid w:val="00344994"/>
    <w:rsid w:val="0035119D"/>
    <w:rsid w:val="00352242"/>
    <w:rsid w:val="0035645A"/>
    <w:rsid w:val="00356F1C"/>
    <w:rsid w:val="003604D0"/>
    <w:rsid w:val="00360825"/>
    <w:rsid w:val="00360E00"/>
    <w:rsid w:val="003616BF"/>
    <w:rsid w:val="003616E8"/>
    <w:rsid w:val="00362D50"/>
    <w:rsid w:val="00365C5B"/>
    <w:rsid w:val="00371EF6"/>
    <w:rsid w:val="00373420"/>
    <w:rsid w:val="00380F99"/>
    <w:rsid w:val="003825CC"/>
    <w:rsid w:val="003873CE"/>
    <w:rsid w:val="00390B07"/>
    <w:rsid w:val="00396E11"/>
    <w:rsid w:val="003A2E91"/>
    <w:rsid w:val="003A71C5"/>
    <w:rsid w:val="003B1BCA"/>
    <w:rsid w:val="003B4F12"/>
    <w:rsid w:val="003C0E5E"/>
    <w:rsid w:val="003C548A"/>
    <w:rsid w:val="003C7CC1"/>
    <w:rsid w:val="003C7CE0"/>
    <w:rsid w:val="003D295A"/>
    <w:rsid w:val="003D4335"/>
    <w:rsid w:val="003E1290"/>
    <w:rsid w:val="003E1E0A"/>
    <w:rsid w:val="003E66D2"/>
    <w:rsid w:val="003F33CC"/>
    <w:rsid w:val="00401A0F"/>
    <w:rsid w:val="004049F3"/>
    <w:rsid w:val="00410906"/>
    <w:rsid w:val="00415BFE"/>
    <w:rsid w:val="004202C3"/>
    <w:rsid w:val="00421F37"/>
    <w:rsid w:val="00423F31"/>
    <w:rsid w:val="00425CE9"/>
    <w:rsid w:val="00430485"/>
    <w:rsid w:val="00431899"/>
    <w:rsid w:val="00433D8B"/>
    <w:rsid w:val="00435DFA"/>
    <w:rsid w:val="00443728"/>
    <w:rsid w:val="0044444A"/>
    <w:rsid w:val="00445CC1"/>
    <w:rsid w:val="004540AD"/>
    <w:rsid w:val="0046056E"/>
    <w:rsid w:val="0046112B"/>
    <w:rsid w:val="00461C8F"/>
    <w:rsid w:val="00462171"/>
    <w:rsid w:val="00462267"/>
    <w:rsid w:val="00462724"/>
    <w:rsid w:val="00465F16"/>
    <w:rsid w:val="0047299C"/>
    <w:rsid w:val="00472A7B"/>
    <w:rsid w:val="0047380F"/>
    <w:rsid w:val="004756AB"/>
    <w:rsid w:val="0048297B"/>
    <w:rsid w:val="00484F64"/>
    <w:rsid w:val="00485672"/>
    <w:rsid w:val="00485FEA"/>
    <w:rsid w:val="00486620"/>
    <w:rsid w:val="00486804"/>
    <w:rsid w:val="00492043"/>
    <w:rsid w:val="004946A0"/>
    <w:rsid w:val="004A2AC6"/>
    <w:rsid w:val="004A741A"/>
    <w:rsid w:val="004B3402"/>
    <w:rsid w:val="004B3775"/>
    <w:rsid w:val="004C1220"/>
    <w:rsid w:val="004C2A06"/>
    <w:rsid w:val="004C3D75"/>
    <w:rsid w:val="004C4452"/>
    <w:rsid w:val="004C4B05"/>
    <w:rsid w:val="004C51DE"/>
    <w:rsid w:val="004C5E5E"/>
    <w:rsid w:val="004C63A8"/>
    <w:rsid w:val="004C7199"/>
    <w:rsid w:val="004C76E1"/>
    <w:rsid w:val="004D4559"/>
    <w:rsid w:val="004D57DB"/>
    <w:rsid w:val="004D7D1D"/>
    <w:rsid w:val="004E058F"/>
    <w:rsid w:val="004E1682"/>
    <w:rsid w:val="004E3B87"/>
    <w:rsid w:val="004E4D8E"/>
    <w:rsid w:val="004E71F5"/>
    <w:rsid w:val="004F07FC"/>
    <w:rsid w:val="004F68A6"/>
    <w:rsid w:val="00506096"/>
    <w:rsid w:val="005106EC"/>
    <w:rsid w:val="00510921"/>
    <w:rsid w:val="00510AD3"/>
    <w:rsid w:val="0051199A"/>
    <w:rsid w:val="00513092"/>
    <w:rsid w:val="00513348"/>
    <w:rsid w:val="0051499F"/>
    <w:rsid w:val="0051577A"/>
    <w:rsid w:val="005205BF"/>
    <w:rsid w:val="00521AD5"/>
    <w:rsid w:val="005315CD"/>
    <w:rsid w:val="00533B5D"/>
    <w:rsid w:val="00535961"/>
    <w:rsid w:val="005402D6"/>
    <w:rsid w:val="00546F50"/>
    <w:rsid w:val="00547F0E"/>
    <w:rsid w:val="0055203F"/>
    <w:rsid w:val="00552097"/>
    <w:rsid w:val="0055288B"/>
    <w:rsid w:val="005570E8"/>
    <w:rsid w:val="00564696"/>
    <w:rsid w:val="00566CF9"/>
    <w:rsid w:val="00567A0F"/>
    <w:rsid w:val="00570B7C"/>
    <w:rsid w:val="00575400"/>
    <w:rsid w:val="00576A57"/>
    <w:rsid w:val="00582CB1"/>
    <w:rsid w:val="00582D93"/>
    <w:rsid w:val="00591177"/>
    <w:rsid w:val="0059184C"/>
    <w:rsid w:val="00591ED0"/>
    <w:rsid w:val="005970EA"/>
    <w:rsid w:val="005A379D"/>
    <w:rsid w:val="005A6B40"/>
    <w:rsid w:val="005B696C"/>
    <w:rsid w:val="005B796A"/>
    <w:rsid w:val="005C37F0"/>
    <w:rsid w:val="005C58C3"/>
    <w:rsid w:val="005C6F2E"/>
    <w:rsid w:val="005C7238"/>
    <w:rsid w:val="005C7816"/>
    <w:rsid w:val="005D2D36"/>
    <w:rsid w:val="005D4F7B"/>
    <w:rsid w:val="005E0771"/>
    <w:rsid w:val="005E5CB9"/>
    <w:rsid w:val="005F0A42"/>
    <w:rsid w:val="005F37BE"/>
    <w:rsid w:val="005F76BE"/>
    <w:rsid w:val="006026E9"/>
    <w:rsid w:val="006050F3"/>
    <w:rsid w:val="00606E4C"/>
    <w:rsid w:val="00610118"/>
    <w:rsid w:val="0061016E"/>
    <w:rsid w:val="0061303A"/>
    <w:rsid w:val="006150AB"/>
    <w:rsid w:val="00622A19"/>
    <w:rsid w:val="00622A59"/>
    <w:rsid w:val="00623BA1"/>
    <w:rsid w:val="00626997"/>
    <w:rsid w:val="00633581"/>
    <w:rsid w:val="00633E39"/>
    <w:rsid w:val="0063407B"/>
    <w:rsid w:val="006346BC"/>
    <w:rsid w:val="00635735"/>
    <w:rsid w:val="00635CCF"/>
    <w:rsid w:val="00644364"/>
    <w:rsid w:val="006508F3"/>
    <w:rsid w:val="00651148"/>
    <w:rsid w:val="006526AE"/>
    <w:rsid w:val="006540FE"/>
    <w:rsid w:val="0066050C"/>
    <w:rsid w:val="006628DA"/>
    <w:rsid w:val="00666291"/>
    <w:rsid w:val="0066652A"/>
    <w:rsid w:val="00670172"/>
    <w:rsid w:val="006807FD"/>
    <w:rsid w:val="00682167"/>
    <w:rsid w:val="0068491C"/>
    <w:rsid w:val="006853C9"/>
    <w:rsid w:val="006853ED"/>
    <w:rsid w:val="00693F97"/>
    <w:rsid w:val="006A1AF5"/>
    <w:rsid w:val="006A1DB4"/>
    <w:rsid w:val="006A2205"/>
    <w:rsid w:val="006A4AC7"/>
    <w:rsid w:val="006B13D9"/>
    <w:rsid w:val="006B1465"/>
    <w:rsid w:val="006B634E"/>
    <w:rsid w:val="006C42AF"/>
    <w:rsid w:val="006C4DD1"/>
    <w:rsid w:val="006C5F48"/>
    <w:rsid w:val="006C65C2"/>
    <w:rsid w:val="006C6A3C"/>
    <w:rsid w:val="006E4D56"/>
    <w:rsid w:val="006E5CCE"/>
    <w:rsid w:val="006F3056"/>
    <w:rsid w:val="006F3201"/>
    <w:rsid w:val="006F3A1C"/>
    <w:rsid w:val="006F4732"/>
    <w:rsid w:val="006F65B6"/>
    <w:rsid w:val="007002C8"/>
    <w:rsid w:val="00701839"/>
    <w:rsid w:val="00703877"/>
    <w:rsid w:val="00711D8E"/>
    <w:rsid w:val="00712672"/>
    <w:rsid w:val="007132EC"/>
    <w:rsid w:val="00715635"/>
    <w:rsid w:val="00720241"/>
    <w:rsid w:val="00727295"/>
    <w:rsid w:val="00727C9A"/>
    <w:rsid w:val="00734E3F"/>
    <w:rsid w:val="00735251"/>
    <w:rsid w:val="00735E94"/>
    <w:rsid w:val="00736985"/>
    <w:rsid w:val="00737A13"/>
    <w:rsid w:val="00740645"/>
    <w:rsid w:val="00741E47"/>
    <w:rsid w:val="00742471"/>
    <w:rsid w:val="00745799"/>
    <w:rsid w:val="00753792"/>
    <w:rsid w:val="00753F4F"/>
    <w:rsid w:val="0075708D"/>
    <w:rsid w:val="007622FD"/>
    <w:rsid w:val="00763C2A"/>
    <w:rsid w:val="00763F52"/>
    <w:rsid w:val="007650D1"/>
    <w:rsid w:val="00765CA3"/>
    <w:rsid w:val="007665E9"/>
    <w:rsid w:val="00766C0E"/>
    <w:rsid w:val="0077053D"/>
    <w:rsid w:val="00772193"/>
    <w:rsid w:val="00775543"/>
    <w:rsid w:val="00781F84"/>
    <w:rsid w:val="0078647C"/>
    <w:rsid w:val="00794152"/>
    <w:rsid w:val="00797A42"/>
    <w:rsid w:val="007A0861"/>
    <w:rsid w:val="007A29E5"/>
    <w:rsid w:val="007B29F1"/>
    <w:rsid w:val="007B6200"/>
    <w:rsid w:val="007B6B9F"/>
    <w:rsid w:val="007C2F35"/>
    <w:rsid w:val="007C6ECE"/>
    <w:rsid w:val="007D4D14"/>
    <w:rsid w:val="007D6C21"/>
    <w:rsid w:val="007E26E3"/>
    <w:rsid w:val="007E3B17"/>
    <w:rsid w:val="007F400F"/>
    <w:rsid w:val="00800799"/>
    <w:rsid w:val="00801B9F"/>
    <w:rsid w:val="00805B8C"/>
    <w:rsid w:val="0081126C"/>
    <w:rsid w:val="00816BC1"/>
    <w:rsid w:val="00824649"/>
    <w:rsid w:val="00824D35"/>
    <w:rsid w:val="008256BA"/>
    <w:rsid w:val="008306E8"/>
    <w:rsid w:val="0083233F"/>
    <w:rsid w:val="00840458"/>
    <w:rsid w:val="0084135B"/>
    <w:rsid w:val="008436BE"/>
    <w:rsid w:val="00844FF6"/>
    <w:rsid w:val="0084520B"/>
    <w:rsid w:val="008647C7"/>
    <w:rsid w:val="00873D7E"/>
    <w:rsid w:val="008747AB"/>
    <w:rsid w:val="008770C5"/>
    <w:rsid w:val="00880B3F"/>
    <w:rsid w:val="00882639"/>
    <w:rsid w:val="00884FEC"/>
    <w:rsid w:val="008855F9"/>
    <w:rsid w:val="00887CFC"/>
    <w:rsid w:val="00895F2E"/>
    <w:rsid w:val="00897606"/>
    <w:rsid w:val="008A05DD"/>
    <w:rsid w:val="008A0EF3"/>
    <w:rsid w:val="008A2162"/>
    <w:rsid w:val="008B62C7"/>
    <w:rsid w:val="008B78EB"/>
    <w:rsid w:val="008C0956"/>
    <w:rsid w:val="008D4A99"/>
    <w:rsid w:val="008E1211"/>
    <w:rsid w:val="008E1F32"/>
    <w:rsid w:val="008E774F"/>
    <w:rsid w:val="008F1B08"/>
    <w:rsid w:val="008F4781"/>
    <w:rsid w:val="00902127"/>
    <w:rsid w:val="00902949"/>
    <w:rsid w:val="00902A53"/>
    <w:rsid w:val="00903AF5"/>
    <w:rsid w:val="00906CD2"/>
    <w:rsid w:val="00910D84"/>
    <w:rsid w:val="00912969"/>
    <w:rsid w:val="00921B85"/>
    <w:rsid w:val="0092289A"/>
    <w:rsid w:val="0092433D"/>
    <w:rsid w:val="00924377"/>
    <w:rsid w:val="0092447A"/>
    <w:rsid w:val="009262D4"/>
    <w:rsid w:val="009307F4"/>
    <w:rsid w:val="009328A0"/>
    <w:rsid w:val="00936F5D"/>
    <w:rsid w:val="00941CFB"/>
    <w:rsid w:val="00943C07"/>
    <w:rsid w:val="00944D3D"/>
    <w:rsid w:val="00945586"/>
    <w:rsid w:val="00945B58"/>
    <w:rsid w:val="00947A3E"/>
    <w:rsid w:val="00953F91"/>
    <w:rsid w:val="009548BA"/>
    <w:rsid w:val="00955214"/>
    <w:rsid w:val="009555F2"/>
    <w:rsid w:val="009561A0"/>
    <w:rsid w:val="00964E61"/>
    <w:rsid w:val="00966ADE"/>
    <w:rsid w:val="00967AE3"/>
    <w:rsid w:val="0097033B"/>
    <w:rsid w:val="009763B6"/>
    <w:rsid w:val="009960E3"/>
    <w:rsid w:val="009A08BD"/>
    <w:rsid w:val="009A2858"/>
    <w:rsid w:val="009A2DA7"/>
    <w:rsid w:val="009A6EFA"/>
    <w:rsid w:val="009A6FA5"/>
    <w:rsid w:val="009B2C99"/>
    <w:rsid w:val="009B2CF3"/>
    <w:rsid w:val="009B4D3B"/>
    <w:rsid w:val="009C13AA"/>
    <w:rsid w:val="009C3084"/>
    <w:rsid w:val="009D3853"/>
    <w:rsid w:val="009D7407"/>
    <w:rsid w:val="009E0866"/>
    <w:rsid w:val="009E1AAB"/>
    <w:rsid w:val="009E2850"/>
    <w:rsid w:val="009E7924"/>
    <w:rsid w:val="00A03408"/>
    <w:rsid w:val="00A061B9"/>
    <w:rsid w:val="00A11AE0"/>
    <w:rsid w:val="00A120E1"/>
    <w:rsid w:val="00A20E8E"/>
    <w:rsid w:val="00A21234"/>
    <w:rsid w:val="00A23DB7"/>
    <w:rsid w:val="00A24A62"/>
    <w:rsid w:val="00A313EC"/>
    <w:rsid w:val="00A31C9F"/>
    <w:rsid w:val="00A325D3"/>
    <w:rsid w:val="00A332C9"/>
    <w:rsid w:val="00A34B41"/>
    <w:rsid w:val="00A34EDC"/>
    <w:rsid w:val="00A3571F"/>
    <w:rsid w:val="00A37AE6"/>
    <w:rsid w:val="00A44301"/>
    <w:rsid w:val="00A52675"/>
    <w:rsid w:val="00A57A9E"/>
    <w:rsid w:val="00A61EF3"/>
    <w:rsid w:val="00A620DF"/>
    <w:rsid w:val="00A625D4"/>
    <w:rsid w:val="00A64970"/>
    <w:rsid w:val="00A66942"/>
    <w:rsid w:val="00A67757"/>
    <w:rsid w:val="00A717A9"/>
    <w:rsid w:val="00A71926"/>
    <w:rsid w:val="00A75F80"/>
    <w:rsid w:val="00A82520"/>
    <w:rsid w:val="00A82B42"/>
    <w:rsid w:val="00A84383"/>
    <w:rsid w:val="00A84B0D"/>
    <w:rsid w:val="00A86094"/>
    <w:rsid w:val="00A860DC"/>
    <w:rsid w:val="00A868E8"/>
    <w:rsid w:val="00A9312C"/>
    <w:rsid w:val="00A937F4"/>
    <w:rsid w:val="00A94527"/>
    <w:rsid w:val="00AA1A1B"/>
    <w:rsid w:val="00AA51E4"/>
    <w:rsid w:val="00AA6F02"/>
    <w:rsid w:val="00AB063C"/>
    <w:rsid w:val="00AB19CF"/>
    <w:rsid w:val="00AB4D7F"/>
    <w:rsid w:val="00AB62AB"/>
    <w:rsid w:val="00AB7145"/>
    <w:rsid w:val="00AC164A"/>
    <w:rsid w:val="00AC2177"/>
    <w:rsid w:val="00AC653E"/>
    <w:rsid w:val="00AD13C3"/>
    <w:rsid w:val="00AD2AD6"/>
    <w:rsid w:val="00AD4175"/>
    <w:rsid w:val="00AE15FB"/>
    <w:rsid w:val="00AE2E9A"/>
    <w:rsid w:val="00AE2EFA"/>
    <w:rsid w:val="00AF1743"/>
    <w:rsid w:val="00AF2050"/>
    <w:rsid w:val="00AF5BED"/>
    <w:rsid w:val="00AF6D1A"/>
    <w:rsid w:val="00AF7EDE"/>
    <w:rsid w:val="00B05063"/>
    <w:rsid w:val="00B12C35"/>
    <w:rsid w:val="00B13B23"/>
    <w:rsid w:val="00B13B6E"/>
    <w:rsid w:val="00B21EAA"/>
    <w:rsid w:val="00B250EE"/>
    <w:rsid w:val="00B32368"/>
    <w:rsid w:val="00B329B6"/>
    <w:rsid w:val="00B32F99"/>
    <w:rsid w:val="00B340A4"/>
    <w:rsid w:val="00B34BDB"/>
    <w:rsid w:val="00B353D1"/>
    <w:rsid w:val="00B40320"/>
    <w:rsid w:val="00B42874"/>
    <w:rsid w:val="00B45097"/>
    <w:rsid w:val="00B503A0"/>
    <w:rsid w:val="00B55A9E"/>
    <w:rsid w:val="00B576FA"/>
    <w:rsid w:val="00B60902"/>
    <w:rsid w:val="00B636F9"/>
    <w:rsid w:val="00B74133"/>
    <w:rsid w:val="00B764F2"/>
    <w:rsid w:val="00B8055E"/>
    <w:rsid w:val="00B84ED0"/>
    <w:rsid w:val="00B858BD"/>
    <w:rsid w:val="00B901B9"/>
    <w:rsid w:val="00B90FBD"/>
    <w:rsid w:val="00BA7C45"/>
    <w:rsid w:val="00BB26C5"/>
    <w:rsid w:val="00BC0C63"/>
    <w:rsid w:val="00BC3DF4"/>
    <w:rsid w:val="00BD1480"/>
    <w:rsid w:val="00BD7364"/>
    <w:rsid w:val="00BE0976"/>
    <w:rsid w:val="00BE2535"/>
    <w:rsid w:val="00BE5C74"/>
    <w:rsid w:val="00BF3BA2"/>
    <w:rsid w:val="00BF4DE6"/>
    <w:rsid w:val="00BF6958"/>
    <w:rsid w:val="00C01988"/>
    <w:rsid w:val="00C04038"/>
    <w:rsid w:val="00C043BD"/>
    <w:rsid w:val="00C0764A"/>
    <w:rsid w:val="00C14A23"/>
    <w:rsid w:val="00C15CE8"/>
    <w:rsid w:val="00C1638A"/>
    <w:rsid w:val="00C17F5C"/>
    <w:rsid w:val="00C22C5C"/>
    <w:rsid w:val="00C26170"/>
    <w:rsid w:val="00C26390"/>
    <w:rsid w:val="00C30746"/>
    <w:rsid w:val="00C368A7"/>
    <w:rsid w:val="00C3720A"/>
    <w:rsid w:val="00C373BC"/>
    <w:rsid w:val="00C41320"/>
    <w:rsid w:val="00C42CDE"/>
    <w:rsid w:val="00C45EAA"/>
    <w:rsid w:val="00C47C94"/>
    <w:rsid w:val="00C53949"/>
    <w:rsid w:val="00C60CE4"/>
    <w:rsid w:val="00C61A15"/>
    <w:rsid w:val="00C6347E"/>
    <w:rsid w:val="00C738A8"/>
    <w:rsid w:val="00C746C8"/>
    <w:rsid w:val="00C7641E"/>
    <w:rsid w:val="00C76AC1"/>
    <w:rsid w:val="00C81087"/>
    <w:rsid w:val="00C81142"/>
    <w:rsid w:val="00C87A54"/>
    <w:rsid w:val="00CA1559"/>
    <w:rsid w:val="00CA37B1"/>
    <w:rsid w:val="00CA4553"/>
    <w:rsid w:val="00CA537C"/>
    <w:rsid w:val="00CA7227"/>
    <w:rsid w:val="00CA7521"/>
    <w:rsid w:val="00CB040E"/>
    <w:rsid w:val="00CB1959"/>
    <w:rsid w:val="00CB6E78"/>
    <w:rsid w:val="00CC0417"/>
    <w:rsid w:val="00CC1D28"/>
    <w:rsid w:val="00CC1FF4"/>
    <w:rsid w:val="00CD4FCE"/>
    <w:rsid w:val="00CD57ED"/>
    <w:rsid w:val="00CD7ACB"/>
    <w:rsid w:val="00CE22D1"/>
    <w:rsid w:val="00CE5D5A"/>
    <w:rsid w:val="00CE68FE"/>
    <w:rsid w:val="00CF29F6"/>
    <w:rsid w:val="00CF3314"/>
    <w:rsid w:val="00D00FD5"/>
    <w:rsid w:val="00D0296C"/>
    <w:rsid w:val="00D1013C"/>
    <w:rsid w:val="00D10364"/>
    <w:rsid w:val="00D177B3"/>
    <w:rsid w:val="00D17EC6"/>
    <w:rsid w:val="00D20DBE"/>
    <w:rsid w:val="00D22869"/>
    <w:rsid w:val="00D23504"/>
    <w:rsid w:val="00D26DF4"/>
    <w:rsid w:val="00D345CD"/>
    <w:rsid w:val="00D3468C"/>
    <w:rsid w:val="00D36D52"/>
    <w:rsid w:val="00D4159E"/>
    <w:rsid w:val="00D46D82"/>
    <w:rsid w:val="00D5103D"/>
    <w:rsid w:val="00D540A9"/>
    <w:rsid w:val="00D54F28"/>
    <w:rsid w:val="00D550B9"/>
    <w:rsid w:val="00D56ECE"/>
    <w:rsid w:val="00D60C0D"/>
    <w:rsid w:val="00D64776"/>
    <w:rsid w:val="00D71430"/>
    <w:rsid w:val="00D7288F"/>
    <w:rsid w:val="00D818CE"/>
    <w:rsid w:val="00D81D32"/>
    <w:rsid w:val="00D825E3"/>
    <w:rsid w:val="00D83024"/>
    <w:rsid w:val="00D865E8"/>
    <w:rsid w:val="00D91809"/>
    <w:rsid w:val="00D931B7"/>
    <w:rsid w:val="00D96FAB"/>
    <w:rsid w:val="00DA1711"/>
    <w:rsid w:val="00DA1BE1"/>
    <w:rsid w:val="00DA3CA9"/>
    <w:rsid w:val="00DA57C8"/>
    <w:rsid w:val="00DB1DBA"/>
    <w:rsid w:val="00DB5410"/>
    <w:rsid w:val="00DB6D69"/>
    <w:rsid w:val="00DB775C"/>
    <w:rsid w:val="00DC375F"/>
    <w:rsid w:val="00DC430B"/>
    <w:rsid w:val="00DD10D4"/>
    <w:rsid w:val="00DE2641"/>
    <w:rsid w:val="00DE4879"/>
    <w:rsid w:val="00DF25F7"/>
    <w:rsid w:val="00DF47B6"/>
    <w:rsid w:val="00E02371"/>
    <w:rsid w:val="00E033BC"/>
    <w:rsid w:val="00E12B70"/>
    <w:rsid w:val="00E12DEA"/>
    <w:rsid w:val="00E21174"/>
    <w:rsid w:val="00E21C10"/>
    <w:rsid w:val="00E2452E"/>
    <w:rsid w:val="00E3189F"/>
    <w:rsid w:val="00E357B7"/>
    <w:rsid w:val="00E40D77"/>
    <w:rsid w:val="00E51C40"/>
    <w:rsid w:val="00E52A10"/>
    <w:rsid w:val="00E53800"/>
    <w:rsid w:val="00E54ECA"/>
    <w:rsid w:val="00E6081F"/>
    <w:rsid w:val="00E60A81"/>
    <w:rsid w:val="00E60FC8"/>
    <w:rsid w:val="00E6422F"/>
    <w:rsid w:val="00E659EE"/>
    <w:rsid w:val="00E7335D"/>
    <w:rsid w:val="00E75BED"/>
    <w:rsid w:val="00E911BA"/>
    <w:rsid w:val="00E91E28"/>
    <w:rsid w:val="00EA04B2"/>
    <w:rsid w:val="00EA20F3"/>
    <w:rsid w:val="00EA66F0"/>
    <w:rsid w:val="00EC67A2"/>
    <w:rsid w:val="00EC7F63"/>
    <w:rsid w:val="00ED43D1"/>
    <w:rsid w:val="00ED4505"/>
    <w:rsid w:val="00EE4EE1"/>
    <w:rsid w:val="00EF22ED"/>
    <w:rsid w:val="00EF4574"/>
    <w:rsid w:val="00EF467C"/>
    <w:rsid w:val="00F00C0D"/>
    <w:rsid w:val="00F01793"/>
    <w:rsid w:val="00F034D4"/>
    <w:rsid w:val="00F03CF0"/>
    <w:rsid w:val="00F049BA"/>
    <w:rsid w:val="00F04EAC"/>
    <w:rsid w:val="00F07E6F"/>
    <w:rsid w:val="00F139C9"/>
    <w:rsid w:val="00F2684E"/>
    <w:rsid w:val="00F3121A"/>
    <w:rsid w:val="00F34AAB"/>
    <w:rsid w:val="00F40C36"/>
    <w:rsid w:val="00F4157A"/>
    <w:rsid w:val="00F42B3A"/>
    <w:rsid w:val="00F5466F"/>
    <w:rsid w:val="00F729EF"/>
    <w:rsid w:val="00F7435A"/>
    <w:rsid w:val="00F77CAE"/>
    <w:rsid w:val="00F80913"/>
    <w:rsid w:val="00F8341F"/>
    <w:rsid w:val="00F8520E"/>
    <w:rsid w:val="00F86896"/>
    <w:rsid w:val="00F8720A"/>
    <w:rsid w:val="00F903EB"/>
    <w:rsid w:val="00F96BB9"/>
    <w:rsid w:val="00FA2848"/>
    <w:rsid w:val="00FA6EF1"/>
    <w:rsid w:val="00FA73E4"/>
    <w:rsid w:val="00FB0621"/>
    <w:rsid w:val="00FB44AA"/>
    <w:rsid w:val="00FB4CA6"/>
    <w:rsid w:val="00FC2EB0"/>
    <w:rsid w:val="00FC4031"/>
    <w:rsid w:val="00FC48E8"/>
    <w:rsid w:val="00FC4DC7"/>
    <w:rsid w:val="00FD4AAB"/>
    <w:rsid w:val="00FD5EED"/>
    <w:rsid w:val="00FD7C4E"/>
    <w:rsid w:val="00FD7D2F"/>
    <w:rsid w:val="00FE10B7"/>
    <w:rsid w:val="00FE681E"/>
    <w:rsid w:val="00FE6D51"/>
    <w:rsid w:val="00FF17A0"/>
    <w:rsid w:val="00FF43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D49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nhideWhenUsed/>
    <w:qFormat/>
    <w:rsid w:val="00D46D82"/>
    <w:pPr>
      <w:spacing w:line="340" w:lineRule="atLeast"/>
      <w:outlineLvl w:val="2"/>
    </w:pPr>
    <w:rPr>
      <w:bCs/>
      <w:sz w:val="30"/>
    </w:rPr>
  </w:style>
  <w:style w:type="paragraph" w:styleId="Heading4">
    <w:name w:val="heading 4"/>
    <w:basedOn w:val="Heading3"/>
    <w:next w:val="Normal"/>
    <w:link w:val="Heading4Char"/>
    <w:unhideWhenUsed/>
    <w:qFormat/>
    <w:rsid w:val="00D46D82"/>
    <w:pPr>
      <w:spacing w:before="240" w:line="300" w:lineRule="atLeast"/>
      <w:outlineLvl w:val="3"/>
    </w:pPr>
    <w:rPr>
      <w:iCs/>
      <w:sz w:val="26"/>
    </w:rPr>
  </w:style>
  <w:style w:type="paragraph" w:styleId="Heading5">
    <w:name w:val="heading 5"/>
    <w:basedOn w:val="Heading4"/>
    <w:next w:val="Normal"/>
    <w:link w:val="Heading5Char"/>
    <w:unhideWhenUsed/>
    <w:qFormat/>
    <w:rsid w:val="00623BA1"/>
    <w:pPr>
      <w:outlineLvl w:val="4"/>
    </w:pPr>
    <w:rPr>
      <w:i/>
      <w:color w:val="77B6BD"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43838A"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2"/>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8520E"/>
    <w:pPr>
      <w:numPr>
        <w:ilvl w:val="2"/>
        <w:numId w:val="14"/>
      </w:numPr>
    </w:pPr>
  </w:style>
  <w:style w:type="paragraph" w:customStyle="1" w:styleId="Bullet2">
    <w:name w:val="Bullet 2"/>
    <w:basedOn w:val="NumberedList1"/>
    <w:qFormat/>
    <w:rsid w:val="00F8520E"/>
    <w:pPr>
      <w:numPr>
        <w:numId w:val="15"/>
      </w:numPr>
      <w:ind w:left="1418"/>
    </w:pPr>
  </w:style>
  <w:style w:type="paragraph" w:customStyle="1" w:styleId="Bullet3">
    <w:name w:val="Bullet 3"/>
    <w:basedOn w:val="NumberedList1"/>
    <w:qFormat/>
    <w:rsid w:val="00F8520E"/>
    <w:pPr>
      <w:numPr>
        <w:numId w:val="16"/>
      </w:numPr>
      <w:ind w:left="1985"/>
    </w:pPr>
  </w:style>
  <w:style w:type="paragraph" w:customStyle="1" w:styleId="NumberedList1">
    <w:name w:val="Numbered List 1"/>
    <w:basedOn w:val="Normal"/>
    <w:qFormat/>
    <w:rsid w:val="006E5CCE"/>
    <w:pPr>
      <w:numPr>
        <w:numId w:val="2"/>
      </w:numPr>
      <w:ind w:left="284"/>
    </w:pPr>
  </w:style>
  <w:style w:type="paragraph" w:customStyle="1" w:styleId="NumberedList2">
    <w:name w:val="Numbered List 2"/>
    <w:basedOn w:val="NumberedList1"/>
    <w:qFormat/>
    <w:rsid w:val="0046056E"/>
    <w:pPr>
      <w:numPr>
        <w:ilvl w:val="1"/>
      </w:numPr>
      <w:spacing w:before="120"/>
      <w:ind w:left="851"/>
    </w:pPr>
  </w:style>
  <w:style w:type="paragraph" w:customStyle="1" w:styleId="NumberedList3">
    <w:name w:val="Numbered List 3"/>
    <w:basedOn w:val="NumberedList2"/>
    <w:qFormat/>
    <w:rsid w:val="00FB44AA"/>
    <w:pPr>
      <w:numPr>
        <w:ilvl w:val="2"/>
      </w:numPr>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13"/>
      </w:numPr>
    </w:pPr>
  </w:style>
  <w:style w:type="numbering" w:customStyle="1" w:styleId="HeadingsList">
    <w:name w:val="Headings List"/>
    <w:uiPriority w:val="99"/>
    <w:rsid w:val="001E1DC0"/>
    <w:pPr>
      <w:numPr>
        <w:numId w:val="3"/>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552097"/>
    <w:pPr>
      <w:tabs>
        <w:tab w:val="left" w:pos="454"/>
        <w:tab w:val="right" w:pos="9072"/>
      </w:tabs>
      <w:spacing w:after="180" w:line="230" w:lineRule="atLeast"/>
    </w:pPr>
    <w:rPr>
      <w:rFonts w:asciiTheme="majorHAnsi" w:hAnsiTheme="majorHAnsi" w:cstheme="majorHAnsi"/>
      <w:b/>
      <w:noProof/>
      <w:sz w:val="23"/>
    </w:rPr>
  </w:style>
  <w:style w:type="paragraph" w:styleId="TOC2">
    <w:name w:val="toc 2"/>
    <w:basedOn w:val="Normal"/>
    <w:next w:val="Normal"/>
    <w:autoRedefine/>
    <w:uiPriority w:val="39"/>
    <w:unhideWhenUsed/>
    <w:rsid w:val="002B36F1"/>
    <w:pPr>
      <w:tabs>
        <w:tab w:val="left" w:pos="454"/>
        <w:tab w:val="right" w:pos="9072"/>
      </w:tabs>
      <w:spacing w:after="180" w:line="230" w:lineRule="atLeast"/>
      <w:ind w:left="454" w:hanging="454"/>
    </w:pPr>
    <w:rPr>
      <w:noProof/>
    </w:rPr>
  </w:style>
  <w:style w:type="paragraph" w:styleId="TOC3">
    <w:name w:val="toc 3"/>
    <w:basedOn w:val="Normal"/>
    <w:next w:val="Normal"/>
    <w:autoRedefine/>
    <w:uiPriority w:val="39"/>
    <w:unhideWhenUsed/>
    <w:rsid w:val="0046056E"/>
    <w:pPr>
      <w:tabs>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BDDCDF"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CD57ED"/>
    <w:rPr>
      <w:rFonts w:asciiTheme="minorHAnsi" w:hAnsiTheme="minorHAnsi" w:cs="MuseoSans-500"/>
      <w:i/>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Cs/>
      <w:color w:val="77B6BD"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43838A"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43838A"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link w:val="Boxed1TextChar"/>
    <w:qFormat/>
    <w:rsid w:val="00486804"/>
    <w:pPr>
      <w:pBdr>
        <w:top w:val="single" w:sz="4" w:space="14" w:color="F1F8F8" w:themeColor="accent1" w:themeTint="33"/>
        <w:left w:val="single" w:sz="4" w:space="14" w:color="F1F8F8" w:themeColor="accent1" w:themeTint="33"/>
        <w:bottom w:val="single" w:sz="4" w:space="14" w:color="F1F8F8" w:themeColor="accent1" w:themeTint="33"/>
        <w:right w:val="single" w:sz="4" w:space="14" w:color="F1F8F8" w:themeColor="accent1" w:themeTint="33"/>
      </w:pBdr>
      <w:shd w:val="clear" w:color="auto" w:fill="F1F8F8"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link w:val="Boxed2TextChar"/>
    <w:qFormat/>
    <w:rsid w:val="000C2A48"/>
    <w:pPr>
      <w:pBdr>
        <w:top w:val="single" w:sz="4" w:space="14" w:color="BDDCDF" w:themeColor="accent1"/>
        <w:left w:val="single" w:sz="4" w:space="14" w:color="BDDCDF" w:themeColor="accent1"/>
        <w:bottom w:val="single" w:sz="4" w:space="14" w:color="BDDCDF" w:themeColor="accent1"/>
        <w:right w:val="single" w:sz="4" w:space="14" w:color="BDDCDF" w:themeColor="accent1"/>
      </w:pBdr>
      <w:shd w:val="clear" w:color="auto" w:fill="BDDCDF" w:themeFill="accent1"/>
    </w:pPr>
  </w:style>
  <w:style w:type="paragraph" w:customStyle="1" w:styleId="Boxed2Heading">
    <w:name w:val="Boxed 2 Heading"/>
    <w:basedOn w:val="Boxed2Text"/>
    <w:link w:val="Boxed2HeadingChar"/>
    <w:qFormat/>
    <w:rsid w:val="000C2A48"/>
    <w:rPr>
      <w:b/>
      <w:sz w:val="24"/>
    </w:rPr>
  </w:style>
  <w:style w:type="character" w:styleId="PageNumber">
    <w:name w:val="page number"/>
    <w:basedOn w:val="DefaultParagraphFont"/>
    <w:uiPriority w:val="99"/>
    <w:unhideWhenUsed/>
    <w:qFormat/>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semiHidden/>
    <w:rsid w:val="00AB19CF"/>
    <w:rPr>
      <w:sz w:val="16"/>
      <w:szCs w:val="20"/>
    </w:rPr>
  </w:style>
  <w:style w:type="character" w:styleId="FootnoteReference">
    <w:name w:val="footnote reference"/>
    <w:basedOn w:val="DefaultParagraphFont"/>
    <w:uiPriority w:val="99"/>
    <w:semiHidden/>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Afterbox">
    <w:name w:val="After box"/>
    <w:next w:val="BodyText1"/>
    <w:semiHidden/>
    <w:qFormat/>
    <w:rsid w:val="00396E11"/>
    <w:pPr>
      <w:spacing w:after="57" w:line="113" w:lineRule="exact"/>
    </w:pPr>
    <w:rPr>
      <w:rFonts w:ascii="Cambria" w:eastAsia="Times New Roman" w:hAnsi="Cambria" w:cs="Times New Roman"/>
      <w:sz w:val="2"/>
      <w:szCs w:val="24"/>
    </w:rPr>
  </w:style>
  <w:style w:type="paragraph" w:customStyle="1" w:styleId="Bodytextbeforebullets">
    <w:name w:val="Body text (before bullets)"/>
    <w:basedOn w:val="BodyText1"/>
    <w:semiHidden/>
    <w:rsid w:val="00396E11"/>
    <w:pPr>
      <w:spacing w:after="57"/>
    </w:pPr>
  </w:style>
  <w:style w:type="paragraph" w:customStyle="1" w:styleId="BodyText1">
    <w:name w:val="Body Text1"/>
    <w:link w:val="BodyText1Char"/>
    <w:semiHidden/>
    <w:rsid w:val="00396E11"/>
    <w:pPr>
      <w:spacing w:after="113" w:line="260" w:lineRule="atLeast"/>
    </w:pPr>
    <w:rPr>
      <w:rFonts w:ascii="Cambria" w:eastAsia="Times New Roman" w:hAnsi="Cambria" w:cs="Times New Roman"/>
      <w:szCs w:val="24"/>
    </w:rPr>
  </w:style>
  <w:style w:type="paragraph" w:customStyle="1" w:styleId="Bullets1stindent">
    <w:name w:val="Bullets (1st indent)"/>
    <w:basedOn w:val="BodyText1"/>
    <w:link w:val="Bullets1stindentChar"/>
    <w:semiHidden/>
    <w:rsid w:val="002676C9"/>
    <w:pPr>
      <w:numPr>
        <w:numId w:val="9"/>
      </w:numPr>
      <w:spacing w:after="120" w:line="240" w:lineRule="auto"/>
    </w:pPr>
    <w:rPr>
      <w:rFonts w:asciiTheme="minorHAnsi" w:eastAsiaTheme="minorHAnsi" w:hAnsiTheme="minorHAnsi" w:cstheme="minorBidi"/>
      <w:szCs w:val="22"/>
    </w:rPr>
  </w:style>
  <w:style w:type="paragraph" w:customStyle="1" w:styleId="Bullets2ndindent">
    <w:name w:val="Bullets (2nd indent)"/>
    <w:basedOn w:val="Bullets1stindent"/>
    <w:semiHidden/>
    <w:rsid w:val="00396E11"/>
    <w:pPr>
      <w:numPr>
        <w:numId w:val="10"/>
      </w:numPr>
      <w:tabs>
        <w:tab w:val="right" w:pos="794"/>
      </w:tabs>
      <w:spacing w:after="60"/>
    </w:pPr>
    <w:rPr>
      <w:rFonts w:asciiTheme="majorHAnsi" w:hAnsiTheme="majorHAnsi"/>
    </w:rPr>
  </w:style>
  <w:style w:type="numbering" w:customStyle="1" w:styleId="Bullets">
    <w:name w:val="Bullets"/>
    <w:basedOn w:val="NoList"/>
    <w:uiPriority w:val="99"/>
    <w:rsid w:val="00396E11"/>
    <w:pPr>
      <w:numPr>
        <w:numId w:val="7"/>
      </w:numPr>
    </w:pPr>
  </w:style>
  <w:style w:type="paragraph" w:customStyle="1" w:styleId="Figuretitle">
    <w:name w:val="Figure title"/>
    <w:next w:val="BodyText1"/>
    <w:qFormat/>
    <w:rsid w:val="00396E11"/>
    <w:pPr>
      <w:keepNext/>
      <w:keepLines/>
      <w:numPr>
        <w:ilvl w:val="6"/>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Footertext">
    <w:name w:val="Footer text"/>
    <w:semiHidden/>
    <w:rsid w:val="00396E11"/>
    <w:pPr>
      <w:framePr w:hSpace="181" w:wrap="around" w:vAnchor="text" w:hAnchor="page" w:x="11228" w:y="1"/>
      <w:spacing w:after="0" w:line="200" w:lineRule="atLeast"/>
      <w:ind w:right="113"/>
      <w:suppressOverlap/>
    </w:pPr>
    <w:rPr>
      <w:rFonts w:ascii="Arial" w:eastAsia="Times New Roman" w:hAnsi="Arial" w:cs="Arial"/>
      <w:sz w:val="16"/>
      <w:szCs w:val="24"/>
    </w:rPr>
  </w:style>
  <w:style w:type="paragraph" w:customStyle="1" w:styleId="Sourcenotetext">
    <w:name w:val="Source/note text"/>
    <w:qFormat/>
    <w:rsid w:val="00396E11"/>
    <w:pPr>
      <w:spacing w:before="85" w:after="85" w:line="240" w:lineRule="auto"/>
    </w:pPr>
    <w:rPr>
      <w:rFonts w:ascii="Arial" w:eastAsia="Times New Roman" w:hAnsi="Arial" w:cs="Arial"/>
      <w:i/>
      <w:sz w:val="12"/>
      <w:szCs w:val="12"/>
    </w:rPr>
  </w:style>
  <w:style w:type="paragraph" w:customStyle="1" w:styleId="Bulletslast1stindent">
    <w:name w:val="Bullets last (1st indent)"/>
    <w:basedOn w:val="BodyText1"/>
    <w:semiHidden/>
    <w:rsid w:val="00396E11"/>
    <w:pPr>
      <w:numPr>
        <w:ilvl w:val="2"/>
        <w:numId w:val="7"/>
      </w:numPr>
      <w:tabs>
        <w:tab w:val="clear" w:pos="284"/>
      </w:tabs>
      <w:ind w:left="852"/>
    </w:pPr>
  </w:style>
  <w:style w:type="numbering" w:customStyle="1" w:styleId="Numbers">
    <w:name w:val="Numbers"/>
    <w:basedOn w:val="NoList"/>
    <w:rsid w:val="00396E11"/>
    <w:pPr>
      <w:numPr>
        <w:numId w:val="6"/>
      </w:numPr>
    </w:pPr>
  </w:style>
  <w:style w:type="paragraph" w:customStyle="1" w:styleId="Bulletslast2ndindent">
    <w:name w:val="Bullets last (2nd indent)"/>
    <w:basedOn w:val="BodyText1"/>
    <w:semiHidden/>
    <w:rsid w:val="00396E11"/>
    <w:pPr>
      <w:numPr>
        <w:ilvl w:val="3"/>
        <w:numId w:val="7"/>
      </w:numPr>
      <w:tabs>
        <w:tab w:val="clear" w:pos="567"/>
      </w:tabs>
      <w:ind w:left="568" w:hanging="284"/>
    </w:pPr>
  </w:style>
  <w:style w:type="paragraph" w:customStyle="1" w:styleId="Tablebodytext">
    <w:name w:val="Table body text"/>
    <w:qFormat/>
    <w:rsid w:val="00396E11"/>
    <w:pPr>
      <w:spacing w:before="57" w:after="57" w:line="240" w:lineRule="auto"/>
      <w:ind w:left="96" w:right="96"/>
    </w:pPr>
    <w:rPr>
      <w:rFonts w:ascii="Arial" w:eastAsia="Times New Roman" w:hAnsi="Arial" w:cs="Times New Roman"/>
      <w:sz w:val="18"/>
      <w:szCs w:val="24"/>
    </w:rPr>
  </w:style>
  <w:style w:type="paragraph" w:customStyle="1" w:styleId="Tablebullets2ndindent">
    <w:name w:val="Table bullets (2nd indent)"/>
    <w:basedOn w:val="Tablebodytext"/>
    <w:qFormat/>
    <w:rsid w:val="00396E11"/>
    <w:pPr>
      <w:numPr>
        <w:ilvl w:val="6"/>
        <w:numId w:val="7"/>
      </w:numPr>
    </w:pPr>
  </w:style>
  <w:style w:type="paragraph" w:customStyle="1" w:styleId="Tablebullets1stindent">
    <w:name w:val="Table bullets (1st indent)"/>
    <w:basedOn w:val="Tablebodytext"/>
    <w:qFormat/>
    <w:rsid w:val="00396E11"/>
    <w:pPr>
      <w:numPr>
        <w:ilvl w:val="5"/>
        <w:numId w:val="7"/>
      </w:numPr>
    </w:pPr>
  </w:style>
  <w:style w:type="paragraph" w:customStyle="1" w:styleId="Tablecolumnheading">
    <w:name w:val="Table column heading"/>
    <w:basedOn w:val="Tablebodytext"/>
    <w:qFormat/>
    <w:rsid w:val="00396E11"/>
    <w:pPr>
      <w:keepNext/>
    </w:pPr>
    <w:rPr>
      <w:b/>
      <w:szCs w:val="18"/>
    </w:rPr>
  </w:style>
  <w:style w:type="paragraph" w:customStyle="1" w:styleId="Title2">
    <w:name w:val="Title 2"/>
    <w:basedOn w:val="Title"/>
    <w:uiPriority w:val="2"/>
    <w:semiHidden/>
    <w:rsid w:val="00396E11"/>
    <w:pPr>
      <w:keepLines w:val="0"/>
      <w:pBdr>
        <w:bottom w:val="single" w:sz="8" w:space="4" w:color="C2B000"/>
      </w:pBdr>
      <w:suppressAutoHyphens w:val="0"/>
      <w:spacing w:before="200" w:after="300" w:line="260" w:lineRule="atLeast"/>
      <w:jc w:val="left"/>
      <w:outlineLvl w:val="9"/>
    </w:pPr>
    <w:rPr>
      <w:rFonts w:ascii="Arial" w:eastAsia="MS Gothic" w:hAnsi="Arial" w:cs="Times New Roman"/>
      <w:bCs w:val="0"/>
      <w:color w:val="615800"/>
      <w:spacing w:val="5"/>
      <w:sz w:val="52"/>
    </w:rPr>
  </w:style>
  <w:style w:type="paragraph" w:customStyle="1" w:styleId="Tabletitle">
    <w:name w:val="Table title"/>
    <w:next w:val="BodyText1"/>
    <w:qFormat/>
    <w:rsid w:val="00396E11"/>
    <w:pPr>
      <w:keepNext/>
      <w:numPr>
        <w:ilvl w:val="8"/>
        <w:numId w:val="6"/>
      </w:numPr>
      <w:spacing w:before="340" w:after="170" w:line="240" w:lineRule="auto"/>
    </w:pPr>
    <w:rPr>
      <w:rFonts w:ascii="Arial" w:eastAsia="Times New Roman" w:hAnsi="Arial" w:cs="Times New Roman"/>
      <w:b/>
      <w:color w:val="005A77"/>
      <w:spacing w:val="-6"/>
      <w:sz w:val="24"/>
      <w:szCs w:val="24"/>
      <w:lang w:val="en-US"/>
    </w:rPr>
  </w:style>
  <w:style w:type="paragraph" w:customStyle="1" w:styleId="Simpletableheading">
    <w:name w:val="Simple table heading"/>
    <w:next w:val="BodyText1"/>
    <w:uiPriority w:val="1"/>
    <w:rsid w:val="00396E11"/>
    <w:pPr>
      <w:spacing w:after="0" w:line="240" w:lineRule="atLeast"/>
    </w:pPr>
    <w:rPr>
      <w:rFonts w:ascii="Arial" w:eastAsia="Times New Roman" w:hAnsi="Arial" w:cs="Times New Roman"/>
      <w:b/>
      <w:color w:val="37424A"/>
      <w:szCs w:val="24"/>
    </w:rPr>
  </w:style>
  <w:style w:type="paragraph" w:styleId="BalloonText">
    <w:name w:val="Balloon Text"/>
    <w:basedOn w:val="Normal"/>
    <w:link w:val="BalloonTextChar"/>
    <w:uiPriority w:val="99"/>
    <w:semiHidden/>
    <w:rsid w:val="00396E11"/>
    <w:pPr>
      <w:suppressAutoHyphens w:val="0"/>
      <w:spacing w:before="200" w:after="0" w:line="26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396E11"/>
    <w:rPr>
      <w:rFonts w:ascii="Tahoma" w:eastAsia="Cambria" w:hAnsi="Tahoma" w:cs="Tahoma"/>
      <w:sz w:val="16"/>
      <w:szCs w:val="16"/>
    </w:rPr>
  </w:style>
  <w:style w:type="paragraph" w:customStyle="1" w:styleId="Subtitle2">
    <w:name w:val="Subtitle 2"/>
    <w:uiPriority w:val="2"/>
    <w:semiHidden/>
    <w:rsid w:val="00396E11"/>
    <w:pPr>
      <w:spacing w:before="200" w:after="0" w:line="240" w:lineRule="auto"/>
      <w:contextualSpacing/>
    </w:pPr>
    <w:rPr>
      <w:rFonts w:ascii="Arial" w:eastAsia="Times New Roman" w:hAnsi="Arial" w:cs="Times New Roman"/>
      <w:caps/>
      <w:color w:val="1C2735"/>
      <w:kern w:val="28"/>
      <w:szCs w:val="32"/>
    </w:rPr>
  </w:style>
  <w:style w:type="character" w:customStyle="1" w:styleId="Blue">
    <w:name w:val="Blue"/>
    <w:basedOn w:val="DefaultParagraphFont"/>
    <w:semiHidden/>
    <w:qFormat/>
    <w:rsid w:val="00396E11"/>
    <w:rPr>
      <w:color w:val="C2B000"/>
    </w:rPr>
  </w:style>
  <w:style w:type="paragraph" w:customStyle="1" w:styleId="Boxtext">
    <w:name w:val="Box text"/>
    <w:basedOn w:val="Tablebodytext"/>
    <w:uiPriority w:val="1"/>
    <w:unhideWhenUsed/>
    <w:rsid w:val="00396E11"/>
    <w:pPr>
      <w:spacing w:before="113" w:after="113" w:line="240" w:lineRule="atLeast"/>
      <w:ind w:left="0" w:right="0"/>
    </w:pPr>
    <w:rPr>
      <w:color w:val="37424A"/>
    </w:rPr>
  </w:style>
  <w:style w:type="paragraph" w:styleId="Quote">
    <w:name w:val="Quote"/>
    <w:link w:val="QuoteChar"/>
    <w:qFormat/>
    <w:rsid w:val="00396E11"/>
    <w:pPr>
      <w:spacing w:before="170" w:after="170" w:line="240" w:lineRule="auto"/>
      <w:ind w:left="284" w:right="284"/>
    </w:pPr>
    <w:rPr>
      <w:rFonts w:ascii="Cambria" w:eastAsia="Times New Roman" w:hAnsi="Cambria" w:cs="Times New Roman"/>
      <w:i/>
      <w:iCs/>
      <w:color w:val="000000"/>
      <w:spacing w:val="-2"/>
      <w:szCs w:val="24"/>
    </w:rPr>
  </w:style>
  <w:style w:type="character" w:customStyle="1" w:styleId="QuoteChar">
    <w:name w:val="Quote Char"/>
    <w:basedOn w:val="DefaultParagraphFont"/>
    <w:link w:val="Quote"/>
    <w:rsid w:val="00396E11"/>
    <w:rPr>
      <w:rFonts w:ascii="Cambria" w:eastAsia="Times New Roman" w:hAnsi="Cambria" w:cs="Times New Roman"/>
      <w:i/>
      <w:iCs/>
      <w:color w:val="000000"/>
      <w:spacing w:val="-2"/>
      <w:szCs w:val="24"/>
    </w:rPr>
  </w:style>
  <w:style w:type="table" w:customStyle="1" w:styleId="DOFDwithheader">
    <w:name w:val="DOFD with header"/>
    <w:basedOn w:val="TableNormal"/>
    <w:uiPriority w:val="99"/>
    <w:qFormat/>
    <w:rsid w:val="00396E11"/>
    <w:pPr>
      <w:spacing w:before="57" w:after="0" w:line="220" w:lineRule="atLeast"/>
      <w:ind w:left="96" w:right="96"/>
    </w:pPr>
    <w:rPr>
      <w:rFonts w:ascii="Arial" w:eastAsia="Times New Roman" w:hAnsi="Arial" w:cs="Times New Roman"/>
      <w:sz w:val="20"/>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b w:val="0"/>
      </w:rPr>
      <w:tblPr/>
      <w:tcPr>
        <w:shd w:val="clear" w:color="auto" w:fill="DDF3FA"/>
      </w:tcPr>
    </w:tblStylePr>
  </w:style>
  <w:style w:type="character" w:customStyle="1" w:styleId="ArialBlackBlue">
    <w:name w:val="Arial Black Blue"/>
    <w:basedOn w:val="DefaultParagraphFont"/>
    <w:uiPriority w:val="1"/>
    <w:semiHidden/>
    <w:qFormat/>
    <w:rsid w:val="00396E11"/>
    <w:rPr>
      <w:rFonts w:ascii="Arial Black" w:hAnsi="Arial Black"/>
      <w:color w:val="005A77"/>
      <w:sz w:val="18"/>
      <w:szCs w:val="18"/>
    </w:rPr>
  </w:style>
  <w:style w:type="paragraph" w:customStyle="1" w:styleId="Chapternumber">
    <w:name w:val="Chapter number"/>
    <w:rsid w:val="00396E11"/>
    <w:pPr>
      <w:spacing w:after="0" w:line="940" w:lineRule="exact"/>
      <w:jc w:val="center"/>
    </w:pPr>
    <w:rPr>
      <w:rFonts w:ascii="Arial" w:eastAsia="Times New Roman" w:hAnsi="Arial" w:cs="Arial"/>
      <w:b/>
      <w:color w:val="A7B4BE"/>
      <w:sz w:val="94"/>
      <w:szCs w:val="94"/>
    </w:rPr>
  </w:style>
  <w:style w:type="paragraph" w:customStyle="1" w:styleId="Boxheading">
    <w:name w:val="Box heading"/>
    <w:basedOn w:val="Simpletableheading"/>
    <w:uiPriority w:val="1"/>
    <w:unhideWhenUsed/>
    <w:rsid w:val="00396E11"/>
    <w:pPr>
      <w:spacing w:before="113" w:after="113"/>
    </w:pPr>
    <w:rPr>
      <w:color w:val="005A77"/>
    </w:rPr>
  </w:style>
  <w:style w:type="paragraph" w:customStyle="1" w:styleId="Notetitle">
    <w:name w:val="Note title"/>
    <w:qFormat/>
    <w:rsid w:val="00396E11"/>
    <w:pPr>
      <w:keepNext/>
      <w:numPr>
        <w:ilvl w:val="7"/>
        <w:numId w:val="6"/>
      </w:numPr>
      <w:spacing w:before="340" w:after="170" w:line="240" w:lineRule="auto"/>
    </w:pPr>
    <w:rPr>
      <w:rFonts w:ascii="Arial" w:eastAsia="MS Gothic" w:hAnsi="Arial" w:cs="Times New Roman"/>
      <w:b/>
      <w:bCs/>
      <w:iCs/>
      <w:color w:val="005A77"/>
      <w:spacing w:val="-6"/>
      <w:sz w:val="24"/>
      <w:szCs w:val="28"/>
      <w:lang w:val="en-US"/>
    </w:rPr>
  </w:style>
  <w:style w:type="character" w:customStyle="1" w:styleId="Black">
    <w:name w:val="Black"/>
    <w:basedOn w:val="DefaultParagraphFont"/>
    <w:uiPriority w:val="1"/>
    <w:semiHidden/>
    <w:qFormat/>
    <w:rsid w:val="00396E11"/>
    <w:rPr>
      <w:color w:val="1C2735"/>
      <w:lang w:val="en-AU"/>
    </w:rPr>
  </w:style>
  <w:style w:type="paragraph" w:customStyle="1" w:styleId="Numberedpara1stindent">
    <w:name w:val="Numbered para (1st indent)"/>
    <w:basedOn w:val="ListParagraph"/>
    <w:rsid w:val="00396E11"/>
    <w:pPr>
      <w:numPr>
        <w:ilvl w:val="1"/>
      </w:numPr>
      <w:spacing w:before="120"/>
      <w:ind w:left="924" w:hanging="357"/>
    </w:pPr>
  </w:style>
  <w:style w:type="paragraph" w:customStyle="1" w:styleId="Numberedpara2ndindent">
    <w:name w:val="Numbered para (2nd indent)"/>
    <w:basedOn w:val="BodyText1"/>
    <w:rsid w:val="00396E11"/>
    <w:pPr>
      <w:numPr>
        <w:ilvl w:val="4"/>
        <w:numId w:val="6"/>
      </w:numPr>
      <w:tabs>
        <w:tab w:val="clear" w:pos="851"/>
      </w:tabs>
      <w:spacing w:after="0" w:line="240" w:lineRule="auto"/>
      <w:ind w:left="1420"/>
    </w:pPr>
  </w:style>
  <w:style w:type="paragraph" w:customStyle="1" w:styleId="Numberedpara3rdindent">
    <w:name w:val="Numbered para (3rd indent)"/>
    <w:basedOn w:val="BodyText1"/>
    <w:rsid w:val="00396E11"/>
    <w:pPr>
      <w:spacing w:before="120" w:after="0" w:line="240" w:lineRule="auto"/>
      <w:ind w:left="1644" w:hanging="720"/>
    </w:pPr>
  </w:style>
  <w:style w:type="paragraph" w:customStyle="1" w:styleId="Heading2nonumbers">
    <w:name w:val="Heading 2 (no numbers)"/>
    <w:basedOn w:val="Normal"/>
    <w:next w:val="BodyText1"/>
    <w:qFormat/>
    <w:rsid w:val="00396E11"/>
    <w:pPr>
      <w:keepNext/>
      <w:pBdr>
        <w:top w:val="single" w:sz="4" w:space="1" w:color="293137"/>
        <w:left w:val="single" w:sz="4" w:space="4" w:color="293137"/>
        <w:bottom w:val="single" w:sz="4" w:space="1" w:color="293137"/>
        <w:right w:val="single" w:sz="4" w:space="4" w:color="293137"/>
      </w:pBdr>
      <w:shd w:val="clear" w:color="auto" w:fill="293137"/>
      <w:suppressAutoHyphens w:val="0"/>
      <w:spacing w:before="360" w:after="120" w:line="260" w:lineRule="exact"/>
      <w:outlineLvl w:val="1"/>
    </w:pPr>
    <w:rPr>
      <w:rFonts w:ascii="Arial" w:eastAsia="Times New Roman" w:hAnsi="Arial" w:cs="Times New Roman"/>
      <w:b/>
      <w:spacing w:val="-6"/>
      <w:sz w:val="26"/>
      <w:szCs w:val="26"/>
    </w:rPr>
  </w:style>
  <w:style w:type="paragraph" w:customStyle="1" w:styleId="Heading3nonumbers">
    <w:name w:val="Heading 3 (no numbers)"/>
    <w:basedOn w:val="Heading3"/>
    <w:next w:val="BodyText1"/>
    <w:qFormat/>
    <w:rsid w:val="00396E11"/>
    <w:pPr>
      <w:suppressAutoHyphens w:val="0"/>
      <w:spacing w:before="240" w:line="260" w:lineRule="atLeast"/>
      <w:contextualSpacing w:val="0"/>
    </w:pPr>
    <w:rPr>
      <w:rFonts w:ascii="Arial" w:eastAsia="Times New Roman" w:hAnsi="Arial" w:cs="Times New Roman"/>
      <w:b/>
      <w:bCs w:val="0"/>
      <w:color w:val="005A77"/>
      <w:spacing w:val="-6"/>
      <w:sz w:val="22"/>
    </w:rPr>
  </w:style>
  <w:style w:type="paragraph" w:customStyle="1" w:styleId="Heading4nonumbers">
    <w:name w:val="Heading 4 (no numbers)"/>
    <w:basedOn w:val="Heading4"/>
    <w:next w:val="BodyText1"/>
    <w:link w:val="Heading4nonumbersChar"/>
    <w:qFormat/>
    <w:rsid w:val="00396E11"/>
    <w:pPr>
      <w:keepLines w:val="0"/>
      <w:suppressAutoHyphens w:val="0"/>
      <w:spacing w:before="360" w:line="260" w:lineRule="exact"/>
      <w:contextualSpacing w:val="0"/>
    </w:pPr>
    <w:rPr>
      <w:rFonts w:ascii="Arial" w:eastAsia="Times New Roman" w:hAnsi="Arial" w:cs="Times New Roman"/>
      <w:b/>
      <w:bCs w:val="0"/>
      <w:iCs w:val="0"/>
      <w:spacing w:val="-6"/>
    </w:rPr>
  </w:style>
  <w:style w:type="character" w:customStyle="1" w:styleId="Heading4nonumbersChar">
    <w:name w:val="Heading 4 (no numbers) Char"/>
    <w:basedOn w:val="Heading4Char"/>
    <w:link w:val="Heading4nonumbers"/>
    <w:rsid w:val="00396E11"/>
    <w:rPr>
      <w:rFonts w:ascii="Arial" w:eastAsia="Times New Roman" w:hAnsi="Arial" w:cs="Times New Roman"/>
      <w:b/>
      <w:bCs w:val="0"/>
      <w:iCs w:val="0"/>
      <w:color w:val="1C1C1C" w:themeColor="text2"/>
      <w:spacing w:val="-6"/>
      <w:sz w:val="26"/>
      <w:szCs w:val="26"/>
    </w:rPr>
  </w:style>
  <w:style w:type="paragraph" w:customStyle="1" w:styleId="Boxtitle">
    <w:name w:val="Box title"/>
    <w:basedOn w:val="Boxheading"/>
    <w:uiPriority w:val="1"/>
    <w:unhideWhenUsed/>
    <w:rsid w:val="00396E11"/>
  </w:style>
  <w:style w:type="table" w:customStyle="1" w:styleId="DOFDplain">
    <w:name w:val="DOFD plain"/>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wordWrap/>
      </w:pPr>
      <w:rPr>
        <w:rFonts w:ascii="Arial" w:hAnsi="Arial"/>
        <w:b w:val="0"/>
      </w:rPr>
      <w:tblPr/>
      <w:trPr>
        <w:tblHeader/>
      </w:trPr>
    </w:tblStylePr>
  </w:style>
  <w:style w:type="table" w:customStyle="1" w:styleId="DOFDbanded">
    <w:name w:val="DOFD banded"/>
    <w:basedOn w:val="TableNormal"/>
    <w:uiPriority w:val="99"/>
    <w:qFormat/>
    <w:rsid w:val="00396E11"/>
    <w:pPr>
      <w:spacing w:before="57" w:after="0" w:line="220" w:lineRule="atLeast"/>
      <w:ind w:left="96" w:right="96"/>
    </w:pPr>
    <w:rPr>
      <w:rFonts w:ascii="Arial" w:eastAsia="Times New Roman" w:hAnsi="Arial" w:cs="Times New Roman"/>
      <w:sz w:val="17"/>
      <w:szCs w:val="20"/>
      <w:lang w:eastAsia="en-AU"/>
    </w:rPr>
    <w:tblPr>
      <w:tblStyleRowBandSize w:val="1"/>
      <w:tblBorders>
        <w:top w:val="single" w:sz="2" w:space="0" w:color="A7B4BE"/>
        <w:bottom w:val="single" w:sz="2" w:space="0" w:color="A7B4BE"/>
        <w:insideH w:val="single" w:sz="2" w:space="0" w:color="A7B4BE"/>
        <w:insideV w:val="single" w:sz="2" w:space="0" w:color="A7B4BE"/>
      </w:tblBorders>
      <w:tblCellMar>
        <w:left w:w="0" w:type="dxa"/>
        <w:right w:w="0" w:type="dxa"/>
      </w:tblCellMar>
    </w:tblPr>
    <w:tblStylePr w:type="firstRow">
      <w:pPr>
        <w:keepNext/>
        <w:keepLines w:val="0"/>
        <w:wordWrap/>
      </w:pPr>
      <w:rPr>
        <w:b w:val="0"/>
      </w:rPr>
      <w:tblPr/>
      <w:trPr>
        <w:tblHeader/>
      </w:trPr>
    </w:tblStylePr>
    <w:tblStylePr w:type="band1Horz">
      <w:tblPr/>
      <w:tcPr>
        <w:shd w:val="clear" w:color="auto" w:fill="DDF3FA"/>
      </w:tcPr>
    </w:tblStylePr>
  </w:style>
  <w:style w:type="paragraph" w:styleId="BodyText">
    <w:name w:val="Body Text"/>
    <w:basedOn w:val="Normal"/>
    <w:link w:val="BodyTextChar"/>
    <w:qFormat/>
    <w:rsid w:val="00396E11"/>
    <w:pPr>
      <w:suppressAutoHyphens w:val="0"/>
      <w:spacing w:before="200" w:after="120" w:line="260" w:lineRule="atLeast"/>
    </w:pPr>
    <w:rPr>
      <w:rFonts w:ascii="Cambria" w:eastAsia="Cambria" w:hAnsi="Cambria" w:cs="Times New Roman"/>
    </w:rPr>
  </w:style>
  <w:style w:type="character" w:customStyle="1" w:styleId="BodyTextChar">
    <w:name w:val="Body Text Char"/>
    <w:basedOn w:val="DefaultParagraphFont"/>
    <w:link w:val="BodyText"/>
    <w:rsid w:val="00396E11"/>
    <w:rPr>
      <w:rFonts w:ascii="Cambria" w:eastAsia="Cambria" w:hAnsi="Cambria" w:cs="Times New Roman"/>
    </w:rPr>
  </w:style>
  <w:style w:type="paragraph" w:customStyle="1" w:styleId="Bulletsnumbers">
    <w:name w:val="Bullets (numbers)"/>
    <w:basedOn w:val="Bullets1stindent"/>
    <w:link w:val="BulletsnumbersChar"/>
    <w:semiHidden/>
    <w:rsid w:val="00396E11"/>
    <w:pPr>
      <w:numPr>
        <w:numId w:val="8"/>
      </w:numPr>
    </w:pPr>
    <w:rPr>
      <w:lang w:val="en-US"/>
    </w:rPr>
  </w:style>
  <w:style w:type="character" w:customStyle="1" w:styleId="BodyText1Char">
    <w:name w:val="Body Text1 Char"/>
    <w:basedOn w:val="DefaultParagraphFont"/>
    <w:link w:val="BodyText1"/>
    <w:semiHidden/>
    <w:rsid w:val="00396E11"/>
    <w:rPr>
      <w:rFonts w:ascii="Cambria" w:eastAsia="Times New Roman" w:hAnsi="Cambria" w:cs="Times New Roman"/>
      <w:szCs w:val="24"/>
    </w:rPr>
  </w:style>
  <w:style w:type="character" w:customStyle="1" w:styleId="Bullets1stindentChar">
    <w:name w:val="Bullets (1st indent) Char"/>
    <w:basedOn w:val="BodyText1Char"/>
    <w:link w:val="Bullets1stindent"/>
    <w:semiHidden/>
    <w:rsid w:val="002676C9"/>
    <w:rPr>
      <w:rFonts w:ascii="Cambria" w:eastAsia="Times New Roman" w:hAnsi="Cambria" w:cs="Times New Roman"/>
      <w:szCs w:val="24"/>
    </w:rPr>
  </w:style>
  <w:style w:type="character" w:customStyle="1" w:styleId="BulletsnumbersChar">
    <w:name w:val="Bullets (numbers) Char"/>
    <w:basedOn w:val="Bullets1stindentChar"/>
    <w:link w:val="Bulletsnumbers"/>
    <w:semiHidden/>
    <w:rsid w:val="00396E11"/>
    <w:rPr>
      <w:rFonts w:ascii="Cambria" w:eastAsia="Times New Roman" w:hAnsi="Cambria" w:cs="Times New Roman"/>
      <w:szCs w:val="24"/>
      <w:lang w:val="en-US"/>
    </w:rPr>
  </w:style>
  <w:style w:type="character" w:styleId="CommentReference">
    <w:name w:val="annotation reference"/>
    <w:basedOn w:val="DefaultParagraphFont"/>
    <w:uiPriority w:val="99"/>
    <w:semiHidden/>
    <w:rsid w:val="00396E11"/>
    <w:rPr>
      <w:sz w:val="16"/>
      <w:szCs w:val="16"/>
    </w:rPr>
  </w:style>
  <w:style w:type="paragraph" w:styleId="CommentText">
    <w:name w:val="annotation text"/>
    <w:basedOn w:val="Normal"/>
    <w:link w:val="Comment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CommentTextChar">
    <w:name w:val="Comment Text Char"/>
    <w:basedOn w:val="DefaultParagraphFont"/>
    <w:link w:val="CommentText"/>
    <w:uiPriority w:val="99"/>
    <w:semiHidden/>
    <w:rsid w:val="00396E11"/>
    <w:rPr>
      <w:rFonts w:ascii="Cambria" w:eastAsia="Cambria" w:hAnsi="Cambria" w:cs="Times New Roman"/>
      <w:szCs w:val="20"/>
    </w:rPr>
  </w:style>
  <w:style w:type="paragraph" w:styleId="ListNumber">
    <w:name w:val="List Number"/>
    <w:basedOn w:val="Normal"/>
    <w:qFormat/>
    <w:rsid w:val="00396E11"/>
    <w:pPr>
      <w:tabs>
        <w:tab w:val="num" w:pos="360"/>
      </w:tabs>
      <w:suppressAutoHyphens w:val="0"/>
      <w:spacing w:before="200" w:after="240" w:line="260" w:lineRule="atLeast"/>
      <w:ind w:left="357" w:hanging="357"/>
      <w:contextualSpacing/>
    </w:pPr>
    <w:rPr>
      <w:rFonts w:ascii="Cambria" w:eastAsia="Cambria" w:hAnsi="Cambria" w:cs="Times New Roman"/>
    </w:rPr>
  </w:style>
  <w:style w:type="paragraph" w:styleId="ListNumber2">
    <w:name w:val="List Number 2"/>
    <w:basedOn w:val="Normal"/>
    <w:rsid w:val="00396E11"/>
    <w:pPr>
      <w:tabs>
        <w:tab w:val="num" w:pos="643"/>
      </w:tabs>
      <w:suppressAutoHyphens w:val="0"/>
      <w:spacing w:before="200" w:after="0" w:line="260" w:lineRule="atLeast"/>
      <w:ind w:left="643" w:hanging="360"/>
      <w:contextualSpacing/>
    </w:pPr>
    <w:rPr>
      <w:rFonts w:ascii="Cambria" w:eastAsia="Cambria" w:hAnsi="Cambria" w:cs="Times New Roman"/>
    </w:rPr>
  </w:style>
  <w:style w:type="paragraph" w:styleId="ListBullet">
    <w:name w:val="List Bullet"/>
    <w:basedOn w:val="Normal"/>
    <w:qFormat/>
    <w:rsid w:val="00396E11"/>
    <w:pPr>
      <w:suppressAutoHyphens w:val="0"/>
      <w:spacing w:before="200" w:after="240" w:line="260" w:lineRule="atLeast"/>
      <w:ind w:left="360" w:hanging="360"/>
      <w:contextualSpacing/>
    </w:pPr>
    <w:rPr>
      <w:rFonts w:ascii="Cambria" w:eastAsia="Cambria" w:hAnsi="Cambria" w:cs="Times New Roman"/>
    </w:rPr>
  </w:style>
  <w:style w:type="table" w:customStyle="1" w:styleId="DOFDtexttable">
    <w:name w:val="DOFD_text table"/>
    <w:basedOn w:val="TableNormal"/>
    <w:uiPriority w:val="99"/>
    <w:qFormat/>
    <w:rsid w:val="00396E11"/>
    <w:pPr>
      <w:spacing w:before="57" w:after="0" w:line="240" w:lineRule="auto"/>
    </w:pPr>
    <w:rPr>
      <w:rFonts w:ascii="Cambria" w:eastAsia="Times New Roman" w:hAnsi="Cambria" w:cs="Times New Roman"/>
      <w:sz w:val="20"/>
      <w:szCs w:val="20"/>
      <w:lang w:eastAsia="en-AU"/>
    </w:rPr>
    <w:tblPr>
      <w:tblBorders>
        <w:top w:val="single" w:sz="2" w:space="0" w:color="37424A"/>
        <w:left w:val="single" w:sz="2" w:space="0" w:color="37424A"/>
        <w:bottom w:val="single" w:sz="2" w:space="0" w:color="37424A"/>
        <w:right w:val="single" w:sz="2" w:space="0" w:color="37424A"/>
        <w:insideH w:val="single" w:sz="2" w:space="0" w:color="37424A"/>
        <w:insideV w:val="single" w:sz="2" w:space="0" w:color="37424A"/>
      </w:tblBorders>
      <w:tblCellMar>
        <w:top w:w="170" w:type="dxa"/>
        <w:left w:w="227" w:type="dxa"/>
        <w:bottom w:w="113" w:type="dxa"/>
        <w:right w:w="227" w:type="dxa"/>
      </w:tblCellMar>
    </w:tblPr>
    <w:trPr>
      <w:cantSplit/>
    </w:trPr>
    <w:tblStylePr w:type="firstRow">
      <w:rPr>
        <w:rFonts w:ascii="Arial" w:hAnsi="Arial"/>
        <w:b w:val="0"/>
        <w:color w:val="37424A"/>
        <w:sz w:val="22"/>
      </w:rPr>
      <w:tblPr/>
      <w:trPr>
        <w:tblHeader/>
      </w:trPr>
      <w:tcPr>
        <w:tcBorders>
          <w:top w:val="nil"/>
          <w:left w:val="nil"/>
          <w:bottom w:val="nil"/>
          <w:right w:val="nil"/>
          <w:insideH w:val="nil"/>
          <w:insideV w:val="nil"/>
          <w:tl2br w:val="nil"/>
          <w:tr2bl w:val="nil"/>
        </w:tcBorders>
        <w:shd w:val="clear" w:color="auto" w:fill="887B1B"/>
        <w:tcMar>
          <w:top w:w="113" w:type="dxa"/>
          <w:left w:w="0" w:type="nil"/>
          <w:bottom w:w="113" w:type="dxa"/>
          <w:right w:w="0" w:type="nil"/>
        </w:tcMar>
      </w:tcPr>
    </w:tblStylePr>
  </w:style>
  <w:style w:type="paragraph" w:styleId="EndnoteText">
    <w:name w:val="endnote text"/>
    <w:basedOn w:val="Normal"/>
    <w:link w:val="EndnoteTextChar"/>
    <w:uiPriority w:val="99"/>
    <w:semiHidden/>
    <w:rsid w:val="00396E11"/>
    <w:pPr>
      <w:suppressAutoHyphens w:val="0"/>
      <w:spacing w:before="200" w:after="0" w:line="260" w:lineRule="atLeast"/>
    </w:pPr>
    <w:rPr>
      <w:rFonts w:ascii="Cambria" w:eastAsia="Cambria" w:hAnsi="Cambria" w:cs="Times New Roman"/>
      <w:szCs w:val="20"/>
    </w:rPr>
  </w:style>
  <w:style w:type="character" w:customStyle="1" w:styleId="EndnoteTextChar">
    <w:name w:val="Endnote Text Char"/>
    <w:basedOn w:val="DefaultParagraphFont"/>
    <w:link w:val="EndnoteText"/>
    <w:uiPriority w:val="99"/>
    <w:semiHidden/>
    <w:rsid w:val="00396E11"/>
    <w:rPr>
      <w:rFonts w:ascii="Cambria" w:eastAsia="Cambria" w:hAnsi="Cambria" w:cs="Times New Roman"/>
      <w:szCs w:val="20"/>
    </w:rPr>
  </w:style>
  <w:style w:type="character" w:styleId="EndnoteReference">
    <w:name w:val="endnote reference"/>
    <w:basedOn w:val="DefaultParagraphFont"/>
    <w:uiPriority w:val="99"/>
    <w:semiHidden/>
    <w:rsid w:val="00396E11"/>
    <w:rPr>
      <w:vertAlign w:val="superscript"/>
    </w:rPr>
  </w:style>
  <w:style w:type="paragraph" w:styleId="List">
    <w:name w:val="List"/>
    <w:basedOn w:val="Numberedpara1stindent"/>
    <w:qFormat/>
    <w:rsid w:val="00396E11"/>
    <w:pPr>
      <w:spacing w:after="240"/>
    </w:pPr>
  </w:style>
  <w:style w:type="paragraph" w:styleId="List2">
    <w:name w:val="List 2"/>
    <w:basedOn w:val="Numberedpara2ndindent"/>
    <w:qFormat/>
    <w:rsid w:val="00396E11"/>
  </w:style>
  <w:style w:type="paragraph" w:styleId="List3">
    <w:name w:val="List 3"/>
    <w:basedOn w:val="Numberedpara3rdindent"/>
    <w:qFormat/>
    <w:rsid w:val="00396E11"/>
  </w:style>
  <w:style w:type="numbering" w:customStyle="1" w:styleId="Numbers1">
    <w:name w:val="Numbers1"/>
    <w:basedOn w:val="NoList"/>
    <w:rsid w:val="00396E11"/>
  </w:style>
  <w:style w:type="paragraph" w:customStyle="1" w:styleId="NumberedParagraph">
    <w:name w:val="Numbered Paragraph"/>
    <w:basedOn w:val="Normal"/>
    <w:autoRedefine/>
    <w:qFormat/>
    <w:rsid w:val="00824649"/>
    <w:pPr>
      <w:numPr>
        <w:numId w:val="17"/>
      </w:numPr>
      <w:ind w:left="425" w:hanging="425"/>
    </w:pPr>
    <w:rPr>
      <w:bCs/>
    </w:rPr>
  </w:style>
  <w:style w:type="paragraph" w:styleId="ListParagraph">
    <w:name w:val="List Paragraph"/>
    <w:basedOn w:val="Normal"/>
    <w:uiPriority w:val="34"/>
    <w:qFormat/>
    <w:rsid w:val="00396E11"/>
    <w:pPr>
      <w:numPr>
        <w:numId w:val="11"/>
      </w:numPr>
      <w:suppressAutoHyphens w:val="0"/>
      <w:spacing w:before="200" w:after="0" w:line="260" w:lineRule="exact"/>
    </w:pPr>
    <w:rPr>
      <w:rFonts w:ascii="Cambria" w:eastAsia="Cambria" w:hAnsi="Cambria" w:cs="Times New Roman"/>
    </w:rPr>
  </w:style>
  <w:style w:type="character" w:styleId="FollowedHyperlink">
    <w:name w:val="FollowedHyperlink"/>
    <w:basedOn w:val="DefaultParagraphFont"/>
    <w:uiPriority w:val="99"/>
    <w:semiHidden/>
    <w:rsid w:val="00396E11"/>
    <w:rPr>
      <w:color w:val="954F72" w:themeColor="followedHyperlink"/>
      <w:u w:val="single"/>
    </w:rPr>
  </w:style>
  <w:style w:type="paragraph" w:styleId="NormalIndent">
    <w:name w:val="Normal Indent"/>
    <w:basedOn w:val="Normal"/>
    <w:uiPriority w:val="99"/>
    <w:semiHidden/>
    <w:rsid w:val="00396E11"/>
    <w:pPr>
      <w:suppressAutoHyphens w:val="0"/>
      <w:spacing w:before="200" w:after="0" w:line="260" w:lineRule="atLeast"/>
      <w:ind w:left="720"/>
    </w:pPr>
    <w:rPr>
      <w:rFonts w:ascii="Cambria" w:eastAsia="Cambria" w:hAnsi="Cambria" w:cs="Times New Roman"/>
    </w:rPr>
  </w:style>
  <w:style w:type="paragraph" w:customStyle="1" w:styleId="Boxnumberedparaindent1">
    <w:name w:val="Box numbered para indent 1"/>
    <w:basedOn w:val="NormalIndent"/>
    <w:rsid w:val="00396E11"/>
    <w:pPr>
      <w:tabs>
        <w:tab w:val="left" w:pos="284"/>
        <w:tab w:val="left" w:pos="1281"/>
        <w:tab w:val="left" w:pos="1418"/>
      </w:tabs>
    </w:pPr>
    <w:rPr>
      <w:lang w:eastAsia="en-AU"/>
    </w:rPr>
  </w:style>
  <w:style w:type="paragraph" w:styleId="NoSpacing">
    <w:name w:val="No Spacing"/>
    <w:uiPriority w:val="1"/>
    <w:qFormat/>
    <w:rsid w:val="00396E11"/>
    <w:pPr>
      <w:spacing w:after="0" w:line="240" w:lineRule="auto"/>
    </w:pPr>
    <w:rPr>
      <w:rFonts w:ascii="Cambria" w:eastAsia="Cambria" w:hAnsi="Cambria" w:cs="Times New Roman"/>
    </w:rPr>
  </w:style>
  <w:style w:type="paragraph" w:customStyle="1" w:styleId="Bullets3rdindent">
    <w:name w:val="Bullets (3rd indent)"/>
    <w:basedOn w:val="Bullets2ndindent"/>
    <w:rsid w:val="00396E11"/>
    <w:pPr>
      <w:numPr>
        <w:numId w:val="12"/>
      </w:numPr>
      <w:tabs>
        <w:tab w:val="right" w:pos="1191"/>
      </w:tabs>
      <w:ind w:left="1701" w:hanging="425"/>
    </w:pPr>
    <w:rPr>
      <w:rFonts w:ascii="Cambria" w:hAnsi="Cambria"/>
    </w:rPr>
  </w:style>
  <w:style w:type="paragraph" w:customStyle="1" w:styleId="Bullets1stindentlast">
    <w:name w:val="Bullets (1st indent) last"/>
    <w:basedOn w:val="Bullets1stindent"/>
    <w:rsid w:val="00396E11"/>
    <w:pPr>
      <w:spacing w:before="120" w:after="0" w:line="260" w:lineRule="atLeast"/>
    </w:pPr>
  </w:style>
  <w:style w:type="paragraph" w:customStyle="1" w:styleId="Bulletintro">
    <w:name w:val="Bullet intro"/>
    <w:basedOn w:val="Normal"/>
    <w:rsid w:val="00396E11"/>
    <w:pPr>
      <w:suppressAutoHyphens w:val="0"/>
      <w:spacing w:before="200" w:after="120" w:line="260" w:lineRule="atLeast"/>
    </w:pPr>
    <w:rPr>
      <w:rFonts w:ascii="Cambria" w:eastAsia="Cambria" w:hAnsi="Cambria" w:cs="Times New Roman"/>
    </w:rPr>
  </w:style>
  <w:style w:type="paragraph" w:styleId="Index1">
    <w:name w:val="index 1"/>
    <w:basedOn w:val="Normal"/>
    <w:next w:val="Normal"/>
    <w:autoRedefine/>
    <w:uiPriority w:val="99"/>
    <w:semiHidden/>
    <w:rsid w:val="00396E11"/>
    <w:pPr>
      <w:suppressAutoHyphens w:val="0"/>
      <w:spacing w:before="200" w:after="0" w:line="260" w:lineRule="atLeast"/>
      <w:ind w:left="220" w:hanging="220"/>
    </w:pPr>
    <w:rPr>
      <w:rFonts w:ascii="Cambria" w:eastAsia="Cambria" w:hAnsi="Cambria" w:cs="Times New Roman"/>
    </w:rPr>
  </w:style>
  <w:style w:type="paragraph" w:customStyle="1" w:styleId="BodyText2">
    <w:name w:val="Body Text2"/>
    <w:basedOn w:val="Normal"/>
    <w:qFormat/>
    <w:rsid w:val="00396E11"/>
    <w:pPr>
      <w:suppressAutoHyphens w:val="0"/>
      <w:spacing w:before="120" w:after="0" w:line="260" w:lineRule="atLeast"/>
    </w:pPr>
  </w:style>
  <w:style w:type="paragraph" w:styleId="CommentSubject">
    <w:name w:val="annotation subject"/>
    <w:basedOn w:val="CommentText"/>
    <w:next w:val="CommentText"/>
    <w:link w:val="CommentSubjectChar"/>
    <w:uiPriority w:val="99"/>
    <w:semiHidden/>
    <w:unhideWhenUsed/>
    <w:rsid w:val="00396E11"/>
    <w:pPr>
      <w:spacing w:line="240" w:lineRule="auto"/>
    </w:pPr>
    <w:rPr>
      <w:b/>
      <w:bCs/>
      <w:sz w:val="20"/>
    </w:rPr>
  </w:style>
  <w:style w:type="character" w:customStyle="1" w:styleId="CommentSubjectChar">
    <w:name w:val="Comment Subject Char"/>
    <w:basedOn w:val="CommentTextChar"/>
    <w:link w:val="CommentSubject"/>
    <w:uiPriority w:val="99"/>
    <w:semiHidden/>
    <w:rsid w:val="00396E11"/>
    <w:rPr>
      <w:rFonts w:ascii="Cambria" w:eastAsia="Cambria" w:hAnsi="Cambria" w:cs="Times New Roman"/>
      <w:b/>
      <w:bCs/>
      <w:sz w:val="20"/>
      <w:szCs w:val="20"/>
    </w:rPr>
  </w:style>
  <w:style w:type="paragraph" w:customStyle="1" w:styleId="FCList">
    <w:name w:val="FC_List"/>
    <w:basedOn w:val="Header"/>
    <w:uiPriority w:val="99"/>
    <w:rsid w:val="00396E11"/>
    <w:pPr>
      <w:numPr>
        <w:numId w:val="7"/>
      </w:num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DefaultText1">
    <w:name w:val="Default_Text_1"/>
    <w:basedOn w:val="Normal"/>
    <w:link w:val="DefaultText1Char"/>
    <w:qFormat/>
    <w:rsid w:val="00396E11"/>
    <w:pPr>
      <w:suppressAutoHyphens w:val="0"/>
      <w:autoSpaceDE w:val="0"/>
      <w:autoSpaceDN w:val="0"/>
      <w:adjustRightInd w:val="0"/>
      <w:spacing w:before="60" w:after="180" w:line="240" w:lineRule="auto"/>
    </w:pPr>
    <w:rPr>
      <w:rFonts w:ascii="Arial" w:eastAsia="Times New Roman" w:hAnsi="Arial" w:cs="Times-Roman"/>
      <w:color w:val="FFFFFF" w:themeColor="background1"/>
      <w:kern w:val="32"/>
      <w:sz w:val="48"/>
      <w:szCs w:val="32"/>
      <w:lang w:val="en-US"/>
    </w:rPr>
  </w:style>
  <w:style w:type="character" w:customStyle="1" w:styleId="DefaultText1Char">
    <w:name w:val="Default_Text_1 Char"/>
    <w:basedOn w:val="Heading1Char"/>
    <w:link w:val="DefaultText1"/>
    <w:rsid w:val="00396E11"/>
    <w:rPr>
      <w:rFonts w:ascii="Arial" w:eastAsia="Times New Roman" w:hAnsi="Arial" w:cs="Times-Roman"/>
      <w:bCs w:val="0"/>
      <w:color w:val="FFFFFF" w:themeColor="background1"/>
      <w:kern w:val="32"/>
      <w:sz w:val="48"/>
      <w:szCs w:val="32"/>
      <w:lang w:val="en-US"/>
    </w:rPr>
  </w:style>
  <w:style w:type="paragraph" w:styleId="Revision">
    <w:name w:val="Revision"/>
    <w:hidden/>
    <w:uiPriority w:val="99"/>
    <w:semiHidden/>
    <w:rsid w:val="00396E11"/>
    <w:pPr>
      <w:spacing w:after="0" w:line="240" w:lineRule="auto"/>
    </w:pPr>
    <w:rPr>
      <w:rFonts w:ascii="Cambria" w:eastAsia="Cambria" w:hAnsi="Cambria" w:cs="Times New Roman"/>
    </w:rPr>
  </w:style>
  <w:style w:type="paragraph" w:styleId="BodyText3">
    <w:name w:val="Body Text 3"/>
    <w:basedOn w:val="Normal"/>
    <w:link w:val="BodyText3Char"/>
    <w:uiPriority w:val="99"/>
    <w:semiHidden/>
    <w:unhideWhenUsed/>
    <w:rsid w:val="00A868E8"/>
    <w:pPr>
      <w:spacing w:after="120"/>
    </w:pPr>
    <w:rPr>
      <w:sz w:val="16"/>
      <w:szCs w:val="16"/>
    </w:rPr>
  </w:style>
  <w:style w:type="character" w:customStyle="1" w:styleId="BodyText3Char">
    <w:name w:val="Body Text 3 Char"/>
    <w:basedOn w:val="DefaultParagraphFont"/>
    <w:link w:val="BodyText3"/>
    <w:uiPriority w:val="99"/>
    <w:semiHidden/>
    <w:rsid w:val="00A868E8"/>
    <w:rPr>
      <w:sz w:val="16"/>
      <w:szCs w:val="16"/>
    </w:rPr>
  </w:style>
  <w:style w:type="paragraph" w:customStyle="1" w:styleId="Single">
    <w:name w:val="Single"/>
    <w:basedOn w:val="Normal"/>
    <w:rsid w:val="00A868E8"/>
    <w:pPr>
      <w:suppressAutoHyphens w:val="0"/>
      <w:spacing w:before="0" w:after="0" w:line="240" w:lineRule="auto"/>
    </w:pPr>
    <w:rPr>
      <w:rFonts w:ascii="Times New Roman" w:eastAsia="Times New Roman" w:hAnsi="Times New Roman" w:cs="Times New Roman"/>
      <w:sz w:val="24"/>
      <w:szCs w:val="20"/>
    </w:rPr>
  </w:style>
  <w:style w:type="paragraph" w:customStyle="1" w:styleId="Boxed-casestudy">
    <w:name w:val="Boxed - case study"/>
    <w:basedOn w:val="Boxed2Text"/>
    <w:next w:val="Boxed-casestudybullet"/>
    <w:link w:val="Boxed-casestudyChar"/>
    <w:rsid w:val="00903AF5"/>
    <w:pPr>
      <w:shd w:val="clear" w:color="auto" w:fill="65DDF5"/>
    </w:pPr>
  </w:style>
  <w:style w:type="paragraph" w:customStyle="1" w:styleId="Boxed-casestudybullet">
    <w:name w:val="Boxed - case study bullet"/>
    <w:basedOn w:val="Normal"/>
    <w:link w:val="Boxed-casestudybulletChar"/>
    <w:rsid w:val="006F4732"/>
    <w:pPr>
      <w:shd w:val="clear" w:color="auto" w:fill="65DDF5"/>
      <w:contextualSpacing/>
    </w:pPr>
  </w:style>
  <w:style w:type="character" w:customStyle="1" w:styleId="Boxed1TextChar">
    <w:name w:val="Boxed 1 Text Char"/>
    <w:basedOn w:val="DefaultParagraphFont"/>
    <w:link w:val="Boxed1Text"/>
    <w:rsid w:val="00903AF5"/>
    <w:rPr>
      <w:shd w:val="clear" w:color="auto" w:fill="F1F8F8" w:themeFill="accent1" w:themeFillTint="33"/>
    </w:rPr>
  </w:style>
  <w:style w:type="character" w:customStyle="1" w:styleId="Boxed2TextChar">
    <w:name w:val="Boxed 2 Text Char"/>
    <w:basedOn w:val="Boxed1TextChar"/>
    <w:link w:val="Boxed2Text"/>
    <w:rsid w:val="00903AF5"/>
    <w:rPr>
      <w:shd w:val="clear" w:color="auto" w:fill="BDDCDF" w:themeFill="accent1"/>
    </w:rPr>
  </w:style>
  <w:style w:type="character" w:customStyle="1" w:styleId="Boxed-casestudyChar">
    <w:name w:val="Boxed - case study Char"/>
    <w:basedOn w:val="Boxed2TextChar"/>
    <w:link w:val="Boxed-casestudy"/>
    <w:rsid w:val="00903AF5"/>
    <w:rPr>
      <w:shd w:val="clear" w:color="auto" w:fill="65DDF5"/>
    </w:rPr>
  </w:style>
  <w:style w:type="character" w:customStyle="1" w:styleId="Boxed-casestudybulletChar">
    <w:name w:val="Boxed - case study bullet Char"/>
    <w:basedOn w:val="Boxed-casestudyChar"/>
    <w:link w:val="Boxed-casestudybullet"/>
    <w:rsid w:val="006F4732"/>
    <w:rPr>
      <w:shd w:val="clear" w:color="auto" w:fill="65DDF5"/>
    </w:rPr>
  </w:style>
  <w:style w:type="paragraph" w:styleId="NormalWeb">
    <w:name w:val="Normal (Web)"/>
    <w:basedOn w:val="Normal"/>
    <w:uiPriority w:val="99"/>
    <w:unhideWhenUsed/>
    <w:rsid w:val="008747AB"/>
    <w:pPr>
      <w:suppressAutoHyphens w:val="0"/>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ampletext">
    <w:name w:val="Example text"/>
    <w:basedOn w:val="Boxed2Text"/>
    <w:link w:val="ExampletextChar"/>
    <w:qFormat/>
    <w:rsid w:val="00415BFE"/>
    <w:pPr>
      <w:shd w:val="clear" w:color="auto" w:fill="B4B5E9"/>
    </w:pPr>
  </w:style>
  <w:style w:type="paragraph" w:customStyle="1" w:styleId="Exampleheading">
    <w:name w:val="Example heading"/>
    <w:basedOn w:val="Boxed2Heading"/>
    <w:link w:val="ExampleheadingChar"/>
    <w:qFormat/>
    <w:rsid w:val="00415BFE"/>
    <w:pPr>
      <w:shd w:val="clear" w:color="auto" w:fill="B4B5E9"/>
    </w:pPr>
  </w:style>
  <w:style w:type="character" w:customStyle="1" w:styleId="ExampletextChar">
    <w:name w:val="Example text Char"/>
    <w:basedOn w:val="Boxed2TextChar"/>
    <w:link w:val="Exampletext"/>
    <w:rsid w:val="00415BFE"/>
    <w:rPr>
      <w:shd w:val="clear" w:color="auto" w:fill="B4B5E9"/>
    </w:rPr>
  </w:style>
  <w:style w:type="character" w:customStyle="1" w:styleId="Boxed2HeadingChar">
    <w:name w:val="Boxed 2 Heading Char"/>
    <w:basedOn w:val="Boxed2TextChar"/>
    <w:link w:val="Boxed2Heading"/>
    <w:rsid w:val="00415BFE"/>
    <w:rPr>
      <w:b/>
      <w:sz w:val="24"/>
      <w:shd w:val="clear" w:color="auto" w:fill="BDDCDF" w:themeFill="accent1"/>
    </w:rPr>
  </w:style>
  <w:style w:type="character" w:customStyle="1" w:styleId="ExampleheadingChar">
    <w:name w:val="Example heading Char"/>
    <w:basedOn w:val="Boxed2HeadingChar"/>
    <w:link w:val="Exampleheading"/>
    <w:rsid w:val="00415BFE"/>
    <w:rPr>
      <w:b/>
      <w:sz w:val="24"/>
      <w:shd w:val="clear" w:color="auto" w:fill="B4B5E9"/>
    </w:rPr>
  </w:style>
  <w:style w:type="paragraph" w:customStyle="1" w:styleId="Fnotetext">
    <w:name w:val="F'note text"/>
    <w:basedOn w:val="FootnoteText"/>
    <w:link w:val="FnotetextChar"/>
    <w:qFormat/>
    <w:rsid w:val="00D26DF4"/>
    <w:pPr>
      <w:ind w:left="142" w:hanging="142"/>
    </w:pPr>
  </w:style>
  <w:style w:type="character" w:customStyle="1" w:styleId="FnotetextChar">
    <w:name w:val="F'note text Char"/>
    <w:basedOn w:val="FootnoteTextChar"/>
    <w:link w:val="Fnotetext"/>
    <w:rsid w:val="00D26DF4"/>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06535">
      <w:bodyDiv w:val="1"/>
      <w:marLeft w:val="0"/>
      <w:marRight w:val="0"/>
      <w:marTop w:val="0"/>
      <w:marBottom w:val="0"/>
      <w:divBdr>
        <w:top w:val="none" w:sz="0" w:space="0" w:color="auto"/>
        <w:left w:val="none" w:sz="0" w:space="0" w:color="auto"/>
        <w:bottom w:val="none" w:sz="0" w:space="0" w:color="auto"/>
        <w:right w:val="none" w:sz="0" w:space="0" w:color="auto"/>
      </w:divBdr>
    </w:div>
    <w:div w:id="8633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creativecommons.org/licenses/by/3.0/au/" TargetMode="External"/><Relationship Id="rId18" Type="http://schemas.openxmlformats.org/officeDocument/2006/relationships/hyperlink" Target="http://www.finance.gov.au" TargetMode="External"/><Relationship Id="rId26" Type="http://schemas.openxmlformats.org/officeDocument/2006/relationships/hyperlink" Target="https://www.legislation.gov.au/Series/F2014L00911"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finance.gov.au/government/managing-commonwealth-resources/managing-risk-internal-accountability/duties/risk-internal-controls/accountable-authority-instructions-aais-rmg-206"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au/Series/C2017C00269" TargetMode="External"/><Relationship Id="rId25" Type="http://schemas.openxmlformats.org/officeDocument/2006/relationships/hyperlink" Target="https://www.finance.gov.au/government/managing-commonwealth-resources/notification-significant-non-compliance-finance-law-rmg-214" TargetMode="External"/><Relationship Id="rId33" Type="http://schemas.openxmlformats.org/officeDocument/2006/relationships/hyperlink" Target="https://www.finance.gov.au/government/managing-commonwealth-resources/structure-australian-government-public-sector/pgpa-act-flipchart-and-list"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forex@finance.gov.au" TargetMode="External"/><Relationship Id="rId20" Type="http://schemas.openxmlformats.org/officeDocument/2006/relationships/hyperlink" Target="https://www.legislation.gov.au/Series/F2019L00536" TargetMode="External"/><Relationship Id="rId29" Type="http://schemas.openxmlformats.org/officeDocument/2006/relationships/hyperlink" Target="https://www.legislation.gov.au/Series/F2015L0013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egislation.gov.au/Details/C2017C00269" TargetMode="External"/><Relationship Id="rId32" Type="http://schemas.openxmlformats.org/officeDocument/2006/relationships/hyperlink" Target="https://www.finance.gov.au/government/financial-reporting-and-accounting-policy/overview-commonwealth-financial-reporting/government-finance-statistic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mc.gov.au/government/commonwealth-coat-arms" TargetMode="External"/><Relationship Id="rId23" Type="http://schemas.openxmlformats.org/officeDocument/2006/relationships/hyperlink" Target="https://www.finance.gov.au/government/managing-commonwealth-resources/pgpa-legislation-associated-instruments-and-policies" TargetMode="External"/><Relationship Id="rId28" Type="http://schemas.openxmlformats.org/officeDocument/2006/relationships/hyperlink" Target="https://www.finance.gov.au/government/resource-management/list-number"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finance.gov.au/government/comcover/commonwealth-risk-management-policy" TargetMode="External"/><Relationship Id="rId31" Type="http://schemas.openxmlformats.org/officeDocument/2006/relationships/hyperlink" Target="https://www.finance.gov.au/government/resource-management/list-numbe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hyperlink" Target="https://www.finance.gov.au/government/managing-commonwealth-resources/pgpa-legislation-associated-instruments-and-policies" TargetMode="External"/><Relationship Id="rId27" Type="http://schemas.openxmlformats.org/officeDocument/2006/relationships/hyperlink" Target="https://www.finance.gov.au/government/resource-management/list-number" TargetMode="External"/><Relationship Id="rId30" Type="http://schemas.openxmlformats.org/officeDocument/2006/relationships/hyperlink" Target="https://www.finance.gov.au/government/resource-management/list-number"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government/managing-commonwealth-resources/structure-australian-government-public-sector/pgpa-act-flipchart-and-lis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Finance 1 Blue">
  <a:themeElements>
    <a:clrScheme name="Finance - Blue">
      <a:dk1>
        <a:sysClr val="windowText" lastClr="000000"/>
      </a:dk1>
      <a:lt1>
        <a:sysClr val="window" lastClr="FFFFFF"/>
      </a:lt1>
      <a:dk2>
        <a:srgbClr val="1C1C1C"/>
      </a:dk2>
      <a:lt2>
        <a:srgbClr val="E2E3E2"/>
      </a:lt2>
      <a:accent1>
        <a:srgbClr val="BDDCDF"/>
      </a:accent1>
      <a:accent2>
        <a:srgbClr val="92C5C5"/>
      </a:accent2>
      <a:accent3>
        <a:srgbClr val="19806D"/>
      </a:accent3>
      <a:accent4>
        <a:srgbClr val="C94A2C"/>
      </a:accent4>
      <a:accent5>
        <a:srgbClr val="645493"/>
      </a:accent5>
      <a:accent6>
        <a:srgbClr val="E8B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B8C30AA860100A4FB52E3FAB0D077D2D" ma:contentTypeVersion="162" ma:contentTypeDescription="Create a new document." ma:contentTypeScope="" ma:versionID="157eaad9354af2b4f54f4bb0dbdfc9f4">
  <xsd:schema xmlns:xsd="http://www.w3.org/2001/XMLSchema" xmlns:xs="http://www.w3.org/2001/XMLSchema" xmlns:p="http://schemas.microsoft.com/office/2006/metadata/properties" xmlns:ns1="http://schemas.microsoft.com/sharepoint/v3" xmlns:ns2="82ff9d9b-d3fc-4aad-bc42-9949ee83b815" xmlns:ns3="4a0e1069-ce77-47a0-9431-178ab1ddd02d" targetNamespace="http://schemas.microsoft.com/office/2006/metadata/properties" ma:root="true" ma:fieldsID="d070e423b07841d1bfcb6e9faf02b8b8" ns1:_="" ns2:_="" ns3:_="">
    <xsd:import namespace="http://schemas.microsoft.com/sharepoint/v3"/>
    <xsd:import namespace="82ff9d9b-d3fc-4aad-bc42-9949ee83b815"/>
    <xsd:import namespace="4a0e1069-ce77-47a0-9431-178ab1ddd02d"/>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a3d62bf1-3ca0-4ea2-ae64-67ae2c8b2bd8}" ma:internalName="TaxCatchAll" ma:showField="CatchAllData" ma:web="4a0e1069-ce77-47a0-9431-178ab1ddd02d">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a3d62bf1-3ca0-4ea2-ae64-67ae2c8b2bd8}" ma:internalName="TaxCatchAllLabel" ma:readOnly="true" ma:showField="CatchAllDataLabel" ma:web="4a0e1069-ce77-47a0-9431-178ab1ddd0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0e1069-ce77-47a0-9431-178ab1ddd02d"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Special Appropriations</TermName>
          <TermId xmlns="http://schemas.microsoft.com/office/infopath/2007/PartnerControls">4d6dc14f-ec13-4bc9-b2c0-87860d28c371</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4a0e1069-ce77-47a0-9431-178ab1ddd02d">FIN33577-1439080521-21771</_dlc_DocId>
    <_dlc_DocIdUrl xmlns="4a0e1069-ce77-47a0-9431-178ab1ddd02d">
      <Url>https://f1.prdmgd.finance.gov.au/sites/50033577/_layouts/15/DocIdRedir.aspx?ID=FIN33577-1439080521-21771</Url>
      <Description>FIN33577-1439080521-21771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2C8-60C9-40A6-8A16-4DD04BA80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4a0e1069-ce77-47a0-9431-178ab1ddd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FB396-B8C9-4E2E-8A24-23C9BDFA0EF2}">
  <ds:schemaRefs>
    <ds:schemaRef ds:uri="Microsoft.SharePoint.Taxonomy.ContentTypeSync"/>
  </ds:schemaRefs>
</ds:datastoreItem>
</file>

<file path=customXml/itemProps3.xml><?xml version="1.0" encoding="utf-8"?>
<ds:datastoreItem xmlns:ds="http://schemas.openxmlformats.org/officeDocument/2006/customXml" ds:itemID="{18643CEE-A5EC-49AD-B422-22B9B0D54D2D}">
  <ds:schemaRefs>
    <ds:schemaRef ds:uri="http://schemas.microsoft.com/sharepoint/events"/>
  </ds:schemaRefs>
</ds:datastoreItem>
</file>

<file path=customXml/itemProps4.xml><?xml version="1.0" encoding="utf-8"?>
<ds:datastoreItem xmlns:ds="http://schemas.openxmlformats.org/officeDocument/2006/customXml" ds:itemID="{CD4DAC21-50F5-46FD-9587-36C605F6709B}">
  <ds:schemaRefs>
    <ds:schemaRef ds:uri="http://schemas.microsoft.com/sharepoint/v3/contenttype/forms"/>
  </ds:schemaRefs>
</ds:datastoreItem>
</file>

<file path=customXml/itemProps5.xml><?xml version="1.0" encoding="utf-8"?>
<ds:datastoreItem xmlns:ds="http://schemas.openxmlformats.org/officeDocument/2006/customXml" ds:itemID="{521FFC9E-1F3E-4F03-BD5F-939F25CEA030}">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a0e1069-ce77-47a0-9431-178ab1ddd02d"/>
    <ds:schemaRef ds:uri="82ff9d9b-d3fc-4aad-bc42-9949ee83b815"/>
    <ds:schemaRef ds:uri="http://www.w3.org/XML/1998/namespace"/>
    <ds:schemaRef ds:uri="http://purl.org/dc/dcmitype/"/>
  </ds:schemaRefs>
</ds:datastoreItem>
</file>

<file path=customXml/itemProps6.xml><?xml version="1.0" encoding="utf-8"?>
<ds:datastoreItem xmlns:ds="http://schemas.openxmlformats.org/officeDocument/2006/customXml" ds:itemID="{6D2C3372-9568-4530-A3FF-3E5927DA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8975</Words>
  <Characters>51164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2021-05-21T05:00:00Z</dcterms:created>
  <dcterms:modified xsi:type="dcterms:W3CDTF">2021-05-21T05:49:00Z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0x010100B321FEA60C5BA343A52BC94EC00ABC9E0700B8C30AA860100A4FB52E3FAB0D077D2D</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OrgUnit">
    <vt:lpwstr>1;#Special Appropriations|4d6dc14f-ec13-4bc9-b2c0-87860d28c371</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db904afa-972c-49c1-bcbf-97449eaf8788</vt:lpwstr>
  </property>
</Properties>
</file>