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52B64" w14:textId="2AE424A6" w:rsidR="00257FF4" w:rsidRPr="004111A7" w:rsidRDefault="00257FF4" w:rsidP="005A7C0B">
      <w:pPr>
        <w:pStyle w:val="PartHeading"/>
      </w:pPr>
      <w:r w:rsidRPr="004111A7">
        <w:t xml:space="preserve">Department of </w:t>
      </w:r>
      <w:r w:rsidR="00A90E26" w:rsidRPr="004111A7">
        <w:t>Finance</w:t>
      </w:r>
    </w:p>
    <w:p w14:paraId="796E8D84" w14:textId="77777777" w:rsidR="005A7C0B" w:rsidRPr="004111A7" w:rsidRDefault="005A7C0B" w:rsidP="005A7C0B">
      <w:pPr>
        <w:pStyle w:val="PartHeading"/>
      </w:pPr>
    </w:p>
    <w:p w14:paraId="2137FA44" w14:textId="77777777" w:rsidR="005A7C0B" w:rsidRPr="004111A7" w:rsidRDefault="005A7C0B" w:rsidP="005A7C0B">
      <w:pPr>
        <w:pStyle w:val="PartHeading"/>
      </w:pPr>
    </w:p>
    <w:p w14:paraId="7B88B92C" w14:textId="77777777" w:rsidR="00257FF4" w:rsidRPr="004111A7" w:rsidRDefault="007E6BBD" w:rsidP="00732146">
      <w:pPr>
        <w:pStyle w:val="PartHeading"/>
      </w:pPr>
      <w:r w:rsidRPr="004111A7">
        <w:t xml:space="preserve">Entity </w:t>
      </w:r>
      <w:r w:rsidR="00605163" w:rsidRPr="004111A7">
        <w:t>resources and planned performance</w:t>
      </w:r>
    </w:p>
    <w:p w14:paraId="7D6A2595" w14:textId="05D3A937" w:rsidR="00E56D3F" w:rsidRPr="004111A7" w:rsidRDefault="00E56D3F" w:rsidP="005A7C0B">
      <w:pPr>
        <w:pStyle w:val="PartHeading"/>
      </w:pPr>
    </w:p>
    <w:p w14:paraId="54686477" w14:textId="77777777" w:rsidR="00440107" w:rsidRPr="004111A7" w:rsidRDefault="00440107" w:rsidP="0002453C">
      <w:pPr>
        <w:sectPr w:rsidR="00440107" w:rsidRPr="004111A7" w:rsidSect="005A7C0B">
          <w:footerReference w:type="default" r:id="rId12"/>
          <w:footerReference w:type="first" r:id="rId13"/>
          <w:type w:val="oddPage"/>
          <w:pgSz w:w="11906" w:h="16838" w:code="9"/>
          <w:pgMar w:top="2466" w:right="2098" w:bottom="2466" w:left="2098" w:header="1899" w:footer="1899" w:gutter="0"/>
          <w:cols w:space="708"/>
          <w:vAlign w:val="center"/>
          <w:titlePg/>
          <w:docGrid w:linePitch="360"/>
        </w:sectPr>
      </w:pPr>
    </w:p>
    <w:p w14:paraId="240F4A18" w14:textId="28976E1F" w:rsidR="0002453C" w:rsidRPr="004111A7" w:rsidRDefault="0002453C" w:rsidP="0002453C">
      <w:pPr>
        <w:sectPr w:rsidR="0002453C" w:rsidRPr="004111A7" w:rsidSect="00440107">
          <w:footerReference w:type="first" r:id="rId14"/>
          <w:pgSz w:w="11906" w:h="16838" w:code="9"/>
          <w:pgMar w:top="2466" w:right="2098" w:bottom="2466" w:left="2098" w:header="1899" w:footer="1899" w:gutter="0"/>
          <w:cols w:space="708"/>
          <w:vAlign w:val="center"/>
          <w:titlePg/>
          <w:docGrid w:linePitch="360"/>
        </w:sectPr>
      </w:pPr>
    </w:p>
    <w:p w14:paraId="4FFE18C4" w14:textId="6DFEA0E3" w:rsidR="00257FF4" w:rsidRPr="004111A7" w:rsidRDefault="00257FF4" w:rsidP="002A32FD">
      <w:pPr>
        <w:pStyle w:val="ContentsHeading"/>
      </w:pPr>
      <w:bookmarkStart w:id="0" w:name="_Toc190766150"/>
      <w:r w:rsidRPr="004111A7">
        <w:lastRenderedPageBreak/>
        <w:t xml:space="preserve">Department of </w:t>
      </w:r>
      <w:bookmarkEnd w:id="0"/>
      <w:r w:rsidR="00A90E26" w:rsidRPr="004111A7">
        <w:t>Finance</w:t>
      </w:r>
    </w:p>
    <w:p w14:paraId="0DE5B01F" w14:textId="603CC0EB" w:rsidR="00BF2D71" w:rsidRPr="004111A7" w:rsidRDefault="00915F49">
      <w:pPr>
        <w:pStyle w:val="TOC1"/>
        <w:rPr>
          <w:rFonts w:asciiTheme="minorHAnsi" w:eastAsiaTheme="minorEastAsia" w:hAnsiTheme="minorHAnsi" w:cstheme="minorBidi"/>
          <w:b w:val="0"/>
          <w:caps/>
          <w:noProof/>
          <w:sz w:val="22"/>
          <w:szCs w:val="22"/>
        </w:rPr>
      </w:pPr>
      <w:r w:rsidRPr="004111A7">
        <w:fldChar w:fldCharType="begin"/>
      </w:r>
      <w:r w:rsidRPr="004111A7">
        <w:instrText xml:space="preserve"> TOC \h \z \t "Heading 2,1,Heading 3,2" </w:instrText>
      </w:r>
      <w:r w:rsidRPr="004111A7">
        <w:fldChar w:fldCharType="separate"/>
      </w:r>
      <w:hyperlink w:anchor="_Toc70603469" w:history="1">
        <w:r w:rsidR="00BF2D71" w:rsidRPr="004111A7">
          <w:rPr>
            <w:rStyle w:val="Hyperlink"/>
            <w:noProof/>
          </w:rPr>
          <w:t>Section 1: Entity overview and resources</w:t>
        </w:r>
        <w:r w:rsidR="00BF2D71" w:rsidRPr="004111A7">
          <w:rPr>
            <w:noProof/>
            <w:webHidden/>
          </w:rPr>
          <w:tab/>
        </w:r>
        <w:r w:rsidR="00BF2D71" w:rsidRPr="004111A7">
          <w:rPr>
            <w:noProof/>
            <w:webHidden/>
          </w:rPr>
          <w:fldChar w:fldCharType="begin"/>
        </w:r>
        <w:r w:rsidR="00BF2D71" w:rsidRPr="004111A7">
          <w:rPr>
            <w:noProof/>
            <w:webHidden/>
          </w:rPr>
          <w:instrText xml:space="preserve"> PAGEREF _Toc70603469 \h </w:instrText>
        </w:r>
        <w:r w:rsidR="00BF2D71" w:rsidRPr="004111A7">
          <w:rPr>
            <w:noProof/>
            <w:webHidden/>
          </w:rPr>
        </w:r>
        <w:r w:rsidR="00BF2D71" w:rsidRPr="004111A7">
          <w:rPr>
            <w:noProof/>
            <w:webHidden/>
          </w:rPr>
          <w:fldChar w:fldCharType="separate"/>
        </w:r>
        <w:r w:rsidR="00D040F4">
          <w:rPr>
            <w:noProof/>
            <w:webHidden/>
          </w:rPr>
          <w:t>11</w:t>
        </w:r>
        <w:r w:rsidR="00BF2D71" w:rsidRPr="004111A7">
          <w:rPr>
            <w:noProof/>
            <w:webHidden/>
          </w:rPr>
          <w:fldChar w:fldCharType="end"/>
        </w:r>
      </w:hyperlink>
    </w:p>
    <w:p w14:paraId="3FA24D75" w14:textId="4C35603B" w:rsidR="00BF2D71" w:rsidRPr="004111A7" w:rsidRDefault="00663029">
      <w:pPr>
        <w:pStyle w:val="TOC2"/>
        <w:tabs>
          <w:tab w:val="left" w:pos="800"/>
        </w:tabs>
        <w:rPr>
          <w:rFonts w:asciiTheme="minorHAnsi" w:eastAsiaTheme="minorEastAsia" w:hAnsiTheme="minorHAnsi" w:cstheme="minorBidi"/>
          <w:noProof/>
          <w:sz w:val="22"/>
          <w:szCs w:val="22"/>
        </w:rPr>
      </w:pPr>
      <w:hyperlink w:anchor="_Toc70603470" w:history="1">
        <w:r w:rsidR="00BF2D71" w:rsidRPr="004111A7">
          <w:rPr>
            <w:rStyle w:val="Hyperlink"/>
            <w:noProof/>
          </w:rPr>
          <w:t>1.1</w:t>
        </w:r>
        <w:r w:rsidR="00BF2D71" w:rsidRPr="004111A7">
          <w:rPr>
            <w:rFonts w:asciiTheme="minorHAnsi" w:eastAsiaTheme="minorEastAsia" w:hAnsiTheme="minorHAnsi" w:cstheme="minorBidi"/>
            <w:noProof/>
            <w:sz w:val="22"/>
            <w:szCs w:val="22"/>
          </w:rPr>
          <w:tab/>
        </w:r>
        <w:r w:rsidR="00BF2D71" w:rsidRPr="004111A7">
          <w:rPr>
            <w:rStyle w:val="Hyperlink"/>
            <w:noProof/>
          </w:rPr>
          <w:t>Strategic direction statement</w:t>
        </w:r>
        <w:r w:rsidR="00BF2D71" w:rsidRPr="004111A7">
          <w:rPr>
            <w:noProof/>
            <w:webHidden/>
          </w:rPr>
          <w:tab/>
        </w:r>
        <w:r w:rsidR="00BF2D71" w:rsidRPr="004111A7">
          <w:rPr>
            <w:noProof/>
            <w:webHidden/>
          </w:rPr>
          <w:fldChar w:fldCharType="begin"/>
        </w:r>
        <w:r w:rsidR="00BF2D71" w:rsidRPr="004111A7">
          <w:rPr>
            <w:noProof/>
            <w:webHidden/>
          </w:rPr>
          <w:instrText xml:space="preserve"> PAGEREF _Toc70603470 \h </w:instrText>
        </w:r>
        <w:r w:rsidR="00BF2D71" w:rsidRPr="004111A7">
          <w:rPr>
            <w:noProof/>
            <w:webHidden/>
          </w:rPr>
        </w:r>
        <w:r w:rsidR="00BF2D71" w:rsidRPr="004111A7">
          <w:rPr>
            <w:noProof/>
            <w:webHidden/>
          </w:rPr>
          <w:fldChar w:fldCharType="separate"/>
        </w:r>
        <w:r w:rsidR="00D040F4">
          <w:rPr>
            <w:noProof/>
            <w:webHidden/>
          </w:rPr>
          <w:t>11</w:t>
        </w:r>
        <w:r w:rsidR="00BF2D71" w:rsidRPr="004111A7">
          <w:rPr>
            <w:noProof/>
            <w:webHidden/>
          </w:rPr>
          <w:fldChar w:fldCharType="end"/>
        </w:r>
      </w:hyperlink>
    </w:p>
    <w:p w14:paraId="5082642F" w14:textId="0885766A" w:rsidR="00BF2D71" w:rsidRPr="004111A7" w:rsidRDefault="00663029">
      <w:pPr>
        <w:pStyle w:val="TOC2"/>
        <w:tabs>
          <w:tab w:val="left" w:pos="800"/>
        </w:tabs>
        <w:rPr>
          <w:rFonts w:asciiTheme="minorHAnsi" w:eastAsiaTheme="minorEastAsia" w:hAnsiTheme="minorHAnsi" w:cstheme="minorBidi"/>
          <w:noProof/>
          <w:sz w:val="22"/>
          <w:szCs w:val="22"/>
        </w:rPr>
      </w:pPr>
      <w:hyperlink w:anchor="_Toc70603471" w:history="1">
        <w:r w:rsidR="00BF2D71" w:rsidRPr="004111A7">
          <w:rPr>
            <w:rStyle w:val="Hyperlink"/>
            <w:noProof/>
          </w:rPr>
          <w:t>1.2</w:t>
        </w:r>
        <w:r w:rsidR="00BF2D71" w:rsidRPr="004111A7">
          <w:rPr>
            <w:rFonts w:asciiTheme="minorHAnsi" w:eastAsiaTheme="minorEastAsia" w:hAnsiTheme="minorHAnsi" w:cstheme="minorBidi"/>
            <w:noProof/>
            <w:sz w:val="22"/>
            <w:szCs w:val="22"/>
          </w:rPr>
          <w:tab/>
        </w:r>
        <w:r w:rsidR="00BF2D71" w:rsidRPr="004111A7">
          <w:rPr>
            <w:rStyle w:val="Hyperlink"/>
            <w:noProof/>
          </w:rPr>
          <w:t>Entity resource statement</w:t>
        </w:r>
        <w:r w:rsidR="00BF2D71" w:rsidRPr="004111A7">
          <w:rPr>
            <w:noProof/>
            <w:webHidden/>
          </w:rPr>
          <w:tab/>
        </w:r>
        <w:r w:rsidR="00BF2D71" w:rsidRPr="004111A7">
          <w:rPr>
            <w:noProof/>
            <w:webHidden/>
          </w:rPr>
          <w:fldChar w:fldCharType="begin"/>
        </w:r>
        <w:r w:rsidR="00BF2D71" w:rsidRPr="004111A7">
          <w:rPr>
            <w:noProof/>
            <w:webHidden/>
          </w:rPr>
          <w:instrText xml:space="preserve"> PAGEREF _Toc70603471 \h </w:instrText>
        </w:r>
        <w:r w:rsidR="00BF2D71" w:rsidRPr="004111A7">
          <w:rPr>
            <w:noProof/>
            <w:webHidden/>
          </w:rPr>
        </w:r>
        <w:r w:rsidR="00BF2D71" w:rsidRPr="004111A7">
          <w:rPr>
            <w:noProof/>
            <w:webHidden/>
          </w:rPr>
          <w:fldChar w:fldCharType="separate"/>
        </w:r>
        <w:r w:rsidR="00D040F4">
          <w:rPr>
            <w:noProof/>
            <w:webHidden/>
          </w:rPr>
          <w:t>13</w:t>
        </w:r>
        <w:r w:rsidR="00BF2D71" w:rsidRPr="004111A7">
          <w:rPr>
            <w:noProof/>
            <w:webHidden/>
          </w:rPr>
          <w:fldChar w:fldCharType="end"/>
        </w:r>
      </w:hyperlink>
    </w:p>
    <w:p w14:paraId="354A4162" w14:textId="771B8AE3" w:rsidR="00BF2D71" w:rsidRPr="004111A7" w:rsidRDefault="00663029">
      <w:pPr>
        <w:pStyle w:val="TOC2"/>
        <w:tabs>
          <w:tab w:val="left" w:pos="800"/>
        </w:tabs>
        <w:rPr>
          <w:rFonts w:asciiTheme="minorHAnsi" w:eastAsiaTheme="minorEastAsia" w:hAnsiTheme="minorHAnsi" w:cstheme="minorBidi"/>
          <w:noProof/>
          <w:sz w:val="22"/>
          <w:szCs w:val="22"/>
        </w:rPr>
      </w:pPr>
      <w:hyperlink w:anchor="_Toc70603472" w:history="1">
        <w:r w:rsidR="00BF2D71" w:rsidRPr="004111A7">
          <w:rPr>
            <w:rStyle w:val="Hyperlink"/>
            <w:noProof/>
          </w:rPr>
          <w:t>1.3</w:t>
        </w:r>
        <w:r w:rsidR="00BF2D71" w:rsidRPr="004111A7">
          <w:rPr>
            <w:rFonts w:asciiTheme="minorHAnsi" w:eastAsiaTheme="minorEastAsia" w:hAnsiTheme="minorHAnsi" w:cstheme="minorBidi"/>
            <w:noProof/>
            <w:sz w:val="22"/>
            <w:szCs w:val="22"/>
          </w:rPr>
          <w:tab/>
        </w:r>
        <w:r w:rsidR="00BF2D71" w:rsidRPr="004111A7">
          <w:rPr>
            <w:rStyle w:val="Hyperlink"/>
            <w:noProof/>
          </w:rPr>
          <w:t>Budget measures</w:t>
        </w:r>
        <w:r w:rsidR="00BF2D71" w:rsidRPr="004111A7">
          <w:rPr>
            <w:noProof/>
            <w:webHidden/>
          </w:rPr>
          <w:tab/>
        </w:r>
        <w:r w:rsidR="00BF2D71" w:rsidRPr="004111A7">
          <w:rPr>
            <w:noProof/>
            <w:webHidden/>
          </w:rPr>
          <w:fldChar w:fldCharType="begin"/>
        </w:r>
        <w:r w:rsidR="00BF2D71" w:rsidRPr="004111A7">
          <w:rPr>
            <w:noProof/>
            <w:webHidden/>
          </w:rPr>
          <w:instrText xml:space="preserve"> PAGEREF _Toc70603472 \h </w:instrText>
        </w:r>
        <w:r w:rsidR="00BF2D71" w:rsidRPr="004111A7">
          <w:rPr>
            <w:noProof/>
            <w:webHidden/>
          </w:rPr>
        </w:r>
        <w:r w:rsidR="00BF2D71" w:rsidRPr="004111A7">
          <w:rPr>
            <w:noProof/>
            <w:webHidden/>
          </w:rPr>
          <w:fldChar w:fldCharType="separate"/>
        </w:r>
        <w:r w:rsidR="00D040F4">
          <w:rPr>
            <w:noProof/>
            <w:webHidden/>
          </w:rPr>
          <w:t>17</w:t>
        </w:r>
        <w:r w:rsidR="00BF2D71" w:rsidRPr="004111A7">
          <w:rPr>
            <w:noProof/>
            <w:webHidden/>
          </w:rPr>
          <w:fldChar w:fldCharType="end"/>
        </w:r>
      </w:hyperlink>
    </w:p>
    <w:p w14:paraId="7CBB0C10" w14:textId="42FE71B2" w:rsidR="00BF2D71" w:rsidRPr="004111A7" w:rsidRDefault="00663029">
      <w:pPr>
        <w:pStyle w:val="TOC1"/>
        <w:rPr>
          <w:rFonts w:asciiTheme="minorHAnsi" w:eastAsiaTheme="minorEastAsia" w:hAnsiTheme="minorHAnsi" w:cstheme="minorBidi"/>
          <w:b w:val="0"/>
          <w:caps/>
          <w:noProof/>
          <w:sz w:val="22"/>
          <w:szCs w:val="22"/>
        </w:rPr>
      </w:pPr>
      <w:hyperlink w:anchor="_Toc70603473" w:history="1">
        <w:r w:rsidR="00BF2D71" w:rsidRPr="004111A7">
          <w:rPr>
            <w:rStyle w:val="Hyperlink"/>
            <w:noProof/>
          </w:rPr>
          <w:t>Section 2: Outcomes and planned performance</w:t>
        </w:r>
        <w:r w:rsidR="00BF2D71" w:rsidRPr="004111A7">
          <w:rPr>
            <w:noProof/>
            <w:webHidden/>
          </w:rPr>
          <w:tab/>
        </w:r>
        <w:r w:rsidR="00BF2D71" w:rsidRPr="004111A7">
          <w:rPr>
            <w:noProof/>
            <w:webHidden/>
          </w:rPr>
          <w:fldChar w:fldCharType="begin"/>
        </w:r>
        <w:r w:rsidR="00BF2D71" w:rsidRPr="004111A7">
          <w:rPr>
            <w:noProof/>
            <w:webHidden/>
          </w:rPr>
          <w:instrText xml:space="preserve"> PAGEREF _Toc70603473 \h </w:instrText>
        </w:r>
        <w:r w:rsidR="00BF2D71" w:rsidRPr="004111A7">
          <w:rPr>
            <w:noProof/>
            <w:webHidden/>
          </w:rPr>
        </w:r>
        <w:r w:rsidR="00BF2D71" w:rsidRPr="004111A7">
          <w:rPr>
            <w:noProof/>
            <w:webHidden/>
          </w:rPr>
          <w:fldChar w:fldCharType="separate"/>
        </w:r>
        <w:r w:rsidR="00D040F4">
          <w:rPr>
            <w:noProof/>
            <w:webHidden/>
          </w:rPr>
          <w:t>19</w:t>
        </w:r>
        <w:r w:rsidR="00BF2D71" w:rsidRPr="004111A7">
          <w:rPr>
            <w:noProof/>
            <w:webHidden/>
          </w:rPr>
          <w:fldChar w:fldCharType="end"/>
        </w:r>
      </w:hyperlink>
    </w:p>
    <w:p w14:paraId="2ECABC3F" w14:textId="19234712" w:rsidR="00BF2D71" w:rsidRPr="004111A7" w:rsidRDefault="00663029">
      <w:pPr>
        <w:pStyle w:val="TOC2"/>
        <w:tabs>
          <w:tab w:val="left" w:pos="800"/>
        </w:tabs>
        <w:rPr>
          <w:rFonts w:asciiTheme="minorHAnsi" w:eastAsiaTheme="minorEastAsia" w:hAnsiTheme="minorHAnsi" w:cstheme="minorBidi"/>
          <w:noProof/>
          <w:sz w:val="22"/>
          <w:szCs w:val="22"/>
        </w:rPr>
      </w:pPr>
      <w:hyperlink w:anchor="_Toc70603474" w:history="1">
        <w:r w:rsidR="00BF2D71" w:rsidRPr="004111A7">
          <w:rPr>
            <w:rStyle w:val="Hyperlink"/>
            <w:noProof/>
          </w:rPr>
          <w:t xml:space="preserve">2.1 </w:t>
        </w:r>
        <w:r w:rsidR="00BF2D71" w:rsidRPr="004111A7">
          <w:rPr>
            <w:rFonts w:asciiTheme="minorHAnsi" w:eastAsiaTheme="minorEastAsia" w:hAnsiTheme="minorHAnsi" w:cstheme="minorBidi"/>
            <w:noProof/>
            <w:sz w:val="22"/>
            <w:szCs w:val="22"/>
          </w:rPr>
          <w:tab/>
        </w:r>
        <w:r w:rsidR="00BF2D71" w:rsidRPr="004111A7">
          <w:rPr>
            <w:rStyle w:val="Hyperlink"/>
            <w:noProof/>
          </w:rPr>
          <w:t>Budgeted expenses and performance for Outcome 1</w:t>
        </w:r>
        <w:r w:rsidR="00BF2D71" w:rsidRPr="004111A7">
          <w:rPr>
            <w:noProof/>
            <w:webHidden/>
          </w:rPr>
          <w:tab/>
        </w:r>
        <w:r w:rsidR="00BF2D71" w:rsidRPr="004111A7">
          <w:rPr>
            <w:noProof/>
            <w:webHidden/>
          </w:rPr>
          <w:fldChar w:fldCharType="begin"/>
        </w:r>
        <w:r w:rsidR="00BF2D71" w:rsidRPr="004111A7">
          <w:rPr>
            <w:noProof/>
            <w:webHidden/>
          </w:rPr>
          <w:instrText xml:space="preserve"> PAGEREF _Toc70603474 \h </w:instrText>
        </w:r>
        <w:r w:rsidR="00BF2D71" w:rsidRPr="004111A7">
          <w:rPr>
            <w:noProof/>
            <w:webHidden/>
          </w:rPr>
        </w:r>
        <w:r w:rsidR="00BF2D71" w:rsidRPr="004111A7">
          <w:rPr>
            <w:noProof/>
            <w:webHidden/>
          </w:rPr>
          <w:fldChar w:fldCharType="separate"/>
        </w:r>
        <w:r w:rsidR="00D040F4">
          <w:rPr>
            <w:noProof/>
            <w:webHidden/>
          </w:rPr>
          <w:t>20</w:t>
        </w:r>
        <w:r w:rsidR="00BF2D71" w:rsidRPr="004111A7">
          <w:rPr>
            <w:noProof/>
            <w:webHidden/>
          </w:rPr>
          <w:fldChar w:fldCharType="end"/>
        </w:r>
      </w:hyperlink>
    </w:p>
    <w:p w14:paraId="32A48F3C" w14:textId="7D738F41" w:rsidR="00BF2D71" w:rsidRPr="004111A7" w:rsidRDefault="00663029">
      <w:pPr>
        <w:pStyle w:val="TOC2"/>
        <w:tabs>
          <w:tab w:val="left" w:pos="800"/>
        </w:tabs>
        <w:rPr>
          <w:rFonts w:asciiTheme="minorHAnsi" w:eastAsiaTheme="minorEastAsia" w:hAnsiTheme="minorHAnsi" w:cstheme="minorBidi"/>
          <w:noProof/>
          <w:sz w:val="22"/>
          <w:szCs w:val="22"/>
        </w:rPr>
      </w:pPr>
      <w:hyperlink w:anchor="_Toc70603475" w:history="1">
        <w:r w:rsidR="00BF2D71" w:rsidRPr="004111A7">
          <w:rPr>
            <w:rStyle w:val="Hyperlink"/>
            <w:noProof/>
          </w:rPr>
          <w:t>2.2</w:t>
        </w:r>
        <w:r w:rsidR="00BF2D71" w:rsidRPr="004111A7">
          <w:rPr>
            <w:rFonts w:asciiTheme="minorHAnsi" w:eastAsiaTheme="minorEastAsia" w:hAnsiTheme="minorHAnsi" w:cstheme="minorBidi"/>
            <w:noProof/>
            <w:sz w:val="22"/>
            <w:szCs w:val="22"/>
          </w:rPr>
          <w:tab/>
        </w:r>
        <w:r w:rsidR="00BF2D71" w:rsidRPr="004111A7">
          <w:rPr>
            <w:rStyle w:val="Hyperlink"/>
            <w:noProof/>
          </w:rPr>
          <w:t>Budgeted expenses and performance for Outcome 2</w:t>
        </w:r>
        <w:r w:rsidR="00BF2D71" w:rsidRPr="004111A7">
          <w:rPr>
            <w:noProof/>
            <w:webHidden/>
          </w:rPr>
          <w:tab/>
        </w:r>
        <w:r w:rsidR="00BF2D71" w:rsidRPr="004111A7">
          <w:rPr>
            <w:noProof/>
            <w:webHidden/>
          </w:rPr>
          <w:fldChar w:fldCharType="begin"/>
        </w:r>
        <w:r w:rsidR="00BF2D71" w:rsidRPr="004111A7">
          <w:rPr>
            <w:noProof/>
            <w:webHidden/>
          </w:rPr>
          <w:instrText xml:space="preserve"> PAGEREF _Toc70603475 \h </w:instrText>
        </w:r>
        <w:r w:rsidR="00BF2D71" w:rsidRPr="004111A7">
          <w:rPr>
            <w:noProof/>
            <w:webHidden/>
          </w:rPr>
        </w:r>
        <w:r w:rsidR="00BF2D71" w:rsidRPr="004111A7">
          <w:rPr>
            <w:noProof/>
            <w:webHidden/>
          </w:rPr>
          <w:fldChar w:fldCharType="separate"/>
        </w:r>
        <w:r w:rsidR="00D040F4">
          <w:rPr>
            <w:noProof/>
            <w:webHidden/>
          </w:rPr>
          <w:t>24</w:t>
        </w:r>
        <w:r w:rsidR="00BF2D71" w:rsidRPr="004111A7">
          <w:rPr>
            <w:noProof/>
            <w:webHidden/>
          </w:rPr>
          <w:fldChar w:fldCharType="end"/>
        </w:r>
      </w:hyperlink>
    </w:p>
    <w:p w14:paraId="6E17BC2C" w14:textId="54101091" w:rsidR="00BF2D71" w:rsidRPr="004111A7" w:rsidRDefault="00663029">
      <w:pPr>
        <w:pStyle w:val="TOC2"/>
        <w:tabs>
          <w:tab w:val="left" w:pos="800"/>
        </w:tabs>
        <w:rPr>
          <w:rFonts w:asciiTheme="minorHAnsi" w:eastAsiaTheme="minorEastAsia" w:hAnsiTheme="minorHAnsi" w:cstheme="minorBidi"/>
          <w:noProof/>
          <w:sz w:val="22"/>
          <w:szCs w:val="22"/>
        </w:rPr>
      </w:pPr>
      <w:hyperlink w:anchor="_Toc70603476" w:history="1">
        <w:r w:rsidR="00BF2D71" w:rsidRPr="004111A7">
          <w:rPr>
            <w:rStyle w:val="Hyperlink"/>
            <w:noProof/>
          </w:rPr>
          <w:t xml:space="preserve">2.3 </w:t>
        </w:r>
        <w:r w:rsidR="00BF2D71" w:rsidRPr="004111A7">
          <w:rPr>
            <w:rFonts w:asciiTheme="minorHAnsi" w:eastAsiaTheme="minorEastAsia" w:hAnsiTheme="minorHAnsi" w:cstheme="minorBidi"/>
            <w:noProof/>
            <w:sz w:val="22"/>
            <w:szCs w:val="22"/>
          </w:rPr>
          <w:tab/>
        </w:r>
        <w:r w:rsidR="00BF2D71" w:rsidRPr="004111A7">
          <w:rPr>
            <w:rStyle w:val="Hyperlink"/>
            <w:noProof/>
          </w:rPr>
          <w:t>Budgeted expenses and performance for Outcome 3</w:t>
        </w:r>
        <w:r w:rsidR="00BF2D71" w:rsidRPr="004111A7">
          <w:rPr>
            <w:noProof/>
            <w:webHidden/>
          </w:rPr>
          <w:tab/>
        </w:r>
        <w:r w:rsidR="00BF2D71" w:rsidRPr="004111A7">
          <w:rPr>
            <w:noProof/>
            <w:webHidden/>
          </w:rPr>
          <w:fldChar w:fldCharType="begin"/>
        </w:r>
        <w:r w:rsidR="00BF2D71" w:rsidRPr="004111A7">
          <w:rPr>
            <w:noProof/>
            <w:webHidden/>
          </w:rPr>
          <w:instrText xml:space="preserve"> PAGEREF _Toc70603476 \h </w:instrText>
        </w:r>
        <w:r w:rsidR="00BF2D71" w:rsidRPr="004111A7">
          <w:rPr>
            <w:noProof/>
            <w:webHidden/>
          </w:rPr>
        </w:r>
        <w:r w:rsidR="00BF2D71" w:rsidRPr="004111A7">
          <w:rPr>
            <w:noProof/>
            <w:webHidden/>
          </w:rPr>
          <w:fldChar w:fldCharType="separate"/>
        </w:r>
        <w:r w:rsidR="00D040F4">
          <w:rPr>
            <w:noProof/>
            <w:webHidden/>
          </w:rPr>
          <w:t>48</w:t>
        </w:r>
        <w:r w:rsidR="00BF2D71" w:rsidRPr="004111A7">
          <w:rPr>
            <w:noProof/>
            <w:webHidden/>
          </w:rPr>
          <w:fldChar w:fldCharType="end"/>
        </w:r>
      </w:hyperlink>
    </w:p>
    <w:p w14:paraId="1F9AD9D9" w14:textId="687BE670" w:rsidR="00BF2D71" w:rsidRPr="004111A7" w:rsidRDefault="00663029">
      <w:pPr>
        <w:pStyle w:val="TOC1"/>
        <w:rPr>
          <w:rFonts w:asciiTheme="minorHAnsi" w:eastAsiaTheme="minorEastAsia" w:hAnsiTheme="minorHAnsi" w:cstheme="minorBidi"/>
          <w:b w:val="0"/>
          <w:caps/>
          <w:noProof/>
          <w:sz w:val="22"/>
          <w:szCs w:val="22"/>
        </w:rPr>
      </w:pPr>
      <w:hyperlink w:anchor="_Toc70603477" w:history="1">
        <w:r w:rsidR="00BF2D71" w:rsidRPr="004111A7">
          <w:rPr>
            <w:rStyle w:val="Hyperlink"/>
            <w:noProof/>
          </w:rPr>
          <w:t>Section 3: Budgeted financial statements</w:t>
        </w:r>
        <w:r w:rsidR="00BF2D71" w:rsidRPr="004111A7">
          <w:rPr>
            <w:noProof/>
            <w:webHidden/>
          </w:rPr>
          <w:tab/>
        </w:r>
        <w:r w:rsidR="00BF2D71" w:rsidRPr="004111A7">
          <w:rPr>
            <w:noProof/>
            <w:webHidden/>
          </w:rPr>
          <w:fldChar w:fldCharType="begin"/>
        </w:r>
        <w:r w:rsidR="00BF2D71" w:rsidRPr="004111A7">
          <w:rPr>
            <w:noProof/>
            <w:webHidden/>
          </w:rPr>
          <w:instrText xml:space="preserve"> PAGEREF _Toc70603477 \h </w:instrText>
        </w:r>
        <w:r w:rsidR="00BF2D71" w:rsidRPr="004111A7">
          <w:rPr>
            <w:noProof/>
            <w:webHidden/>
          </w:rPr>
        </w:r>
        <w:r w:rsidR="00BF2D71" w:rsidRPr="004111A7">
          <w:rPr>
            <w:noProof/>
            <w:webHidden/>
          </w:rPr>
          <w:fldChar w:fldCharType="separate"/>
        </w:r>
        <w:r w:rsidR="00D040F4">
          <w:rPr>
            <w:noProof/>
            <w:webHidden/>
          </w:rPr>
          <w:t>53</w:t>
        </w:r>
        <w:r w:rsidR="00BF2D71" w:rsidRPr="004111A7">
          <w:rPr>
            <w:noProof/>
            <w:webHidden/>
          </w:rPr>
          <w:fldChar w:fldCharType="end"/>
        </w:r>
      </w:hyperlink>
    </w:p>
    <w:p w14:paraId="12A42909" w14:textId="798D3F9D" w:rsidR="00BF2D71" w:rsidRPr="004111A7" w:rsidRDefault="00663029">
      <w:pPr>
        <w:pStyle w:val="TOC2"/>
        <w:tabs>
          <w:tab w:val="left" w:pos="800"/>
        </w:tabs>
        <w:rPr>
          <w:rFonts w:asciiTheme="minorHAnsi" w:eastAsiaTheme="minorEastAsia" w:hAnsiTheme="minorHAnsi" w:cstheme="minorBidi"/>
          <w:noProof/>
          <w:sz w:val="22"/>
          <w:szCs w:val="22"/>
        </w:rPr>
      </w:pPr>
      <w:hyperlink w:anchor="_Toc70603478" w:history="1">
        <w:r w:rsidR="00BF2D71" w:rsidRPr="004111A7">
          <w:rPr>
            <w:rStyle w:val="Hyperlink"/>
            <w:noProof/>
          </w:rPr>
          <w:t>3.1</w:t>
        </w:r>
        <w:r w:rsidR="00BF2D71" w:rsidRPr="004111A7">
          <w:rPr>
            <w:rFonts w:asciiTheme="minorHAnsi" w:eastAsiaTheme="minorEastAsia" w:hAnsiTheme="minorHAnsi" w:cstheme="minorBidi"/>
            <w:noProof/>
            <w:sz w:val="22"/>
            <w:szCs w:val="22"/>
          </w:rPr>
          <w:tab/>
        </w:r>
        <w:r w:rsidR="00BF2D71" w:rsidRPr="004111A7">
          <w:rPr>
            <w:rStyle w:val="Hyperlink"/>
            <w:noProof/>
          </w:rPr>
          <w:t>Budgeted financial statements</w:t>
        </w:r>
        <w:r w:rsidR="00BF2D71" w:rsidRPr="004111A7">
          <w:rPr>
            <w:noProof/>
            <w:webHidden/>
          </w:rPr>
          <w:tab/>
        </w:r>
        <w:r w:rsidR="00BF2D71" w:rsidRPr="004111A7">
          <w:rPr>
            <w:noProof/>
            <w:webHidden/>
          </w:rPr>
          <w:fldChar w:fldCharType="begin"/>
        </w:r>
        <w:r w:rsidR="00BF2D71" w:rsidRPr="004111A7">
          <w:rPr>
            <w:noProof/>
            <w:webHidden/>
          </w:rPr>
          <w:instrText xml:space="preserve"> PAGEREF _Toc70603478 \h </w:instrText>
        </w:r>
        <w:r w:rsidR="00BF2D71" w:rsidRPr="004111A7">
          <w:rPr>
            <w:noProof/>
            <w:webHidden/>
          </w:rPr>
        </w:r>
        <w:r w:rsidR="00BF2D71" w:rsidRPr="004111A7">
          <w:rPr>
            <w:noProof/>
            <w:webHidden/>
          </w:rPr>
          <w:fldChar w:fldCharType="separate"/>
        </w:r>
        <w:r w:rsidR="00D040F4">
          <w:rPr>
            <w:noProof/>
            <w:webHidden/>
          </w:rPr>
          <w:t>53</w:t>
        </w:r>
        <w:r w:rsidR="00BF2D71" w:rsidRPr="004111A7">
          <w:rPr>
            <w:noProof/>
            <w:webHidden/>
          </w:rPr>
          <w:fldChar w:fldCharType="end"/>
        </w:r>
      </w:hyperlink>
    </w:p>
    <w:p w14:paraId="25DBBF68" w14:textId="767D989D" w:rsidR="00BA3488" w:rsidRPr="004111A7" w:rsidRDefault="00915F49" w:rsidP="00BF2D71">
      <w:pPr>
        <w:pStyle w:val="TOC1"/>
        <w:sectPr w:rsidR="00BA3488" w:rsidRPr="004111A7" w:rsidSect="00DA77D0">
          <w:headerReference w:type="even" r:id="rId15"/>
          <w:headerReference w:type="default" r:id="rId16"/>
          <w:footerReference w:type="even" r:id="rId17"/>
          <w:headerReference w:type="first" r:id="rId18"/>
          <w:footerReference w:type="first" r:id="rId19"/>
          <w:pgSz w:w="11906" w:h="16838" w:code="9"/>
          <w:pgMar w:top="2466" w:right="2098" w:bottom="2466" w:left="2098" w:header="1899" w:footer="1899" w:gutter="0"/>
          <w:cols w:space="708"/>
          <w:docGrid w:linePitch="360"/>
        </w:sectPr>
      </w:pPr>
      <w:r w:rsidRPr="004111A7">
        <w:fldChar w:fldCharType="end"/>
      </w:r>
    </w:p>
    <w:p w14:paraId="6FA1BE5E" w14:textId="4563EF2F" w:rsidR="00257FF4" w:rsidRPr="004111A7" w:rsidRDefault="00257FF4" w:rsidP="00C46DF4">
      <w:pPr>
        <w:pStyle w:val="Heading1-TOC"/>
      </w:pPr>
      <w:bookmarkStart w:id="1" w:name="_Toc71366642"/>
      <w:r w:rsidRPr="004111A7">
        <w:lastRenderedPageBreak/>
        <w:t xml:space="preserve">Department of </w:t>
      </w:r>
      <w:r w:rsidR="009D1B25" w:rsidRPr="004111A7">
        <w:t>Finance</w:t>
      </w:r>
      <w:bookmarkEnd w:id="1"/>
    </w:p>
    <w:p w14:paraId="2B111BC1" w14:textId="77777777" w:rsidR="00257FF4" w:rsidRPr="004111A7" w:rsidRDefault="00257FF4" w:rsidP="00257FF4">
      <w:pPr>
        <w:pStyle w:val="Heading2"/>
      </w:pPr>
      <w:bookmarkStart w:id="2" w:name="_Toc190682308"/>
      <w:bookmarkStart w:id="3" w:name="_Toc190682526"/>
      <w:bookmarkStart w:id="4" w:name="_Toc444523508"/>
      <w:bookmarkStart w:id="5" w:name="_Toc69382423"/>
      <w:bookmarkStart w:id="6" w:name="_Toc69385023"/>
      <w:bookmarkStart w:id="7" w:name="_Toc69385097"/>
      <w:bookmarkStart w:id="8" w:name="_Toc69735824"/>
      <w:bookmarkStart w:id="9" w:name="_Toc70603469"/>
      <w:r w:rsidRPr="004111A7">
        <w:t xml:space="preserve">Section 1: </w:t>
      </w:r>
      <w:r w:rsidR="007E6BBD" w:rsidRPr="004111A7">
        <w:t xml:space="preserve">Entity </w:t>
      </w:r>
      <w:r w:rsidR="00605163" w:rsidRPr="004111A7">
        <w:t>overview and resources</w:t>
      </w:r>
      <w:bookmarkEnd w:id="2"/>
      <w:bookmarkEnd w:id="3"/>
      <w:bookmarkEnd w:id="4"/>
      <w:bookmarkEnd w:id="5"/>
      <w:bookmarkEnd w:id="6"/>
      <w:bookmarkEnd w:id="7"/>
      <w:bookmarkEnd w:id="8"/>
      <w:bookmarkEnd w:id="9"/>
    </w:p>
    <w:p w14:paraId="4A627B7A" w14:textId="77777777" w:rsidR="00257FF4" w:rsidRPr="004111A7" w:rsidRDefault="00257FF4" w:rsidP="00257FF4">
      <w:pPr>
        <w:pStyle w:val="Heading3"/>
      </w:pPr>
      <w:bookmarkStart w:id="10" w:name="_Toc190682309"/>
      <w:bookmarkStart w:id="11" w:name="_Toc190682527"/>
      <w:bookmarkStart w:id="12" w:name="_Toc444523509"/>
      <w:bookmarkStart w:id="13" w:name="_Toc69382424"/>
      <w:bookmarkStart w:id="14" w:name="_Toc69385024"/>
      <w:bookmarkStart w:id="15" w:name="_Toc69385098"/>
      <w:bookmarkStart w:id="16" w:name="_Toc69735825"/>
      <w:bookmarkStart w:id="17" w:name="_Toc70603470"/>
      <w:r w:rsidRPr="004111A7">
        <w:t>1.1</w:t>
      </w:r>
      <w:r w:rsidRPr="004111A7">
        <w:tab/>
        <w:t xml:space="preserve">Strategic </w:t>
      </w:r>
      <w:r w:rsidR="00D81071" w:rsidRPr="004111A7">
        <w:t>direction</w:t>
      </w:r>
      <w:bookmarkEnd w:id="10"/>
      <w:bookmarkEnd w:id="11"/>
      <w:r w:rsidR="00D81071" w:rsidRPr="004111A7">
        <w:t xml:space="preserve"> </w:t>
      </w:r>
      <w:r w:rsidR="00605163" w:rsidRPr="004111A7">
        <w:t>statement</w:t>
      </w:r>
      <w:bookmarkEnd w:id="12"/>
      <w:bookmarkEnd w:id="13"/>
      <w:bookmarkEnd w:id="14"/>
      <w:bookmarkEnd w:id="15"/>
      <w:bookmarkEnd w:id="16"/>
      <w:bookmarkEnd w:id="17"/>
    </w:p>
    <w:p w14:paraId="2B8B582F" w14:textId="060AFCCA" w:rsidR="00A645D4" w:rsidRPr="004111A7" w:rsidRDefault="00A645D4" w:rsidP="00A645D4">
      <w:r w:rsidRPr="004111A7">
        <w:t>The Department of Finance (Finance) assists the Australian Government to achieve its fiscal and policy objectives by advising on expenditure, managing sustainable public sector resourcing, driving public sector transformation and delivering efficient, cost-effective services to, and for, government.</w:t>
      </w:r>
    </w:p>
    <w:p w14:paraId="1BC2C158" w14:textId="77777777" w:rsidR="00A645D4" w:rsidRPr="004111A7" w:rsidRDefault="00A645D4" w:rsidP="00A645D4">
      <w:pPr>
        <w:spacing w:line="240" w:lineRule="auto"/>
        <w:ind w:left="1560" w:hanging="1560"/>
        <w:rPr>
          <w:i/>
        </w:rPr>
      </w:pPr>
      <w:r w:rsidRPr="004111A7">
        <w:rPr>
          <w:b/>
          <w:i/>
        </w:rPr>
        <w:t>Outcome 1</w:t>
      </w:r>
      <w:r w:rsidRPr="004111A7">
        <w:rPr>
          <w:b/>
          <w:i/>
        </w:rPr>
        <w:tab/>
      </w:r>
      <w:r w:rsidRPr="004111A7">
        <w:rPr>
          <w:i/>
        </w:rPr>
        <w:t>Support sustainable Australian Government finances through providing high-quality policy advice and operational support to the government and Commonwealth entities to maintain effective and efficient use of public resources.</w:t>
      </w:r>
    </w:p>
    <w:p w14:paraId="197FFE46" w14:textId="77777777" w:rsidR="00A645D4" w:rsidRPr="004111A7" w:rsidRDefault="00A645D4" w:rsidP="00A645D4">
      <w:pPr>
        <w:spacing w:after="120" w:line="240" w:lineRule="auto"/>
      </w:pPr>
      <w:r w:rsidRPr="004111A7">
        <w:t>To achieve Outcome 1, Finance:</w:t>
      </w:r>
    </w:p>
    <w:p w14:paraId="5E4A8AD6" w14:textId="0BF4C8E9" w:rsidR="00A645D4" w:rsidRPr="004111A7" w:rsidRDefault="00A645D4" w:rsidP="00DF4D2A">
      <w:pPr>
        <w:numPr>
          <w:ilvl w:val="0"/>
          <w:numId w:val="12"/>
        </w:numPr>
        <w:autoSpaceDE w:val="0"/>
        <w:autoSpaceDN w:val="0"/>
        <w:spacing w:after="200" w:line="240" w:lineRule="auto"/>
        <w:ind w:left="567"/>
        <w:contextualSpacing/>
        <w:rPr>
          <w:rFonts w:eastAsia="Calibri"/>
          <w:lang w:val="en-US"/>
        </w:rPr>
      </w:pPr>
      <w:r w:rsidRPr="004111A7">
        <w:rPr>
          <w:rFonts w:eastAsia="Calibri"/>
          <w:lang w:val="en-US"/>
        </w:rPr>
        <w:t xml:space="preserve">assists the Government to develop and deliver its fiscal and economic policies by producing the Budget and the government’s financial </w:t>
      </w:r>
      <w:r w:rsidR="00F04CE6" w:rsidRPr="004111A7">
        <w:rPr>
          <w:rFonts w:eastAsia="Calibri"/>
          <w:lang w:val="en-US"/>
        </w:rPr>
        <w:t>statements</w:t>
      </w:r>
      <w:r w:rsidRPr="004111A7">
        <w:rPr>
          <w:rFonts w:eastAsia="Calibri"/>
          <w:lang w:val="en-US"/>
        </w:rPr>
        <w:t xml:space="preserve"> </w:t>
      </w:r>
    </w:p>
    <w:p w14:paraId="6CBD118D" w14:textId="77777777" w:rsidR="00A645D4" w:rsidRPr="004111A7" w:rsidRDefault="00A645D4" w:rsidP="00DF4D2A">
      <w:pPr>
        <w:numPr>
          <w:ilvl w:val="0"/>
          <w:numId w:val="12"/>
        </w:numPr>
        <w:autoSpaceDE w:val="0"/>
        <w:autoSpaceDN w:val="0"/>
        <w:spacing w:after="200" w:line="240" w:lineRule="auto"/>
        <w:ind w:left="567"/>
        <w:contextualSpacing/>
        <w:rPr>
          <w:rFonts w:eastAsia="Calibri"/>
          <w:lang w:val="en-US"/>
        </w:rPr>
      </w:pPr>
      <w:r w:rsidRPr="004111A7">
        <w:rPr>
          <w:rFonts w:eastAsia="Calibri"/>
          <w:lang w:val="en-US"/>
        </w:rPr>
        <w:t>contributes to the Government’s reform agenda by seeking to improve the effectiveness of government spending.</w:t>
      </w:r>
    </w:p>
    <w:p w14:paraId="2C5737F3" w14:textId="77777777" w:rsidR="00A645D4" w:rsidRPr="004111A7" w:rsidRDefault="00A645D4" w:rsidP="00A645D4">
      <w:pPr>
        <w:autoSpaceDE w:val="0"/>
        <w:autoSpaceDN w:val="0"/>
        <w:spacing w:after="200" w:line="240" w:lineRule="auto"/>
        <w:ind w:left="567"/>
        <w:contextualSpacing/>
        <w:rPr>
          <w:rFonts w:eastAsia="Calibri"/>
          <w:lang w:val="en-US"/>
        </w:rPr>
      </w:pPr>
    </w:p>
    <w:p w14:paraId="290A2425" w14:textId="77777777" w:rsidR="00A645D4" w:rsidRPr="004111A7" w:rsidRDefault="00A645D4" w:rsidP="00A645D4">
      <w:pPr>
        <w:autoSpaceDE w:val="0"/>
        <w:autoSpaceDN w:val="0"/>
        <w:spacing w:after="200" w:line="240" w:lineRule="auto"/>
        <w:ind w:left="567"/>
        <w:contextualSpacing/>
        <w:rPr>
          <w:rFonts w:eastAsia="Calibri"/>
          <w:lang w:val="en-US"/>
        </w:rPr>
      </w:pPr>
    </w:p>
    <w:p w14:paraId="05196222" w14:textId="6E9083A8" w:rsidR="00A645D4" w:rsidRPr="004111A7" w:rsidRDefault="00A645D4" w:rsidP="00A645D4">
      <w:pPr>
        <w:spacing w:line="240" w:lineRule="auto"/>
        <w:ind w:left="1560" w:hanging="1560"/>
        <w:rPr>
          <w:i/>
        </w:rPr>
      </w:pPr>
      <w:r w:rsidRPr="004111A7">
        <w:rPr>
          <w:b/>
          <w:i/>
        </w:rPr>
        <w:t>Outcome 2</w:t>
      </w:r>
      <w:r w:rsidRPr="004111A7">
        <w:rPr>
          <w:b/>
          <w:i/>
        </w:rPr>
        <w:tab/>
      </w:r>
      <w:r w:rsidRPr="004111A7">
        <w:rPr>
          <w:i/>
        </w:rPr>
        <w:t>Support an efficient and high-performing public sector through providing leadership to Commonwealth entities in ongoing improvements to public sector governance, including through systems, frameworks, policy, advice and service delivery.</w:t>
      </w:r>
    </w:p>
    <w:p w14:paraId="39D658CA" w14:textId="77777777" w:rsidR="00A645D4" w:rsidRPr="004111A7" w:rsidRDefault="00A645D4" w:rsidP="00A645D4">
      <w:pPr>
        <w:spacing w:after="120" w:line="240" w:lineRule="auto"/>
      </w:pPr>
      <w:r w:rsidRPr="004111A7">
        <w:t>To achieve Outcome 2, Finance:</w:t>
      </w:r>
    </w:p>
    <w:p w14:paraId="6F191E30" w14:textId="75C333DC" w:rsidR="00A645D4" w:rsidRPr="004111A7" w:rsidRDefault="00A645D4" w:rsidP="00DF4D2A">
      <w:pPr>
        <w:numPr>
          <w:ilvl w:val="0"/>
          <w:numId w:val="12"/>
        </w:numPr>
        <w:autoSpaceDE w:val="0"/>
        <w:autoSpaceDN w:val="0"/>
        <w:spacing w:after="200" w:line="240" w:lineRule="auto"/>
        <w:ind w:left="567"/>
        <w:contextualSpacing/>
        <w:rPr>
          <w:rFonts w:eastAsia="Calibri"/>
          <w:lang w:val="en-US"/>
        </w:rPr>
      </w:pPr>
      <w:r w:rsidRPr="004111A7">
        <w:rPr>
          <w:rFonts w:eastAsia="Calibri"/>
          <w:lang w:val="en-US"/>
        </w:rPr>
        <w:t xml:space="preserve">contributes to, and fosters, leading practice in public sector governance and accountability, encompassing the public resource management framework, procurement and grants policies and the oversight of GBEs and other commercial </w:t>
      </w:r>
      <w:r w:rsidR="00F04CE6" w:rsidRPr="004111A7">
        <w:rPr>
          <w:rFonts w:eastAsia="Calibri"/>
          <w:lang w:val="en-US"/>
        </w:rPr>
        <w:t>entities</w:t>
      </w:r>
      <w:r w:rsidR="00A0549D" w:rsidRPr="004111A7">
        <w:rPr>
          <w:rFonts w:eastAsia="Calibri"/>
          <w:lang w:val="en-US"/>
        </w:rPr>
        <w:t>;</w:t>
      </w:r>
    </w:p>
    <w:p w14:paraId="31A80B5A" w14:textId="75630A51" w:rsidR="00A645D4" w:rsidRPr="004111A7" w:rsidRDefault="00A645D4" w:rsidP="00DF4D2A">
      <w:pPr>
        <w:numPr>
          <w:ilvl w:val="0"/>
          <w:numId w:val="12"/>
        </w:numPr>
        <w:autoSpaceDE w:val="0"/>
        <w:autoSpaceDN w:val="0"/>
        <w:spacing w:after="200" w:line="240" w:lineRule="auto"/>
        <w:ind w:left="567"/>
        <w:contextualSpacing/>
        <w:rPr>
          <w:rFonts w:eastAsia="Calibri"/>
          <w:lang w:val="en-US"/>
        </w:rPr>
      </w:pPr>
      <w:r w:rsidRPr="004111A7">
        <w:rPr>
          <w:rFonts w:eastAsia="Calibri"/>
          <w:lang w:val="en-US"/>
        </w:rPr>
        <w:t>develops and administers key government policies in relation to Commonwealth land, public works and property management and advertising to ensure leading practice and ongoing improvement in the public sector management of government resourc</w:t>
      </w:r>
      <w:r w:rsidR="00F04CE6" w:rsidRPr="004111A7">
        <w:rPr>
          <w:rFonts w:eastAsia="Calibri"/>
          <w:lang w:val="en-US"/>
        </w:rPr>
        <w:t>es</w:t>
      </w:r>
      <w:r w:rsidR="00A0549D" w:rsidRPr="004111A7">
        <w:rPr>
          <w:rFonts w:eastAsia="Calibri"/>
          <w:lang w:val="en-US"/>
        </w:rPr>
        <w:t>;</w:t>
      </w:r>
    </w:p>
    <w:p w14:paraId="16C8558A" w14:textId="6649FF8A" w:rsidR="00A645D4" w:rsidRPr="004111A7" w:rsidRDefault="00A645D4" w:rsidP="00DF4D2A">
      <w:pPr>
        <w:numPr>
          <w:ilvl w:val="0"/>
          <w:numId w:val="12"/>
        </w:numPr>
        <w:autoSpaceDE w:val="0"/>
        <w:autoSpaceDN w:val="0"/>
        <w:spacing w:after="200" w:line="240" w:lineRule="auto"/>
        <w:ind w:left="567"/>
        <w:contextualSpacing/>
        <w:rPr>
          <w:rFonts w:eastAsia="Calibri"/>
          <w:lang w:val="en-US"/>
        </w:rPr>
      </w:pPr>
      <w:r w:rsidRPr="004111A7">
        <w:rPr>
          <w:rFonts w:eastAsia="Calibri"/>
          <w:lang w:val="en-US"/>
        </w:rPr>
        <w:t>delivers professional services in respect of the government’s non-Defence property portfolio within Australia (including major capital works projects), risk management and insur</w:t>
      </w:r>
      <w:r w:rsidR="001D68CF" w:rsidRPr="004111A7">
        <w:rPr>
          <w:rFonts w:eastAsia="Calibri"/>
          <w:lang w:val="en-US"/>
        </w:rPr>
        <w:t xml:space="preserve">ance arrangements (Comcover), </w:t>
      </w:r>
      <w:r w:rsidRPr="004111A7">
        <w:rPr>
          <w:rFonts w:eastAsia="Calibri"/>
          <w:lang w:val="en-US"/>
        </w:rPr>
        <w:t>WoAG purchasing arrangements (such as travel, office equipment, stationery) to ensure the efficient and effective management of government resources and certain corporate functions delivered</w:t>
      </w:r>
      <w:r w:rsidR="00F04CE6" w:rsidRPr="004111A7">
        <w:rPr>
          <w:rFonts w:eastAsia="Calibri"/>
          <w:lang w:val="en-US"/>
        </w:rPr>
        <w:t xml:space="preserve"> by the Service Delivery Office</w:t>
      </w:r>
      <w:r w:rsidR="00B1246C">
        <w:rPr>
          <w:rFonts w:eastAsia="Calibri"/>
          <w:lang w:val="en-US"/>
        </w:rPr>
        <w:t xml:space="preserve"> (SDO)</w:t>
      </w:r>
      <w:r w:rsidR="00A0549D" w:rsidRPr="004111A7">
        <w:rPr>
          <w:rFonts w:eastAsia="Calibri"/>
          <w:lang w:val="en-US"/>
        </w:rPr>
        <w:t>; and</w:t>
      </w:r>
    </w:p>
    <w:p w14:paraId="1E863A72" w14:textId="29453D1D" w:rsidR="00A645D4" w:rsidRPr="004111A7" w:rsidRDefault="00A645D4" w:rsidP="00DF4D2A">
      <w:pPr>
        <w:numPr>
          <w:ilvl w:val="0"/>
          <w:numId w:val="12"/>
        </w:numPr>
        <w:autoSpaceDE w:val="0"/>
        <w:autoSpaceDN w:val="0"/>
        <w:spacing w:after="200" w:line="240" w:lineRule="auto"/>
        <w:ind w:left="567"/>
        <w:contextualSpacing/>
        <w:rPr>
          <w:rFonts w:eastAsia="Calibri"/>
          <w:lang w:val="en-US"/>
        </w:rPr>
      </w:pPr>
      <w:r w:rsidRPr="004111A7">
        <w:rPr>
          <w:rFonts w:eastAsia="Calibri"/>
          <w:lang w:val="en-US"/>
        </w:rPr>
        <w:lastRenderedPageBreak/>
        <w:t>advises on the Government’s Investment Funds and administers superannuation arrangements for the Government’s civilian employees, politicians and judges to support the efficient and effective management of government resources.</w:t>
      </w:r>
    </w:p>
    <w:p w14:paraId="1E7CDA71" w14:textId="77777777" w:rsidR="00A645D4" w:rsidRPr="004111A7" w:rsidRDefault="00A645D4" w:rsidP="00A645D4">
      <w:pPr>
        <w:autoSpaceDE w:val="0"/>
        <w:autoSpaceDN w:val="0"/>
        <w:spacing w:after="200" w:line="240" w:lineRule="auto"/>
        <w:ind w:left="567"/>
        <w:contextualSpacing/>
        <w:rPr>
          <w:rFonts w:eastAsia="Calibri"/>
          <w:lang w:val="en-US"/>
        </w:rPr>
      </w:pPr>
    </w:p>
    <w:p w14:paraId="36D4EF47" w14:textId="77777777" w:rsidR="00A645D4" w:rsidRPr="004111A7" w:rsidRDefault="00A645D4" w:rsidP="00A645D4">
      <w:pPr>
        <w:autoSpaceDE w:val="0"/>
        <w:autoSpaceDN w:val="0"/>
        <w:spacing w:after="200" w:line="240" w:lineRule="auto"/>
        <w:ind w:left="567"/>
        <w:contextualSpacing/>
        <w:rPr>
          <w:rFonts w:eastAsia="Calibri"/>
          <w:lang w:val="en-US"/>
        </w:rPr>
      </w:pPr>
    </w:p>
    <w:p w14:paraId="21EC428C" w14:textId="26B57A37" w:rsidR="00A645D4" w:rsidRPr="004111A7" w:rsidRDefault="00A645D4" w:rsidP="00A645D4">
      <w:pPr>
        <w:spacing w:line="240" w:lineRule="auto"/>
        <w:ind w:left="1560" w:hanging="1560"/>
        <w:rPr>
          <w:i/>
        </w:rPr>
      </w:pPr>
      <w:r w:rsidRPr="004111A7">
        <w:rPr>
          <w:b/>
          <w:i/>
        </w:rPr>
        <w:t>Outcome 3</w:t>
      </w:r>
      <w:r w:rsidRPr="004111A7">
        <w:rPr>
          <w:b/>
          <w:i/>
        </w:rPr>
        <w:tab/>
      </w:r>
      <w:r w:rsidRPr="004111A7">
        <w:rPr>
          <w:i/>
        </w:rPr>
        <w:t>Support for parliamentarians and others as required by the Australian Government through the delivery of</w:t>
      </w:r>
      <w:r w:rsidR="00FA135D">
        <w:rPr>
          <w:i/>
        </w:rPr>
        <w:t>,</w:t>
      </w:r>
      <w:r w:rsidRPr="004111A7">
        <w:rPr>
          <w:i/>
        </w:rPr>
        <w:t xml:space="preserve"> and advice on, work expenses and allowances, entitlements and targeted programs.</w:t>
      </w:r>
    </w:p>
    <w:p w14:paraId="7FC1C0D5" w14:textId="77777777" w:rsidR="00A645D4" w:rsidRPr="004111A7" w:rsidRDefault="00A645D4" w:rsidP="00A645D4">
      <w:pPr>
        <w:spacing w:after="120" w:line="240" w:lineRule="auto"/>
      </w:pPr>
      <w:r w:rsidRPr="004111A7">
        <w:t>To achieve Outcome 3, Finance provides advice and services to Ministers, Office</w:t>
      </w:r>
      <w:r w:rsidRPr="004111A7">
        <w:noBreakHyphen/>
        <w:t>holders, Senators, Members, their staff and others as required by the government.</w:t>
      </w:r>
    </w:p>
    <w:p w14:paraId="5A425E2D" w14:textId="77777777" w:rsidR="00257FF4" w:rsidRPr="004111A7" w:rsidRDefault="000B36D8" w:rsidP="0079797F">
      <w:pPr>
        <w:pStyle w:val="Heading3"/>
      </w:pPr>
      <w:bookmarkStart w:id="18" w:name="_Toc190682310"/>
      <w:bookmarkStart w:id="19" w:name="_Toc190682528"/>
      <w:bookmarkStart w:id="20" w:name="_GoBack"/>
      <w:bookmarkEnd w:id="20"/>
      <w:r w:rsidRPr="004111A7">
        <w:br w:type="page"/>
      </w:r>
      <w:bookmarkStart w:id="21" w:name="_Toc444523510"/>
      <w:bookmarkStart w:id="22" w:name="_Toc69382425"/>
      <w:bookmarkStart w:id="23" w:name="_Toc69385025"/>
      <w:bookmarkStart w:id="24" w:name="_Toc69385099"/>
      <w:bookmarkStart w:id="25" w:name="_Toc69735826"/>
      <w:bookmarkStart w:id="26" w:name="_Toc70603471"/>
      <w:r w:rsidR="00257FF4" w:rsidRPr="004111A7">
        <w:lastRenderedPageBreak/>
        <w:t>1.2</w:t>
      </w:r>
      <w:r w:rsidR="00257FF4" w:rsidRPr="004111A7">
        <w:tab/>
      </w:r>
      <w:r w:rsidR="007E6BBD" w:rsidRPr="004111A7">
        <w:t xml:space="preserve">Entity </w:t>
      </w:r>
      <w:r w:rsidR="00257FF4" w:rsidRPr="004111A7">
        <w:t>resource statement</w:t>
      </w:r>
      <w:bookmarkEnd w:id="18"/>
      <w:bookmarkEnd w:id="19"/>
      <w:bookmarkEnd w:id="21"/>
      <w:bookmarkEnd w:id="22"/>
      <w:bookmarkEnd w:id="23"/>
      <w:bookmarkEnd w:id="24"/>
      <w:bookmarkEnd w:id="25"/>
      <w:bookmarkEnd w:id="26"/>
    </w:p>
    <w:p w14:paraId="3F23C8D4" w14:textId="77777777" w:rsidR="00E1129E" w:rsidRPr="004111A7" w:rsidRDefault="00257FF4" w:rsidP="00257FF4">
      <w:bookmarkStart w:id="27" w:name="OLE_LINK11"/>
      <w:bookmarkStart w:id="28" w:name="OLE_LINK12"/>
      <w:r w:rsidRPr="004111A7">
        <w:t xml:space="preserve">Table 1.1 shows the total </w:t>
      </w:r>
      <w:r w:rsidR="00E1129E" w:rsidRPr="004111A7">
        <w:t xml:space="preserve">funding </w:t>
      </w:r>
      <w:r w:rsidRPr="004111A7">
        <w:t>from all</w:t>
      </w:r>
      <w:r w:rsidR="00BB721D" w:rsidRPr="004111A7">
        <w:t xml:space="preserve"> sources</w:t>
      </w:r>
      <w:r w:rsidR="00331B40" w:rsidRPr="004111A7">
        <w:t xml:space="preserve"> available to the entity for its operations and to deliver </w:t>
      </w:r>
      <w:r w:rsidR="00290933" w:rsidRPr="004111A7">
        <w:t>programs</w:t>
      </w:r>
      <w:r w:rsidR="00331B40" w:rsidRPr="004111A7">
        <w:t xml:space="preserve"> and servic</w:t>
      </w:r>
      <w:r w:rsidR="00705BC0" w:rsidRPr="004111A7">
        <w:t>es on behalf of the G</w:t>
      </w:r>
      <w:r w:rsidR="00331B40" w:rsidRPr="004111A7">
        <w:t>overnment</w:t>
      </w:r>
      <w:r w:rsidR="005A7C0B" w:rsidRPr="004111A7">
        <w:t>.</w:t>
      </w:r>
    </w:p>
    <w:p w14:paraId="5ADC36BE" w14:textId="3897C68F" w:rsidR="00257FF4" w:rsidRPr="004111A7" w:rsidRDefault="00257FF4" w:rsidP="00257FF4">
      <w:r w:rsidRPr="004111A7">
        <w:t xml:space="preserve">The table summarises how resources will be applied by outcome </w:t>
      </w:r>
      <w:r w:rsidR="00331B40" w:rsidRPr="004111A7">
        <w:t>(government strategic policy objectives</w:t>
      </w:r>
      <w:r w:rsidR="00E1129E" w:rsidRPr="004111A7">
        <w:t>)</w:t>
      </w:r>
      <w:r w:rsidR="00705BC0" w:rsidRPr="004111A7">
        <w:t xml:space="preserve"> </w:t>
      </w:r>
      <w:r w:rsidRPr="004111A7">
        <w:t xml:space="preserve">and by administered </w:t>
      </w:r>
      <w:r w:rsidR="00705BC0" w:rsidRPr="004111A7">
        <w:t>(on behalf of the G</w:t>
      </w:r>
      <w:r w:rsidR="00331B40" w:rsidRPr="004111A7">
        <w:t xml:space="preserve">overnment or the public) </w:t>
      </w:r>
      <w:r w:rsidRPr="004111A7">
        <w:t xml:space="preserve">and departmental </w:t>
      </w:r>
      <w:r w:rsidR="00331B40" w:rsidRPr="004111A7">
        <w:t xml:space="preserve">(for </w:t>
      </w:r>
      <w:r w:rsidR="00A645D4" w:rsidRPr="004111A7">
        <w:t>Finance’s</w:t>
      </w:r>
      <w:r w:rsidR="00331B40" w:rsidRPr="004111A7">
        <w:t xml:space="preserve"> operations) </w:t>
      </w:r>
      <w:r w:rsidRPr="004111A7">
        <w:t>classification.</w:t>
      </w:r>
    </w:p>
    <w:p w14:paraId="4D2D0D09" w14:textId="77777777" w:rsidR="009F43CB" w:rsidRPr="004111A7" w:rsidRDefault="00331B40" w:rsidP="00257FF4">
      <w:r w:rsidRPr="004111A7">
        <w:t xml:space="preserve">For more detailed information on special accounts and special appropriations, please refer to </w:t>
      </w:r>
      <w:r w:rsidRPr="004111A7">
        <w:rPr>
          <w:i/>
        </w:rPr>
        <w:t>Budget Paper No. 4 – Agency Resourcing</w:t>
      </w:r>
      <w:r w:rsidRPr="004111A7">
        <w:t>.</w:t>
      </w:r>
    </w:p>
    <w:p w14:paraId="5459EF54" w14:textId="5681165B" w:rsidR="00645E69" w:rsidRPr="004111A7" w:rsidRDefault="00645E69" w:rsidP="00257FF4">
      <w:r w:rsidRPr="004111A7">
        <w:t>Information in this table is presented on a resourcing (</w:t>
      </w:r>
      <w:r w:rsidR="005A7C0B" w:rsidRPr="004111A7">
        <w:t>that is,</w:t>
      </w:r>
      <w:r w:rsidRPr="004111A7">
        <w:t xml:space="preserve"> </w:t>
      </w:r>
      <w:r w:rsidR="00061FD8" w:rsidRPr="004111A7">
        <w:t>appropriations/cash</w:t>
      </w:r>
      <w:r w:rsidR="00565C77" w:rsidRPr="004111A7">
        <w:t xml:space="preserve"> available</w:t>
      </w:r>
      <w:r w:rsidRPr="004111A7">
        <w:t xml:space="preserve">) basis, whilst the </w:t>
      </w:r>
      <w:r w:rsidR="00E1129E" w:rsidRPr="004111A7">
        <w:t xml:space="preserve">‘Budgeted expenses by </w:t>
      </w:r>
      <w:r w:rsidR="00D568CF" w:rsidRPr="004111A7">
        <w:t>Outcome</w:t>
      </w:r>
      <w:r w:rsidR="00E7371B" w:rsidRPr="004111A7">
        <w:t xml:space="preserve">’ </w:t>
      </w:r>
      <w:r w:rsidRPr="004111A7">
        <w:t>tables in Section 2 and the financial statements in Section 3 are</w:t>
      </w:r>
      <w:r w:rsidR="00831489" w:rsidRPr="004111A7">
        <w:t xml:space="preserve"> presented on an accrual basis.</w:t>
      </w:r>
    </w:p>
    <w:bookmarkEnd w:id="27"/>
    <w:bookmarkEnd w:id="28"/>
    <w:p w14:paraId="354A30DE" w14:textId="450CFF70" w:rsidR="00CB2844" w:rsidRPr="004111A7" w:rsidRDefault="00E92644" w:rsidP="00D44150">
      <w:pPr>
        <w:pStyle w:val="TableHeading"/>
        <w:rPr>
          <w:b w:val="0"/>
          <w:lang w:val="en-AU"/>
        </w:rPr>
      </w:pPr>
      <w:r w:rsidRPr="004111A7">
        <w:br w:type="page"/>
      </w:r>
      <w:r w:rsidR="00741BF8" w:rsidRPr="004111A7">
        <w:lastRenderedPageBreak/>
        <w:t xml:space="preserve">Table 1.1: </w:t>
      </w:r>
      <w:r w:rsidR="00A645D4" w:rsidRPr="004111A7">
        <w:t>Department of Finance</w:t>
      </w:r>
      <w:r w:rsidR="00741BF8" w:rsidRPr="004111A7">
        <w:t xml:space="preserve"> resource statement</w:t>
      </w:r>
      <w:r w:rsidR="0066176D" w:rsidRPr="004111A7">
        <w:t xml:space="preserve"> — Budget estimates for </w:t>
      </w:r>
      <w:r w:rsidR="00FC6CF3" w:rsidRPr="004111A7">
        <w:rPr>
          <w:lang w:val="en-AU"/>
        </w:rPr>
        <w:t>2021-22</w:t>
      </w:r>
      <w:r w:rsidR="0066176D" w:rsidRPr="004111A7">
        <w:t xml:space="preserve"> </w:t>
      </w:r>
      <w:r w:rsidR="00741BF8" w:rsidRPr="004111A7">
        <w:t xml:space="preserve">as at Budget </w:t>
      </w:r>
      <w:r w:rsidR="00ED3B06" w:rsidRPr="004111A7">
        <w:rPr>
          <w:lang w:val="en-AU"/>
        </w:rPr>
        <w:t>May</w:t>
      </w:r>
      <w:r w:rsidR="00ED3B06" w:rsidRPr="004111A7">
        <w:t xml:space="preserve"> </w:t>
      </w:r>
      <w:r w:rsidR="00FC6CF3" w:rsidRPr="004111A7">
        <w:rPr>
          <w:lang w:val="en-AU"/>
        </w:rPr>
        <w:t>2021</w:t>
      </w:r>
    </w:p>
    <w:p w14:paraId="7A41826C" w14:textId="0A67256B" w:rsidR="00F94E8C" w:rsidRPr="004111A7" w:rsidRDefault="00B564C0" w:rsidP="009763C1">
      <w:pPr>
        <w:pStyle w:val="TableGraphic"/>
        <w:rPr>
          <w:rFonts w:ascii="Arial" w:hAnsi="Arial"/>
          <w:color w:val="000000"/>
          <w:lang w:val="x-none" w:eastAsia="x-none"/>
        </w:rPr>
      </w:pPr>
      <w:r w:rsidRPr="00B564C0">
        <w:rPr>
          <w:noProof/>
        </w:rPr>
        <w:drawing>
          <wp:inline distT="0" distB="0" distL="0" distR="0" wp14:anchorId="25CA5E7A" wp14:editId="43B4CE9D">
            <wp:extent cx="4610100" cy="5975350"/>
            <wp:effectExtent l="0" t="0" r="0" b="635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10100" cy="5975350"/>
                    </a:xfrm>
                    <a:prstGeom prst="rect">
                      <a:avLst/>
                    </a:prstGeom>
                    <a:noFill/>
                    <a:ln>
                      <a:noFill/>
                    </a:ln>
                  </pic:spPr>
                </pic:pic>
              </a:graphicData>
            </a:graphic>
          </wp:inline>
        </w:drawing>
      </w:r>
    </w:p>
    <w:p w14:paraId="3E3557E7" w14:textId="78232551" w:rsidR="0066176D" w:rsidRPr="004111A7" w:rsidRDefault="00985164" w:rsidP="00985164">
      <w:pPr>
        <w:pStyle w:val="ChartandTableFootnote"/>
        <w:rPr>
          <w:lang w:val="en-AU"/>
        </w:rPr>
      </w:pPr>
      <w:r w:rsidRPr="004111A7">
        <w:rPr>
          <w:lang w:val="en-AU"/>
        </w:rPr>
        <w:t>Table continues on next page</w:t>
      </w:r>
      <w:r w:rsidR="00D44150" w:rsidRPr="004111A7">
        <w:br w:type="page"/>
      </w:r>
      <w:r w:rsidR="0066176D" w:rsidRPr="004111A7">
        <w:rPr>
          <w:b/>
          <w:sz w:val="20"/>
        </w:rPr>
        <w:lastRenderedPageBreak/>
        <w:t xml:space="preserve">Table 1.1: </w:t>
      </w:r>
      <w:r w:rsidR="00A645D4" w:rsidRPr="004111A7">
        <w:rPr>
          <w:b/>
          <w:sz w:val="20"/>
        </w:rPr>
        <w:t>Department of Finance</w:t>
      </w:r>
      <w:r w:rsidR="0066176D" w:rsidRPr="004111A7">
        <w:rPr>
          <w:b/>
          <w:sz w:val="20"/>
        </w:rPr>
        <w:t xml:space="preserve"> resource statement — Budget estimates for </w:t>
      </w:r>
      <w:r w:rsidR="00FC6CF3" w:rsidRPr="004111A7">
        <w:rPr>
          <w:b/>
          <w:sz w:val="20"/>
        </w:rPr>
        <w:t>2021-22</w:t>
      </w:r>
      <w:r w:rsidR="0066176D" w:rsidRPr="004111A7">
        <w:rPr>
          <w:b/>
          <w:sz w:val="20"/>
        </w:rPr>
        <w:t xml:space="preserve"> as at Budget </w:t>
      </w:r>
      <w:r w:rsidR="00ED3B06" w:rsidRPr="004111A7">
        <w:rPr>
          <w:b/>
          <w:sz w:val="20"/>
        </w:rPr>
        <w:t xml:space="preserve">May </w:t>
      </w:r>
      <w:r w:rsidR="00FC6CF3" w:rsidRPr="004111A7">
        <w:rPr>
          <w:b/>
          <w:sz w:val="20"/>
        </w:rPr>
        <w:t>2021</w:t>
      </w:r>
      <w:r w:rsidR="0066176D" w:rsidRPr="004111A7">
        <w:rPr>
          <w:b/>
          <w:sz w:val="20"/>
        </w:rPr>
        <w:t xml:space="preserve"> (continued)</w:t>
      </w:r>
    </w:p>
    <w:p w14:paraId="38AC387F" w14:textId="1B0CAA5F" w:rsidR="00CE4D05" w:rsidRPr="004111A7" w:rsidRDefault="00B564C0" w:rsidP="009763C1">
      <w:pPr>
        <w:pStyle w:val="TableGraphic"/>
      </w:pPr>
      <w:r w:rsidRPr="00B564C0">
        <w:rPr>
          <w:noProof/>
        </w:rPr>
        <w:drawing>
          <wp:inline distT="0" distB="0" distL="0" distR="0" wp14:anchorId="14CD9BE7" wp14:editId="203B3929">
            <wp:extent cx="4610100" cy="253365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10100" cy="2533650"/>
                    </a:xfrm>
                    <a:prstGeom prst="rect">
                      <a:avLst/>
                    </a:prstGeom>
                    <a:noFill/>
                    <a:ln>
                      <a:noFill/>
                    </a:ln>
                  </pic:spPr>
                </pic:pic>
              </a:graphicData>
            </a:graphic>
          </wp:inline>
        </w:drawing>
      </w:r>
    </w:p>
    <w:p w14:paraId="200C632C" w14:textId="77777777" w:rsidR="00985164" w:rsidRPr="004111A7" w:rsidRDefault="00985164" w:rsidP="00985164">
      <w:pPr>
        <w:pStyle w:val="ChartandTableFootnote"/>
      </w:pPr>
      <w:r w:rsidRPr="004111A7">
        <w:t>All figures shown above are GST exclusive - these may not match figures in the cash flow statement.</w:t>
      </w:r>
    </w:p>
    <w:p w14:paraId="1645617C" w14:textId="77777777" w:rsidR="00985164" w:rsidRPr="004111A7" w:rsidRDefault="00985164" w:rsidP="00985164">
      <w:pPr>
        <w:pStyle w:val="ChartandTableFootnote"/>
      </w:pPr>
      <w:r w:rsidRPr="004111A7">
        <w:t>Prepared on a resourcing (</w:t>
      </w:r>
      <w:r w:rsidRPr="004111A7">
        <w:rPr>
          <w:lang w:val="en-AU"/>
        </w:rPr>
        <w:t>that is,</w:t>
      </w:r>
      <w:r w:rsidRPr="004111A7">
        <w:t xml:space="preserve"> appropriations available) basis.</w:t>
      </w:r>
    </w:p>
    <w:p w14:paraId="370A16B7" w14:textId="2270DD25" w:rsidR="00985164" w:rsidRPr="004111A7" w:rsidRDefault="00985164" w:rsidP="00985164">
      <w:pPr>
        <w:pStyle w:val="ChartandTableFootnoteAlpha"/>
        <w:rPr>
          <w:color w:val="000000"/>
        </w:rPr>
      </w:pPr>
      <w:r w:rsidRPr="004111A7">
        <w:rPr>
          <w:color w:val="000000"/>
        </w:rPr>
        <w:t xml:space="preserve">Appropriation Bill (No. 1) 2021-22. </w:t>
      </w:r>
      <w:r w:rsidRPr="004111A7">
        <w:rPr>
          <w:color w:val="000000"/>
        </w:rPr>
        <w:tab/>
      </w:r>
      <w:r w:rsidRPr="004111A7">
        <w:rPr>
          <w:color w:val="000000"/>
        </w:rPr>
        <w:tab/>
      </w:r>
    </w:p>
    <w:p w14:paraId="191629A6" w14:textId="0E69E8DB" w:rsidR="00985164" w:rsidRPr="004111A7" w:rsidRDefault="00985164" w:rsidP="00985164">
      <w:pPr>
        <w:pStyle w:val="ChartandTableFootnoteAlpha"/>
        <w:rPr>
          <w:color w:val="000000"/>
        </w:rPr>
      </w:pPr>
      <w:r w:rsidRPr="004111A7">
        <w:rPr>
          <w:color w:val="000000"/>
        </w:rPr>
        <w:t>Represents estimated unspent ap</w:t>
      </w:r>
      <w:r w:rsidR="00C1088B" w:rsidRPr="004111A7">
        <w:rPr>
          <w:color w:val="000000"/>
        </w:rPr>
        <w:t>propriations available from 2019-20</w:t>
      </w:r>
      <w:r w:rsidRPr="004111A7">
        <w:rPr>
          <w:color w:val="000000"/>
        </w:rPr>
        <w:t>.</w:t>
      </w:r>
      <w:r w:rsidRPr="004111A7">
        <w:rPr>
          <w:color w:val="000000"/>
        </w:rPr>
        <w:tab/>
      </w:r>
      <w:r w:rsidRPr="004111A7">
        <w:rPr>
          <w:color w:val="000000"/>
        </w:rPr>
        <w:tab/>
      </w:r>
    </w:p>
    <w:p w14:paraId="02487D81" w14:textId="7993F34A" w:rsidR="00985164" w:rsidRPr="004111A7" w:rsidRDefault="00985164" w:rsidP="00985164">
      <w:pPr>
        <w:pStyle w:val="ChartandTableFootnoteAlpha"/>
        <w:rPr>
          <w:color w:val="000000"/>
        </w:rPr>
      </w:pPr>
      <w:r w:rsidRPr="004111A7">
        <w:rPr>
          <w:color w:val="000000"/>
        </w:rPr>
        <w:t>Excludes departmental capital budget (DCB).</w:t>
      </w:r>
      <w:r w:rsidRPr="004111A7">
        <w:rPr>
          <w:color w:val="000000"/>
        </w:rPr>
        <w:tab/>
      </w:r>
      <w:r w:rsidRPr="004111A7">
        <w:rPr>
          <w:color w:val="000000"/>
        </w:rPr>
        <w:tab/>
      </w:r>
    </w:p>
    <w:p w14:paraId="32037A2F" w14:textId="554A578C" w:rsidR="00985164" w:rsidRPr="004111A7" w:rsidRDefault="00985164" w:rsidP="00985164">
      <w:pPr>
        <w:pStyle w:val="ChartandTableFootnoteAlpha"/>
        <w:rPr>
          <w:color w:val="000000"/>
        </w:rPr>
      </w:pPr>
      <w:r w:rsidRPr="004111A7">
        <w:rPr>
          <w:color w:val="000000"/>
        </w:rPr>
        <w:t xml:space="preserve">Estimated retained revenue receipts under section 74 of the </w:t>
      </w:r>
      <w:r w:rsidRPr="004111A7">
        <w:rPr>
          <w:i/>
          <w:color w:val="000000"/>
        </w:rPr>
        <w:t>Public Governance, Performance and Accountability Act 2013</w:t>
      </w:r>
      <w:r w:rsidRPr="004111A7">
        <w:rPr>
          <w:color w:val="000000"/>
        </w:rPr>
        <w:t xml:space="preserve"> (PGPA Act).</w:t>
      </w:r>
      <w:r w:rsidRPr="004111A7">
        <w:rPr>
          <w:color w:val="000000"/>
        </w:rPr>
        <w:tab/>
      </w:r>
      <w:r w:rsidRPr="004111A7">
        <w:rPr>
          <w:color w:val="000000"/>
        </w:rPr>
        <w:tab/>
      </w:r>
    </w:p>
    <w:p w14:paraId="4A731905" w14:textId="43B7C898" w:rsidR="00985164" w:rsidRPr="004111A7" w:rsidRDefault="00985164" w:rsidP="00985164">
      <w:pPr>
        <w:pStyle w:val="ChartandTableFootnoteAlpha"/>
        <w:rPr>
          <w:color w:val="000000"/>
        </w:rPr>
      </w:pPr>
      <w:r w:rsidRPr="004111A7">
        <w:rPr>
          <w:color w:val="000000"/>
        </w:rPr>
        <w:t>Departmental capital budgets are not separately identified in Appropriation Bill (No.1) and form part of ordinary annual services items. Please refer to Table 3.5 for further details. For accounting purposes, this amount has been designated as a 'contribution by owner'.</w:t>
      </w:r>
      <w:r w:rsidRPr="004111A7">
        <w:rPr>
          <w:color w:val="000000"/>
        </w:rPr>
        <w:tab/>
      </w:r>
      <w:r w:rsidRPr="004111A7">
        <w:rPr>
          <w:color w:val="000000"/>
        </w:rPr>
        <w:tab/>
      </w:r>
    </w:p>
    <w:p w14:paraId="3C93AB49" w14:textId="2F29452C" w:rsidR="00985164" w:rsidRPr="004111A7" w:rsidRDefault="00985164" w:rsidP="00985164">
      <w:pPr>
        <w:pStyle w:val="ChartandTableFootnoteAlpha"/>
        <w:rPr>
          <w:color w:val="000000"/>
        </w:rPr>
      </w:pPr>
      <w:r w:rsidRPr="004111A7">
        <w:rPr>
          <w:color w:val="000000"/>
        </w:rPr>
        <w:t>Appropriation Bill (No. 2) 2021-22.</w:t>
      </w:r>
      <w:r w:rsidRPr="004111A7">
        <w:rPr>
          <w:color w:val="000000"/>
        </w:rPr>
        <w:tab/>
      </w:r>
      <w:r w:rsidRPr="004111A7">
        <w:rPr>
          <w:color w:val="000000"/>
        </w:rPr>
        <w:tab/>
      </w:r>
    </w:p>
    <w:p w14:paraId="081EDA87" w14:textId="76115592" w:rsidR="00985164" w:rsidRPr="004111A7" w:rsidRDefault="00985164" w:rsidP="00985164">
      <w:pPr>
        <w:pStyle w:val="ChartandTableFootnoteAlpha"/>
        <w:rPr>
          <w:color w:val="000000"/>
        </w:rPr>
      </w:pPr>
      <w:r w:rsidRPr="004111A7">
        <w:rPr>
          <w:color w:val="000000"/>
        </w:rPr>
        <w:t xml:space="preserve">For further information on special appropriations and special accounts, please refer to </w:t>
      </w:r>
      <w:r w:rsidRPr="004111A7">
        <w:rPr>
          <w:i/>
          <w:color w:val="000000"/>
        </w:rPr>
        <w:t>Budget Paper No.4 - Agency Resourcing</w:t>
      </w:r>
      <w:r w:rsidRPr="004111A7">
        <w:rPr>
          <w:color w:val="000000"/>
        </w:rPr>
        <w:t>. Please also refer to Table 2.1</w:t>
      </w:r>
      <w:r w:rsidR="00676339" w:rsidRPr="004111A7">
        <w:rPr>
          <w:color w:val="000000"/>
        </w:rPr>
        <w:t>.1</w:t>
      </w:r>
      <w:r w:rsidRPr="004111A7">
        <w:rPr>
          <w:color w:val="000000"/>
        </w:rPr>
        <w:t>, 2.2.1 and 2.3.1 for further information on outcome and program expenses broken down by various funding sources, e.g. annual appropriations, special appropriations and special accounts.</w:t>
      </w:r>
      <w:r w:rsidRPr="004111A7">
        <w:rPr>
          <w:color w:val="000000"/>
        </w:rPr>
        <w:tab/>
      </w:r>
      <w:r w:rsidRPr="004111A7">
        <w:rPr>
          <w:color w:val="000000"/>
        </w:rPr>
        <w:tab/>
      </w:r>
    </w:p>
    <w:p w14:paraId="22B219B4" w14:textId="21450AC0" w:rsidR="00985164" w:rsidRPr="004111A7" w:rsidRDefault="00985164" w:rsidP="00985164">
      <w:pPr>
        <w:pStyle w:val="ChartandTableFootnoteAlpha"/>
        <w:rPr>
          <w:color w:val="000000"/>
        </w:rPr>
      </w:pPr>
      <w:r w:rsidRPr="004111A7">
        <w:rPr>
          <w:color w:val="000000"/>
        </w:rPr>
        <w:t xml:space="preserve">Amounts credited to the special account(s) from </w:t>
      </w:r>
      <w:r w:rsidR="00D65C60" w:rsidRPr="004111A7">
        <w:rPr>
          <w:color w:val="000000"/>
        </w:rPr>
        <w:t>Finance’s</w:t>
      </w:r>
      <w:r w:rsidRPr="004111A7">
        <w:rPr>
          <w:color w:val="000000"/>
        </w:rPr>
        <w:t xml:space="preserve"> annu</w:t>
      </w:r>
      <w:r w:rsidR="00676339" w:rsidRPr="004111A7">
        <w:rPr>
          <w:color w:val="000000"/>
        </w:rPr>
        <w:t>al and special appropriations.</w:t>
      </w:r>
    </w:p>
    <w:p w14:paraId="2E301842" w14:textId="7CD50658" w:rsidR="00985164" w:rsidRPr="004111A7" w:rsidRDefault="00985164" w:rsidP="00985164">
      <w:pPr>
        <w:pStyle w:val="ChartandTableFootnoteAlpha"/>
        <w:rPr>
          <w:color w:val="000000"/>
        </w:rPr>
      </w:pPr>
      <w:r w:rsidRPr="004111A7">
        <w:rPr>
          <w:color w:val="000000"/>
        </w:rPr>
        <w:t>Administered capital budgets are not separately identified in Appropriation Bill (No. 1) and form part of ordinary annual services items. Please refer to Table 3.10 for further details. For accounting purposes, this amount is designated as a 'contribution by owner'.</w:t>
      </w:r>
      <w:r w:rsidRPr="004111A7">
        <w:rPr>
          <w:color w:val="000000"/>
        </w:rPr>
        <w:tab/>
      </w:r>
      <w:r w:rsidRPr="004111A7">
        <w:rPr>
          <w:color w:val="000000"/>
        </w:rPr>
        <w:tab/>
      </w:r>
    </w:p>
    <w:p w14:paraId="1F7A1DB3" w14:textId="7BF67324" w:rsidR="0066176D" w:rsidRPr="004111A7" w:rsidRDefault="0066176D" w:rsidP="0066176D">
      <w:pPr>
        <w:pStyle w:val="TableHeading"/>
      </w:pPr>
      <w:r w:rsidRPr="004111A7">
        <w:br w:type="page"/>
      </w:r>
    </w:p>
    <w:p w14:paraId="65A2B94A" w14:textId="77777777" w:rsidR="00621C51" w:rsidRPr="004111A7" w:rsidRDefault="00621C51" w:rsidP="00C7638D">
      <w:pPr>
        <w:pStyle w:val="TableHeading"/>
      </w:pPr>
      <w:r w:rsidRPr="004111A7">
        <w:lastRenderedPageBreak/>
        <w:t>Table 1.1: Department of Finance resource statement — Budget estimates for 2021-22 as at Budget May 2021 (continued)</w:t>
      </w:r>
    </w:p>
    <w:p w14:paraId="2AD21B45" w14:textId="1A2A58F0" w:rsidR="00C7638D" w:rsidRPr="004111A7" w:rsidRDefault="00C7638D" w:rsidP="00C7638D">
      <w:pPr>
        <w:pStyle w:val="TableHeading"/>
      </w:pPr>
      <w:r w:rsidRPr="004111A7">
        <w:t xml:space="preserve">Third party payments from and on behalf of other </w:t>
      </w:r>
      <w:r w:rsidR="00422F4B" w:rsidRPr="004111A7">
        <w:t>entities</w:t>
      </w:r>
    </w:p>
    <w:p w14:paraId="2E5D3A4A" w14:textId="764EB354" w:rsidR="002376AD" w:rsidRPr="004111A7" w:rsidRDefault="00B564C0" w:rsidP="00C946DC">
      <w:pPr>
        <w:pStyle w:val="TableGraphic"/>
      </w:pPr>
      <w:bookmarkStart w:id="29" w:name="_Toc190682311"/>
      <w:bookmarkStart w:id="30" w:name="_Toc190682529"/>
      <w:r w:rsidRPr="00B564C0">
        <w:rPr>
          <w:noProof/>
        </w:rPr>
        <w:drawing>
          <wp:inline distT="0" distB="0" distL="0" distR="0" wp14:anchorId="47DB637A" wp14:editId="3D440A5F">
            <wp:extent cx="4610100" cy="5918200"/>
            <wp:effectExtent l="0" t="0" r="0" b="635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10100" cy="5918200"/>
                    </a:xfrm>
                    <a:prstGeom prst="rect">
                      <a:avLst/>
                    </a:prstGeom>
                    <a:noFill/>
                    <a:ln>
                      <a:noFill/>
                    </a:ln>
                  </pic:spPr>
                </pic:pic>
              </a:graphicData>
            </a:graphic>
          </wp:inline>
        </w:drawing>
      </w:r>
    </w:p>
    <w:p w14:paraId="218480F5" w14:textId="77777777" w:rsidR="00CB2844" w:rsidRPr="004111A7" w:rsidRDefault="00CB2844" w:rsidP="00CB2844">
      <w:pPr>
        <w:pStyle w:val="ChartandTableFootnote"/>
      </w:pPr>
      <w:r w:rsidRPr="004111A7">
        <w:t>All figures shown above are GST exclusive - these may not match figures in the cash flow statement.</w:t>
      </w:r>
    </w:p>
    <w:p w14:paraId="7353F2F2" w14:textId="77777777" w:rsidR="00CB2844" w:rsidRPr="004111A7" w:rsidRDefault="00CB2844" w:rsidP="00CB2844">
      <w:pPr>
        <w:pStyle w:val="ChartandTableFootnote"/>
      </w:pPr>
      <w:r w:rsidRPr="004111A7">
        <w:t>Prepared on a resourcing (</w:t>
      </w:r>
      <w:r w:rsidRPr="004111A7">
        <w:rPr>
          <w:lang w:val="en-AU"/>
        </w:rPr>
        <w:t>that is,</w:t>
      </w:r>
      <w:r w:rsidRPr="004111A7">
        <w:t xml:space="preserve"> appropriations available) basis.</w:t>
      </w:r>
    </w:p>
    <w:p w14:paraId="4FB57A10" w14:textId="77777777" w:rsidR="00320D5E" w:rsidRPr="004111A7" w:rsidRDefault="00320D5E" w:rsidP="00DF4D2A">
      <w:pPr>
        <w:pStyle w:val="ChartandTableFootnoteAlpha"/>
        <w:numPr>
          <w:ilvl w:val="0"/>
          <w:numId w:val="13"/>
        </w:numPr>
      </w:pPr>
      <w:r w:rsidRPr="004111A7">
        <w:t>Compensation and legal payments.</w:t>
      </w:r>
    </w:p>
    <w:p w14:paraId="00189819" w14:textId="77777777" w:rsidR="00320D5E" w:rsidRPr="004111A7" w:rsidRDefault="00320D5E" w:rsidP="00320D5E">
      <w:pPr>
        <w:pStyle w:val="ChartandTableFootnoteAlpha"/>
      </w:pPr>
      <w:r w:rsidRPr="004111A7">
        <w:t>Act of grace payments.</w:t>
      </w:r>
    </w:p>
    <w:p w14:paraId="2904B0CD" w14:textId="77777777" w:rsidR="00985164" w:rsidRPr="004111A7" w:rsidRDefault="00985164" w:rsidP="00AD42E2">
      <w:pPr>
        <w:pStyle w:val="Heading3"/>
        <w:spacing w:before="0"/>
      </w:pPr>
    </w:p>
    <w:p w14:paraId="5E706CAA" w14:textId="6B61FBC5" w:rsidR="0008449F" w:rsidRPr="005A7C0B" w:rsidRDefault="00E06F9F" w:rsidP="00AD42E2">
      <w:pPr>
        <w:pStyle w:val="Heading3"/>
        <w:spacing w:before="0"/>
      </w:pPr>
      <w:r w:rsidRPr="004111A7">
        <w:br w:type="page"/>
      </w:r>
      <w:bookmarkStart w:id="31" w:name="_Toc444523511"/>
      <w:bookmarkStart w:id="32" w:name="_Toc69382426"/>
      <w:bookmarkStart w:id="33" w:name="_Toc69385026"/>
      <w:bookmarkStart w:id="34" w:name="_Toc69385100"/>
      <w:bookmarkStart w:id="35" w:name="_Toc69735827"/>
      <w:bookmarkStart w:id="36" w:name="_Toc70603472"/>
      <w:r w:rsidR="0008449F" w:rsidRPr="004111A7">
        <w:lastRenderedPageBreak/>
        <w:t>1.3</w:t>
      </w:r>
      <w:r w:rsidR="0008449F" w:rsidRPr="005A7C0B">
        <w:tab/>
        <w:t>Budget measures</w:t>
      </w:r>
      <w:bookmarkEnd w:id="29"/>
      <w:bookmarkEnd w:id="30"/>
      <w:bookmarkEnd w:id="31"/>
      <w:bookmarkEnd w:id="32"/>
      <w:bookmarkEnd w:id="33"/>
      <w:bookmarkEnd w:id="34"/>
      <w:bookmarkEnd w:id="35"/>
      <w:bookmarkEnd w:id="36"/>
    </w:p>
    <w:p w14:paraId="1A059944" w14:textId="4DE6FA9D" w:rsidR="003F3EE4" w:rsidRPr="00440BB3" w:rsidRDefault="00DC32EC" w:rsidP="0008449F">
      <w:r w:rsidRPr="00DC32EC">
        <w:t xml:space="preserve">Budget measures </w:t>
      </w:r>
      <w:r w:rsidR="005C4BEE">
        <w:t xml:space="preserve">in Part 1 </w:t>
      </w:r>
      <w:r w:rsidRPr="00DC32EC">
        <w:t>relating to</w:t>
      </w:r>
      <w:r w:rsidR="001B03CC">
        <w:t xml:space="preserve"> </w:t>
      </w:r>
      <w:r w:rsidR="00A645D4">
        <w:t>Finance</w:t>
      </w:r>
      <w:r w:rsidRPr="00DC32EC">
        <w:t xml:space="preserve"> a</w:t>
      </w:r>
      <w:r w:rsidR="00CB4589">
        <w:t>re detailed in Budget Paper No. </w:t>
      </w:r>
      <w:r w:rsidRPr="00DC32EC">
        <w:t>2</w:t>
      </w:r>
      <w:r w:rsidR="00C2641F">
        <w:t xml:space="preserve"> and are summarised </w:t>
      </w:r>
      <w:r w:rsidR="002C7703">
        <w:t>below</w:t>
      </w:r>
      <w:r w:rsidR="003D4188" w:rsidRPr="00440BB3">
        <w:t>.</w:t>
      </w:r>
    </w:p>
    <w:p w14:paraId="63D58192" w14:textId="7D16DB11" w:rsidR="00AF3811" w:rsidRPr="00440BB3" w:rsidRDefault="00AF3811" w:rsidP="00E5444F">
      <w:pPr>
        <w:pStyle w:val="TableHeading"/>
      </w:pPr>
      <w:r w:rsidRPr="00440BB3">
        <w:t xml:space="preserve">Table 1.2: </w:t>
      </w:r>
      <w:r w:rsidR="003D6928" w:rsidRPr="00440BB3">
        <w:rPr>
          <w:lang w:val="en-AU"/>
        </w:rPr>
        <w:t>Department of Finance</w:t>
      </w:r>
      <w:r w:rsidR="007E6BBD" w:rsidRPr="00440BB3">
        <w:t xml:space="preserve"> </w:t>
      </w:r>
      <w:r w:rsidR="00FC6CF3" w:rsidRPr="00440BB3">
        <w:rPr>
          <w:lang w:val="en-AU"/>
        </w:rPr>
        <w:t>2021-22</w:t>
      </w:r>
      <w:r w:rsidR="00694795" w:rsidRPr="00440BB3">
        <w:rPr>
          <w:lang w:val="en-AU"/>
        </w:rPr>
        <w:t xml:space="preserve"> </w:t>
      </w:r>
      <w:r w:rsidRPr="00440BB3">
        <w:t>Budget measures</w:t>
      </w:r>
    </w:p>
    <w:p w14:paraId="10D89CE7" w14:textId="184C7FCC" w:rsidR="001549BE" w:rsidRPr="00440BB3" w:rsidRDefault="007F6CAD" w:rsidP="007F6CAD">
      <w:pPr>
        <w:pStyle w:val="TableGraphic"/>
        <w:jc w:val="left"/>
      </w:pPr>
      <w:r w:rsidRPr="00440BB3">
        <w:rPr>
          <w:rFonts w:ascii="Arial Bold" w:hAnsi="Arial Bold"/>
          <w:b/>
        </w:rPr>
        <w:t xml:space="preserve">Measures announced </w:t>
      </w:r>
      <w:r w:rsidR="00FC6CF3" w:rsidRPr="00440BB3">
        <w:rPr>
          <w:rFonts w:ascii="Arial Bold" w:hAnsi="Arial Bold"/>
          <w:b/>
        </w:rPr>
        <w:t xml:space="preserve">since </w:t>
      </w:r>
      <w:r w:rsidRPr="00440BB3">
        <w:rPr>
          <w:rFonts w:ascii="Arial Bold" w:hAnsi="Arial Bold"/>
          <w:b/>
        </w:rPr>
        <w:t xml:space="preserve">the </w:t>
      </w:r>
      <w:r w:rsidR="00FC6CF3" w:rsidRPr="00440BB3">
        <w:rPr>
          <w:rFonts w:ascii="Arial Bold" w:hAnsi="Arial Bold"/>
          <w:b/>
        </w:rPr>
        <w:t>2020-21 Mid-Year Economic and Fiscal Outlook (MYEFO)</w:t>
      </w:r>
    </w:p>
    <w:p w14:paraId="6107FBBE" w14:textId="10E9A166" w:rsidR="00704BB6" w:rsidRPr="00440BB3" w:rsidRDefault="000F27C5" w:rsidP="00704BB6">
      <w:pPr>
        <w:pStyle w:val="ChartandTableFootnote"/>
      </w:pPr>
      <w:r w:rsidRPr="000F27C5">
        <w:rPr>
          <w:noProof/>
          <w:lang w:val="en-AU" w:eastAsia="en-AU"/>
        </w:rPr>
        <w:drawing>
          <wp:inline distT="0" distB="0" distL="0" distR="0" wp14:anchorId="38A25BAF" wp14:editId="22F439E5">
            <wp:extent cx="4895850" cy="59838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95850" cy="5983817"/>
                    </a:xfrm>
                    <a:prstGeom prst="rect">
                      <a:avLst/>
                    </a:prstGeom>
                    <a:noFill/>
                    <a:ln>
                      <a:noFill/>
                    </a:ln>
                  </pic:spPr>
                </pic:pic>
              </a:graphicData>
            </a:graphic>
          </wp:inline>
        </w:drawing>
      </w:r>
    </w:p>
    <w:p w14:paraId="59C08531" w14:textId="607A2F25" w:rsidR="005546ED" w:rsidRPr="00440BB3" w:rsidRDefault="00FC7FFD" w:rsidP="00704BB6">
      <w:pPr>
        <w:pStyle w:val="ChartandTableFootnote"/>
      </w:pPr>
      <w:r w:rsidRPr="00440BB3">
        <w:rPr>
          <w:rFonts w:eastAsia="Arial" w:cs="Arial"/>
          <w:szCs w:val="16"/>
          <w:lang w:eastAsia="en-US"/>
        </w:rPr>
        <w:t xml:space="preserve">Table continues on next page </w:t>
      </w:r>
      <w:r w:rsidR="005546ED" w:rsidRPr="00440BB3">
        <w:br w:type="page"/>
      </w:r>
    </w:p>
    <w:p w14:paraId="3B0F4562" w14:textId="6FB07BF9" w:rsidR="005546ED" w:rsidRPr="00440BB3" w:rsidRDefault="003D6928" w:rsidP="005546ED">
      <w:pPr>
        <w:pStyle w:val="TableHeading"/>
      </w:pPr>
      <w:r w:rsidRPr="00440BB3">
        <w:lastRenderedPageBreak/>
        <w:t xml:space="preserve">Table 1.2: </w:t>
      </w:r>
      <w:r w:rsidRPr="00440BB3">
        <w:rPr>
          <w:lang w:val="en-AU"/>
        </w:rPr>
        <w:t>Department of Finance</w:t>
      </w:r>
      <w:r w:rsidR="005546ED" w:rsidRPr="00440BB3">
        <w:t xml:space="preserve"> </w:t>
      </w:r>
      <w:r w:rsidR="005546ED" w:rsidRPr="00440BB3">
        <w:rPr>
          <w:lang w:val="en-AU"/>
        </w:rPr>
        <w:t xml:space="preserve">2021-22 </w:t>
      </w:r>
      <w:r w:rsidR="005546ED" w:rsidRPr="00440BB3">
        <w:t>Budget measures</w:t>
      </w:r>
    </w:p>
    <w:p w14:paraId="53E5A2E8" w14:textId="2081481D" w:rsidR="005546ED" w:rsidRDefault="005546ED" w:rsidP="005546ED">
      <w:pPr>
        <w:pStyle w:val="TableGraphic"/>
        <w:jc w:val="left"/>
      </w:pPr>
      <w:r w:rsidRPr="00440BB3">
        <w:rPr>
          <w:rFonts w:ascii="Arial Bold" w:hAnsi="Arial Bold"/>
          <w:b/>
        </w:rPr>
        <w:t>Measures announced since the 2020-21 Mid-Year Economic and Fiscal Outlook (MYEFO) (continued)</w:t>
      </w:r>
    </w:p>
    <w:p w14:paraId="5D159C63" w14:textId="4212EA4E" w:rsidR="005546ED" w:rsidRDefault="000F27C5" w:rsidP="00704BB6">
      <w:pPr>
        <w:pStyle w:val="ChartandTableFootnote"/>
      </w:pPr>
      <w:r w:rsidRPr="000F27C5">
        <w:rPr>
          <w:noProof/>
          <w:lang w:val="en-AU" w:eastAsia="en-AU"/>
        </w:rPr>
        <w:drawing>
          <wp:inline distT="0" distB="0" distL="0" distR="0" wp14:anchorId="0CCF8907" wp14:editId="45AE58BF">
            <wp:extent cx="4895850" cy="97222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95850" cy="972226"/>
                    </a:xfrm>
                    <a:prstGeom prst="rect">
                      <a:avLst/>
                    </a:prstGeom>
                    <a:noFill/>
                    <a:ln>
                      <a:noFill/>
                    </a:ln>
                  </pic:spPr>
                </pic:pic>
              </a:graphicData>
            </a:graphic>
          </wp:inline>
        </w:drawing>
      </w:r>
      <w:r w:rsidR="00511DF1" w:rsidRPr="00511DF1">
        <w:t xml:space="preserve"> </w:t>
      </w:r>
    </w:p>
    <w:p w14:paraId="0A51A036" w14:textId="20078F6A" w:rsidR="00704BB6" w:rsidRPr="000F77AB" w:rsidRDefault="00704BB6" w:rsidP="00704BB6">
      <w:pPr>
        <w:pStyle w:val="ChartandTableFootnote"/>
      </w:pPr>
      <w:r w:rsidRPr="00704BB6">
        <w:t xml:space="preserve">Prepared on a Government Finance Statistics (Underlying Cash) basis. Figures displayed as a negative (-) </w:t>
      </w:r>
      <w:r w:rsidRPr="000F77AB">
        <w:t>represent a decrease in funds and a positive (+) represent an increase in funds.</w:t>
      </w:r>
    </w:p>
    <w:p w14:paraId="387195AE" w14:textId="61A1F6FB" w:rsidR="00D57B8A" w:rsidRDefault="00D57B8A" w:rsidP="00D57B8A">
      <w:pPr>
        <w:pStyle w:val="ChartandTableFootnoteAlpha"/>
        <w:numPr>
          <w:ilvl w:val="0"/>
          <w:numId w:val="10"/>
        </w:numPr>
      </w:pPr>
      <w:r>
        <w:t xml:space="preserve">The lead entity for measure titled </w:t>
      </w:r>
      <w:r w:rsidRPr="00D57B8A">
        <w:rPr>
          <w:i/>
        </w:rPr>
        <w:t>Aged Care — Government response to the Royal Commission into Aged Care Quality and Safety — residential aged care services and sustainability</w:t>
      </w:r>
      <w:r>
        <w:t xml:space="preserve"> is the Department of Health. The full measure description and package details appear in Budget Paper No. 2 under the Health portfolio.</w:t>
      </w:r>
    </w:p>
    <w:p w14:paraId="788807AE" w14:textId="6614D94F" w:rsidR="00D57B8A" w:rsidRDefault="00D57B8A" w:rsidP="00D57B8A">
      <w:pPr>
        <w:pStyle w:val="ChartandTableFootnoteAlpha"/>
        <w:numPr>
          <w:ilvl w:val="0"/>
          <w:numId w:val="10"/>
        </w:numPr>
      </w:pPr>
      <w:r>
        <w:t xml:space="preserve">The lead entity for measure titled </w:t>
      </w:r>
      <w:r w:rsidRPr="00D57B8A">
        <w:rPr>
          <w:i/>
        </w:rPr>
        <w:t>Australian Security Intelligence Organisation — additional funding</w:t>
      </w:r>
      <w:r>
        <w:t xml:space="preserve"> is the Department of Home Affairs. The full measure description and package details appear in Budget Paper No. 2 under the Home Affairs portfolio.</w:t>
      </w:r>
      <w:r>
        <w:tab/>
      </w:r>
    </w:p>
    <w:p w14:paraId="159B8564" w14:textId="23A30604" w:rsidR="00D57B8A" w:rsidRDefault="00E07C89" w:rsidP="00E07C89">
      <w:pPr>
        <w:pStyle w:val="ChartandTableFootnoteAlpha"/>
        <w:numPr>
          <w:ilvl w:val="0"/>
          <w:numId w:val="10"/>
        </w:numPr>
      </w:pPr>
      <w:r w:rsidRPr="00E07C89">
        <w:t xml:space="preserve">The measure titled </w:t>
      </w:r>
      <w:r w:rsidRPr="00E07C89">
        <w:rPr>
          <w:i/>
        </w:rPr>
        <w:t>Building Australia's Resilience</w:t>
      </w:r>
      <w:r w:rsidRPr="00E07C89">
        <w:t xml:space="preserve"> is a cross portfolio measure. The full measure description and package details appear in Budget Paper No. 2 under Cross Portfolio.</w:t>
      </w:r>
      <w:r w:rsidR="00D57B8A">
        <w:t>.</w:t>
      </w:r>
      <w:r w:rsidR="00D57B8A">
        <w:tab/>
      </w:r>
      <w:r w:rsidR="00D57B8A">
        <w:tab/>
      </w:r>
    </w:p>
    <w:p w14:paraId="0A590574" w14:textId="2BD08A06" w:rsidR="00D57B8A" w:rsidRDefault="00D57B8A" w:rsidP="00D57B8A">
      <w:pPr>
        <w:pStyle w:val="ChartandTableFootnoteAlpha"/>
        <w:numPr>
          <w:ilvl w:val="0"/>
          <w:numId w:val="10"/>
        </w:numPr>
      </w:pPr>
      <w:r>
        <w:t xml:space="preserve">The lead entity for measure titled </w:t>
      </w:r>
      <w:r w:rsidRPr="00D57B8A">
        <w:rPr>
          <w:i/>
        </w:rPr>
        <w:t>Commonwealth Parliamentary Offices</w:t>
      </w:r>
      <w:r>
        <w:t xml:space="preserve"> is the Department of Finance. The full measure description and package details appear in Budget Paper No. 2 under the Finance portfolio.</w:t>
      </w:r>
    </w:p>
    <w:p w14:paraId="1432E87E" w14:textId="06E30738" w:rsidR="00D57B8A" w:rsidRDefault="00D57B8A" w:rsidP="00D57B8A">
      <w:pPr>
        <w:pStyle w:val="ChartandTableFootnoteAlpha"/>
        <w:numPr>
          <w:ilvl w:val="0"/>
          <w:numId w:val="10"/>
        </w:numPr>
      </w:pPr>
      <w:r>
        <w:t xml:space="preserve">The measure titled </w:t>
      </w:r>
      <w:r w:rsidRPr="00D57B8A">
        <w:rPr>
          <w:i/>
        </w:rPr>
        <w:t>Commonwealth’s Deregulation Agenda</w:t>
      </w:r>
      <w:r>
        <w:t xml:space="preserve"> is a cross portfolio measure. The full measure description and package details appear in Budget Paper No. 2 under Cross Portfolio.</w:t>
      </w:r>
    </w:p>
    <w:p w14:paraId="000DE9D7" w14:textId="043C5EBA" w:rsidR="00D57B8A" w:rsidRDefault="00D57B8A" w:rsidP="00D57B8A">
      <w:pPr>
        <w:pStyle w:val="ChartandTableFootnoteAlpha"/>
        <w:numPr>
          <w:ilvl w:val="0"/>
          <w:numId w:val="10"/>
        </w:numPr>
      </w:pPr>
      <w:r>
        <w:t xml:space="preserve">The lead entity for measure titled </w:t>
      </w:r>
      <w:r w:rsidRPr="00D57B8A">
        <w:rPr>
          <w:i/>
        </w:rPr>
        <w:t>COVID-19 Response Package — supporting Australians overseas</w:t>
      </w:r>
      <w:r>
        <w:t xml:space="preserve"> is the Department of Foreign Affairs and Trade. The full measure description and package details appear in Budget Paper No. 2 under the Foreign Affairs and Trade portfolio.</w:t>
      </w:r>
      <w:r>
        <w:tab/>
      </w:r>
      <w:r>
        <w:tab/>
      </w:r>
      <w:r>
        <w:tab/>
      </w:r>
    </w:p>
    <w:p w14:paraId="30D09C32" w14:textId="220684F8" w:rsidR="00D57B8A" w:rsidRDefault="00D57B8A" w:rsidP="00D57B8A">
      <w:pPr>
        <w:pStyle w:val="ChartandTableFootnoteAlpha"/>
        <w:numPr>
          <w:ilvl w:val="0"/>
          <w:numId w:val="10"/>
        </w:numPr>
      </w:pPr>
      <w:r>
        <w:t xml:space="preserve">The measure titled </w:t>
      </w:r>
      <w:r w:rsidRPr="00D57B8A">
        <w:rPr>
          <w:i/>
        </w:rPr>
        <w:t>Digital Economy Strategy</w:t>
      </w:r>
      <w:r>
        <w:t xml:space="preserve"> is a cross portfolio measure. The full measure description and package details appear in Budget Paper No. 2 under Cross Portfolio.</w:t>
      </w:r>
      <w:r>
        <w:tab/>
      </w:r>
    </w:p>
    <w:p w14:paraId="4E0501C2" w14:textId="0BA1FFC7" w:rsidR="00D57B8A" w:rsidRDefault="00D57B8A" w:rsidP="00D57B8A">
      <w:pPr>
        <w:pStyle w:val="ChartandTableFootnoteAlpha"/>
        <w:numPr>
          <w:ilvl w:val="0"/>
          <w:numId w:val="10"/>
        </w:numPr>
      </w:pPr>
      <w:r>
        <w:t xml:space="preserve">The measure titled </w:t>
      </w:r>
      <w:r w:rsidRPr="00D57B8A">
        <w:rPr>
          <w:i/>
        </w:rPr>
        <w:t>GovERP — Common Corporate Australian Public Service System</w:t>
      </w:r>
      <w:r>
        <w:t xml:space="preserve"> is a cross portfolio measure. The full measure description and package details appear in Budget Paper No. 2 under Cross Portfolio. The financials are not for publication due to commercial sensitivities.</w:t>
      </w:r>
    </w:p>
    <w:p w14:paraId="31213D8E" w14:textId="20772FCA" w:rsidR="00D57B8A" w:rsidRDefault="00D57B8A" w:rsidP="00D57B8A">
      <w:pPr>
        <w:pStyle w:val="ChartandTableFootnoteAlpha"/>
        <w:numPr>
          <w:ilvl w:val="0"/>
          <w:numId w:val="10"/>
        </w:numPr>
      </w:pPr>
      <w:r>
        <w:t xml:space="preserve">The lead entity for measure titled </w:t>
      </w:r>
      <w:r w:rsidRPr="00D57B8A">
        <w:rPr>
          <w:i/>
        </w:rPr>
        <w:t>Murray-Darling Basin — managing water resources</w:t>
      </w:r>
      <w:r>
        <w:t xml:space="preserve"> is the Murray-Darling Basin Authority. The full measure description and package details appear in Budget Paper No. 2 under the Agriculture, Water and the Environment portfolio.</w:t>
      </w:r>
      <w:r>
        <w:tab/>
      </w:r>
      <w:r>
        <w:tab/>
      </w:r>
      <w:r>
        <w:tab/>
      </w:r>
    </w:p>
    <w:p w14:paraId="63432E66" w14:textId="1F597054" w:rsidR="00D57B8A" w:rsidRDefault="00D57B8A" w:rsidP="00D57B8A">
      <w:pPr>
        <w:pStyle w:val="ChartandTableFootnoteAlpha"/>
        <w:numPr>
          <w:ilvl w:val="0"/>
          <w:numId w:val="10"/>
        </w:numPr>
      </w:pPr>
      <w:r>
        <w:t xml:space="preserve">The lead entity for measure titled </w:t>
      </w:r>
      <w:r w:rsidRPr="00440BB3">
        <w:rPr>
          <w:i/>
        </w:rPr>
        <w:t>Office of Supply Chain Resilience and Public Sector Capability</w:t>
      </w:r>
      <w:r>
        <w:t xml:space="preserve"> is the Department of the Prime Minister and Cabinet. The full measure description and package details appear in Budget Paper No. 2 under the Prime Minister and Cabinet portfolio.</w:t>
      </w:r>
      <w:r>
        <w:tab/>
      </w:r>
    </w:p>
    <w:p w14:paraId="2357F9A4" w14:textId="6EDA86BD" w:rsidR="00D57B8A" w:rsidRDefault="00D57B8A" w:rsidP="00D57B8A">
      <w:pPr>
        <w:pStyle w:val="ChartandTableFootnoteAlpha"/>
        <w:numPr>
          <w:ilvl w:val="0"/>
          <w:numId w:val="10"/>
        </w:numPr>
      </w:pPr>
      <w:r>
        <w:t xml:space="preserve">The measure titled </w:t>
      </w:r>
      <w:r w:rsidRPr="00440BB3">
        <w:rPr>
          <w:i/>
        </w:rPr>
        <w:t>Parliamentary Staff and Parliamentarians — Independent Review into Commonwealth Parliamentary Workplaces and additional support measures</w:t>
      </w:r>
      <w:r>
        <w:t xml:space="preserve"> is a cross portfolio measure. The full measure description and package details appear in Budget Paper No. 2 under Cross Portfolio. The financials are not fo</w:t>
      </w:r>
      <w:r w:rsidR="00440BB3">
        <w:t>r publication due to commercial</w:t>
      </w:r>
      <w:r>
        <w:t xml:space="preserve"> sensitivities.</w:t>
      </w:r>
      <w:r>
        <w:tab/>
      </w:r>
    </w:p>
    <w:p w14:paraId="6BB82A03" w14:textId="3441D3C2" w:rsidR="00511DF1" w:rsidRPr="00D57B8A" w:rsidRDefault="00D57B8A" w:rsidP="00D57B8A">
      <w:pPr>
        <w:pStyle w:val="ChartandTableFootnoteAlpha"/>
        <w:numPr>
          <w:ilvl w:val="0"/>
          <w:numId w:val="10"/>
        </w:numPr>
      </w:pPr>
      <w:r>
        <w:t xml:space="preserve">The lead entity for measure titled </w:t>
      </w:r>
      <w:r w:rsidRPr="00440BB3">
        <w:rPr>
          <w:i/>
        </w:rPr>
        <w:t>Rum Jungle Rehabilitation Project</w:t>
      </w:r>
      <w:r>
        <w:t xml:space="preserve"> is the Department of Industry, Science, Energy and Resources. The full measure description and package details appear in Budget Paper No. 2 under the Industry, Science, Energy and Resources portfolio. The financials are not for publication due to commercial sensitivities.</w:t>
      </w:r>
      <w:r>
        <w:tab/>
      </w:r>
    </w:p>
    <w:p w14:paraId="7A414820" w14:textId="29E16C07" w:rsidR="00BE7D58" w:rsidRPr="00810C6A" w:rsidRDefault="0049212C" w:rsidP="007A6C79">
      <w:pPr>
        <w:pStyle w:val="Heading2"/>
      </w:pPr>
      <w:bookmarkStart w:id="37" w:name="_Toc190682312"/>
      <w:bookmarkStart w:id="38" w:name="_Toc190682530"/>
      <w:r>
        <w:br w:type="page"/>
      </w:r>
      <w:bookmarkStart w:id="39" w:name="_Toc444523512"/>
      <w:bookmarkStart w:id="40" w:name="_Toc69382427"/>
      <w:bookmarkStart w:id="41" w:name="_Toc69385027"/>
      <w:bookmarkStart w:id="42" w:name="_Toc69385101"/>
      <w:bookmarkStart w:id="43" w:name="_Toc69735828"/>
      <w:bookmarkStart w:id="44" w:name="_Toc70603473"/>
      <w:r w:rsidR="00BE7D58" w:rsidRPr="007A6C79">
        <w:lastRenderedPageBreak/>
        <w:t xml:space="preserve">Section 2: Outcomes and </w:t>
      </w:r>
      <w:r w:rsidR="00CD3382" w:rsidRPr="007A6C79">
        <w:t>p</w:t>
      </w:r>
      <w:r w:rsidR="0069466B" w:rsidRPr="007A6C79">
        <w:t>lanned</w:t>
      </w:r>
      <w:r w:rsidR="00BE7D58" w:rsidRPr="007A6C79">
        <w:t xml:space="preserve"> performance</w:t>
      </w:r>
      <w:bookmarkEnd w:id="39"/>
      <w:bookmarkEnd w:id="40"/>
      <w:bookmarkEnd w:id="41"/>
      <w:bookmarkEnd w:id="42"/>
      <w:bookmarkEnd w:id="43"/>
      <w:bookmarkEnd w:id="44"/>
    </w:p>
    <w:p w14:paraId="3578FA59" w14:textId="0F0FCD7C" w:rsidR="00BE7D58" w:rsidRPr="005E6F2B" w:rsidRDefault="00BE7D58" w:rsidP="00BE7D58">
      <w:r w:rsidRPr="005E6F2B">
        <w:t xml:space="preserve">Government outcomes are the intended results, impacts or consequences of actions by the Government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14:paraId="7D28F295" w14:textId="688ECF0E" w:rsidR="00A61BD0" w:rsidRDefault="00BE7D58" w:rsidP="00BE7D58">
      <w:pPr>
        <w:rPr>
          <w:i/>
          <w:color w:val="FF0000"/>
        </w:rPr>
      </w:pPr>
      <w:r w:rsidRPr="005E6F2B">
        <w:t xml:space="preserve">Each outcome is described below together with its related </w:t>
      </w:r>
      <w:r w:rsidR="00290933" w:rsidRPr="005E6F2B">
        <w:t>programs</w:t>
      </w:r>
      <w:r w:rsidRPr="005E6F2B">
        <w:t>.</w:t>
      </w:r>
      <w:r w:rsidR="001D1903" w:rsidRPr="005E6F2B">
        <w:t xml:space="preserve"> </w:t>
      </w:r>
      <w:r w:rsidR="00A61BD0" w:rsidRPr="005E6F2B">
        <w:t>The following provides detailed information on expenses for each outcome</w:t>
      </w:r>
      <w:r w:rsidR="001D1903" w:rsidRPr="005E6F2B">
        <w:t xml:space="preserve"> and </w:t>
      </w:r>
      <w:r w:rsidR="00290933" w:rsidRPr="005E6F2B">
        <w:t>program,</w:t>
      </w:r>
      <w:r w:rsidR="001D1903" w:rsidRPr="005E6F2B">
        <w:t xml:space="preserve"> further broken down by funding source</w:t>
      </w:r>
      <w:r w:rsidR="00A61BD0" w:rsidRPr="005E6F2B">
        <w:t>.</w:t>
      </w:r>
      <w:r w:rsidR="0051207B" w:rsidRPr="005E6F2B">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CE4D05" w14:paraId="2AF7CD40" w14:textId="77777777" w:rsidTr="009763C1">
        <w:tc>
          <w:tcPr>
            <w:tcW w:w="7700" w:type="dxa"/>
          </w:tcPr>
          <w:p w14:paraId="7F89E61D" w14:textId="77777777" w:rsidR="00CE4D05" w:rsidRPr="006906E4" w:rsidRDefault="00CE4D05" w:rsidP="009763C1">
            <w:pPr>
              <w:spacing w:before="120" w:after="120" w:line="240" w:lineRule="auto"/>
              <w:rPr>
                <w:b/>
              </w:rPr>
            </w:pPr>
            <w:r w:rsidRPr="006906E4">
              <w:rPr>
                <w:b/>
              </w:rPr>
              <w:t>Note:</w:t>
            </w:r>
          </w:p>
          <w:p w14:paraId="684DECE1" w14:textId="25C4A830" w:rsidR="00CE4D05" w:rsidRDefault="00CE4D05" w:rsidP="009763C1">
            <w:r>
              <w:t>Performance reporting requirements in the PB</w:t>
            </w:r>
            <w:r w:rsidR="00AA4E5E">
              <w:t xml:space="preserve"> </w:t>
            </w:r>
            <w:r>
              <w:t xml:space="preserve">Statements are part of the Commonwealth performance framework established by </w:t>
            </w:r>
            <w:r w:rsidRPr="00A252AC">
              <w:t xml:space="preserve">the </w:t>
            </w:r>
            <w:r w:rsidR="00A252AC" w:rsidRPr="00A252AC">
              <w:t>PGPA Act</w:t>
            </w:r>
            <w:r>
              <w:t xml:space="preserve">. It is anticipated that the performance </w:t>
            </w:r>
            <w:r w:rsidR="00D0241A">
              <w:t>measure</w:t>
            </w:r>
            <w:r w:rsidR="006850FA">
              <w:t>s</w:t>
            </w:r>
            <w:r>
              <w:t xml:space="preserve"> described in PB Statements will be read with broader information provided in an entity’s corporate plans and annual performance statements – included in Annual Reports - to provide a complete picture of an entity’s planned and actual performance.</w:t>
            </w:r>
          </w:p>
          <w:p w14:paraId="108567CE" w14:textId="413A057D" w:rsidR="00CE4D05" w:rsidRDefault="00CE4D05" w:rsidP="009763C1">
            <w:r>
              <w:t>The m</w:t>
            </w:r>
            <w:r w:rsidR="00642539">
              <w:t>ost recent corporate plan for Finance</w:t>
            </w:r>
            <w:r>
              <w:t xml:space="preserve"> can be found at: </w:t>
            </w:r>
            <w:r w:rsidR="00642539" w:rsidRPr="00642539">
              <w:t>https://www.finance.gov.au/publications/corporate-plan/corporate-plan-2020-21</w:t>
            </w:r>
            <w:r>
              <w:t>.</w:t>
            </w:r>
          </w:p>
          <w:p w14:paraId="06D14B17" w14:textId="77777777" w:rsidR="007A6C79" w:rsidRDefault="00CE4D05" w:rsidP="007A6C79">
            <w:pPr>
              <w:spacing w:after="0"/>
            </w:pPr>
            <w:r>
              <w:t xml:space="preserve">The most recent annual performance statement can be found at: </w:t>
            </w:r>
            <w:hyperlink r:id="rId25" w:history="1">
              <w:r w:rsidR="00642539" w:rsidRPr="00F23AD5">
                <w:rPr>
                  <w:rStyle w:val="Hyperlink"/>
                </w:rPr>
                <w:t>https://www.finance.gov.au/publications/annual-report/annual-report-2019-20</w:t>
              </w:r>
            </w:hyperlink>
            <w:r w:rsidR="007A6C79">
              <w:t xml:space="preserve"> and </w:t>
            </w:r>
          </w:p>
          <w:p w14:paraId="3B724CC4" w14:textId="407C979D" w:rsidR="00CE4D05" w:rsidRDefault="007A6C79" w:rsidP="007A6C79">
            <w:pPr>
              <w:spacing w:after="0"/>
            </w:pPr>
            <w:r w:rsidRPr="007A6C79">
              <w:t>https://www.transparency.gov.au/annual-reports/department-finance/reporting-year/</w:t>
            </w:r>
            <w:r w:rsidR="00642539" w:rsidRPr="00642539">
              <w:t>2019-20</w:t>
            </w:r>
            <w:r w:rsidR="00CE4D05">
              <w:t>.</w:t>
            </w:r>
          </w:p>
        </w:tc>
      </w:tr>
    </w:tbl>
    <w:p w14:paraId="5131FCAD" w14:textId="77777777" w:rsidR="00225FB6" w:rsidRDefault="00225FB6" w:rsidP="003876AB">
      <w:pPr>
        <w:pStyle w:val="Heading3"/>
      </w:pPr>
      <w:bookmarkStart w:id="45" w:name="_Toc444523513"/>
      <w:r>
        <w:br w:type="page"/>
      </w:r>
    </w:p>
    <w:p w14:paraId="6A4F5EB6" w14:textId="37A85E2F" w:rsidR="003876AB" w:rsidRPr="00F743D8" w:rsidRDefault="008462FB" w:rsidP="003876AB">
      <w:pPr>
        <w:pStyle w:val="Heading3"/>
      </w:pPr>
      <w:bookmarkStart w:id="46" w:name="_Toc69382428"/>
      <w:bookmarkStart w:id="47" w:name="_Toc69385028"/>
      <w:bookmarkStart w:id="48" w:name="_Toc69385102"/>
      <w:bookmarkStart w:id="49" w:name="_Toc69735829"/>
      <w:bookmarkStart w:id="50" w:name="_Toc70603474"/>
      <w:r>
        <w:lastRenderedPageBreak/>
        <w:t>2.1</w:t>
      </w:r>
      <w:r w:rsidR="003876AB" w:rsidRPr="00F743D8">
        <w:t xml:space="preserve"> </w:t>
      </w:r>
      <w:r w:rsidR="003876AB" w:rsidRPr="00F743D8">
        <w:tab/>
        <w:t xml:space="preserve">Budgeted expenses and performance for Outcome </w:t>
      </w:r>
      <w:bookmarkEnd w:id="45"/>
      <w:r w:rsidR="00E6037C">
        <w:t>1</w:t>
      </w:r>
      <w:bookmarkEnd w:id="46"/>
      <w:bookmarkEnd w:id="47"/>
      <w:bookmarkEnd w:id="48"/>
      <w:bookmarkEnd w:id="49"/>
      <w:bookmarkEnd w:id="5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E7D58" w:rsidRPr="005E6F2B" w14:paraId="35E3DE81" w14:textId="77777777" w:rsidTr="00E6037C">
        <w:tc>
          <w:tcPr>
            <w:tcW w:w="7704" w:type="dxa"/>
            <w:shd w:val="clear" w:color="auto" w:fill="E6E6E6"/>
          </w:tcPr>
          <w:p w14:paraId="04F49424" w14:textId="0474F695" w:rsidR="00BE7D58" w:rsidRPr="005E6F2B" w:rsidRDefault="006C1CAB" w:rsidP="006C1CAB">
            <w:pPr>
              <w:pStyle w:val="TableColumnHeadingLeft"/>
            </w:pPr>
            <w:r w:rsidRPr="006C1CAB">
              <w:t>Outcome 1: Support sustainable Australian Government finances through providing high</w:t>
            </w:r>
            <w:r w:rsidR="00B1246C">
              <w:t>-</w:t>
            </w:r>
            <w:r w:rsidRPr="006C1CAB">
              <w:t>quality policy advice and operational support to the government and Commonwealth entities to maintain effective and efficient use of public resources.</w:t>
            </w:r>
          </w:p>
        </w:tc>
      </w:tr>
    </w:tbl>
    <w:p w14:paraId="01DBC1E6" w14:textId="77777777" w:rsidR="00451501" w:rsidRPr="005E6F2B" w:rsidRDefault="00451501" w:rsidP="00451501">
      <w:pPr>
        <w:pStyle w:val="NoSpacing"/>
      </w:pPr>
    </w:p>
    <w:p w14:paraId="5A8CD9BF" w14:textId="15D7A25E" w:rsidR="00B86CCD" w:rsidRPr="002256DF" w:rsidRDefault="00B86CCD" w:rsidP="00F00984">
      <w:pPr>
        <w:pStyle w:val="Heading5"/>
      </w:pPr>
      <w:r w:rsidRPr="002256DF">
        <w:t xml:space="preserve">Budgeted expenses for Outcome </w:t>
      </w:r>
      <w:r w:rsidR="00E6037C" w:rsidRPr="002256DF">
        <w:t>1</w:t>
      </w:r>
    </w:p>
    <w:p w14:paraId="688A545E" w14:textId="4AAAC191" w:rsidR="0051207B" w:rsidRPr="004111A7" w:rsidRDefault="0051207B" w:rsidP="0051207B">
      <w:r w:rsidRPr="00950281">
        <w:t xml:space="preserve">This table shows how much the entity intends to spend (on an accrual basis) on achieving the outcome, broken down by </w:t>
      </w:r>
      <w:r w:rsidR="00290933" w:rsidRPr="00950281">
        <w:t>program,</w:t>
      </w:r>
      <w:r w:rsidRPr="00950281">
        <w:t xml:space="preserve"> as well as by Administered an</w:t>
      </w:r>
      <w:r w:rsidR="00B166C6">
        <w:t>d Departm</w:t>
      </w:r>
      <w:r w:rsidR="00B166C6" w:rsidRPr="004111A7">
        <w:t>ental funding sources.</w:t>
      </w:r>
    </w:p>
    <w:p w14:paraId="13D0B20B" w14:textId="5CE113DA" w:rsidR="006E4DF1" w:rsidRPr="004111A7" w:rsidRDefault="006E4DF1" w:rsidP="003E429A">
      <w:pPr>
        <w:pStyle w:val="TableHeading"/>
      </w:pPr>
      <w:r w:rsidRPr="004111A7">
        <w:t>Table 2.</w:t>
      </w:r>
      <w:r w:rsidR="00E6037C" w:rsidRPr="004111A7">
        <w:t>1</w:t>
      </w:r>
      <w:r w:rsidRPr="004111A7">
        <w:t>.1: Budgeted expe</w:t>
      </w:r>
      <w:r w:rsidR="00E6037C" w:rsidRPr="004111A7">
        <w:t>nses for Outcome 1</w:t>
      </w:r>
    </w:p>
    <w:p w14:paraId="1DD38E24" w14:textId="60DFE39A" w:rsidR="00DF2C5D" w:rsidRPr="004111A7" w:rsidRDefault="00440BB3" w:rsidP="00DF2C5D">
      <w:pPr>
        <w:pStyle w:val="TableHeading"/>
      </w:pPr>
      <w:r w:rsidRPr="00440BB3">
        <w:rPr>
          <w:noProof/>
          <w:lang w:val="en-AU" w:eastAsia="en-AU"/>
        </w:rPr>
        <w:drawing>
          <wp:inline distT="0" distB="0" distL="0" distR="0" wp14:anchorId="1A8C5EEF" wp14:editId="4B5A4397">
            <wp:extent cx="4638040" cy="32258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38040" cy="3225800"/>
                    </a:xfrm>
                    <a:prstGeom prst="rect">
                      <a:avLst/>
                    </a:prstGeom>
                    <a:noFill/>
                    <a:ln>
                      <a:noFill/>
                    </a:ln>
                  </pic:spPr>
                </pic:pic>
              </a:graphicData>
            </a:graphic>
          </wp:inline>
        </w:drawing>
      </w:r>
    </w:p>
    <w:p w14:paraId="0FF1C018" w14:textId="16246E00" w:rsidR="002B7946" w:rsidRPr="004111A7" w:rsidRDefault="002B7946" w:rsidP="00DF4D2A">
      <w:pPr>
        <w:pStyle w:val="ChartandTableFootnote"/>
        <w:numPr>
          <w:ilvl w:val="0"/>
          <w:numId w:val="14"/>
        </w:numPr>
        <w:ind w:left="284" w:hanging="284"/>
      </w:pPr>
      <w:r w:rsidRPr="004111A7">
        <w:t xml:space="preserve">Departmental appropriation combines ordinary annual services (Appropriation Bill No. 1) and </w:t>
      </w:r>
      <w:r w:rsidRPr="004111A7">
        <w:br/>
      </w:r>
      <w:r w:rsidRPr="004111A7">
        <w:rPr>
          <w:lang w:val="en-AU"/>
        </w:rPr>
        <w:t>estimated receipts retained under s</w:t>
      </w:r>
      <w:r w:rsidR="00B1246C">
        <w:rPr>
          <w:lang w:val="en-AU"/>
        </w:rPr>
        <w:t xml:space="preserve">ection </w:t>
      </w:r>
      <w:r w:rsidRPr="004111A7">
        <w:t xml:space="preserve">74 </w:t>
      </w:r>
      <w:r w:rsidRPr="004111A7">
        <w:rPr>
          <w:lang w:val="en-AU"/>
        </w:rPr>
        <w:t>of the PGPA Act.</w:t>
      </w:r>
    </w:p>
    <w:p w14:paraId="48631B8E" w14:textId="24AF3ADE" w:rsidR="002B7946" w:rsidRPr="004111A7" w:rsidRDefault="002B7946" w:rsidP="00DF4D2A">
      <w:pPr>
        <w:pStyle w:val="ChartandTableFootnote"/>
        <w:numPr>
          <w:ilvl w:val="0"/>
          <w:numId w:val="14"/>
        </w:numPr>
        <w:ind w:left="284" w:hanging="284"/>
      </w:pPr>
      <w:r w:rsidRPr="004111A7">
        <w:t>Expenses not requiring appropriation in the Budget year is made up of</w:t>
      </w:r>
      <w:r w:rsidRPr="004111A7">
        <w:rPr>
          <w:lang w:val="en-AU"/>
        </w:rPr>
        <w:t xml:space="preserve"> </w:t>
      </w:r>
      <w:r w:rsidRPr="004111A7">
        <w:t xml:space="preserve">depreciation expenses and </w:t>
      </w:r>
      <w:r w:rsidR="00944334" w:rsidRPr="004111A7">
        <w:rPr>
          <w:lang w:val="en-AU"/>
        </w:rPr>
        <w:t xml:space="preserve">amortisation </w:t>
      </w:r>
      <w:r w:rsidRPr="004111A7">
        <w:t>expenses.</w:t>
      </w:r>
    </w:p>
    <w:p w14:paraId="45AA3A1A" w14:textId="77777777" w:rsidR="00FC7FFD" w:rsidRPr="004111A7" w:rsidRDefault="00FC7FFD" w:rsidP="009763C1">
      <w:pPr>
        <w:pStyle w:val="ChartandTableFootnote"/>
      </w:pPr>
    </w:p>
    <w:p w14:paraId="79AF5BBF" w14:textId="6A08AB57" w:rsidR="00B86CCD" w:rsidRPr="004111A7" w:rsidRDefault="00B86CCD" w:rsidP="009763C1">
      <w:pPr>
        <w:pStyle w:val="ChartandTableFootnote"/>
      </w:pPr>
      <w:r w:rsidRPr="004111A7">
        <w:t>Note: Departmental appropriation splits and totals are indicative estimates and m</w:t>
      </w:r>
      <w:r w:rsidR="00C46DF4">
        <w:t>ay change in the course of the B</w:t>
      </w:r>
      <w:r w:rsidRPr="004111A7">
        <w:t>udget year as government priorities change.</w:t>
      </w:r>
    </w:p>
    <w:p w14:paraId="2B0A911E" w14:textId="77777777" w:rsidR="002B7946" w:rsidRPr="004111A7" w:rsidRDefault="002B7946" w:rsidP="002B7946">
      <w:pPr>
        <w:pStyle w:val="TableGraphic"/>
      </w:pPr>
    </w:p>
    <w:p w14:paraId="3D539E05" w14:textId="0517B2FD" w:rsidR="00C854F5" w:rsidRPr="004111A7" w:rsidRDefault="002B7946" w:rsidP="002B7946">
      <w:pPr>
        <w:pStyle w:val="TableHeading"/>
      </w:pPr>
      <w:r w:rsidRPr="004111A7">
        <w:br w:type="page"/>
      </w:r>
      <w:bookmarkStart w:id="51" w:name="_Toc190682315"/>
      <w:bookmarkStart w:id="52" w:name="_Toc190682532"/>
      <w:bookmarkEnd w:id="37"/>
      <w:bookmarkEnd w:id="38"/>
      <w:r w:rsidR="00307796" w:rsidRPr="004111A7">
        <w:lastRenderedPageBreak/>
        <w:t>Table 2.1.2</w:t>
      </w:r>
      <w:r w:rsidR="008E5BB7" w:rsidRPr="004111A7">
        <w:t xml:space="preserve">: </w:t>
      </w:r>
      <w:r w:rsidR="00280FEA" w:rsidRPr="004111A7">
        <w:t>Performance measures</w:t>
      </w:r>
      <w:r w:rsidR="00D0241A" w:rsidRPr="004111A7">
        <w:rPr>
          <w:lang w:val="en-AU"/>
        </w:rPr>
        <w:t xml:space="preserve"> </w:t>
      </w:r>
      <w:r w:rsidR="003E429A" w:rsidRPr="004111A7">
        <w:t>for Outcome 1</w:t>
      </w:r>
    </w:p>
    <w:bookmarkEnd w:id="51"/>
    <w:bookmarkEnd w:id="52"/>
    <w:p w14:paraId="634C9B92" w14:textId="4DEC44AA" w:rsidR="00851367" w:rsidRPr="004111A7" w:rsidRDefault="00851367" w:rsidP="00B92B73">
      <w:r w:rsidRPr="004111A7">
        <w:t xml:space="preserve">Table 2.1.2 below details the </w:t>
      </w:r>
      <w:r w:rsidR="00280FEA" w:rsidRPr="004111A7">
        <w:t>performance measures</w:t>
      </w:r>
      <w:r w:rsidRPr="004111A7">
        <w:t xml:space="preserve"> for each program associated with Outcome 1. It also summarises how each program is delivered and where </w:t>
      </w:r>
      <w:r w:rsidR="00F75376" w:rsidRPr="004111A7">
        <w:t>2021</w:t>
      </w:r>
      <w:r w:rsidR="00F75376" w:rsidRPr="004111A7">
        <w:noBreakHyphen/>
        <w:t>22 </w:t>
      </w:r>
      <w:r w:rsidRPr="004111A7">
        <w:t xml:space="preserve">Budget measures have created new programs or materially changed existing programs. </w:t>
      </w:r>
    </w:p>
    <w:tbl>
      <w:tblPr>
        <w:tblW w:w="76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6103"/>
      </w:tblGrid>
      <w:tr w:rsidR="00851367" w:rsidRPr="004111A7" w14:paraId="46D5797A" w14:textId="77777777" w:rsidTr="007C6F19">
        <w:tc>
          <w:tcPr>
            <w:tcW w:w="7699" w:type="dxa"/>
            <w:gridSpan w:val="2"/>
            <w:shd w:val="clear" w:color="auto" w:fill="F2F2F2"/>
          </w:tcPr>
          <w:p w14:paraId="4A054283" w14:textId="61C5DE06" w:rsidR="00851367" w:rsidRPr="004111A7" w:rsidRDefault="00851367" w:rsidP="00851367">
            <w:pPr>
              <w:suppressAutoHyphens/>
              <w:spacing w:before="60" w:after="60" w:line="240" w:lineRule="auto"/>
              <w:jc w:val="left"/>
              <w:rPr>
                <w:rFonts w:ascii="Arial" w:eastAsia="Arial" w:hAnsi="Arial"/>
                <w:b/>
                <w:sz w:val="22"/>
                <w:szCs w:val="22"/>
                <w:lang w:eastAsia="en-US"/>
              </w:rPr>
            </w:pPr>
            <w:r w:rsidRPr="004111A7">
              <w:rPr>
                <w:rFonts w:ascii="Arial" w:eastAsia="Arial" w:hAnsi="Arial"/>
                <w:b/>
                <w:sz w:val="22"/>
                <w:szCs w:val="22"/>
                <w:lang w:eastAsia="en-US"/>
              </w:rPr>
              <w:t xml:space="preserve">Outcome 1 – </w:t>
            </w:r>
            <w:r w:rsidRPr="004111A7">
              <w:rPr>
                <w:rFonts w:ascii="Arial" w:eastAsia="Arial" w:hAnsi="Arial"/>
                <w:lang w:eastAsia="en-US"/>
              </w:rPr>
              <w:t>Support sustainable Australian Government finances through providing high</w:t>
            </w:r>
            <w:r w:rsidR="00B1246C">
              <w:rPr>
                <w:rFonts w:ascii="Arial" w:eastAsia="Arial" w:hAnsi="Arial"/>
                <w:lang w:eastAsia="en-US"/>
              </w:rPr>
              <w:t>-</w:t>
            </w:r>
            <w:r w:rsidRPr="004111A7">
              <w:rPr>
                <w:rFonts w:ascii="Arial" w:eastAsia="Arial" w:hAnsi="Arial"/>
                <w:lang w:eastAsia="en-US"/>
              </w:rPr>
              <w:t xml:space="preserve">quality policy advice </w:t>
            </w:r>
            <w:r w:rsidR="00B01CE4">
              <w:rPr>
                <w:rFonts w:ascii="Arial" w:eastAsia="Arial" w:hAnsi="Arial"/>
                <w:lang w:eastAsia="en-US"/>
              </w:rPr>
              <w:t>and operational support to the g</w:t>
            </w:r>
            <w:r w:rsidRPr="004111A7">
              <w:rPr>
                <w:rFonts w:ascii="Arial" w:eastAsia="Arial" w:hAnsi="Arial"/>
                <w:lang w:eastAsia="en-US"/>
              </w:rPr>
              <w:t>overnment and Commonwealth entities to maintain effective and efficient use of public resources.</w:t>
            </w:r>
          </w:p>
        </w:tc>
      </w:tr>
      <w:tr w:rsidR="00851367" w:rsidRPr="004111A7" w14:paraId="1FD961B3" w14:textId="77777777" w:rsidTr="007C6F19">
        <w:tc>
          <w:tcPr>
            <w:tcW w:w="7699" w:type="dxa"/>
            <w:gridSpan w:val="2"/>
            <w:tcBorders>
              <w:bottom w:val="single" w:sz="4" w:space="0" w:color="auto"/>
            </w:tcBorders>
            <w:shd w:val="clear" w:color="auto" w:fill="F2F2F2"/>
          </w:tcPr>
          <w:p w14:paraId="06A207A7" w14:textId="77777777" w:rsidR="00851367" w:rsidRPr="004111A7" w:rsidRDefault="00851367" w:rsidP="00851367">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sz w:val="16"/>
                <w:szCs w:val="16"/>
                <w:lang w:eastAsia="en-US"/>
              </w:rPr>
              <w:t>Program 1.1</w:t>
            </w:r>
            <w:r w:rsidRPr="004111A7">
              <w:rPr>
                <w:rFonts w:ascii="Arial" w:eastAsia="Arial" w:hAnsi="Arial" w:cs="Arial"/>
                <w:sz w:val="16"/>
                <w:szCs w:val="16"/>
                <w:lang w:eastAsia="en-US"/>
              </w:rPr>
              <w:t xml:space="preserve"> – </w:t>
            </w:r>
            <w:r w:rsidRPr="004111A7">
              <w:rPr>
                <w:rFonts w:ascii="Arial" w:eastAsia="Arial" w:hAnsi="Arial" w:cs="Arial"/>
                <w:b/>
                <w:sz w:val="16"/>
                <w:szCs w:val="16"/>
                <w:lang w:eastAsia="en-US"/>
              </w:rPr>
              <w:t>Budget and Financial Management</w:t>
            </w:r>
            <w:r w:rsidRPr="004111A7">
              <w:rPr>
                <w:rFonts w:ascii="Arial" w:eastAsia="Arial" w:hAnsi="Arial" w:cs="Arial"/>
                <w:sz w:val="16"/>
                <w:szCs w:val="16"/>
                <w:lang w:eastAsia="en-US"/>
              </w:rPr>
              <w:t xml:space="preserve"> </w:t>
            </w:r>
          </w:p>
          <w:p w14:paraId="110C4C57" w14:textId="77777777" w:rsidR="00851367" w:rsidRPr="004111A7" w:rsidRDefault="00851367" w:rsidP="00851367">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This program contributes to the outcome through advising the Finance Minister and Expenditure Review Committee (ERC) on fiscal and economic policies and related matters; supporting the Finance Minister in meeting his financial reporting responsibilities; and supporting the delivery of the Budget.</w:t>
            </w:r>
          </w:p>
        </w:tc>
      </w:tr>
      <w:tr w:rsidR="00851367" w:rsidRPr="004111A7" w14:paraId="5242FFC5" w14:textId="77777777" w:rsidTr="007C6F19">
        <w:tc>
          <w:tcPr>
            <w:tcW w:w="1596" w:type="dxa"/>
            <w:tcBorders>
              <w:bottom w:val="single" w:sz="4" w:space="0" w:color="auto"/>
            </w:tcBorders>
          </w:tcPr>
          <w:p w14:paraId="7185DD6D" w14:textId="77777777" w:rsidR="00851367" w:rsidRPr="004111A7" w:rsidRDefault="00851367" w:rsidP="00851367">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Delivery</w:t>
            </w:r>
          </w:p>
        </w:tc>
        <w:tc>
          <w:tcPr>
            <w:tcW w:w="6103" w:type="dxa"/>
            <w:tcBorders>
              <w:bottom w:val="single" w:sz="4" w:space="0" w:color="auto"/>
            </w:tcBorders>
          </w:tcPr>
          <w:p w14:paraId="378C90CA" w14:textId="77777777" w:rsidR="00851367" w:rsidRPr="004111A7" w:rsidRDefault="00851367" w:rsidP="00851367">
            <w:pPr>
              <w:tabs>
                <w:tab w:val="left" w:pos="709"/>
              </w:tabs>
              <w:suppressAutoHyphens/>
              <w:spacing w:before="60" w:after="60" w:line="240" w:lineRule="auto"/>
              <w:jc w:val="left"/>
              <w:rPr>
                <w:rFonts w:ascii="Arial" w:eastAsia="Arial" w:hAnsi="Arial" w:cs="Arial"/>
                <w:sz w:val="16"/>
                <w:szCs w:val="16"/>
                <w:u w:val="single"/>
                <w:lang w:eastAsia="en-US"/>
              </w:rPr>
            </w:pPr>
            <w:r w:rsidRPr="004111A7">
              <w:rPr>
                <w:rFonts w:ascii="Arial" w:eastAsia="Arial" w:hAnsi="Arial" w:cs="Arial"/>
                <w:sz w:val="16"/>
                <w:szCs w:val="16"/>
                <w:u w:val="single"/>
                <w:lang w:eastAsia="en-US"/>
              </w:rPr>
              <w:t xml:space="preserve">Budget </w:t>
            </w:r>
          </w:p>
          <w:p w14:paraId="269B6855" w14:textId="77777777" w:rsidR="00851367" w:rsidRPr="004111A7" w:rsidRDefault="00851367" w:rsidP="00DF4D2A">
            <w:pPr>
              <w:numPr>
                <w:ilvl w:val="0"/>
                <w:numId w:val="43"/>
              </w:numPr>
              <w:tabs>
                <w:tab w:val="left" w:pos="359"/>
              </w:tabs>
              <w:suppressAutoHyphens/>
              <w:spacing w:before="60" w:after="60" w:line="240" w:lineRule="auto"/>
              <w:contextualSpacing/>
              <w:jc w:val="left"/>
              <w:rPr>
                <w:rFonts w:ascii="Arial" w:eastAsia="Calibri" w:hAnsi="Arial" w:cs="Arial"/>
                <w:sz w:val="16"/>
                <w:szCs w:val="16"/>
                <w:lang w:val="en-US" w:eastAsia="en-US"/>
              </w:rPr>
            </w:pPr>
            <w:r w:rsidRPr="004111A7">
              <w:rPr>
                <w:rFonts w:ascii="Arial" w:eastAsia="Calibri" w:hAnsi="Arial" w:cs="Arial"/>
                <w:sz w:val="16"/>
                <w:szCs w:val="16"/>
                <w:lang w:val="en-US" w:eastAsia="en-US"/>
              </w:rPr>
              <w:t xml:space="preserve">Providing effective, timely and accurate advice on Budget processes to government entities. </w:t>
            </w:r>
          </w:p>
          <w:p w14:paraId="32FE3B47" w14:textId="77777777" w:rsidR="00851367" w:rsidRPr="004111A7" w:rsidRDefault="00851367" w:rsidP="00DF4D2A">
            <w:pPr>
              <w:numPr>
                <w:ilvl w:val="0"/>
                <w:numId w:val="43"/>
              </w:numPr>
              <w:tabs>
                <w:tab w:val="left" w:pos="359"/>
              </w:tabs>
              <w:suppressAutoHyphens/>
              <w:spacing w:before="60" w:after="60" w:line="240" w:lineRule="auto"/>
              <w:contextualSpacing/>
              <w:jc w:val="left"/>
              <w:rPr>
                <w:rFonts w:ascii="Arial" w:eastAsia="Calibri" w:hAnsi="Arial" w:cs="Arial"/>
                <w:sz w:val="16"/>
                <w:szCs w:val="16"/>
                <w:lang w:val="en-US" w:eastAsia="en-US"/>
              </w:rPr>
            </w:pPr>
            <w:r w:rsidRPr="004111A7">
              <w:rPr>
                <w:rFonts w:ascii="Arial" w:eastAsia="Calibri" w:hAnsi="Arial" w:cs="Arial"/>
                <w:sz w:val="16"/>
                <w:szCs w:val="16"/>
                <w:lang w:val="en-US" w:eastAsia="en-US"/>
              </w:rPr>
              <w:t>Ensuring the Budget framework effectively supports decision making. Informing the Finance Minister and ERC on the use of government finances.</w:t>
            </w:r>
          </w:p>
          <w:p w14:paraId="5E34E7AF" w14:textId="22622495" w:rsidR="00851367" w:rsidRPr="004111A7" w:rsidRDefault="00851367" w:rsidP="00DF4D2A">
            <w:pPr>
              <w:numPr>
                <w:ilvl w:val="0"/>
                <w:numId w:val="43"/>
              </w:numPr>
              <w:tabs>
                <w:tab w:val="left" w:pos="359"/>
              </w:tabs>
              <w:suppressAutoHyphens/>
              <w:spacing w:before="60" w:after="60" w:line="240" w:lineRule="auto"/>
              <w:contextualSpacing/>
              <w:jc w:val="left"/>
              <w:rPr>
                <w:rFonts w:ascii="Arial" w:eastAsia="Calibri" w:hAnsi="Arial" w:cs="Arial"/>
                <w:sz w:val="16"/>
                <w:szCs w:val="16"/>
                <w:lang w:val="en-US" w:eastAsia="en-US"/>
              </w:rPr>
            </w:pPr>
            <w:r w:rsidRPr="004111A7">
              <w:rPr>
                <w:rFonts w:ascii="Arial" w:eastAsia="Calibri" w:hAnsi="Arial" w:cs="Arial"/>
                <w:sz w:val="16"/>
                <w:szCs w:val="16"/>
                <w:lang w:val="en-US" w:eastAsia="en-US"/>
              </w:rPr>
              <w:t>Coordinating, preparing and delivering accurate and timely Budget estimates and documentation to the Finance Minister.</w:t>
            </w:r>
          </w:p>
          <w:p w14:paraId="2A223D66" w14:textId="77777777" w:rsidR="00F61605" w:rsidRPr="004111A7" w:rsidRDefault="00F61605" w:rsidP="00F61605">
            <w:pPr>
              <w:tabs>
                <w:tab w:val="left" w:pos="359"/>
              </w:tabs>
              <w:suppressAutoHyphens/>
              <w:spacing w:before="60" w:after="60" w:line="240" w:lineRule="auto"/>
              <w:ind w:left="360"/>
              <w:contextualSpacing/>
              <w:jc w:val="left"/>
              <w:rPr>
                <w:rFonts w:ascii="Arial" w:eastAsia="Calibri" w:hAnsi="Arial" w:cs="Arial"/>
                <w:sz w:val="16"/>
                <w:szCs w:val="16"/>
                <w:lang w:val="en-US" w:eastAsia="en-US"/>
              </w:rPr>
            </w:pPr>
          </w:p>
          <w:p w14:paraId="2EA91D0F" w14:textId="77777777" w:rsidR="00851367" w:rsidRPr="004111A7" w:rsidRDefault="00851367" w:rsidP="00851367">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u w:val="single"/>
                <w:lang w:eastAsia="en-US"/>
              </w:rPr>
              <w:t>Financial Management</w:t>
            </w:r>
          </w:p>
          <w:p w14:paraId="28CCA54A" w14:textId="77777777" w:rsidR="00851367" w:rsidRPr="004111A7" w:rsidRDefault="00851367" w:rsidP="00DF4D2A">
            <w:pPr>
              <w:numPr>
                <w:ilvl w:val="0"/>
                <w:numId w:val="43"/>
              </w:numPr>
              <w:tabs>
                <w:tab w:val="left" w:pos="359"/>
              </w:tabs>
              <w:suppressAutoHyphens/>
              <w:spacing w:before="60" w:after="60" w:line="240" w:lineRule="auto"/>
              <w:contextualSpacing/>
              <w:jc w:val="left"/>
              <w:rPr>
                <w:rFonts w:ascii="Arial" w:eastAsia="Calibri" w:hAnsi="Arial" w:cs="Arial"/>
                <w:sz w:val="16"/>
                <w:szCs w:val="16"/>
                <w:lang w:val="en-US" w:eastAsia="en-US"/>
              </w:rPr>
            </w:pPr>
            <w:r w:rsidRPr="004111A7">
              <w:rPr>
                <w:rFonts w:ascii="Arial" w:eastAsia="Calibri" w:hAnsi="Arial" w:cs="Arial"/>
                <w:sz w:val="16"/>
                <w:szCs w:val="16"/>
                <w:lang w:val="en-US" w:eastAsia="en-US"/>
              </w:rPr>
              <w:t xml:space="preserve">Monitoring and reporting on the Government’s cash balances to the Government. </w:t>
            </w:r>
          </w:p>
          <w:p w14:paraId="4DEDBD62" w14:textId="77777777" w:rsidR="00851367" w:rsidRPr="004111A7" w:rsidRDefault="00851367" w:rsidP="00DF4D2A">
            <w:pPr>
              <w:numPr>
                <w:ilvl w:val="0"/>
                <w:numId w:val="43"/>
              </w:numPr>
              <w:tabs>
                <w:tab w:val="left" w:pos="359"/>
              </w:tabs>
              <w:suppressAutoHyphens/>
              <w:spacing w:before="60" w:after="60" w:line="240" w:lineRule="auto"/>
              <w:contextualSpacing/>
              <w:jc w:val="left"/>
              <w:rPr>
                <w:rFonts w:ascii="Arial" w:eastAsia="Calibri" w:hAnsi="Arial" w:cs="Arial"/>
                <w:sz w:val="16"/>
                <w:szCs w:val="16"/>
                <w:lang w:val="en-US" w:eastAsia="en-US"/>
              </w:rPr>
            </w:pPr>
            <w:r w:rsidRPr="004111A7">
              <w:rPr>
                <w:rFonts w:ascii="Arial" w:eastAsia="Calibri" w:hAnsi="Arial" w:cs="Arial"/>
                <w:sz w:val="16"/>
                <w:szCs w:val="16"/>
                <w:lang w:val="en-US" w:eastAsia="en-US"/>
              </w:rPr>
              <w:t>Delivering monthly and annual WoAG financial statements and Final Budget Outcome (FBO) to the Government.</w:t>
            </w:r>
          </w:p>
          <w:p w14:paraId="3487269A" w14:textId="77777777" w:rsidR="00851367" w:rsidRPr="004111A7" w:rsidRDefault="00851367" w:rsidP="00DF4D2A">
            <w:pPr>
              <w:numPr>
                <w:ilvl w:val="0"/>
                <w:numId w:val="43"/>
              </w:numPr>
              <w:tabs>
                <w:tab w:val="left" w:pos="359"/>
              </w:tabs>
              <w:suppressAutoHyphens/>
              <w:spacing w:before="60" w:after="60" w:line="240" w:lineRule="auto"/>
              <w:contextualSpacing/>
              <w:jc w:val="left"/>
              <w:rPr>
                <w:rFonts w:ascii="Arial" w:eastAsia="Calibri" w:hAnsi="Arial" w:cs="Arial"/>
                <w:sz w:val="16"/>
                <w:szCs w:val="16"/>
                <w:lang w:val="en-US" w:eastAsia="en-US"/>
              </w:rPr>
            </w:pPr>
            <w:r w:rsidRPr="004111A7">
              <w:rPr>
                <w:rFonts w:ascii="Arial" w:eastAsia="Calibri" w:hAnsi="Arial" w:cs="Arial"/>
                <w:sz w:val="16"/>
                <w:szCs w:val="16"/>
                <w:lang w:val="en-US" w:eastAsia="en-US"/>
              </w:rPr>
              <w:t>Delivering financial reporting and accounting rules and advice to entities.</w:t>
            </w:r>
          </w:p>
          <w:p w14:paraId="3FE0BF28" w14:textId="77777777" w:rsidR="00851367" w:rsidRPr="004111A7" w:rsidRDefault="00851367" w:rsidP="00DF4D2A">
            <w:pPr>
              <w:numPr>
                <w:ilvl w:val="0"/>
                <w:numId w:val="43"/>
              </w:numPr>
              <w:tabs>
                <w:tab w:val="left" w:pos="359"/>
              </w:tabs>
              <w:suppressAutoHyphens/>
              <w:spacing w:before="60" w:after="60" w:line="240" w:lineRule="auto"/>
              <w:contextualSpacing/>
              <w:jc w:val="left"/>
              <w:rPr>
                <w:rFonts w:ascii="Arial" w:eastAsia="Calibri" w:hAnsi="Arial" w:cs="Arial"/>
                <w:sz w:val="16"/>
                <w:szCs w:val="16"/>
                <w:lang w:val="en-US" w:eastAsia="en-US"/>
              </w:rPr>
            </w:pPr>
            <w:r w:rsidRPr="004111A7">
              <w:rPr>
                <w:rFonts w:ascii="Arial" w:eastAsia="Calibri" w:hAnsi="Arial" w:cs="Arial"/>
                <w:sz w:val="16"/>
                <w:szCs w:val="16"/>
                <w:lang w:val="en-US" w:eastAsia="en-US"/>
              </w:rPr>
              <w:t>Producing appropriation bills and appropriation instruments for the Government.</w:t>
            </w:r>
          </w:p>
          <w:p w14:paraId="3E848FBC" w14:textId="77777777" w:rsidR="00F61605" w:rsidRPr="004111A7" w:rsidRDefault="00851367" w:rsidP="00F61605">
            <w:pPr>
              <w:numPr>
                <w:ilvl w:val="0"/>
                <w:numId w:val="43"/>
              </w:numPr>
              <w:tabs>
                <w:tab w:val="left" w:pos="359"/>
              </w:tabs>
              <w:suppressAutoHyphens/>
              <w:spacing w:before="60" w:after="60" w:line="240" w:lineRule="auto"/>
              <w:contextualSpacing/>
              <w:jc w:val="left"/>
              <w:rPr>
                <w:rFonts w:ascii="Arial" w:eastAsia="Calibri" w:hAnsi="Arial" w:cs="Arial"/>
                <w:i/>
                <w:color w:val="FF0000"/>
                <w:sz w:val="16"/>
                <w:szCs w:val="16"/>
                <w:lang w:val="en-US" w:eastAsia="en-US"/>
              </w:rPr>
            </w:pPr>
            <w:r w:rsidRPr="004111A7">
              <w:rPr>
                <w:rFonts w:ascii="Arial" w:eastAsia="Calibri" w:hAnsi="Arial" w:cs="Arial"/>
                <w:sz w:val="16"/>
                <w:szCs w:val="16"/>
                <w:lang w:val="en-US" w:eastAsia="en-US"/>
              </w:rPr>
              <w:t>Maintaining the Australian Government Organisations Register.</w:t>
            </w:r>
          </w:p>
          <w:p w14:paraId="2C1239E0" w14:textId="31705BF5" w:rsidR="00F61605" w:rsidRPr="004111A7" w:rsidRDefault="00F61605" w:rsidP="00F61605">
            <w:pPr>
              <w:tabs>
                <w:tab w:val="left" w:pos="359"/>
              </w:tabs>
              <w:suppressAutoHyphens/>
              <w:spacing w:before="60" w:after="60" w:line="240" w:lineRule="auto"/>
              <w:ind w:left="360"/>
              <w:contextualSpacing/>
              <w:jc w:val="left"/>
              <w:rPr>
                <w:rFonts w:ascii="Arial" w:eastAsia="Calibri" w:hAnsi="Arial" w:cs="Arial"/>
                <w:i/>
                <w:color w:val="FF0000"/>
                <w:sz w:val="16"/>
                <w:szCs w:val="16"/>
                <w:lang w:val="en-US" w:eastAsia="en-US"/>
              </w:rPr>
            </w:pPr>
          </w:p>
        </w:tc>
      </w:tr>
    </w:tbl>
    <w:p w14:paraId="7ADF9C87" w14:textId="77777777" w:rsidR="00E56099" w:rsidRPr="004111A7" w:rsidRDefault="00E56099" w:rsidP="00E56099">
      <w:pPr>
        <w:tabs>
          <w:tab w:val="left" w:pos="709"/>
        </w:tabs>
        <w:suppressAutoHyphens/>
        <w:spacing w:after="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Table continues on next page </w:t>
      </w:r>
    </w:p>
    <w:p w14:paraId="3E6CBC95" w14:textId="77777777" w:rsidR="00F61605" w:rsidRPr="004111A7" w:rsidRDefault="00F61605" w:rsidP="00851367">
      <w:pPr>
        <w:keepNext/>
        <w:spacing w:after="20" w:line="240" w:lineRule="auto"/>
        <w:jc w:val="left"/>
        <w:rPr>
          <w:rFonts w:ascii="Arial" w:hAnsi="Arial"/>
          <w:b/>
          <w:color w:val="000000"/>
          <w:lang w:eastAsia="x-none"/>
        </w:rPr>
      </w:pPr>
      <w:r w:rsidRPr="004111A7">
        <w:rPr>
          <w:rFonts w:ascii="Arial" w:hAnsi="Arial"/>
          <w:b/>
          <w:color w:val="000000"/>
          <w:lang w:eastAsia="x-none"/>
        </w:rPr>
        <w:br w:type="page"/>
      </w:r>
    </w:p>
    <w:p w14:paraId="77DDDB22" w14:textId="75A36DD2" w:rsidR="00851367" w:rsidRPr="004111A7" w:rsidRDefault="00851367" w:rsidP="00851367">
      <w:pPr>
        <w:keepNext/>
        <w:spacing w:after="20" w:line="240" w:lineRule="auto"/>
        <w:jc w:val="left"/>
        <w:rPr>
          <w:rFonts w:ascii="Arial" w:hAnsi="Arial"/>
          <w:b/>
          <w:color w:val="000000"/>
          <w:lang w:eastAsia="x-none"/>
        </w:rPr>
      </w:pPr>
      <w:r w:rsidRPr="004111A7">
        <w:rPr>
          <w:rFonts w:ascii="Arial" w:hAnsi="Arial"/>
          <w:b/>
          <w:color w:val="000000"/>
          <w:lang w:val="x-none" w:eastAsia="x-none"/>
        </w:rPr>
        <w:lastRenderedPageBreak/>
        <w:t xml:space="preserve">Table 2.1.2: </w:t>
      </w:r>
      <w:r w:rsidR="00280FEA" w:rsidRPr="004111A7">
        <w:rPr>
          <w:rFonts w:ascii="Arial" w:hAnsi="Arial"/>
          <w:b/>
          <w:color w:val="000000"/>
          <w:lang w:val="x-none" w:eastAsia="x-none"/>
        </w:rPr>
        <w:t>Performance measures</w:t>
      </w:r>
      <w:r w:rsidRPr="004111A7">
        <w:rPr>
          <w:rFonts w:ascii="Arial" w:hAnsi="Arial"/>
          <w:b/>
          <w:color w:val="000000"/>
          <w:lang w:val="x-none" w:eastAsia="x-none"/>
        </w:rPr>
        <w:t xml:space="preserve"> for Outcome 1</w:t>
      </w:r>
      <w:r w:rsidRPr="004111A7">
        <w:rPr>
          <w:rFonts w:ascii="Arial" w:hAnsi="Arial"/>
          <w:b/>
          <w:color w:val="000000"/>
          <w:lang w:eastAsia="x-none"/>
        </w:rPr>
        <w:t xml:space="preserve"> (continued)</w:t>
      </w:r>
    </w:p>
    <w:tbl>
      <w:tblPr>
        <w:tblW w:w="76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2058"/>
        <w:gridCol w:w="4129"/>
      </w:tblGrid>
      <w:tr w:rsidR="00851367" w:rsidRPr="004111A7" w14:paraId="6CEE26B6" w14:textId="77777777" w:rsidTr="007C6F19">
        <w:trPr>
          <w:cantSplit/>
        </w:trPr>
        <w:tc>
          <w:tcPr>
            <w:tcW w:w="7685" w:type="dxa"/>
            <w:gridSpan w:val="3"/>
            <w:tcBorders>
              <w:top w:val="double" w:sz="4" w:space="0" w:color="auto"/>
              <w:bottom w:val="double" w:sz="4" w:space="0" w:color="auto"/>
            </w:tcBorders>
          </w:tcPr>
          <w:p w14:paraId="152CA622" w14:textId="77777777" w:rsidR="00851367" w:rsidRPr="004111A7" w:rsidRDefault="00851367" w:rsidP="00851367">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Performance information: Program 1.1 – Budget and Finance Management</w:t>
            </w:r>
          </w:p>
        </w:tc>
      </w:tr>
      <w:tr w:rsidR="00851367" w:rsidRPr="004111A7" w14:paraId="30393807" w14:textId="77777777" w:rsidTr="007C6F19">
        <w:tc>
          <w:tcPr>
            <w:tcW w:w="1498" w:type="dxa"/>
            <w:tcBorders>
              <w:top w:val="double" w:sz="4" w:space="0" w:color="auto"/>
              <w:bottom w:val="single" w:sz="4" w:space="0" w:color="auto"/>
              <w:right w:val="single" w:sz="4" w:space="0" w:color="auto"/>
            </w:tcBorders>
          </w:tcPr>
          <w:p w14:paraId="07501572" w14:textId="77777777" w:rsidR="00851367" w:rsidRPr="004111A7" w:rsidRDefault="00851367" w:rsidP="00851367">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058" w:type="dxa"/>
            <w:tcBorders>
              <w:top w:val="double" w:sz="4" w:space="0" w:color="auto"/>
              <w:left w:val="single" w:sz="4" w:space="0" w:color="auto"/>
              <w:bottom w:val="single" w:sz="4" w:space="0" w:color="auto"/>
              <w:right w:val="single" w:sz="4" w:space="0" w:color="auto"/>
            </w:tcBorders>
          </w:tcPr>
          <w:p w14:paraId="26537DAC" w14:textId="7CF6865F" w:rsidR="00851367" w:rsidRPr="004111A7" w:rsidRDefault="00851367" w:rsidP="00851367">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005A6AC5">
              <w:rPr>
                <w:rFonts w:ascii="Arial" w:eastAsia="Arial" w:hAnsi="Arial" w:cs="Arial"/>
                <w:b/>
                <w:sz w:val="16"/>
                <w:szCs w:val="16"/>
                <w:lang w:eastAsia="en-US"/>
              </w:rPr>
              <w:t xml:space="preserve"> </w:t>
            </w:r>
            <w:r w:rsidR="005A6AC5" w:rsidRPr="00456B4A">
              <w:rPr>
                <w:rFonts w:ascii="Arial" w:eastAsia="Arial" w:hAnsi="Arial" w:cs="Arial"/>
                <w:sz w:val="16"/>
                <w:szCs w:val="16"/>
                <w:lang w:eastAsia="en-US"/>
              </w:rPr>
              <w:t>(a)</w:t>
            </w:r>
          </w:p>
        </w:tc>
        <w:tc>
          <w:tcPr>
            <w:tcW w:w="4129" w:type="dxa"/>
            <w:tcBorders>
              <w:top w:val="double" w:sz="4" w:space="0" w:color="auto"/>
              <w:left w:val="single" w:sz="4" w:space="0" w:color="auto"/>
              <w:bottom w:val="single" w:sz="4" w:space="0" w:color="auto"/>
            </w:tcBorders>
          </w:tcPr>
          <w:p w14:paraId="6C08FF5B" w14:textId="77777777" w:rsidR="00851367" w:rsidRPr="004111A7" w:rsidRDefault="00851367" w:rsidP="00851367">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F61605" w:rsidRPr="004111A7" w14:paraId="5428187D" w14:textId="77777777" w:rsidTr="007C6F19">
        <w:trPr>
          <w:trHeight w:val="60"/>
        </w:trPr>
        <w:tc>
          <w:tcPr>
            <w:tcW w:w="1498" w:type="dxa"/>
            <w:tcBorders>
              <w:top w:val="single" w:sz="4" w:space="0" w:color="auto"/>
              <w:bottom w:val="nil"/>
              <w:right w:val="single" w:sz="4" w:space="0" w:color="auto"/>
            </w:tcBorders>
          </w:tcPr>
          <w:p w14:paraId="1E2722A9" w14:textId="3A73983F" w:rsidR="00F61605" w:rsidRPr="004111A7" w:rsidRDefault="00F61605" w:rsidP="00F61605">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2020-21</w:t>
            </w:r>
          </w:p>
        </w:tc>
        <w:tc>
          <w:tcPr>
            <w:tcW w:w="2058" w:type="dxa"/>
            <w:tcBorders>
              <w:top w:val="single" w:sz="4" w:space="0" w:color="auto"/>
              <w:left w:val="single" w:sz="4" w:space="0" w:color="auto"/>
              <w:bottom w:val="dotted" w:sz="4" w:space="0" w:color="auto"/>
              <w:right w:val="single" w:sz="4" w:space="0" w:color="auto"/>
            </w:tcBorders>
          </w:tcPr>
          <w:p w14:paraId="19E6180D" w14:textId="5CF42F66" w:rsidR="00F61605" w:rsidRPr="004111A7" w:rsidRDefault="00F61605" w:rsidP="00F61605">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bCs/>
                <w:sz w:val="16"/>
                <w:szCs w:val="16"/>
                <w:lang w:eastAsia="en-US"/>
              </w:rPr>
              <w:t xml:space="preserve">Budget </w:t>
            </w:r>
            <w:r w:rsidR="004B5B77" w:rsidRPr="004111A7">
              <w:rPr>
                <w:rFonts w:ascii="Arial" w:eastAsia="Arial" w:hAnsi="Arial" w:cs="Arial"/>
                <w:b/>
                <w:bCs/>
                <w:sz w:val="16"/>
                <w:szCs w:val="16"/>
                <w:lang w:eastAsia="en-US"/>
              </w:rPr>
              <w:t>updates and Appropriation Bills</w:t>
            </w:r>
            <w:r w:rsidRPr="004111A7">
              <w:rPr>
                <w:rFonts w:ascii="Arial" w:eastAsia="Arial" w:hAnsi="Arial" w:cs="Arial"/>
                <w:b/>
                <w:bCs/>
                <w:sz w:val="16"/>
                <w:szCs w:val="16"/>
                <w:vertAlign w:val="superscript"/>
                <w:lang w:eastAsia="en-US"/>
              </w:rPr>
              <w:t xml:space="preserve"> </w:t>
            </w:r>
          </w:p>
          <w:p w14:paraId="5E69771F" w14:textId="1ECB3B37" w:rsidR="00F61605" w:rsidRPr="004111A7" w:rsidRDefault="00F61605" w:rsidP="007D79C7">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Budget papers, related updates (e.g. the </w:t>
            </w:r>
            <w:r w:rsidR="00B1246C">
              <w:rPr>
                <w:rFonts w:ascii="Arial" w:eastAsia="Arial" w:hAnsi="Arial" w:cs="Arial"/>
                <w:sz w:val="16"/>
                <w:szCs w:val="16"/>
                <w:lang w:eastAsia="en-US"/>
              </w:rPr>
              <w:t>MYEFO</w:t>
            </w:r>
            <w:r w:rsidRPr="004111A7">
              <w:rPr>
                <w:rFonts w:ascii="Arial" w:eastAsia="Arial" w:hAnsi="Arial" w:cs="Arial"/>
                <w:sz w:val="16"/>
                <w:szCs w:val="16"/>
                <w:lang w:eastAsia="en-US"/>
              </w:rPr>
              <w:t>) and Appropriation Bills are accurate, consistent with external reporting standards, delivered within required timeframes and meets the Government’s fiscal and policy objectives and legislative obligations.</w:t>
            </w:r>
          </w:p>
        </w:tc>
        <w:tc>
          <w:tcPr>
            <w:tcW w:w="4129" w:type="dxa"/>
            <w:tcBorders>
              <w:top w:val="single" w:sz="4" w:space="0" w:color="auto"/>
              <w:left w:val="single" w:sz="4" w:space="0" w:color="auto"/>
              <w:bottom w:val="dotted" w:sz="4" w:space="0" w:color="auto"/>
            </w:tcBorders>
          </w:tcPr>
          <w:p w14:paraId="4A9CC250" w14:textId="77777777" w:rsidR="00F61605" w:rsidRPr="004111A7" w:rsidRDefault="00F61605" w:rsidP="00F61605">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On Track</w:t>
            </w:r>
          </w:p>
          <w:p w14:paraId="7AD75B3D" w14:textId="77777777" w:rsidR="00F61605" w:rsidRPr="004111A7" w:rsidRDefault="00F61605" w:rsidP="00F61605">
            <w:pPr>
              <w:tabs>
                <w:tab w:val="left" w:pos="709"/>
              </w:tabs>
              <w:suppressAutoHyphens/>
              <w:spacing w:before="60" w:after="60" w:line="240" w:lineRule="auto"/>
              <w:jc w:val="left"/>
              <w:rPr>
                <w:rFonts w:ascii="Arial" w:eastAsia="Arial" w:hAnsi="Arial" w:cs="Arial"/>
                <w:sz w:val="16"/>
                <w:szCs w:val="16"/>
                <w:u w:val="single"/>
                <w:lang w:eastAsia="en-US"/>
              </w:rPr>
            </w:pPr>
            <w:r w:rsidRPr="004111A7">
              <w:rPr>
                <w:rFonts w:ascii="Arial" w:eastAsia="Arial" w:hAnsi="Arial" w:cs="Arial"/>
                <w:sz w:val="16"/>
                <w:szCs w:val="16"/>
                <w:u w:val="single"/>
                <w:lang w:eastAsia="en-US"/>
              </w:rPr>
              <w:t>Budget and related papers meet timeframes</w:t>
            </w:r>
          </w:p>
          <w:p w14:paraId="32D42DBE" w14:textId="44296F78" w:rsidR="00F61605" w:rsidRPr="004111A7" w:rsidRDefault="00F61605" w:rsidP="00F61605">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The 2019</w:t>
            </w:r>
            <w:r w:rsidRPr="004111A7">
              <w:rPr>
                <w:rFonts w:ascii="Arial" w:eastAsia="Arial" w:hAnsi="Arial" w:cs="Arial"/>
                <w:sz w:val="16"/>
                <w:szCs w:val="16"/>
                <w:lang w:eastAsia="en-US"/>
              </w:rPr>
              <w:noBreakHyphen/>
              <w:t>20 F</w:t>
            </w:r>
            <w:r w:rsidR="00B1246C">
              <w:rPr>
                <w:rFonts w:ascii="Arial" w:eastAsia="Arial" w:hAnsi="Arial" w:cs="Arial"/>
                <w:sz w:val="16"/>
                <w:szCs w:val="16"/>
                <w:lang w:eastAsia="en-US"/>
              </w:rPr>
              <w:t>BO</w:t>
            </w:r>
            <w:r w:rsidRPr="004111A7">
              <w:rPr>
                <w:rFonts w:ascii="Arial" w:eastAsia="Arial" w:hAnsi="Arial" w:cs="Arial"/>
                <w:sz w:val="16"/>
                <w:szCs w:val="16"/>
                <w:lang w:eastAsia="en-US"/>
              </w:rPr>
              <w:t xml:space="preserve"> was released on 25</w:t>
            </w:r>
            <w:r w:rsidR="00B1246C">
              <w:rPr>
                <w:rFonts w:ascii="Arial" w:eastAsia="Arial" w:hAnsi="Arial" w:cs="Arial"/>
                <w:sz w:val="16"/>
                <w:szCs w:val="16"/>
                <w:lang w:eastAsia="en-US"/>
              </w:rPr>
              <w:t> </w:t>
            </w:r>
            <w:r w:rsidRPr="004111A7">
              <w:rPr>
                <w:rFonts w:ascii="Arial" w:eastAsia="Arial" w:hAnsi="Arial" w:cs="Arial"/>
                <w:sz w:val="16"/>
                <w:szCs w:val="16"/>
                <w:lang w:eastAsia="en-US"/>
              </w:rPr>
              <w:t>September</w:t>
            </w:r>
            <w:r w:rsidR="00B1246C">
              <w:rPr>
                <w:rFonts w:ascii="Arial" w:eastAsia="Arial" w:hAnsi="Arial" w:cs="Arial"/>
                <w:sz w:val="16"/>
                <w:szCs w:val="16"/>
                <w:lang w:eastAsia="en-US"/>
              </w:rPr>
              <w:t> </w:t>
            </w:r>
            <w:r w:rsidRPr="004111A7">
              <w:rPr>
                <w:rFonts w:ascii="Arial" w:eastAsia="Arial" w:hAnsi="Arial" w:cs="Arial"/>
                <w:sz w:val="16"/>
                <w:szCs w:val="16"/>
                <w:lang w:eastAsia="en-US"/>
              </w:rPr>
              <w:t>2020.</w:t>
            </w:r>
          </w:p>
          <w:p w14:paraId="10EBB229" w14:textId="77777777" w:rsidR="00F61605" w:rsidRPr="004111A7" w:rsidRDefault="00F61605" w:rsidP="00F61605">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The 2020-21 Budget was delivered on 6 October 2020. </w:t>
            </w:r>
          </w:p>
          <w:p w14:paraId="3D1E8418" w14:textId="77777777" w:rsidR="00F61605" w:rsidRPr="004111A7" w:rsidRDefault="00F61605" w:rsidP="00F61605">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The 2020</w:t>
            </w:r>
            <w:r w:rsidRPr="004111A7">
              <w:rPr>
                <w:rFonts w:ascii="Arial" w:eastAsia="Arial" w:hAnsi="Arial" w:cs="Arial"/>
                <w:sz w:val="16"/>
                <w:szCs w:val="16"/>
                <w:lang w:eastAsia="en-US"/>
              </w:rPr>
              <w:noBreakHyphen/>
              <w:t>21 MYEFO was released on 17 December 2020.</w:t>
            </w:r>
          </w:p>
          <w:p w14:paraId="56BE6535" w14:textId="77777777" w:rsidR="00F61605" w:rsidRPr="004111A7" w:rsidRDefault="00F61605" w:rsidP="00F61605">
            <w:pPr>
              <w:tabs>
                <w:tab w:val="left" w:pos="709"/>
              </w:tabs>
              <w:suppressAutoHyphens/>
              <w:spacing w:before="60" w:after="60" w:line="240" w:lineRule="auto"/>
              <w:jc w:val="left"/>
              <w:rPr>
                <w:rFonts w:ascii="Arial" w:eastAsia="Arial" w:hAnsi="Arial" w:cs="Arial"/>
                <w:sz w:val="16"/>
                <w:szCs w:val="16"/>
                <w:u w:val="single"/>
                <w:lang w:eastAsia="en-US"/>
              </w:rPr>
            </w:pPr>
            <w:r w:rsidRPr="004111A7">
              <w:rPr>
                <w:rFonts w:ascii="Arial" w:eastAsia="Arial" w:hAnsi="Arial" w:cs="Arial"/>
                <w:sz w:val="16"/>
                <w:szCs w:val="16"/>
                <w:lang w:eastAsia="en-US"/>
              </w:rPr>
              <w:t>The 2021</w:t>
            </w:r>
            <w:r w:rsidRPr="004111A7">
              <w:rPr>
                <w:rFonts w:ascii="Arial" w:eastAsia="Arial" w:hAnsi="Arial" w:cs="Arial"/>
                <w:sz w:val="16"/>
                <w:szCs w:val="16"/>
                <w:lang w:eastAsia="en-US"/>
              </w:rPr>
              <w:noBreakHyphen/>
              <w:t xml:space="preserve">22 Budget was released on 11 May 2021. </w:t>
            </w:r>
          </w:p>
          <w:p w14:paraId="613D8FF2" w14:textId="77777777" w:rsidR="00F61605" w:rsidRPr="004111A7" w:rsidRDefault="00F61605" w:rsidP="00F61605">
            <w:pPr>
              <w:tabs>
                <w:tab w:val="left" w:pos="709"/>
              </w:tabs>
              <w:suppressAutoHyphens/>
              <w:spacing w:before="60" w:after="60" w:line="240" w:lineRule="auto"/>
              <w:jc w:val="left"/>
              <w:rPr>
                <w:rFonts w:ascii="Arial" w:eastAsia="Arial" w:hAnsi="Arial" w:cs="Arial"/>
                <w:sz w:val="16"/>
                <w:szCs w:val="16"/>
                <w:u w:val="single"/>
                <w:lang w:eastAsia="en-US"/>
              </w:rPr>
            </w:pPr>
            <w:r w:rsidRPr="004111A7">
              <w:rPr>
                <w:rFonts w:ascii="Arial" w:eastAsia="Arial" w:hAnsi="Arial" w:cs="Arial"/>
                <w:sz w:val="16"/>
                <w:szCs w:val="16"/>
                <w:u w:val="single"/>
                <w:lang w:eastAsia="en-US"/>
              </w:rPr>
              <w:t>Accuracy of Budget Estimates</w:t>
            </w:r>
          </w:p>
          <w:p w14:paraId="11C8341F" w14:textId="77777777" w:rsidR="00F61605" w:rsidRPr="004111A7" w:rsidRDefault="00F61605" w:rsidP="00F61605">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Through each economic update, Budget and Financial Reporting Group works with entities to ensure expense estimates take into account the best available information at the time of the update. Other activities such as the scrutiny and agreement of costs for expense, capital and non</w:t>
            </w:r>
            <w:r w:rsidRPr="004111A7">
              <w:rPr>
                <w:rFonts w:ascii="Arial" w:eastAsia="Arial" w:hAnsi="Arial" w:cs="Arial"/>
                <w:sz w:val="16"/>
                <w:szCs w:val="16"/>
                <w:lang w:eastAsia="en-US"/>
              </w:rPr>
              <w:noBreakHyphen/>
              <w:t>taxation revenue policy proposals and the Material Estimates Variations process further support the accuracy of expense estimates.</w:t>
            </w:r>
          </w:p>
          <w:p w14:paraId="488450BE" w14:textId="77777777" w:rsidR="00F61605" w:rsidRPr="004111A7" w:rsidRDefault="00F61605" w:rsidP="00F61605">
            <w:pPr>
              <w:tabs>
                <w:tab w:val="left" w:pos="709"/>
              </w:tabs>
              <w:suppressAutoHyphens/>
              <w:spacing w:before="60" w:after="60" w:line="240" w:lineRule="auto"/>
              <w:jc w:val="left"/>
              <w:rPr>
                <w:rFonts w:ascii="Arial" w:eastAsia="Arial" w:hAnsi="Arial" w:cs="Arial"/>
                <w:sz w:val="16"/>
                <w:szCs w:val="16"/>
                <w:u w:val="single"/>
                <w:lang w:eastAsia="en-US"/>
              </w:rPr>
            </w:pPr>
            <w:r w:rsidRPr="004111A7">
              <w:rPr>
                <w:rFonts w:ascii="Arial" w:eastAsia="Arial" w:hAnsi="Arial" w:cs="Arial"/>
                <w:sz w:val="16"/>
                <w:szCs w:val="16"/>
                <w:u w:val="single"/>
                <w:lang w:eastAsia="en-US"/>
              </w:rPr>
              <w:t>Timeliness of Appropriation Bills</w:t>
            </w:r>
          </w:p>
          <w:p w14:paraId="0F0BD647" w14:textId="0D5F1DC3" w:rsidR="00F61605" w:rsidRPr="004111A7" w:rsidRDefault="00F61605" w:rsidP="00EE5A83">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The 2020-21 Budget Appropriation Bills were introduced in th</w:t>
            </w:r>
            <w:r w:rsidR="00EE5A83" w:rsidRPr="004111A7">
              <w:rPr>
                <w:rFonts w:ascii="Arial" w:eastAsia="Arial" w:hAnsi="Arial" w:cs="Arial"/>
                <w:sz w:val="16"/>
                <w:szCs w:val="16"/>
                <w:lang w:eastAsia="en-US"/>
              </w:rPr>
              <w:t>e House of Representatives on 6 </w:t>
            </w:r>
            <w:r w:rsidRPr="004111A7">
              <w:rPr>
                <w:rFonts w:ascii="Arial" w:eastAsia="Arial" w:hAnsi="Arial" w:cs="Arial"/>
                <w:sz w:val="16"/>
                <w:szCs w:val="16"/>
                <w:lang w:eastAsia="en-US"/>
              </w:rPr>
              <w:t>October 2020, in l</w:t>
            </w:r>
            <w:r w:rsidR="00EE5A83" w:rsidRPr="004111A7">
              <w:rPr>
                <w:rFonts w:ascii="Arial" w:eastAsia="Arial" w:hAnsi="Arial" w:cs="Arial"/>
                <w:sz w:val="16"/>
                <w:szCs w:val="16"/>
                <w:lang w:eastAsia="en-US"/>
              </w:rPr>
              <w:t>ine with the timing of the 2020</w:t>
            </w:r>
            <w:r w:rsidR="00EE5A83" w:rsidRPr="004111A7">
              <w:rPr>
                <w:rFonts w:ascii="Arial" w:eastAsia="Arial" w:hAnsi="Arial" w:cs="Arial"/>
                <w:sz w:val="16"/>
                <w:szCs w:val="16"/>
                <w:lang w:eastAsia="en-US"/>
              </w:rPr>
              <w:noBreakHyphen/>
            </w:r>
            <w:r w:rsidRPr="004111A7">
              <w:rPr>
                <w:rFonts w:ascii="Arial" w:eastAsia="Arial" w:hAnsi="Arial" w:cs="Arial"/>
                <w:sz w:val="16"/>
                <w:szCs w:val="16"/>
                <w:lang w:eastAsia="en-US"/>
              </w:rPr>
              <w:t>21</w:t>
            </w:r>
            <w:r w:rsidR="00EE5A83" w:rsidRPr="004111A7">
              <w:rPr>
                <w:rFonts w:ascii="Arial" w:eastAsia="Arial" w:hAnsi="Arial" w:cs="Arial"/>
                <w:sz w:val="16"/>
                <w:szCs w:val="16"/>
                <w:lang w:eastAsia="en-US"/>
              </w:rPr>
              <w:t> </w:t>
            </w:r>
            <w:r w:rsidRPr="004111A7">
              <w:rPr>
                <w:rFonts w:ascii="Arial" w:eastAsia="Arial" w:hAnsi="Arial" w:cs="Arial"/>
                <w:sz w:val="16"/>
                <w:szCs w:val="16"/>
                <w:lang w:eastAsia="en-US"/>
              </w:rPr>
              <w:t xml:space="preserve">Budget. Additional Estimates Bills for 2020-21 </w:t>
            </w:r>
            <w:r w:rsidR="004B5B77" w:rsidRPr="004111A7">
              <w:rPr>
                <w:rFonts w:ascii="Arial" w:eastAsia="Arial" w:hAnsi="Arial" w:cs="Arial"/>
                <w:sz w:val="16"/>
                <w:szCs w:val="16"/>
                <w:lang w:eastAsia="en-US"/>
              </w:rPr>
              <w:t xml:space="preserve">were </w:t>
            </w:r>
            <w:r w:rsidRPr="004111A7">
              <w:rPr>
                <w:rFonts w:ascii="Arial" w:eastAsia="Arial" w:hAnsi="Arial" w:cs="Arial"/>
                <w:sz w:val="16"/>
                <w:szCs w:val="16"/>
                <w:lang w:eastAsia="en-US"/>
              </w:rPr>
              <w:t>introduced during the February 2021 sittings of Parliament.</w:t>
            </w:r>
          </w:p>
        </w:tc>
      </w:tr>
      <w:tr w:rsidR="00851367" w:rsidRPr="004111A7" w14:paraId="6AEC42C2" w14:textId="77777777" w:rsidTr="007C6F19">
        <w:trPr>
          <w:trHeight w:val="60"/>
        </w:trPr>
        <w:tc>
          <w:tcPr>
            <w:tcW w:w="1498" w:type="dxa"/>
            <w:tcBorders>
              <w:top w:val="nil"/>
              <w:bottom w:val="nil"/>
              <w:right w:val="single" w:sz="4" w:space="0" w:color="auto"/>
            </w:tcBorders>
          </w:tcPr>
          <w:p w14:paraId="2140642E" w14:textId="30D0239B" w:rsidR="00851367" w:rsidRPr="004111A7" w:rsidRDefault="00851367" w:rsidP="00851367">
            <w:pPr>
              <w:tabs>
                <w:tab w:val="left" w:pos="709"/>
              </w:tabs>
              <w:suppressAutoHyphens/>
              <w:spacing w:before="60" w:after="60" w:line="240" w:lineRule="auto"/>
              <w:jc w:val="left"/>
              <w:rPr>
                <w:rFonts w:ascii="Arial" w:eastAsia="Arial" w:hAnsi="Arial" w:cs="Arial"/>
                <w:sz w:val="16"/>
                <w:szCs w:val="16"/>
                <w:lang w:eastAsia="en-US"/>
              </w:rPr>
            </w:pPr>
          </w:p>
        </w:tc>
        <w:tc>
          <w:tcPr>
            <w:tcW w:w="2058" w:type="dxa"/>
            <w:tcBorders>
              <w:top w:val="dotted" w:sz="4" w:space="0" w:color="auto"/>
              <w:left w:val="single" w:sz="4" w:space="0" w:color="auto"/>
              <w:bottom w:val="dotted" w:sz="4" w:space="0" w:color="auto"/>
              <w:right w:val="single" w:sz="4" w:space="0" w:color="auto"/>
            </w:tcBorders>
          </w:tcPr>
          <w:p w14:paraId="3E4FFA59" w14:textId="77777777" w:rsidR="00851367" w:rsidRPr="004111A7" w:rsidRDefault="00851367" w:rsidP="00851367">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Financial statements</w:t>
            </w:r>
          </w:p>
          <w:p w14:paraId="1D4406AB" w14:textId="77777777" w:rsidR="00851367" w:rsidRPr="004111A7" w:rsidRDefault="00851367" w:rsidP="00851367">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The Government’s financial statements, including monthly statements, are complete, fairly presented and released publicly on timeframes agreed with the Government.</w:t>
            </w:r>
          </w:p>
        </w:tc>
        <w:tc>
          <w:tcPr>
            <w:tcW w:w="4129" w:type="dxa"/>
            <w:tcBorders>
              <w:top w:val="dotted" w:sz="4" w:space="0" w:color="auto"/>
              <w:left w:val="single" w:sz="4" w:space="0" w:color="auto"/>
              <w:bottom w:val="dotted" w:sz="4" w:space="0" w:color="auto"/>
            </w:tcBorders>
          </w:tcPr>
          <w:p w14:paraId="55C09BE5" w14:textId="77777777" w:rsidR="00851367" w:rsidRPr="004111A7" w:rsidRDefault="00851367" w:rsidP="00851367">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On Track</w:t>
            </w:r>
          </w:p>
          <w:p w14:paraId="59298EDC" w14:textId="77777777" w:rsidR="00851367" w:rsidRPr="004111A7" w:rsidRDefault="00851367" w:rsidP="00851367">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The 2020-21 monthly financial statements have been provided to the Minister for Finance on average within 21 days of the end of each month since the release of FBO.</w:t>
            </w:r>
          </w:p>
          <w:p w14:paraId="2A5A72A1" w14:textId="51BA25BD" w:rsidR="00851367" w:rsidRPr="004111A7" w:rsidRDefault="00851367" w:rsidP="00EE5A83">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The Auditor-General issued an unmodified audit report on the 2019-20 C</w:t>
            </w:r>
            <w:r w:rsidR="00EE5A83" w:rsidRPr="004111A7">
              <w:rPr>
                <w:rFonts w:ascii="Arial" w:eastAsia="Arial" w:hAnsi="Arial" w:cs="Arial"/>
                <w:sz w:val="16"/>
                <w:szCs w:val="16"/>
                <w:lang w:eastAsia="en-US"/>
              </w:rPr>
              <w:t>onsolidate</w:t>
            </w:r>
            <w:r w:rsidR="009D6873" w:rsidRPr="004111A7">
              <w:rPr>
                <w:rFonts w:ascii="Arial" w:eastAsia="Arial" w:hAnsi="Arial" w:cs="Arial"/>
                <w:sz w:val="16"/>
                <w:szCs w:val="16"/>
                <w:lang w:eastAsia="en-US"/>
              </w:rPr>
              <w:t>d</w:t>
            </w:r>
            <w:r w:rsidR="00EE5A83" w:rsidRPr="004111A7">
              <w:rPr>
                <w:rFonts w:ascii="Arial" w:eastAsia="Arial" w:hAnsi="Arial" w:cs="Arial"/>
                <w:sz w:val="16"/>
                <w:szCs w:val="16"/>
                <w:lang w:eastAsia="en-US"/>
              </w:rPr>
              <w:t xml:space="preserve"> Financial Statements</w:t>
            </w:r>
            <w:r w:rsidRPr="004111A7">
              <w:rPr>
                <w:rFonts w:ascii="Arial" w:eastAsia="Arial" w:hAnsi="Arial" w:cs="Arial"/>
                <w:sz w:val="16"/>
                <w:szCs w:val="16"/>
                <w:lang w:eastAsia="en-US"/>
              </w:rPr>
              <w:t xml:space="preserve"> on 24 November 2020. </w:t>
            </w:r>
          </w:p>
        </w:tc>
      </w:tr>
      <w:tr w:rsidR="00851367" w:rsidRPr="004111A7" w14:paraId="53EEA673" w14:textId="77777777" w:rsidTr="007C6F19">
        <w:trPr>
          <w:trHeight w:val="60"/>
        </w:trPr>
        <w:tc>
          <w:tcPr>
            <w:tcW w:w="1498" w:type="dxa"/>
            <w:tcBorders>
              <w:top w:val="nil"/>
              <w:bottom w:val="single" w:sz="4" w:space="0" w:color="auto"/>
              <w:right w:val="single" w:sz="4" w:space="0" w:color="auto"/>
            </w:tcBorders>
          </w:tcPr>
          <w:p w14:paraId="04C9F621" w14:textId="799BD64F" w:rsidR="00851367" w:rsidRPr="004111A7" w:rsidRDefault="00851367" w:rsidP="00851367">
            <w:pPr>
              <w:tabs>
                <w:tab w:val="left" w:pos="709"/>
              </w:tabs>
              <w:suppressAutoHyphens/>
              <w:spacing w:before="60" w:after="60" w:line="240" w:lineRule="auto"/>
              <w:jc w:val="left"/>
              <w:rPr>
                <w:rFonts w:ascii="Arial" w:eastAsia="Arial" w:hAnsi="Arial" w:cs="Arial"/>
                <w:sz w:val="16"/>
                <w:szCs w:val="16"/>
                <w:lang w:eastAsia="en-US"/>
              </w:rPr>
            </w:pPr>
          </w:p>
        </w:tc>
        <w:tc>
          <w:tcPr>
            <w:tcW w:w="2058" w:type="dxa"/>
            <w:tcBorders>
              <w:top w:val="dotted" w:sz="4" w:space="0" w:color="auto"/>
              <w:left w:val="single" w:sz="4" w:space="0" w:color="auto"/>
              <w:bottom w:val="single" w:sz="4" w:space="0" w:color="auto"/>
              <w:right w:val="single" w:sz="4" w:space="0" w:color="auto"/>
            </w:tcBorders>
          </w:tcPr>
          <w:p w14:paraId="52F407F5" w14:textId="77777777" w:rsidR="00851367" w:rsidRPr="004111A7" w:rsidRDefault="00851367" w:rsidP="00851367">
            <w:pPr>
              <w:tabs>
                <w:tab w:val="left" w:pos="709"/>
              </w:tabs>
              <w:suppressAutoHyphens/>
              <w:spacing w:before="60" w:after="60" w:line="240" w:lineRule="auto"/>
              <w:jc w:val="left"/>
              <w:rPr>
                <w:rFonts w:ascii="Arial" w:eastAsia="Arial" w:hAnsi="Arial" w:cs="Arial"/>
                <w:b/>
                <w:bCs/>
                <w:sz w:val="16"/>
                <w:szCs w:val="16"/>
                <w:lang w:eastAsia="en-US"/>
              </w:rPr>
            </w:pPr>
            <w:r w:rsidRPr="004111A7">
              <w:rPr>
                <w:rFonts w:ascii="Arial" w:eastAsia="Arial" w:hAnsi="Arial" w:cs="Arial"/>
                <w:b/>
                <w:bCs/>
                <w:sz w:val="16"/>
                <w:szCs w:val="16"/>
                <w:lang w:eastAsia="en-US"/>
              </w:rPr>
              <w:t>Daily disbursement of cash</w:t>
            </w:r>
          </w:p>
          <w:p w14:paraId="76E23624" w14:textId="04A62CDC" w:rsidR="00851367" w:rsidRPr="004111A7" w:rsidRDefault="00851367">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Commonwealth entities have access to cash, in near real-time, as required.</w:t>
            </w:r>
          </w:p>
        </w:tc>
        <w:tc>
          <w:tcPr>
            <w:tcW w:w="4129" w:type="dxa"/>
            <w:tcBorders>
              <w:top w:val="dotted" w:sz="4" w:space="0" w:color="auto"/>
              <w:left w:val="single" w:sz="4" w:space="0" w:color="auto"/>
              <w:bottom w:val="single" w:sz="4" w:space="0" w:color="auto"/>
            </w:tcBorders>
          </w:tcPr>
          <w:p w14:paraId="5F43F1BF" w14:textId="77777777" w:rsidR="00851367" w:rsidRPr="004111A7" w:rsidRDefault="00851367" w:rsidP="00851367">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On Track </w:t>
            </w:r>
          </w:p>
          <w:p w14:paraId="67055DDC" w14:textId="4951B089" w:rsidR="00851367" w:rsidRPr="004111A7" w:rsidRDefault="00851367" w:rsidP="00851367">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All payment requests from entities have been met for each day for each request being approved/processed by the entity. Entities no longer have to process their payment requests before 2pm on business days and can now process these requests any time between 8.45am and 4.45pm on any day. </w:t>
            </w:r>
          </w:p>
        </w:tc>
      </w:tr>
    </w:tbl>
    <w:p w14:paraId="1B6C778C" w14:textId="77777777" w:rsidR="00F61605" w:rsidRPr="004111A7" w:rsidRDefault="00F61605" w:rsidP="00F61605">
      <w:pPr>
        <w:tabs>
          <w:tab w:val="left" w:pos="709"/>
        </w:tabs>
        <w:suppressAutoHyphens/>
        <w:spacing w:after="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Table continues on next page </w:t>
      </w:r>
    </w:p>
    <w:p w14:paraId="35DD5631" w14:textId="77777777" w:rsidR="00F61605" w:rsidRPr="004111A7" w:rsidRDefault="00F61605" w:rsidP="00851367">
      <w:pPr>
        <w:keepNext/>
        <w:spacing w:after="20" w:line="240" w:lineRule="auto"/>
        <w:jc w:val="left"/>
        <w:rPr>
          <w:rFonts w:ascii="Arial" w:hAnsi="Arial"/>
          <w:b/>
          <w:color w:val="000000"/>
          <w:lang w:eastAsia="x-none"/>
        </w:rPr>
      </w:pPr>
      <w:r w:rsidRPr="004111A7">
        <w:rPr>
          <w:rFonts w:ascii="Arial" w:hAnsi="Arial"/>
          <w:b/>
          <w:color w:val="000000"/>
          <w:lang w:eastAsia="x-none"/>
        </w:rPr>
        <w:br w:type="page"/>
      </w:r>
    </w:p>
    <w:p w14:paraId="7F99FB24" w14:textId="249245F2" w:rsidR="00F61605" w:rsidRPr="004111A7" w:rsidRDefault="00F61605" w:rsidP="00F61605">
      <w:pPr>
        <w:keepNext/>
        <w:spacing w:after="20" w:line="240" w:lineRule="auto"/>
        <w:jc w:val="left"/>
        <w:rPr>
          <w:rFonts w:ascii="Arial" w:hAnsi="Arial"/>
          <w:b/>
          <w:color w:val="000000"/>
          <w:lang w:eastAsia="x-none"/>
        </w:rPr>
      </w:pPr>
      <w:bookmarkStart w:id="53" w:name="_Toc69382429"/>
      <w:bookmarkStart w:id="54" w:name="_Toc69385029"/>
      <w:bookmarkStart w:id="55" w:name="_Toc69385103"/>
      <w:r w:rsidRPr="004111A7">
        <w:rPr>
          <w:rFonts w:ascii="Arial" w:hAnsi="Arial"/>
          <w:b/>
          <w:color w:val="000000"/>
          <w:lang w:eastAsia="x-none"/>
        </w:rPr>
        <w:lastRenderedPageBreak/>
        <w:t xml:space="preserve">  </w:t>
      </w:r>
      <w:r w:rsidRPr="004111A7">
        <w:rPr>
          <w:rFonts w:ascii="Arial" w:hAnsi="Arial"/>
          <w:b/>
          <w:color w:val="000000"/>
          <w:lang w:val="x-none" w:eastAsia="x-none"/>
        </w:rPr>
        <w:t xml:space="preserve">Table 2.1.2: </w:t>
      </w:r>
      <w:r w:rsidR="00280FEA" w:rsidRPr="004111A7">
        <w:rPr>
          <w:rFonts w:ascii="Arial" w:hAnsi="Arial"/>
          <w:b/>
          <w:color w:val="000000"/>
          <w:lang w:val="x-none" w:eastAsia="x-none"/>
        </w:rPr>
        <w:t>Performance measures</w:t>
      </w:r>
      <w:r w:rsidRPr="004111A7">
        <w:rPr>
          <w:rFonts w:ascii="Arial" w:hAnsi="Arial"/>
          <w:b/>
          <w:color w:val="000000"/>
          <w:lang w:val="x-none" w:eastAsia="x-none"/>
        </w:rPr>
        <w:t xml:space="preserve"> for Outcome 1</w:t>
      </w:r>
      <w:r w:rsidRPr="004111A7">
        <w:rPr>
          <w:rFonts w:ascii="Arial" w:hAnsi="Arial"/>
          <w:b/>
          <w:color w:val="000000"/>
          <w:lang w:eastAsia="x-none"/>
        </w:rPr>
        <w:t xml:space="preserve"> (continued)</w:t>
      </w:r>
    </w:p>
    <w:tbl>
      <w:tblPr>
        <w:tblW w:w="76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039"/>
        <w:gridCol w:w="4143"/>
      </w:tblGrid>
      <w:tr w:rsidR="00F61605" w:rsidRPr="004111A7" w14:paraId="4CA09B02" w14:textId="77777777" w:rsidTr="00F61605">
        <w:trPr>
          <w:cantSplit/>
        </w:trPr>
        <w:tc>
          <w:tcPr>
            <w:tcW w:w="7685" w:type="dxa"/>
            <w:gridSpan w:val="3"/>
            <w:tcBorders>
              <w:top w:val="double" w:sz="4" w:space="0" w:color="auto"/>
              <w:bottom w:val="double" w:sz="4" w:space="0" w:color="auto"/>
            </w:tcBorders>
          </w:tcPr>
          <w:p w14:paraId="5144849F" w14:textId="77777777" w:rsidR="00F61605" w:rsidRPr="004111A7" w:rsidRDefault="00F61605" w:rsidP="00F61605">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Performance information: Program 1.1 – Budget and Finance Management</w:t>
            </w:r>
          </w:p>
        </w:tc>
      </w:tr>
      <w:tr w:rsidR="00F61605" w:rsidRPr="004111A7" w14:paraId="79732AF3" w14:textId="77777777" w:rsidTr="00F61605">
        <w:tc>
          <w:tcPr>
            <w:tcW w:w="1503" w:type="dxa"/>
            <w:tcBorders>
              <w:top w:val="double" w:sz="4" w:space="0" w:color="auto"/>
              <w:bottom w:val="single" w:sz="4" w:space="0" w:color="auto"/>
              <w:right w:val="single" w:sz="4" w:space="0" w:color="auto"/>
            </w:tcBorders>
          </w:tcPr>
          <w:p w14:paraId="48676DFF" w14:textId="77777777" w:rsidR="00F61605" w:rsidRPr="004111A7" w:rsidRDefault="00F61605" w:rsidP="00F61605">
            <w:pPr>
              <w:tabs>
                <w:tab w:val="left" w:pos="709"/>
              </w:tabs>
              <w:suppressAutoHyphens/>
              <w:spacing w:before="60" w:after="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039" w:type="dxa"/>
            <w:tcBorders>
              <w:top w:val="double" w:sz="4" w:space="0" w:color="auto"/>
              <w:left w:val="single" w:sz="4" w:space="0" w:color="auto"/>
              <w:bottom w:val="single" w:sz="4" w:space="0" w:color="auto"/>
              <w:right w:val="single" w:sz="4" w:space="0" w:color="auto"/>
            </w:tcBorders>
          </w:tcPr>
          <w:p w14:paraId="42F3BA69" w14:textId="3D3FB634" w:rsidR="00F61605" w:rsidRPr="004111A7" w:rsidRDefault="00F61605" w:rsidP="00F61605">
            <w:pPr>
              <w:tabs>
                <w:tab w:val="left" w:pos="709"/>
              </w:tabs>
              <w:suppressAutoHyphens/>
              <w:spacing w:before="60" w:after="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p>
        </w:tc>
        <w:tc>
          <w:tcPr>
            <w:tcW w:w="4143" w:type="dxa"/>
            <w:tcBorders>
              <w:top w:val="double" w:sz="4" w:space="0" w:color="auto"/>
              <w:left w:val="single" w:sz="4" w:space="0" w:color="auto"/>
              <w:bottom w:val="single" w:sz="4" w:space="0" w:color="auto"/>
            </w:tcBorders>
          </w:tcPr>
          <w:p w14:paraId="1B4321C4" w14:textId="77777777" w:rsidR="00F61605" w:rsidRPr="004111A7" w:rsidRDefault="00F61605" w:rsidP="00F61605">
            <w:pPr>
              <w:tabs>
                <w:tab w:val="left" w:pos="709"/>
              </w:tabs>
              <w:suppressAutoHyphens/>
              <w:spacing w:before="60" w:after="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F61605" w:rsidRPr="004111A7" w14:paraId="306986D8" w14:textId="77777777" w:rsidTr="004B5B77">
        <w:tc>
          <w:tcPr>
            <w:tcW w:w="1503" w:type="dxa"/>
            <w:tcBorders>
              <w:top w:val="dotted" w:sz="4" w:space="0" w:color="auto"/>
              <w:bottom w:val="nil"/>
              <w:right w:val="single" w:sz="4" w:space="0" w:color="auto"/>
            </w:tcBorders>
          </w:tcPr>
          <w:p w14:paraId="5243A8CF" w14:textId="77777777" w:rsidR="00F61605" w:rsidRPr="004111A7" w:rsidRDefault="00F61605" w:rsidP="00F61605">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2021- 22</w:t>
            </w:r>
          </w:p>
          <w:p w14:paraId="08AFE2D9" w14:textId="77777777" w:rsidR="00F61605" w:rsidRPr="004111A7" w:rsidRDefault="00F61605" w:rsidP="00F61605">
            <w:pPr>
              <w:tabs>
                <w:tab w:val="left" w:pos="709"/>
              </w:tabs>
              <w:suppressAutoHyphens/>
              <w:spacing w:before="60" w:after="60" w:line="240" w:lineRule="auto"/>
              <w:jc w:val="left"/>
              <w:rPr>
                <w:rFonts w:ascii="Arial" w:eastAsia="Arial" w:hAnsi="Arial" w:cs="Arial"/>
                <w:sz w:val="16"/>
                <w:szCs w:val="16"/>
                <w:lang w:eastAsia="en-US"/>
              </w:rPr>
            </w:pPr>
          </w:p>
        </w:tc>
        <w:tc>
          <w:tcPr>
            <w:tcW w:w="2039" w:type="dxa"/>
            <w:tcBorders>
              <w:top w:val="dotted" w:sz="4" w:space="0" w:color="auto"/>
              <w:left w:val="single" w:sz="4" w:space="0" w:color="auto"/>
              <w:bottom w:val="dotted" w:sz="4" w:space="0" w:color="auto"/>
              <w:right w:val="single" w:sz="4" w:space="0" w:color="auto"/>
            </w:tcBorders>
          </w:tcPr>
          <w:p w14:paraId="5E9E438C" w14:textId="682FA693" w:rsidR="00F61605" w:rsidRPr="004111A7" w:rsidRDefault="00F61605" w:rsidP="00F61605">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bCs/>
                <w:sz w:val="16"/>
                <w:szCs w:val="16"/>
                <w:lang w:eastAsia="en-US"/>
              </w:rPr>
              <w:t>Budget updates and Appropriation Bills</w:t>
            </w:r>
          </w:p>
          <w:p w14:paraId="78922BD8" w14:textId="071639BC" w:rsidR="00F61605" w:rsidRPr="004111A7" w:rsidRDefault="00F61605" w:rsidP="007D79C7">
            <w:pPr>
              <w:tabs>
                <w:tab w:val="left" w:pos="709"/>
              </w:tabs>
              <w:suppressAutoHyphens/>
              <w:spacing w:before="60" w:after="60" w:line="240" w:lineRule="auto"/>
              <w:jc w:val="left"/>
              <w:rPr>
                <w:rFonts w:ascii="Arial" w:eastAsia="Arial" w:hAnsi="Arial" w:cs="Arial"/>
                <w:color w:val="FF0000"/>
                <w:sz w:val="16"/>
                <w:szCs w:val="16"/>
                <w:lang w:eastAsia="en-US"/>
              </w:rPr>
            </w:pPr>
            <w:r w:rsidRPr="004111A7">
              <w:rPr>
                <w:rFonts w:ascii="Arial" w:eastAsia="Arial" w:hAnsi="Arial" w:cs="Arial"/>
                <w:sz w:val="16"/>
                <w:szCs w:val="16"/>
                <w:lang w:eastAsia="en-US"/>
              </w:rPr>
              <w:t xml:space="preserve">Budget papers, related updates (e.g. the </w:t>
            </w:r>
            <w:r w:rsidR="009240F7">
              <w:rPr>
                <w:rFonts w:ascii="Arial" w:eastAsia="Arial" w:hAnsi="Arial" w:cs="Arial"/>
                <w:sz w:val="16"/>
                <w:szCs w:val="16"/>
                <w:lang w:eastAsia="en-US"/>
              </w:rPr>
              <w:t>MYEFO</w:t>
            </w:r>
            <w:r w:rsidRPr="004111A7">
              <w:rPr>
                <w:rFonts w:ascii="Arial" w:eastAsia="Arial" w:hAnsi="Arial" w:cs="Arial"/>
                <w:sz w:val="16"/>
                <w:szCs w:val="16"/>
                <w:lang w:eastAsia="en-US"/>
              </w:rPr>
              <w:t>) and Appropriation Bills are accurate, consistent with external reporting standards, delivered within required timeframes and meets the Government’s fiscal and policy objectives and legislative obligations.</w:t>
            </w:r>
          </w:p>
        </w:tc>
        <w:tc>
          <w:tcPr>
            <w:tcW w:w="4143" w:type="dxa"/>
            <w:tcBorders>
              <w:top w:val="dotted" w:sz="4" w:space="0" w:color="auto"/>
              <w:left w:val="single" w:sz="4" w:space="0" w:color="auto"/>
              <w:bottom w:val="dotted" w:sz="4" w:space="0" w:color="auto"/>
            </w:tcBorders>
          </w:tcPr>
          <w:p w14:paraId="1AA90371" w14:textId="77777777" w:rsidR="00F61605" w:rsidRPr="004111A7" w:rsidRDefault="00F61605" w:rsidP="00F61605">
            <w:pPr>
              <w:tabs>
                <w:tab w:val="left" w:pos="709"/>
              </w:tabs>
              <w:suppressAutoHyphens/>
              <w:spacing w:before="60" w:after="60" w:line="240" w:lineRule="auto"/>
              <w:jc w:val="left"/>
              <w:rPr>
                <w:rFonts w:ascii="Arial" w:eastAsia="Arial" w:hAnsi="Arial" w:cs="Arial"/>
                <w:bCs/>
                <w:sz w:val="16"/>
                <w:szCs w:val="16"/>
                <w:lang w:eastAsia="en-US"/>
              </w:rPr>
            </w:pPr>
            <w:r w:rsidRPr="004111A7">
              <w:rPr>
                <w:rFonts w:ascii="Arial" w:eastAsia="Arial" w:hAnsi="Arial" w:cs="Arial"/>
                <w:bCs/>
                <w:sz w:val="16"/>
                <w:szCs w:val="16"/>
                <w:lang w:eastAsia="en-US"/>
              </w:rPr>
              <w:t>Accuracy of Budget Estimates.</w:t>
            </w:r>
          </w:p>
          <w:p w14:paraId="60F5D732" w14:textId="77777777" w:rsidR="00F61605" w:rsidRPr="004111A7" w:rsidRDefault="00F61605" w:rsidP="00F61605">
            <w:pPr>
              <w:tabs>
                <w:tab w:val="left" w:pos="709"/>
              </w:tabs>
              <w:suppressAutoHyphens/>
              <w:spacing w:before="60" w:after="60" w:line="240" w:lineRule="auto"/>
              <w:jc w:val="left"/>
              <w:rPr>
                <w:rFonts w:ascii="Arial" w:eastAsia="Arial" w:hAnsi="Arial" w:cs="Arial"/>
                <w:bCs/>
                <w:sz w:val="16"/>
                <w:szCs w:val="16"/>
                <w:lang w:eastAsia="en-US"/>
              </w:rPr>
            </w:pPr>
            <w:r w:rsidRPr="004111A7">
              <w:rPr>
                <w:rFonts w:ascii="Arial" w:eastAsia="Arial" w:hAnsi="Arial" w:cs="Arial"/>
                <w:bCs/>
                <w:sz w:val="16"/>
                <w:szCs w:val="16"/>
                <w:lang w:eastAsia="en-US"/>
              </w:rPr>
              <w:t>Variances between estimated expenses and final outcome are within set parameters.</w:t>
            </w:r>
          </w:p>
          <w:p w14:paraId="524D8E80" w14:textId="0AE45340" w:rsidR="00F61605" w:rsidRPr="004111A7" w:rsidRDefault="00F61605" w:rsidP="002F2EE5">
            <w:pPr>
              <w:numPr>
                <w:ilvl w:val="0"/>
                <w:numId w:val="44"/>
              </w:numPr>
              <w:tabs>
                <w:tab w:val="left" w:pos="300"/>
              </w:tabs>
              <w:suppressAutoHyphens/>
              <w:spacing w:before="60" w:after="60" w:line="240" w:lineRule="auto"/>
              <w:ind w:left="300" w:hanging="283"/>
              <w:contextualSpacing/>
              <w:jc w:val="left"/>
              <w:rPr>
                <w:rFonts w:ascii="Arial" w:eastAsia="Calibri" w:hAnsi="Arial" w:cs="Arial"/>
                <w:sz w:val="16"/>
                <w:szCs w:val="16"/>
                <w:lang w:val="en-US" w:eastAsia="en-US"/>
              </w:rPr>
            </w:pPr>
            <w:r w:rsidRPr="004111A7">
              <w:rPr>
                <w:rFonts w:ascii="Arial" w:eastAsia="Calibri" w:hAnsi="Arial" w:cs="Arial"/>
                <w:bCs/>
                <w:sz w:val="16"/>
                <w:szCs w:val="16"/>
                <w:lang w:val="en-US" w:eastAsia="en-US"/>
              </w:rPr>
              <w:t>First forward year</w:t>
            </w:r>
            <w:r w:rsidRPr="004111A7">
              <w:rPr>
                <w:rFonts w:ascii="Arial" w:eastAsia="Calibri" w:hAnsi="Arial" w:cs="Arial"/>
                <w:sz w:val="16"/>
                <w:szCs w:val="16"/>
                <w:lang w:val="en-US" w:eastAsia="en-US"/>
              </w:rPr>
              <w:t xml:space="preserve"> – difference between estimated expenses and </w:t>
            </w:r>
            <w:r w:rsidR="009240F7">
              <w:rPr>
                <w:rFonts w:ascii="Arial" w:eastAsia="Calibri" w:hAnsi="Arial" w:cs="Arial"/>
                <w:sz w:val="16"/>
                <w:szCs w:val="16"/>
                <w:lang w:val="en-US" w:eastAsia="en-US"/>
              </w:rPr>
              <w:t>FBO</w:t>
            </w:r>
            <w:r w:rsidR="00AD1245" w:rsidRPr="004111A7">
              <w:rPr>
                <w:rFonts w:ascii="Arial" w:eastAsia="Calibri" w:hAnsi="Arial" w:cs="Arial"/>
                <w:sz w:val="16"/>
                <w:szCs w:val="16"/>
                <w:lang w:val="en-US" w:eastAsia="en-US"/>
              </w:rPr>
              <w:t xml:space="preserve"> &lt;</w:t>
            </w:r>
            <w:r w:rsidRPr="004111A7">
              <w:rPr>
                <w:rFonts w:ascii="Arial" w:eastAsia="Calibri" w:hAnsi="Arial" w:cs="Arial"/>
                <w:sz w:val="16"/>
                <w:szCs w:val="16"/>
                <w:lang w:val="en-US" w:eastAsia="en-US"/>
              </w:rPr>
              <w:t>2%</w:t>
            </w:r>
            <w:r w:rsidR="00096A45" w:rsidRPr="004111A7">
              <w:rPr>
                <w:rFonts w:ascii="Arial" w:eastAsia="Calibri" w:hAnsi="Arial" w:cs="Arial"/>
                <w:sz w:val="16"/>
                <w:szCs w:val="16"/>
                <w:lang w:val="en-US" w:eastAsia="en-US"/>
              </w:rPr>
              <w:t>.</w:t>
            </w:r>
          </w:p>
          <w:p w14:paraId="0460AF94" w14:textId="745A7445" w:rsidR="00F61605" w:rsidRPr="004111A7" w:rsidRDefault="00F61605" w:rsidP="002F2EE5">
            <w:pPr>
              <w:numPr>
                <w:ilvl w:val="0"/>
                <w:numId w:val="44"/>
              </w:numPr>
              <w:tabs>
                <w:tab w:val="left" w:pos="300"/>
              </w:tabs>
              <w:suppressAutoHyphens/>
              <w:spacing w:before="60" w:after="60" w:line="240" w:lineRule="auto"/>
              <w:ind w:left="300" w:hanging="283"/>
              <w:contextualSpacing/>
              <w:jc w:val="left"/>
              <w:rPr>
                <w:rFonts w:ascii="Arial" w:eastAsia="Calibri" w:hAnsi="Arial" w:cs="Arial"/>
                <w:sz w:val="16"/>
                <w:szCs w:val="16"/>
                <w:lang w:val="en-US" w:eastAsia="en-US"/>
              </w:rPr>
            </w:pPr>
            <w:r w:rsidRPr="004111A7">
              <w:rPr>
                <w:rFonts w:ascii="Arial" w:eastAsia="Calibri" w:hAnsi="Arial" w:cs="Arial"/>
                <w:bCs/>
                <w:sz w:val="16"/>
                <w:szCs w:val="16"/>
                <w:lang w:val="en-US" w:eastAsia="en-US"/>
              </w:rPr>
              <w:t>Budget year</w:t>
            </w:r>
            <w:r w:rsidRPr="004111A7">
              <w:rPr>
                <w:rFonts w:ascii="Arial" w:eastAsia="Calibri" w:hAnsi="Arial" w:cs="Arial"/>
                <w:sz w:val="16"/>
                <w:szCs w:val="16"/>
                <w:lang w:val="en-US" w:eastAsia="en-US"/>
              </w:rPr>
              <w:t xml:space="preserve"> – difference between Budget estimated expenses and F</w:t>
            </w:r>
            <w:r w:rsidR="009240F7">
              <w:rPr>
                <w:rFonts w:ascii="Arial" w:eastAsia="Calibri" w:hAnsi="Arial" w:cs="Arial"/>
                <w:sz w:val="16"/>
                <w:szCs w:val="16"/>
                <w:lang w:val="en-US" w:eastAsia="en-US"/>
              </w:rPr>
              <w:t>BO</w:t>
            </w:r>
            <w:r w:rsidRPr="004111A7">
              <w:rPr>
                <w:rFonts w:ascii="Arial" w:eastAsia="Calibri" w:hAnsi="Arial" w:cs="Arial"/>
                <w:sz w:val="16"/>
                <w:szCs w:val="16"/>
                <w:lang w:val="en-US" w:eastAsia="en-US"/>
              </w:rPr>
              <w:t xml:space="preserve"> &lt;1.5%</w:t>
            </w:r>
            <w:r w:rsidR="00096A45" w:rsidRPr="004111A7">
              <w:rPr>
                <w:rFonts w:ascii="Arial" w:eastAsia="Calibri" w:hAnsi="Arial" w:cs="Arial"/>
                <w:sz w:val="16"/>
                <w:szCs w:val="16"/>
                <w:lang w:val="en-US" w:eastAsia="en-US"/>
              </w:rPr>
              <w:t>.</w:t>
            </w:r>
          </w:p>
          <w:p w14:paraId="0C3C6389" w14:textId="4D2B79D8" w:rsidR="00F61605" w:rsidRPr="004111A7" w:rsidRDefault="00F61605" w:rsidP="002F2EE5">
            <w:pPr>
              <w:numPr>
                <w:ilvl w:val="0"/>
                <w:numId w:val="44"/>
              </w:numPr>
              <w:tabs>
                <w:tab w:val="left" w:pos="300"/>
              </w:tabs>
              <w:suppressAutoHyphens/>
              <w:spacing w:before="60" w:after="60" w:line="240" w:lineRule="auto"/>
              <w:ind w:left="300" w:hanging="283"/>
              <w:contextualSpacing/>
              <w:jc w:val="left"/>
              <w:rPr>
                <w:rFonts w:ascii="Arial" w:eastAsia="Calibri" w:hAnsi="Arial" w:cs="Arial"/>
                <w:sz w:val="16"/>
                <w:szCs w:val="16"/>
                <w:lang w:val="en-US" w:eastAsia="en-US"/>
              </w:rPr>
            </w:pPr>
            <w:r w:rsidRPr="004111A7">
              <w:rPr>
                <w:rFonts w:ascii="Arial" w:eastAsia="Calibri" w:hAnsi="Arial" w:cs="Arial"/>
                <w:bCs/>
                <w:sz w:val="16"/>
                <w:szCs w:val="16"/>
                <w:lang w:val="en-US" w:eastAsia="en-US"/>
              </w:rPr>
              <w:t>Current year</w:t>
            </w:r>
            <w:r w:rsidRPr="004111A7">
              <w:rPr>
                <w:rFonts w:ascii="Arial" w:eastAsia="Calibri" w:hAnsi="Arial" w:cs="Arial"/>
                <w:sz w:val="16"/>
                <w:szCs w:val="16"/>
                <w:lang w:val="en-US" w:eastAsia="en-US"/>
              </w:rPr>
              <w:t xml:space="preserve"> – difference between the revised current year estimates at M</w:t>
            </w:r>
            <w:r w:rsidR="00AD1245" w:rsidRPr="004111A7">
              <w:rPr>
                <w:rFonts w:ascii="Arial" w:eastAsia="Calibri" w:hAnsi="Arial" w:cs="Arial"/>
                <w:sz w:val="16"/>
                <w:szCs w:val="16"/>
                <w:lang w:val="en-US" w:eastAsia="en-US"/>
              </w:rPr>
              <w:t>YEFO and F</w:t>
            </w:r>
            <w:r w:rsidR="009240F7">
              <w:rPr>
                <w:rFonts w:ascii="Arial" w:eastAsia="Calibri" w:hAnsi="Arial" w:cs="Arial"/>
                <w:sz w:val="16"/>
                <w:szCs w:val="16"/>
                <w:lang w:val="en-US" w:eastAsia="en-US"/>
              </w:rPr>
              <w:t>BO</w:t>
            </w:r>
            <w:r w:rsidR="00AD1245" w:rsidRPr="004111A7">
              <w:rPr>
                <w:rFonts w:ascii="Arial" w:eastAsia="Calibri" w:hAnsi="Arial" w:cs="Arial"/>
                <w:sz w:val="16"/>
                <w:szCs w:val="16"/>
                <w:lang w:val="en-US" w:eastAsia="en-US"/>
              </w:rPr>
              <w:t xml:space="preserve"> &lt;</w:t>
            </w:r>
            <w:r w:rsidRPr="004111A7">
              <w:rPr>
                <w:rFonts w:ascii="Arial" w:eastAsia="Calibri" w:hAnsi="Arial" w:cs="Arial"/>
                <w:sz w:val="16"/>
                <w:szCs w:val="16"/>
                <w:lang w:val="en-US" w:eastAsia="en-US"/>
              </w:rPr>
              <w:t>1%</w:t>
            </w:r>
            <w:r w:rsidR="00096A45" w:rsidRPr="004111A7">
              <w:rPr>
                <w:rFonts w:ascii="Arial" w:eastAsia="Calibri" w:hAnsi="Arial" w:cs="Arial"/>
                <w:sz w:val="16"/>
                <w:szCs w:val="16"/>
                <w:lang w:val="en-US" w:eastAsia="en-US"/>
              </w:rPr>
              <w:t>.</w:t>
            </w:r>
          </w:p>
          <w:p w14:paraId="03C33D0A" w14:textId="79AC22AD" w:rsidR="00F61605" w:rsidRPr="004111A7" w:rsidRDefault="00F61605" w:rsidP="002F2EE5">
            <w:pPr>
              <w:numPr>
                <w:ilvl w:val="0"/>
                <w:numId w:val="44"/>
              </w:numPr>
              <w:tabs>
                <w:tab w:val="left" w:pos="300"/>
              </w:tabs>
              <w:suppressAutoHyphens/>
              <w:spacing w:before="60" w:after="60" w:line="240" w:lineRule="auto"/>
              <w:ind w:left="300" w:hanging="283"/>
              <w:contextualSpacing/>
              <w:jc w:val="left"/>
              <w:rPr>
                <w:rFonts w:ascii="Arial" w:eastAsia="Arial" w:hAnsi="Arial" w:cs="Arial"/>
                <w:sz w:val="16"/>
                <w:szCs w:val="16"/>
                <w:lang w:eastAsia="en-US"/>
              </w:rPr>
            </w:pPr>
            <w:r w:rsidRPr="004111A7">
              <w:rPr>
                <w:rFonts w:ascii="Arial" w:eastAsia="Calibri" w:hAnsi="Arial" w:cs="Arial"/>
                <w:bCs/>
                <w:sz w:val="16"/>
                <w:szCs w:val="16"/>
                <w:lang w:val="en-US" w:eastAsia="en-US"/>
              </w:rPr>
              <w:t>Current year</w:t>
            </w:r>
            <w:r w:rsidRPr="004111A7">
              <w:rPr>
                <w:rFonts w:ascii="Arial" w:eastAsia="Calibri" w:hAnsi="Arial" w:cs="Arial"/>
                <w:sz w:val="16"/>
                <w:szCs w:val="16"/>
                <w:lang w:val="en-US" w:eastAsia="en-US"/>
              </w:rPr>
              <w:t xml:space="preserve"> – difference between the current year estimates at budget time and Final Budget Outcome &lt;0.5%</w:t>
            </w:r>
            <w:r w:rsidR="00096A45" w:rsidRPr="004111A7">
              <w:rPr>
                <w:rFonts w:ascii="Arial" w:eastAsia="Calibri" w:hAnsi="Arial" w:cs="Arial"/>
                <w:sz w:val="16"/>
                <w:szCs w:val="16"/>
                <w:lang w:val="en-US" w:eastAsia="en-US"/>
              </w:rPr>
              <w:t>.</w:t>
            </w:r>
          </w:p>
          <w:p w14:paraId="740959EF" w14:textId="77777777" w:rsidR="00F61605" w:rsidRPr="004111A7" w:rsidRDefault="00F61605" w:rsidP="00F61605">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Significant variances between estimated expenses and final outcome are explained.</w:t>
            </w:r>
          </w:p>
          <w:p w14:paraId="25CC1399" w14:textId="77777777" w:rsidR="00F61605" w:rsidRPr="004111A7" w:rsidRDefault="00F61605" w:rsidP="00F61605">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Timeliness of Budget Estimate Updates and Appropriation Bills.</w:t>
            </w:r>
          </w:p>
          <w:p w14:paraId="21188C1B" w14:textId="77777777" w:rsidR="00F61605" w:rsidRPr="004111A7" w:rsidRDefault="00F61605" w:rsidP="00CA0E8B">
            <w:pPr>
              <w:numPr>
                <w:ilvl w:val="0"/>
                <w:numId w:val="59"/>
              </w:numPr>
              <w:tabs>
                <w:tab w:val="left" w:pos="300"/>
              </w:tabs>
              <w:suppressAutoHyphens/>
              <w:spacing w:before="60" w:after="60" w:line="240" w:lineRule="auto"/>
              <w:ind w:left="300" w:hanging="283"/>
              <w:contextualSpacing/>
              <w:jc w:val="left"/>
              <w:rPr>
                <w:rFonts w:ascii="Arial" w:eastAsia="Calibri" w:hAnsi="Arial" w:cs="Arial"/>
                <w:sz w:val="16"/>
                <w:szCs w:val="16"/>
                <w:lang w:val="en-US" w:eastAsia="en-US"/>
              </w:rPr>
            </w:pPr>
            <w:r w:rsidRPr="004111A7">
              <w:rPr>
                <w:rFonts w:ascii="Arial" w:eastAsia="Calibri" w:hAnsi="Arial" w:cs="Arial"/>
                <w:sz w:val="16"/>
                <w:szCs w:val="16"/>
                <w:lang w:val="en-US" w:eastAsia="en-US"/>
              </w:rPr>
              <w:t xml:space="preserve">Budget papers and related updates meet timeframes set out in the </w:t>
            </w:r>
            <w:r w:rsidRPr="004111A7">
              <w:rPr>
                <w:rFonts w:ascii="Arial" w:eastAsia="Calibri" w:hAnsi="Arial" w:cs="Arial"/>
                <w:i/>
                <w:iCs/>
                <w:sz w:val="16"/>
                <w:szCs w:val="16"/>
                <w:lang w:val="en-US" w:eastAsia="en-US"/>
              </w:rPr>
              <w:t>Charter of Budget Honesty Act 1998.</w:t>
            </w:r>
          </w:p>
          <w:p w14:paraId="45C3B223" w14:textId="77777777" w:rsidR="00F61605" w:rsidRPr="004111A7" w:rsidRDefault="00F61605" w:rsidP="00CA0E8B">
            <w:pPr>
              <w:numPr>
                <w:ilvl w:val="0"/>
                <w:numId w:val="59"/>
              </w:numPr>
              <w:tabs>
                <w:tab w:val="left" w:pos="300"/>
              </w:tabs>
              <w:suppressAutoHyphens/>
              <w:spacing w:before="60" w:after="60" w:line="240" w:lineRule="auto"/>
              <w:ind w:left="300" w:hanging="283"/>
              <w:contextualSpacing/>
              <w:jc w:val="left"/>
              <w:rPr>
                <w:rFonts w:ascii="Arial" w:eastAsia="Calibri" w:hAnsi="Arial" w:cs="Arial"/>
                <w:sz w:val="16"/>
                <w:szCs w:val="16"/>
                <w:lang w:val="en-US" w:eastAsia="en-US"/>
              </w:rPr>
            </w:pPr>
            <w:r w:rsidRPr="004111A7">
              <w:rPr>
                <w:rFonts w:ascii="Arial" w:eastAsia="Calibri" w:hAnsi="Arial" w:cs="Arial"/>
                <w:sz w:val="16"/>
                <w:szCs w:val="16"/>
                <w:lang w:val="en-US" w:eastAsia="en-US"/>
              </w:rPr>
              <w:t>Appropriation Bills introduced at times intended by government.</w:t>
            </w:r>
          </w:p>
          <w:p w14:paraId="7F95C9BE" w14:textId="77777777" w:rsidR="00F61605" w:rsidRPr="004111A7" w:rsidRDefault="00F61605" w:rsidP="00F61605">
            <w:pPr>
              <w:tabs>
                <w:tab w:val="left" w:pos="709"/>
              </w:tabs>
              <w:suppressAutoHyphens/>
              <w:spacing w:before="60" w:after="0" w:line="240" w:lineRule="auto"/>
              <w:jc w:val="left"/>
              <w:rPr>
                <w:rFonts w:ascii="Arial" w:eastAsia="Arial" w:hAnsi="Arial" w:cs="Arial"/>
                <w:color w:val="FF0000"/>
                <w:sz w:val="16"/>
                <w:szCs w:val="16"/>
                <w:lang w:eastAsia="en-US"/>
              </w:rPr>
            </w:pPr>
            <w:r w:rsidRPr="004111A7">
              <w:rPr>
                <w:rFonts w:ascii="Arial" w:eastAsia="Arial" w:hAnsi="Arial" w:cs="Arial"/>
                <w:sz w:val="16"/>
                <w:szCs w:val="16"/>
                <w:lang w:eastAsia="en-US"/>
              </w:rPr>
              <w:t>Timeliness of Budget Estimate Updates and Appropriation Bills.</w:t>
            </w:r>
          </w:p>
        </w:tc>
      </w:tr>
      <w:tr w:rsidR="00F61605" w:rsidRPr="004111A7" w14:paraId="46545D8B" w14:textId="77777777" w:rsidTr="004B5B77">
        <w:tc>
          <w:tcPr>
            <w:tcW w:w="1503" w:type="dxa"/>
            <w:tcBorders>
              <w:top w:val="nil"/>
              <w:bottom w:val="nil"/>
              <w:right w:val="single" w:sz="4" w:space="0" w:color="auto"/>
            </w:tcBorders>
          </w:tcPr>
          <w:p w14:paraId="5B66DA05" w14:textId="5993166F" w:rsidR="00F61605" w:rsidRPr="004111A7" w:rsidRDefault="00F61605" w:rsidP="003C100E">
            <w:pPr>
              <w:tabs>
                <w:tab w:val="left" w:pos="709"/>
              </w:tabs>
              <w:suppressAutoHyphens/>
              <w:spacing w:before="40" w:after="60" w:line="240" w:lineRule="auto"/>
              <w:jc w:val="left"/>
              <w:rPr>
                <w:rFonts w:ascii="Arial" w:eastAsia="Arial" w:hAnsi="Arial" w:cs="Arial"/>
                <w:sz w:val="16"/>
                <w:szCs w:val="16"/>
                <w:lang w:eastAsia="en-US"/>
              </w:rPr>
            </w:pPr>
          </w:p>
        </w:tc>
        <w:tc>
          <w:tcPr>
            <w:tcW w:w="2039" w:type="dxa"/>
            <w:tcBorders>
              <w:top w:val="dotted" w:sz="4" w:space="0" w:color="auto"/>
              <w:left w:val="single" w:sz="4" w:space="0" w:color="auto"/>
              <w:bottom w:val="dotted" w:sz="4" w:space="0" w:color="auto"/>
              <w:right w:val="single" w:sz="4" w:space="0" w:color="auto"/>
            </w:tcBorders>
          </w:tcPr>
          <w:p w14:paraId="13C6CB95" w14:textId="77777777" w:rsidR="00F61605" w:rsidRPr="004111A7" w:rsidRDefault="00F61605" w:rsidP="003C100E">
            <w:pPr>
              <w:tabs>
                <w:tab w:val="left" w:pos="709"/>
              </w:tabs>
              <w:suppressAutoHyphens/>
              <w:spacing w:before="4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Financial statements</w:t>
            </w:r>
          </w:p>
          <w:p w14:paraId="4C7CDDD5" w14:textId="77777777" w:rsidR="00F61605" w:rsidRPr="004111A7" w:rsidRDefault="00F61605" w:rsidP="003C100E">
            <w:pPr>
              <w:tabs>
                <w:tab w:val="left" w:pos="709"/>
              </w:tabs>
              <w:suppressAutoHyphens/>
              <w:spacing w:before="4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The Government’s financial statements, including monthly statements, are complete, fairly presented and released publicly on timeframes agreed with the Government.</w:t>
            </w:r>
            <w:r w:rsidRPr="004111A7">
              <w:rPr>
                <w:rFonts w:ascii="Arial" w:eastAsia="Arial" w:hAnsi="Arial" w:cs="Arial"/>
                <w:sz w:val="16"/>
                <w:szCs w:val="16"/>
                <w:vertAlign w:val="superscript"/>
                <w:lang w:eastAsia="en-US"/>
              </w:rPr>
              <w:t xml:space="preserve"> </w:t>
            </w:r>
          </w:p>
        </w:tc>
        <w:tc>
          <w:tcPr>
            <w:tcW w:w="4143" w:type="dxa"/>
            <w:tcBorders>
              <w:top w:val="dotted" w:sz="4" w:space="0" w:color="auto"/>
              <w:left w:val="single" w:sz="4" w:space="0" w:color="auto"/>
              <w:bottom w:val="dotted" w:sz="4" w:space="0" w:color="auto"/>
            </w:tcBorders>
          </w:tcPr>
          <w:p w14:paraId="6D5711E3" w14:textId="77777777" w:rsidR="00F61605" w:rsidRPr="004111A7" w:rsidRDefault="00F61605" w:rsidP="003C100E">
            <w:pPr>
              <w:tabs>
                <w:tab w:val="left" w:pos="709"/>
              </w:tabs>
              <w:suppressAutoHyphens/>
              <w:spacing w:before="4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Complete and fairly presented Financial Statements.</w:t>
            </w:r>
          </w:p>
          <w:p w14:paraId="405625AE" w14:textId="13DF113D" w:rsidR="00F61605" w:rsidRPr="004111A7" w:rsidRDefault="00F61605" w:rsidP="002F2EE5">
            <w:pPr>
              <w:numPr>
                <w:ilvl w:val="0"/>
                <w:numId w:val="45"/>
              </w:numPr>
              <w:tabs>
                <w:tab w:val="left" w:pos="300"/>
              </w:tabs>
              <w:suppressAutoHyphens/>
              <w:spacing w:before="60" w:after="60" w:line="240" w:lineRule="auto"/>
              <w:ind w:left="300" w:hanging="283"/>
              <w:contextualSpacing/>
              <w:jc w:val="left"/>
              <w:rPr>
                <w:rFonts w:ascii="Arial" w:eastAsia="Calibri" w:hAnsi="Arial" w:cs="Arial"/>
                <w:sz w:val="16"/>
                <w:szCs w:val="16"/>
                <w:lang w:val="en-US" w:eastAsia="en-US"/>
              </w:rPr>
            </w:pPr>
            <w:r w:rsidRPr="004111A7">
              <w:rPr>
                <w:rFonts w:ascii="Arial" w:eastAsia="Calibri" w:hAnsi="Arial" w:cs="Arial"/>
                <w:sz w:val="16"/>
                <w:szCs w:val="16"/>
                <w:lang w:val="en-US" w:eastAsia="en-US"/>
              </w:rPr>
              <w:t>The Auditor-General issues an unmodified au</w:t>
            </w:r>
            <w:r w:rsidR="009D6873" w:rsidRPr="004111A7">
              <w:rPr>
                <w:rFonts w:ascii="Arial" w:eastAsia="Calibri" w:hAnsi="Arial" w:cs="Arial"/>
                <w:sz w:val="16"/>
                <w:szCs w:val="16"/>
                <w:lang w:val="en-US" w:eastAsia="en-US"/>
              </w:rPr>
              <w:t>dit report on c</w:t>
            </w:r>
            <w:r w:rsidRPr="004111A7">
              <w:rPr>
                <w:rFonts w:ascii="Arial" w:eastAsia="Calibri" w:hAnsi="Arial" w:cs="Arial"/>
                <w:sz w:val="16"/>
                <w:szCs w:val="16"/>
                <w:lang w:val="en-US" w:eastAsia="en-US"/>
              </w:rPr>
              <w:t xml:space="preserve">onsolidated </w:t>
            </w:r>
            <w:r w:rsidR="009D6873" w:rsidRPr="004111A7">
              <w:rPr>
                <w:rFonts w:ascii="Arial" w:eastAsia="Calibri" w:hAnsi="Arial" w:cs="Arial"/>
                <w:sz w:val="16"/>
                <w:szCs w:val="16"/>
                <w:lang w:val="en-US" w:eastAsia="en-US"/>
              </w:rPr>
              <w:t>f</w:t>
            </w:r>
            <w:r w:rsidRPr="004111A7">
              <w:rPr>
                <w:rFonts w:ascii="Arial" w:eastAsia="Calibri" w:hAnsi="Arial" w:cs="Arial"/>
                <w:sz w:val="16"/>
                <w:szCs w:val="16"/>
                <w:lang w:val="en-US" w:eastAsia="en-US"/>
              </w:rPr>
              <w:t xml:space="preserve">inancial </w:t>
            </w:r>
            <w:r w:rsidR="009D6873" w:rsidRPr="004111A7">
              <w:rPr>
                <w:rFonts w:ascii="Arial" w:eastAsia="Calibri" w:hAnsi="Arial" w:cs="Arial"/>
                <w:sz w:val="16"/>
                <w:szCs w:val="16"/>
                <w:lang w:val="en-US" w:eastAsia="en-US"/>
              </w:rPr>
              <w:t>s</w:t>
            </w:r>
            <w:r w:rsidRPr="004111A7">
              <w:rPr>
                <w:rFonts w:ascii="Arial" w:eastAsia="Calibri" w:hAnsi="Arial" w:cs="Arial"/>
                <w:sz w:val="16"/>
                <w:szCs w:val="16"/>
                <w:lang w:val="en-US" w:eastAsia="en-US"/>
              </w:rPr>
              <w:t>tatements.</w:t>
            </w:r>
          </w:p>
          <w:p w14:paraId="43F0538F" w14:textId="77777777" w:rsidR="00F61605" w:rsidRPr="004111A7" w:rsidRDefault="00F61605" w:rsidP="009D6873">
            <w:pPr>
              <w:tabs>
                <w:tab w:val="left" w:pos="709"/>
              </w:tabs>
              <w:suppressAutoHyphens/>
              <w:spacing w:before="12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Timeliness of Financial Statements.</w:t>
            </w:r>
          </w:p>
          <w:p w14:paraId="75C27C7F" w14:textId="17EE3A33" w:rsidR="00F61605" w:rsidRPr="004111A7" w:rsidRDefault="00F61605" w:rsidP="002F2EE5">
            <w:pPr>
              <w:numPr>
                <w:ilvl w:val="0"/>
                <w:numId w:val="45"/>
              </w:numPr>
              <w:tabs>
                <w:tab w:val="left" w:pos="442"/>
              </w:tabs>
              <w:suppressAutoHyphens/>
              <w:spacing w:before="60" w:after="60" w:line="240" w:lineRule="auto"/>
              <w:ind w:left="300" w:hanging="283"/>
              <w:contextualSpacing/>
              <w:jc w:val="left"/>
              <w:rPr>
                <w:rFonts w:ascii="Arial" w:eastAsia="Calibri" w:hAnsi="Arial" w:cs="Arial"/>
                <w:sz w:val="16"/>
                <w:szCs w:val="16"/>
                <w:lang w:val="en-US" w:eastAsia="en-US"/>
              </w:rPr>
            </w:pPr>
            <w:r w:rsidRPr="004111A7">
              <w:rPr>
                <w:rFonts w:ascii="Arial" w:eastAsia="Calibri" w:hAnsi="Arial" w:cs="Arial"/>
                <w:sz w:val="16"/>
                <w:szCs w:val="16"/>
                <w:lang w:val="en-US" w:eastAsia="en-US"/>
              </w:rPr>
              <w:t xml:space="preserve">Monthly statements (prepared within 21 days of the end of month, on average, following release of </w:t>
            </w:r>
            <w:r w:rsidR="009240F7">
              <w:rPr>
                <w:rFonts w:ascii="Arial" w:eastAsia="Calibri" w:hAnsi="Arial" w:cs="Arial"/>
                <w:sz w:val="16"/>
                <w:szCs w:val="16"/>
                <w:lang w:val="en-US" w:eastAsia="en-US"/>
              </w:rPr>
              <w:t>FBO</w:t>
            </w:r>
            <w:r w:rsidRPr="004111A7">
              <w:rPr>
                <w:rFonts w:ascii="Arial" w:eastAsia="Calibri" w:hAnsi="Arial" w:cs="Arial"/>
                <w:sz w:val="16"/>
                <w:szCs w:val="16"/>
                <w:lang w:val="en-US" w:eastAsia="en-US"/>
              </w:rPr>
              <w:t>).</w:t>
            </w:r>
          </w:p>
          <w:p w14:paraId="412F1563" w14:textId="61812309" w:rsidR="00F61605" w:rsidRPr="004111A7" w:rsidRDefault="00F61605" w:rsidP="009D6873">
            <w:pPr>
              <w:numPr>
                <w:ilvl w:val="0"/>
                <w:numId w:val="45"/>
              </w:numPr>
              <w:tabs>
                <w:tab w:val="left" w:pos="442"/>
              </w:tabs>
              <w:suppressAutoHyphens/>
              <w:spacing w:before="60" w:after="0" w:line="240" w:lineRule="auto"/>
              <w:ind w:left="300" w:hanging="283"/>
              <w:contextualSpacing/>
              <w:jc w:val="left"/>
              <w:rPr>
                <w:rFonts w:ascii="Arial" w:eastAsia="Calibri" w:hAnsi="Arial" w:cs="Arial"/>
                <w:sz w:val="16"/>
                <w:szCs w:val="16"/>
                <w:lang w:val="en-US" w:eastAsia="en-US"/>
              </w:rPr>
            </w:pPr>
            <w:r w:rsidRPr="004111A7">
              <w:rPr>
                <w:rFonts w:ascii="Arial" w:eastAsia="Calibri" w:hAnsi="Arial" w:cs="Arial"/>
                <w:sz w:val="16"/>
                <w:szCs w:val="16"/>
                <w:lang w:val="en-US" w:eastAsia="en-US"/>
              </w:rPr>
              <w:t xml:space="preserve">Consolidated </w:t>
            </w:r>
            <w:r w:rsidR="009D6873" w:rsidRPr="004111A7">
              <w:rPr>
                <w:rFonts w:ascii="Arial" w:eastAsia="Calibri" w:hAnsi="Arial" w:cs="Arial"/>
                <w:sz w:val="16"/>
                <w:szCs w:val="16"/>
                <w:lang w:val="en-US" w:eastAsia="en-US"/>
              </w:rPr>
              <w:t>f</w:t>
            </w:r>
            <w:r w:rsidRPr="004111A7">
              <w:rPr>
                <w:rFonts w:ascii="Arial" w:eastAsia="Calibri" w:hAnsi="Arial" w:cs="Arial"/>
                <w:sz w:val="16"/>
                <w:szCs w:val="16"/>
                <w:lang w:val="en-US" w:eastAsia="en-US"/>
              </w:rPr>
              <w:t xml:space="preserve">inancial </w:t>
            </w:r>
            <w:r w:rsidR="009D6873" w:rsidRPr="004111A7">
              <w:rPr>
                <w:rFonts w:ascii="Arial" w:eastAsia="Calibri" w:hAnsi="Arial" w:cs="Arial"/>
                <w:sz w:val="16"/>
                <w:szCs w:val="16"/>
                <w:lang w:val="en-US" w:eastAsia="en-US"/>
              </w:rPr>
              <w:t>s</w:t>
            </w:r>
            <w:r w:rsidRPr="004111A7">
              <w:rPr>
                <w:rFonts w:ascii="Arial" w:eastAsia="Calibri" w:hAnsi="Arial" w:cs="Arial"/>
                <w:sz w:val="16"/>
                <w:szCs w:val="16"/>
                <w:lang w:val="en-US" w:eastAsia="en-US"/>
              </w:rPr>
              <w:t>tatements (provided to the Auditor-General by 30 November each year).</w:t>
            </w:r>
          </w:p>
        </w:tc>
      </w:tr>
      <w:tr w:rsidR="00F61605" w:rsidRPr="004111A7" w14:paraId="32AE79D0" w14:textId="77777777" w:rsidTr="00456B4A">
        <w:tc>
          <w:tcPr>
            <w:tcW w:w="1503" w:type="dxa"/>
            <w:tcBorders>
              <w:top w:val="nil"/>
              <w:bottom w:val="dotted" w:sz="4" w:space="0" w:color="auto"/>
              <w:right w:val="single" w:sz="4" w:space="0" w:color="auto"/>
            </w:tcBorders>
          </w:tcPr>
          <w:p w14:paraId="2D956A86" w14:textId="12BE2C94" w:rsidR="00F61605" w:rsidRPr="004111A7" w:rsidRDefault="00F61605" w:rsidP="003C100E">
            <w:pPr>
              <w:tabs>
                <w:tab w:val="left" w:pos="709"/>
              </w:tabs>
              <w:suppressAutoHyphens/>
              <w:spacing w:before="20" w:after="60" w:line="240" w:lineRule="auto"/>
              <w:jc w:val="left"/>
              <w:rPr>
                <w:rFonts w:ascii="Arial" w:eastAsia="Arial" w:hAnsi="Arial" w:cs="Arial"/>
                <w:sz w:val="16"/>
                <w:szCs w:val="16"/>
                <w:lang w:eastAsia="en-US"/>
              </w:rPr>
            </w:pPr>
          </w:p>
        </w:tc>
        <w:tc>
          <w:tcPr>
            <w:tcW w:w="2039" w:type="dxa"/>
            <w:tcBorders>
              <w:top w:val="dotted" w:sz="4" w:space="0" w:color="auto"/>
              <w:left w:val="single" w:sz="4" w:space="0" w:color="auto"/>
              <w:bottom w:val="dotted" w:sz="4" w:space="0" w:color="auto"/>
              <w:right w:val="single" w:sz="4" w:space="0" w:color="auto"/>
            </w:tcBorders>
          </w:tcPr>
          <w:p w14:paraId="58246607" w14:textId="77777777" w:rsidR="00F61605" w:rsidRPr="004111A7" w:rsidRDefault="00F61605" w:rsidP="003C100E">
            <w:pPr>
              <w:tabs>
                <w:tab w:val="left" w:pos="709"/>
              </w:tabs>
              <w:suppressAutoHyphens/>
              <w:spacing w:before="20" w:after="60" w:line="240" w:lineRule="auto"/>
              <w:jc w:val="left"/>
              <w:rPr>
                <w:rFonts w:ascii="Arial" w:eastAsia="Arial" w:hAnsi="Arial" w:cs="Arial"/>
                <w:b/>
                <w:bCs/>
                <w:sz w:val="16"/>
                <w:szCs w:val="16"/>
                <w:lang w:eastAsia="en-US"/>
              </w:rPr>
            </w:pPr>
            <w:r w:rsidRPr="004111A7">
              <w:rPr>
                <w:rFonts w:ascii="Arial" w:eastAsia="Arial" w:hAnsi="Arial" w:cs="Arial"/>
                <w:b/>
                <w:bCs/>
                <w:sz w:val="16"/>
                <w:szCs w:val="16"/>
                <w:lang w:eastAsia="en-US"/>
              </w:rPr>
              <w:t>Daily disbursement of cash</w:t>
            </w:r>
          </w:p>
          <w:p w14:paraId="076B0219" w14:textId="293B6B21" w:rsidR="00F61605" w:rsidRPr="004111A7" w:rsidRDefault="00F61605">
            <w:pPr>
              <w:tabs>
                <w:tab w:val="left" w:pos="709"/>
              </w:tabs>
              <w:suppressAutoHyphens/>
              <w:spacing w:before="20" w:after="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Commonwealth entities have access to cash, in near real-time, as required.</w:t>
            </w:r>
          </w:p>
        </w:tc>
        <w:tc>
          <w:tcPr>
            <w:tcW w:w="4143" w:type="dxa"/>
            <w:tcBorders>
              <w:top w:val="dotted" w:sz="4" w:space="0" w:color="auto"/>
              <w:left w:val="single" w:sz="4" w:space="0" w:color="auto"/>
              <w:bottom w:val="dotted" w:sz="4" w:space="0" w:color="auto"/>
            </w:tcBorders>
          </w:tcPr>
          <w:p w14:paraId="2F3C2D9C" w14:textId="77777777" w:rsidR="00F61605" w:rsidRPr="004111A7" w:rsidRDefault="00F61605" w:rsidP="003C100E">
            <w:pPr>
              <w:tabs>
                <w:tab w:val="left" w:pos="709"/>
              </w:tabs>
              <w:suppressAutoHyphens/>
              <w:spacing w:before="20" w:after="60" w:line="240" w:lineRule="auto"/>
              <w:jc w:val="left"/>
              <w:rPr>
                <w:rFonts w:ascii="Arial" w:eastAsia="Arial" w:hAnsi="Arial" w:cs="Arial"/>
                <w:color w:val="FF0000"/>
                <w:sz w:val="16"/>
                <w:szCs w:val="16"/>
                <w:lang w:eastAsia="en-US"/>
              </w:rPr>
            </w:pPr>
            <w:r w:rsidRPr="004111A7">
              <w:rPr>
                <w:rFonts w:ascii="Arial" w:eastAsia="Arial" w:hAnsi="Arial" w:cs="Arial"/>
                <w:sz w:val="16"/>
                <w:szCs w:val="16"/>
                <w:lang w:eastAsia="en-US"/>
              </w:rPr>
              <w:t>Cash needs of all entities are met in near real-time, each and every day (including outside business hours), for each financial year.</w:t>
            </w:r>
          </w:p>
        </w:tc>
      </w:tr>
      <w:tr w:rsidR="00F61605" w:rsidRPr="004111A7" w14:paraId="5693E215" w14:textId="77777777" w:rsidTr="00456B4A">
        <w:tc>
          <w:tcPr>
            <w:tcW w:w="1503" w:type="dxa"/>
            <w:tcBorders>
              <w:top w:val="dotted" w:sz="4" w:space="0" w:color="auto"/>
              <w:bottom w:val="single" w:sz="4" w:space="0" w:color="auto"/>
              <w:right w:val="single" w:sz="4" w:space="0" w:color="auto"/>
            </w:tcBorders>
          </w:tcPr>
          <w:p w14:paraId="6A83E69E" w14:textId="77777777" w:rsidR="00F61605" w:rsidRPr="004111A7" w:rsidRDefault="00F61605" w:rsidP="003C100E">
            <w:pPr>
              <w:tabs>
                <w:tab w:val="left" w:pos="709"/>
              </w:tabs>
              <w:suppressAutoHyphens/>
              <w:spacing w:before="20" w:after="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2022-23 and beyond</w:t>
            </w:r>
          </w:p>
        </w:tc>
        <w:tc>
          <w:tcPr>
            <w:tcW w:w="2039" w:type="dxa"/>
            <w:tcBorders>
              <w:top w:val="dotted" w:sz="4" w:space="0" w:color="auto"/>
              <w:left w:val="single" w:sz="4" w:space="0" w:color="auto"/>
              <w:bottom w:val="single" w:sz="4" w:space="0" w:color="auto"/>
              <w:right w:val="single" w:sz="4" w:space="0" w:color="auto"/>
            </w:tcBorders>
          </w:tcPr>
          <w:p w14:paraId="6133353B" w14:textId="2D5B1B68" w:rsidR="00F61605" w:rsidRPr="004111A7" w:rsidRDefault="00F61605" w:rsidP="003C100E">
            <w:pPr>
              <w:tabs>
                <w:tab w:val="left" w:pos="709"/>
              </w:tabs>
              <w:suppressAutoHyphens/>
              <w:spacing w:before="20" w:after="0" w:line="240" w:lineRule="auto"/>
              <w:jc w:val="left"/>
              <w:rPr>
                <w:rFonts w:ascii="Arial" w:eastAsia="Arial" w:hAnsi="Arial" w:cs="Arial"/>
                <w:color w:val="FF0000"/>
                <w:sz w:val="16"/>
                <w:szCs w:val="16"/>
                <w:lang w:eastAsia="en-US"/>
              </w:rPr>
            </w:pPr>
            <w:r w:rsidRPr="004111A7">
              <w:rPr>
                <w:rFonts w:ascii="Arial" w:eastAsia="Arial" w:hAnsi="Arial" w:cs="Arial"/>
                <w:sz w:val="16"/>
                <w:szCs w:val="16"/>
                <w:lang w:eastAsia="en-US"/>
              </w:rPr>
              <w:t>As per 2021-22</w:t>
            </w:r>
            <w:r w:rsidR="006A3032" w:rsidRPr="004111A7">
              <w:rPr>
                <w:rFonts w:ascii="Arial" w:eastAsia="Arial" w:hAnsi="Arial" w:cs="Arial"/>
                <w:sz w:val="16"/>
                <w:szCs w:val="16"/>
                <w:lang w:eastAsia="en-US"/>
              </w:rPr>
              <w:t>.</w:t>
            </w:r>
          </w:p>
        </w:tc>
        <w:tc>
          <w:tcPr>
            <w:tcW w:w="4143" w:type="dxa"/>
            <w:tcBorders>
              <w:top w:val="dotted" w:sz="4" w:space="0" w:color="auto"/>
              <w:left w:val="single" w:sz="4" w:space="0" w:color="auto"/>
              <w:bottom w:val="single" w:sz="4" w:space="0" w:color="auto"/>
            </w:tcBorders>
          </w:tcPr>
          <w:p w14:paraId="048DFF9D" w14:textId="4E50FAE8" w:rsidR="00F61605" w:rsidRPr="004111A7" w:rsidRDefault="00F61605" w:rsidP="003C100E">
            <w:pPr>
              <w:tabs>
                <w:tab w:val="left" w:pos="709"/>
              </w:tabs>
              <w:suppressAutoHyphens/>
              <w:spacing w:before="20" w:after="0" w:line="240" w:lineRule="auto"/>
              <w:jc w:val="left"/>
              <w:rPr>
                <w:rFonts w:ascii="Arial" w:eastAsia="Arial" w:hAnsi="Arial" w:cs="Arial"/>
                <w:i/>
                <w:color w:val="FF0000"/>
                <w:sz w:val="16"/>
                <w:szCs w:val="16"/>
                <w:lang w:eastAsia="en-US"/>
              </w:rPr>
            </w:pPr>
            <w:r w:rsidRPr="004111A7">
              <w:rPr>
                <w:rFonts w:ascii="Arial" w:eastAsia="Arial" w:hAnsi="Arial" w:cs="Arial"/>
                <w:sz w:val="16"/>
                <w:szCs w:val="16"/>
                <w:lang w:eastAsia="en-US"/>
              </w:rPr>
              <w:t>As per 2021-22</w:t>
            </w:r>
            <w:r w:rsidR="006A3032" w:rsidRPr="004111A7">
              <w:rPr>
                <w:rFonts w:ascii="Arial" w:eastAsia="Arial" w:hAnsi="Arial" w:cs="Arial"/>
                <w:sz w:val="16"/>
                <w:szCs w:val="16"/>
                <w:lang w:eastAsia="en-US"/>
              </w:rPr>
              <w:t>.</w:t>
            </w:r>
          </w:p>
        </w:tc>
      </w:tr>
      <w:tr w:rsidR="009D05D3" w:rsidRPr="004111A7" w14:paraId="48378F7E" w14:textId="77777777" w:rsidTr="00456B4A">
        <w:tc>
          <w:tcPr>
            <w:tcW w:w="1503" w:type="dxa"/>
            <w:tcBorders>
              <w:top w:val="single" w:sz="4" w:space="0" w:color="auto"/>
              <w:bottom w:val="single" w:sz="4" w:space="0" w:color="auto"/>
              <w:right w:val="single" w:sz="4" w:space="0" w:color="auto"/>
            </w:tcBorders>
          </w:tcPr>
          <w:p w14:paraId="1409E808" w14:textId="4D132083" w:rsidR="009D05D3" w:rsidRPr="004111A7" w:rsidRDefault="009D05D3" w:rsidP="003C100E">
            <w:pPr>
              <w:tabs>
                <w:tab w:val="left" w:pos="709"/>
              </w:tabs>
              <w:suppressAutoHyphens/>
              <w:spacing w:before="20" w:after="0" w:line="240" w:lineRule="auto"/>
              <w:jc w:val="left"/>
              <w:rPr>
                <w:rFonts w:ascii="Arial" w:eastAsia="Arial" w:hAnsi="Arial" w:cs="Arial"/>
                <w:sz w:val="16"/>
                <w:szCs w:val="16"/>
                <w:lang w:eastAsia="en-US"/>
              </w:rPr>
            </w:pPr>
            <w:r w:rsidRPr="004111A7">
              <w:rPr>
                <w:rFonts w:ascii="Arial" w:eastAsia="Arial" w:hAnsi="Arial" w:cs="Arial"/>
                <w:b/>
                <w:sz w:val="16"/>
                <w:szCs w:val="16"/>
                <w:lang w:eastAsia="en-US"/>
              </w:rPr>
              <w:t>Purpose</w:t>
            </w:r>
          </w:p>
        </w:tc>
        <w:tc>
          <w:tcPr>
            <w:tcW w:w="6182" w:type="dxa"/>
            <w:gridSpan w:val="2"/>
            <w:tcBorders>
              <w:top w:val="single" w:sz="4" w:space="0" w:color="auto"/>
              <w:left w:val="single" w:sz="4" w:space="0" w:color="auto"/>
              <w:bottom w:val="single" w:sz="4" w:space="0" w:color="auto"/>
            </w:tcBorders>
          </w:tcPr>
          <w:p w14:paraId="2363D6E3" w14:textId="5182B9A6" w:rsidR="009D05D3" w:rsidRPr="004111A7" w:rsidRDefault="009D05D3" w:rsidP="003C100E">
            <w:pPr>
              <w:tabs>
                <w:tab w:val="left" w:pos="709"/>
              </w:tabs>
              <w:suppressAutoHyphens/>
              <w:spacing w:before="20" w:after="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To assist the Australian Government to achieve its fiscal and policy objectives by advising on expenditure, managing sustainable public sector resourcing, driving public sector transformation and delivering efficient, cost-effective services to, and for, government.</w:t>
            </w:r>
          </w:p>
        </w:tc>
      </w:tr>
    </w:tbl>
    <w:p w14:paraId="0E719BA1" w14:textId="5DF14BBB" w:rsidR="00EC4236" w:rsidRPr="00456B4A" w:rsidRDefault="005A6AC5" w:rsidP="009D05D3">
      <w:pPr>
        <w:pStyle w:val="FootnoteText"/>
        <w:tabs>
          <w:tab w:val="clear" w:pos="284"/>
        </w:tabs>
        <w:ind w:left="400" w:hanging="400"/>
        <w:rPr>
          <w:sz w:val="16"/>
          <w:szCs w:val="16"/>
        </w:rPr>
      </w:pPr>
      <w:r w:rsidRPr="00456B4A">
        <w:rPr>
          <w:rFonts w:ascii="Arial" w:hAnsi="Arial" w:cs="Arial"/>
          <w:sz w:val="16"/>
          <w:szCs w:val="16"/>
        </w:rPr>
        <w:t>(a)</w:t>
      </w:r>
      <w:r w:rsidRPr="00456B4A">
        <w:rPr>
          <w:rFonts w:ascii="Arial" w:hAnsi="Arial" w:cs="Arial"/>
          <w:sz w:val="16"/>
          <w:szCs w:val="16"/>
        </w:rPr>
        <w:tab/>
        <w:t>The complete suite of performance measures are detailed in F</w:t>
      </w:r>
      <w:r w:rsidR="009D05D3" w:rsidRPr="00456B4A">
        <w:rPr>
          <w:rFonts w:ascii="Arial" w:hAnsi="Arial" w:cs="Arial"/>
          <w:sz w:val="16"/>
          <w:szCs w:val="16"/>
        </w:rPr>
        <w:t>inance’s Corporate Plan 2020-21</w:t>
      </w:r>
      <w:r w:rsidRPr="00456B4A">
        <w:rPr>
          <w:rFonts w:ascii="Arial" w:hAnsi="Arial" w:cs="Arial"/>
          <w:sz w:val="16"/>
          <w:szCs w:val="16"/>
        </w:rPr>
        <w:t xml:space="preserve"> and are reported in the Annual Performance Statements.</w:t>
      </w:r>
    </w:p>
    <w:p w14:paraId="61CBA001" w14:textId="1AE577B7" w:rsidR="00EB10E6" w:rsidRPr="004111A7" w:rsidRDefault="00EB10E6" w:rsidP="00EC4236">
      <w:pPr>
        <w:pStyle w:val="Heading3"/>
      </w:pPr>
      <w:r w:rsidRPr="004111A7">
        <w:br w:type="page"/>
      </w:r>
    </w:p>
    <w:p w14:paraId="2E1945E7" w14:textId="0DED4062" w:rsidR="006C1CAB" w:rsidRPr="004111A7" w:rsidRDefault="006C1CAB" w:rsidP="006C1CAB">
      <w:pPr>
        <w:pStyle w:val="Heading3"/>
      </w:pPr>
      <w:bookmarkStart w:id="56" w:name="_Toc69735830"/>
      <w:bookmarkStart w:id="57" w:name="_Toc70603475"/>
      <w:r w:rsidRPr="004111A7">
        <w:lastRenderedPageBreak/>
        <w:t>2.</w:t>
      </w:r>
      <w:r w:rsidR="00307796" w:rsidRPr="004111A7">
        <w:t>2</w:t>
      </w:r>
      <w:r w:rsidRPr="004111A7">
        <w:tab/>
        <w:t xml:space="preserve">Budgeted expenses and performance for Outcome </w:t>
      </w:r>
      <w:r w:rsidR="00307796" w:rsidRPr="004111A7">
        <w:t>2</w:t>
      </w:r>
      <w:bookmarkEnd w:id="53"/>
      <w:bookmarkEnd w:id="54"/>
      <w:bookmarkEnd w:id="55"/>
      <w:bookmarkEnd w:id="56"/>
      <w:bookmarkEnd w:id="5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6C1CAB" w:rsidRPr="004111A7" w14:paraId="6F44E787" w14:textId="77777777" w:rsidTr="003E429A">
        <w:tc>
          <w:tcPr>
            <w:tcW w:w="7704" w:type="dxa"/>
            <w:shd w:val="clear" w:color="auto" w:fill="E6E6E6"/>
          </w:tcPr>
          <w:p w14:paraId="0838348E" w14:textId="1C9F182E" w:rsidR="006C1CAB" w:rsidRPr="004111A7" w:rsidRDefault="00307796" w:rsidP="00307796">
            <w:pPr>
              <w:pStyle w:val="TableColumnHeadingLeft"/>
            </w:pPr>
            <w:r w:rsidRPr="004111A7">
              <w:t>Outcome 2: Support an efficient and high-performing public sector through providing leadership to Commonwealth entities in ongoing improvements to public sector governance, including through systems, frameworks, policy, advice and service delivery.</w:t>
            </w:r>
          </w:p>
        </w:tc>
      </w:tr>
    </w:tbl>
    <w:p w14:paraId="41730BDF" w14:textId="77777777" w:rsidR="006C1CAB" w:rsidRPr="004111A7" w:rsidRDefault="006C1CAB" w:rsidP="006C1CAB">
      <w:pPr>
        <w:pStyle w:val="NoSpacing"/>
      </w:pPr>
    </w:p>
    <w:p w14:paraId="759B3E27" w14:textId="400AB9EF" w:rsidR="006C1CAB" w:rsidRPr="004111A7" w:rsidRDefault="006C1CAB" w:rsidP="006C1CAB">
      <w:pPr>
        <w:pStyle w:val="Heading4"/>
      </w:pPr>
      <w:r w:rsidRPr="004111A7">
        <w:t>Linked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6C1CAB" w:rsidRPr="004111A7" w14:paraId="7293557F" w14:textId="77777777" w:rsidTr="006F6D9B">
        <w:trPr>
          <w:trHeight w:val="113"/>
          <w:tblHeader/>
        </w:trPr>
        <w:tc>
          <w:tcPr>
            <w:tcW w:w="7711" w:type="dxa"/>
            <w:tcBorders>
              <w:bottom w:val="dotted" w:sz="4" w:space="0" w:color="auto"/>
            </w:tcBorders>
          </w:tcPr>
          <w:p w14:paraId="5FAC5DB2" w14:textId="7F832288" w:rsidR="006C1CAB" w:rsidRPr="004111A7" w:rsidRDefault="00307796" w:rsidP="00307796">
            <w:pPr>
              <w:pStyle w:val="ExampleText0"/>
              <w:spacing w:before="60" w:after="60" w:line="240" w:lineRule="auto"/>
            </w:pPr>
            <w:r w:rsidRPr="004111A7">
              <w:rPr>
                <w:rStyle w:val="ExampletextCharChar"/>
                <w:b/>
                <w:color w:val="auto"/>
              </w:rPr>
              <w:t>Commonwealth Superannuation Corporation</w:t>
            </w:r>
          </w:p>
        </w:tc>
      </w:tr>
      <w:tr w:rsidR="006C1CAB" w:rsidRPr="004111A7" w14:paraId="0F5AD45B" w14:textId="77777777" w:rsidTr="006F6D9B">
        <w:trPr>
          <w:trHeight w:val="113"/>
        </w:trPr>
        <w:tc>
          <w:tcPr>
            <w:tcW w:w="7711" w:type="dxa"/>
            <w:tcBorders>
              <w:top w:val="dotted" w:sz="4" w:space="0" w:color="auto"/>
              <w:bottom w:val="single" w:sz="4" w:space="0" w:color="auto"/>
            </w:tcBorders>
          </w:tcPr>
          <w:p w14:paraId="1943CF31" w14:textId="77777777" w:rsidR="006C1CAB" w:rsidRPr="004111A7" w:rsidRDefault="006C1CAB" w:rsidP="006F6D9B">
            <w:pPr>
              <w:spacing w:before="60" w:after="60" w:line="240" w:lineRule="auto"/>
              <w:rPr>
                <w:rStyle w:val="ExampletextCharChar"/>
                <w:b/>
                <w:i w:val="0"/>
                <w:color w:val="auto"/>
              </w:rPr>
            </w:pPr>
            <w:r w:rsidRPr="004111A7">
              <w:rPr>
                <w:rStyle w:val="ExampletextCharChar"/>
                <w:b/>
                <w:i w:val="0"/>
                <w:color w:val="auto"/>
              </w:rPr>
              <w:t>Programs</w:t>
            </w:r>
          </w:p>
          <w:p w14:paraId="27053F51" w14:textId="0842E8BA" w:rsidR="006C1CAB" w:rsidRPr="004111A7" w:rsidRDefault="00307796" w:rsidP="001864C9">
            <w:pPr>
              <w:numPr>
                <w:ilvl w:val="0"/>
                <w:numId w:val="8"/>
              </w:numPr>
              <w:spacing w:before="60" w:after="60" w:line="240" w:lineRule="auto"/>
              <w:ind w:left="714" w:hanging="357"/>
              <w:rPr>
                <w:rStyle w:val="ExampletextCharChar"/>
                <w:i w:val="0"/>
                <w:color w:val="auto"/>
              </w:rPr>
            </w:pPr>
            <w:r w:rsidRPr="004111A7">
              <w:rPr>
                <w:rStyle w:val="ExampletextCharChar"/>
                <w:i w:val="0"/>
                <w:color w:val="000000"/>
              </w:rPr>
              <w:t>Program 1.1 – Superannuation Scheme Governance</w:t>
            </w:r>
            <w:r w:rsidRPr="004111A7">
              <w:rPr>
                <w:rStyle w:val="ExampletextCharChar"/>
                <w:i w:val="0"/>
                <w:color w:val="auto"/>
              </w:rPr>
              <w:t xml:space="preserve"> </w:t>
            </w:r>
          </w:p>
        </w:tc>
      </w:tr>
      <w:tr w:rsidR="006C1CAB" w:rsidRPr="004111A7" w14:paraId="24C111A7" w14:textId="77777777" w:rsidTr="006F6D9B">
        <w:trPr>
          <w:trHeight w:val="113"/>
        </w:trPr>
        <w:tc>
          <w:tcPr>
            <w:tcW w:w="7711" w:type="dxa"/>
            <w:tcBorders>
              <w:bottom w:val="dotted" w:sz="4" w:space="0" w:color="auto"/>
            </w:tcBorders>
          </w:tcPr>
          <w:p w14:paraId="2A9156F0" w14:textId="233F869B" w:rsidR="006C1CAB" w:rsidRPr="004111A7" w:rsidRDefault="00307796" w:rsidP="00307796">
            <w:pPr>
              <w:pStyle w:val="ExampleText0"/>
              <w:spacing w:before="60" w:after="60" w:line="240" w:lineRule="auto"/>
            </w:pPr>
            <w:r w:rsidRPr="004111A7">
              <w:rPr>
                <w:rStyle w:val="ExampletextCharChar"/>
                <w:b/>
                <w:color w:val="auto"/>
              </w:rPr>
              <w:t>Future Fund Management Agency</w:t>
            </w:r>
          </w:p>
        </w:tc>
      </w:tr>
      <w:tr w:rsidR="006C1CAB" w:rsidRPr="004111A7" w14:paraId="0EDD2837" w14:textId="77777777" w:rsidTr="006F6D9B">
        <w:trPr>
          <w:trHeight w:val="113"/>
        </w:trPr>
        <w:tc>
          <w:tcPr>
            <w:tcW w:w="7711" w:type="dxa"/>
            <w:tcBorders>
              <w:top w:val="dotted" w:sz="4" w:space="0" w:color="auto"/>
              <w:bottom w:val="single" w:sz="4" w:space="0" w:color="auto"/>
            </w:tcBorders>
          </w:tcPr>
          <w:p w14:paraId="1DCEECB1" w14:textId="77777777" w:rsidR="006C1CAB" w:rsidRPr="004111A7" w:rsidRDefault="006C1CAB" w:rsidP="006F6D9B">
            <w:pPr>
              <w:spacing w:before="60" w:after="60" w:line="240" w:lineRule="auto"/>
              <w:rPr>
                <w:rStyle w:val="ExampletextCharChar"/>
                <w:b/>
                <w:i w:val="0"/>
                <w:color w:val="auto"/>
              </w:rPr>
            </w:pPr>
            <w:r w:rsidRPr="004111A7">
              <w:rPr>
                <w:rStyle w:val="ExampletextCharChar"/>
                <w:b/>
                <w:i w:val="0"/>
                <w:color w:val="auto"/>
              </w:rPr>
              <w:t>Programs</w:t>
            </w:r>
          </w:p>
          <w:p w14:paraId="4D38810E" w14:textId="77777777" w:rsidR="00307796" w:rsidRPr="004111A7" w:rsidRDefault="00307796" w:rsidP="001864C9">
            <w:pPr>
              <w:numPr>
                <w:ilvl w:val="0"/>
                <w:numId w:val="8"/>
              </w:numPr>
              <w:spacing w:before="60" w:after="60" w:line="240" w:lineRule="auto"/>
              <w:rPr>
                <w:rStyle w:val="ExampletextCharChar"/>
                <w:i w:val="0"/>
                <w:color w:val="000000"/>
              </w:rPr>
            </w:pPr>
            <w:r w:rsidRPr="004111A7">
              <w:rPr>
                <w:rStyle w:val="ExampletextCharChar"/>
                <w:i w:val="0"/>
                <w:color w:val="000000"/>
              </w:rPr>
              <w:t>Program 1.1 – Management of the Investment of the Future Fund</w:t>
            </w:r>
          </w:p>
          <w:p w14:paraId="435AD654" w14:textId="173CBF4D" w:rsidR="006C1CAB" w:rsidRPr="004111A7" w:rsidRDefault="00307796" w:rsidP="001864C9">
            <w:pPr>
              <w:numPr>
                <w:ilvl w:val="0"/>
                <w:numId w:val="8"/>
              </w:numPr>
              <w:spacing w:before="60" w:after="60" w:line="240" w:lineRule="auto"/>
              <w:rPr>
                <w:rStyle w:val="ExampletextCharChar"/>
                <w:i w:val="0"/>
                <w:color w:val="auto"/>
              </w:rPr>
            </w:pPr>
            <w:r w:rsidRPr="004111A7">
              <w:rPr>
                <w:rStyle w:val="ExampletextCharChar"/>
                <w:i w:val="0"/>
                <w:color w:val="000000"/>
              </w:rPr>
              <w:t>Program 1.2 – Management of the Investment of the Australian Government Investment Funds</w:t>
            </w:r>
            <w:r w:rsidRPr="004111A7">
              <w:rPr>
                <w:rStyle w:val="ExampletextCharChar"/>
                <w:i w:val="0"/>
                <w:color w:val="auto"/>
              </w:rPr>
              <w:t xml:space="preserve"> </w:t>
            </w:r>
          </w:p>
        </w:tc>
      </w:tr>
      <w:tr w:rsidR="006C1CAB" w:rsidRPr="004111A7" w14:paraId="57458AC0" w14:textId="77777777" w:rsidTr="006F6D9B">
        <w:trPr>
          <w:trHeight w:val="113"/>
        </w:trPr>
        <w:tc>
          <w:tcPr>
            <w:tcW w:w="7711" w:type="dxa"/>
            <w:tcBorders>
              <w:bottom w:val="single" w:sz="4" w:space="0" w:color="auto"/>
            </w:tcBorders>
          </w:tcPr>
          <w:p w14:paraId="06CC4FFD" w14:textId="77777777" w:rsidR="00307796" w:rsidRPr="004111A7" w:rsidRDefault="00307796" w:rsidP="00307796">
            <w:pPr>
              <w:spacing w:before="60" w:after="60" w:line="240" w:lineRule="auto"/>
              <w:rPr>
                <w:rStyle w:val="ExampletextCharChar"/>
                <w:b/>
                <w:i w:val="0"/>
                <w:color w:val="000000"/>
              </w:rPr>
            </w:pPr>
            <w:r w:rsidRPr="004111A7">
              <w:rPr>
                <w:rStyle w:val="ExampletextCharChar"/>
                <w:b/>
                <w:i w:val="0"/>
                <w:color w:val="000000"/>
              </w:rPr>
              <w:t>Contribution to Outcome 2 made by linked programs</w:t>
            </w:r>
          </w:p>
          <w:p w14:paraId="672543A5" w14:textId="331008D2" w:rsidR="00307796" w:rsidRPr="004111A7" w:rsidRDefault="00307796" w:rsidP="00307796">
            <w:pPr>
              <w:spacing w:before="60" w:after="60" w:line="240" w:lineRule="auto"/>
              <w:rPr>
                <w:rStyle w:val="ExampletextCharChar"/>
                <w:i w:val="0"/>
                <w:color w:val="000000"/>
              </w:rPr>
            </w:pPr>
            <w:r w:rsidRPr="004111A7">
              <w:rPr>
                <w:rStyle w:val="ExampletextCharChar"/>
                <w:i w:val="0"/>
                <w:color w:val="000000"/>
              </w:rPr>
              <w:t>Finance works with the Commonwealth Superannuation Corporation to ensure that the management of public sector superannuation is consistent with legislative obligations.</w:t>
            </w:r>
          </w:p>
          <w:p w14:paraId="1BA10DA0" w14:textId="77777777" w:rsidR="00307796" w:rsidRPr="004111A7" w:rsidRDefault="00307796" w:rsidP="00307796">
            <w:pPr>
              <w:spacing w:after="0"/>
              <w:rPr>
                <w:rStyle w:val="ExampletextCharChar"/>
                <w:i w:val="0"/>
                <w:color w:val="000000"/>
              </w:rPr>
            </w:pPr>
          </w:p>
          <w:p w14:paraId="570E364A" w14:textId="7309BED7" w:rsidR="006C1CAB" w:rsidRPr="004111A7" w:rsidRDefault="00307796" w:rsidP="007D79C7">
            <w:pPr>
              <w:spacing w:before="60" w:after="60" w:line="240" w:lineRule="auto"/>
              <w:rPr>
                <w:rStyle w:val="ExampletextCharChar"/>
              </w:rPr>
            </w:pPr>
            <w:r w:rsidRPr="004111A7">
              <w:rPr>
                <w:rStyle w:val="ExampletextCharChar"/>
                <w:i w:val="0"/>
                <w:color w:val="000000"/>
              </w:rPr>
              <w:t>Finance works with the Future Fund Management Agency to ensure that the management of the Future Fund and the Australian Government Investment Funds is consistent with legislation and maximises returns to taxpayers.</w:t>
            </w:r>
          </w:p>
        </w:tc>
      </w:tr>
    </w:tbl>
    <w:p w14:paraId="3AAC0103" w14:textId="5FF5EF13" w:rsidR="006C1CAB" w:rsidRPr="00B01CE4" w:rsidRDefault="006C1CAB" w:rsidP="006C1CAB">
      <w:pPr>
        <w:pStyle w:val="Heading5"/>
        <w:rPr>
          <w:b/>
        </w:rPr>
      </w:pPr>
      <w:r w:rsidRPr="004111A7">
        <w:br w:type="page"/>
      </w:r>
      <w:r w:rsidRPr="00B01CE4">
        <w:rPr>
          <w:b/>
        </w:rPr>
        <w:lastRenderedPageBreak/>
        <w:t xml:space="preserve">Budgeted expenses for Outcome </w:t>
      </w:r>
      <w:r w:rsidR="003E429A" w:rsidRPr="00B01CE4">
        <w:rPr>
          <w:b/>
        </w:rPr>
        <w:t>2</w:t>
      </w:r>
    </w:p>
    <w:p w14:paraId="73AF9924" w14:textId="77777777" w:rsidR="006C1CAB" w:rsidRPr="004111A7" w:rsidRDefault="006C1CAB" w:rsidP="006C1CAB">
      <w:r w:rsidRPr="004111A7">
        <w:t>This table shows how much the entity intends to spend (on an accrual basis) on achieving the outcome, broken down by program, as well as by Administered and Departmental funding sources.</w:t>
      </w:r>
    </w:p>
    <w:p w14:paraId="3292FE1A" w14:textId="309B1F33" w:rsidR="006C1CAB" w:rsidRPr="004111A7" w:rsidRDefault="006C1CAB" w:rsidP="003E429A">
      <w:pPr>
        <w:pStyle w:val="TableHeading"/>
      </w:pPr>
      <w:r w:rsidRPr="004111A7">
        <w:t>Table 2.</w:t>
      </w:r>
      <w:r w:rsidR="003E429A" w:rsidRPr="004111A7">
        <w:t>2</w:t>
      </w:r>
      <w:r w:rsidRPr="004111A7">
        <w:t>.1:</w:t>
      </w:r>
      <w:r w:rsidR="003E429A" w:rsidRPr="004111A7">
        <w:t xml:space="preserve"> Budgeted expenses for Outcome 2</w:t>
      </w:r>
    </w:p>
    <w:p w14:paraId="4C2B0762" w14:textId="4B67BEB0" w:rsidR="006C1CAB" w:rsidRPr="004111A7" w:rsidRDefault="00440BB3" w:rsidP="006C1CAB">
      <w:pPr>
        <w:pStyle w:val="TableHeading"/>
      </w:pPr>
      <w:r w:rsidRPr="00440BB3">
        <w:rPr>
          <w:noProof/>
          <w:lang w:val="en-AU" w:eastAsia="en-AU"/>
        </w:rPr>
        <w:drawing>
          <wp:inline distT="0" distB="0" distL="0" distR="0" wp14:anchorId="5D7A222B" wp14:editId="2C1224BD">
            <wp:extent cx="4895850" cy="4189573"/>
            <wp:effectExtent l="0" t="0" r="0"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95850" cy="4189573"/>
                    </a:xfrm>
                    <a:prstGeom prst="rect">
                      <a:avLst/>
                    </a:prstGeom>
                    <a:noFill/>
                    <a:ln>
                      <a:noFill/>
                    </a:ln>
                  </pic:spPr>
                </pic:pic>
              </a:graphicData>
            </a:graphic>
          </wp:inline>
        </w:drawing>
      </w:r>
    </w:p>
    <w:p w14:paraId="7DDB0817" w14:textId="77777777" w:rsidR="001C58C3" w:rsidRPr="004111A7" w:rsidRDefault="001C58C3" w:rsidP="001C58C3">
      <w:pPr>
        <w:pStyle w:val="ChartandTableFootnoteAlpha"/>
        <w:numPr>
          <w:ilvl w:val="0"/>
          <w:numId w:val="0"/>
        </w:numPr>
        <w:ind w:left="284" w:hanging="284"/>
      </w:pPr>
      <w:r w:rsidRPr="004111A7">
        <w:t>Table continues on next page</w:t>
      </w:r>
    </w:p>
    <w:p w14:paraId="29C70F92" w14:textId="77777777" w:rsidR="006C1CAB" w:rsidRPr="004111A7" w:rsidRDefault="006C1CAB" w:rsidP="006C1CAB">
      <w:pPr>
        <w:pStyle w:val="TableGraphic"/>
      </w:pPr>
    </w:p>
    <w:p w14:paraId="54AD2D21" w14:textId="77777777" w:rsidR="006C1CAB" w:rsidRPr="004111A7" w:rsidRDefault="006C1CAB" w:rsidP="006C1CAB"/>
    <w:p w14:paraId="12A923B5" w14:textId="22EE992C" w:rsidR="006C1CAB" w:rsidRPr="004111A7" w:rsidRDefault="006C1CAB" w:rsidP="006C1CAB">
      <w:pPr>
        <w:pStyle w:val="TableHeading"/>
        <w:rPr>
          <w:lang w:val="en-AU"/>
        </w:rPr>
      </w:pPr>
      <w:r w:rsidRPr="004111A7">
        <w:br w:type="page"/>
      </w:r>
      <w:r w:rsidRPr="004111A7">
        <w:lastRenderedPageBreak/>
        <w:t>Table 2.</w:t>
      </w:r>
      <w:r w:rsidR="001C58C3" w:rsidRPr="004111A7">
        <w:rPr>
          <w:lang w:val="en-AU"/>
        </w:rPr>
        <w:t>2</w:t>
      </w:r>
      <w:r w:rsidRPr="004111A7">
        <w:t>.1:</w:t>
      </w:r>
      <w:r w:rsidR="001C58C3" w:rsidRPr="004111A7">
        <w:t xml:space="preserve"> Budgeted expenses for Outcome 2</w:t>
      </w:r>
      <w:r w:rsidRPr="004111A7">
        <w:rPr>
          <w:lang w:val="en-AU"/>
        </w:rPr>
        <w:t xml:space="preserve"> (continued)</w:t>
      </w:r>
    </w:p>
    <w:p w14:paraId="7DCB8CA0" w14:textId="5A76CDA2" w:rsidR="006C1CAB" w:rsidRPr="004111A7" w:rsidRDefault="00440BB3" w:rsidP="006C1CAB">
      <w:pPr>
        <w:pStyle w:val="TableGraphic"/>
      </w:pPr>
      <w:r w:rsidRPr="00440BB3">
        <w:rPr>
          <w:noProof/>
        </w:rPr>
        <w:drawing>
          <wp:inline distT="0" distB="0" distL="0" distR="0" wp14:anchorId="31610939" wp14:editId="3CE2504C">
            <wp:extent cx="4895850" cy="600365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95850" cy="6003653"/>
                    </a:xfrm>
                    <a:prstGeom prst="rect">
                      <a:avLst/>
                    </a:prstGeom>
                    <a:noFill/>
                    <a:ln>
                      <a:noFill/>
                    </a:ln>
                  </pic:spPr>
                </pic:pic>
              </a:graphicData>
            </a:graphic>
          </wp:inline>
        </w:drawing>
      </w:r>
    </w:p>
    <w:p w14:paraId="5DF7B042" w14:textId="17AE6256" w:rsidR="001C58C3" w:rsidRPr="004111A7" w:rsidRDefault="001C58C3" w:rsidP="001C58C3">
      <w:pPr>
        <w:pStyle w:val="ChartandTableFootnoteAlpha"/>
        <w:numPr>
          <w:ilvl w:val="0"/>
          <w:numId w:val="0"/>
        </w:numPr>
        <w:ind w:left="284" w:hanging="284"/>
      </w:pPr>
      <w:r w:rsidRPr="004111A7">
        <w:t>Table continues on next page</w:t>
      </w:r>
    </w:p>
    <w:p w14:paraId="04DEC6F9" w14:textId="36276DE5" w:rsidR="006C1CAB" w:rsidRPr="004111A7" w:rsidRDefault="006C1CAB" w:rsidP="006C1CAB">
      <w:pPr>
        <w:pStyle w:val="TableHeadingcontinued"/>
      </w:pPr>
      <w:r w:rsidRPr="004111A7">
        <w:br w:type="page"/>
      </w:r>
      <w:r w:rsidRPr="004111A7">
        <w:lastRenderedPageBreak/>
        <w:t>Table 2.</w:t>
      </w:r>
      <w:r w:rsidR="001C58C3" w:rsidRPr="004111A7">
        <w:t>2</w:t>
      </w:r>
      <w:r w:rsidRPr="004111A7">
        <w:t>.1:</w:t>
      </w:r>
      <w:r w:rsidR="001C58C3" w:rsidRPr="004111A7">
        <w:t xml:space="preserve"> Budgeted expenses for Outcome 2</w:t>
      </w:r>
      <w:r w:rsidRPr="004111A7">
        <w:t xml:space="preserve"> (continued)</w:t>
      </w:r>
    </w:p>
    <w:p w14:paraId="7183E0D9" w14:textId="631F17A3" w:rsidR="006C1CAB" w:rsidRPr="004111A7" w:rsidRDefault="00440BB3" w:rsidP="006C1CAB">
      <w:pPr>
        <w:pStyle w:val="TableGraphic"/>
      </w:pPr>
      <w:r w:rsidRPr="00440BB3">
        <w:rPr>
          <w:noProof/>
        </w:rPr>
        <w:drawing>
          <wp:inline distT="0" distB="0" distL="0" distR="0" wp14:anchorId="6B6C718E" wp14:editId="791B841F">
            <wp:extent cx="4895850" cy="522103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95850" cy="5221038"/>
                    </a:xfrm>
                    <a:prstGeom prst="rect">
                      <a:avLst/>
                    </a:prstGeom>
                    <a:noFill/>
                    <a:ln>
                      <a:noFill/>
                    </a:ln>
                  </pic:spPr>
                </pic:pic>
              </a:graphicData>
            </a:graphic>
          </wp:inline>
        </w:drawing>
      </w:r>
    </w:p>
    <w:p w14:paraId="1B558640" w14:textId="77777777" w:rsidR="008D1B59" w:rsidRPr="004111A7" w:rsidRDefault="008D1B59" w:rsidP="008D1B59">
      <w:pPr>
        <w:pStyle w:val="ChartandTableFootnoteAlpha"/>
        <w:numPr>
          <w:ilvl w:val="0"/>
          <w:numId w:val="0"/>
        </w:numPr>
        <w:ind w:left="284" w:hanging="284"/>
      </w:pPr>
      <w:r w:rsidRPr="004111A7">
        <w:t>Table continues on next page</w:t>
      </w:r>
    </w:p>
    <w:p w14:paraId="0B91F265" w14:textId="799E3695" w:rsidR="008D1B59" w:rsidRPr="004111A7" w:rsidRDefault="008D1B59" w:rsidP="008D1B59"/>
    <w:p w14:paraId="26327C60" w14:textId="77777777" w:rsidR="00775793" w:rsidRPr="004111A7" w:rsidRDefault="00775793" w:rsidP="008D1B59">
      <w:pPr>
        <w:pStyle w:val="TableHeadingcontinued"/>
        <w:rPr>
          <w:rFonts w:ascii="Arial" w:hAnsi="Arial" w:cs="Arial"/>
        </w:rPr>
      </w:pPr>
      <w:r w:rsidRPr="004111A7">
        <w:rPr>
          <w:rFonts w:ascii="Arial" w:hAnsi="Arial" w:cs="Arial"/>
        </w:rPr>
        <w:br w:type="page"/>
      </w:r>
    </w:p>
    <w:p w14:paraId="45A0E9A4" w14:textId="01D01140" w:rsidR="008D1B59" w:rsidRPr="004111A7" w:rsidRDefault="008D1B59" w:rsidP="008D1B59">
      <w:pPr>
        <w:pStyle w:val="TableHeadingcontinued"/>
        <w:rPr>
          <w:rFonts w:ascii="Arial" w:hAnsi="Arial" w:cs="Arial"/>
        </w:rPr>
      </w:pPr>
      <w:r w:rsidRPr="004111A7">
        <w:rPr>
          <w:rFonts w:ascii="Arial" w:hAnsi="Arial" w:cs="Arial"/>
        </w:rPr>
        <w:lastRenderedPageBreak/>
        <w:t>Table 2.2.1: Budgeted expenses for Outcome 2 (continued)</w:t>
      </w:r>
    </w:p>
    <w:p w14:paraId="20285C13" w14:textId="38CE83E3" w:rsidR="008D1B59" w:rsidRPr="004111A7" w:rsidRDefault="00440BB3" w:rsidP="001C58C3">
      <w:pPr>
        <w:pStyle w:val="ChartandTableFootnoteAlpha"/>
        <w:numPr>
          <w:ilvl w:val="0"/>
          <w:numId w:val="0"/>
        </w:numPr>
        <w:ind w:left="284" w:hanging="284"/>
      </w:pPr>
      <w:r w:rsidRPr="00440BB3">
        <w:rPr>
          <w:noProof/>
        </w:rPr>
        <w:drawing>
          <wp:inline distT="0" distB="0" distL="0" distR="0" wp14:anchorId="661D54C5" wp14:editId="211D95AA">
            <wp:extent cx="4895850" cy="4916287"/>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5850" cy="4916287"/>
                    </a:xfrm>
                    <a:prstGeom prst="rect">
                      <a:avLst/>
                    </a:prstGeom>
                    <a:noFill/>
                    <a:ln>
                      <a:noFill/>
                    </a:ln>
                  </pic:spPr>
                </pic:pic>
              </a:graphicData>
            </a:graphic>
          </wp:inline>
        </w:drawing>
      </w:r>
    </w:p>
    <w:p w14:paraId="146ED389" w14:textId="57EB2F8C" w:rsidR="008D1B59" w:rsidRPr="004111A7" w:rsidRDefault="008D1B59" w:rsidP="001864C9">
      <w:pPr>
        <w:pStyle w:val="ChartandTableFootnoteAlpha"/>
        <w:numPr>
          <w:ilvl w:val="0"/>
          <w:numId w:val="7"/>
        </w:numPr>
      </w:pPr>
      <w:r w:rsidRPr="004111A7">
        <w:t>Departmental appropriation combines ordinary annual services (Appropriation Bill No. 1) and estimated receipts retained under s</w:t>
      </w:r>
      <w:r w:rsidR="009240F7">
        <w:t>e</w:t>
      </w:r>
      <w:r w:rsidR="00527994">
        <w:t>c</w:t>
      </w:r>
      <w:r w:rsidR="009240F7">
        <w:t xml:space="preserve">tion </w:t>
      </w:r>
      <w:r w:rsidRPr="004111A7">
        <w:t>74 of the PGPA Act.</w:t>
      </w:r>
    </w:p>
    <w:p w14:paraId="7AB5F4AD" w14:textId="53F12B65" w:rsidR="008D1B59" w:rsidRPr="004111A7" w:rsidRDefault="00F14ABF" w:rsidP="001864C9">
      <w:pPr>
        <w:pStyle w:val="ChartandTableFootnoteAlpha"/>
        <w:numPr>
          <w:ilvl w:val="0"/>
          <w:numId w:val="7"/>
        </w:numPr>
      </w:pPr>
      <w:r w:rsidRPr="004111A7">
        <w:t>‘</w:t>
      </w:r>
      <w:r w:rsidR="008D1B59" w:rsidRPr="004111A7">
        <w:t>Expenses not requiring appropriation in the Budget year</w:t>
      </w:r>
      <w:r w:rsidRPr="004111A7">
        <w:t>’</w:t>
      </w:r>
      <w:r w:rsidR="008D1B59" w:rsidRPr="004111A7">
        <w:t xml:space="preserve"> is made up of depreciation expenses and amortisation expenses.</w:t>
      </w:r>
    </w:p>
    <w:p w14:paraId="31787CBF" w14:textId="223F71B2" w:rsidR="008D1B59" w:rsidRPr="004111A7" w:rsidRDefault="008D1B59" w:rsidP="001864C9">
      <w:pPr>
        <w:pStyle w:val="ChartandTableFootnoteAlpha"/>
        <w:numPr>
          <w:ilvl w:val="0"/>
          <w:numId w:val="7"/>
        </w:numPr>
      </w:pPr>
      <w:r w:rsidRPr="004111A7">
        <w:t xml:space="preserve">More information on the DisabilityCare Australia Fund can be found in Table 2.2.1.1 on </w:t>
      </w:r>
      <w:r w:rsidR="006020A8">
        <w:t>page 29</w:t>
      </w:r>
      <w:r w:rsidRPr="004111A7">
        <w:t>.</w:t>
      </w:r>
    </w:p>
    <w:p w14:paraId="76567470" w14:textId="6F2A8DAA" w:rsidR="008D1B59" w:rsidRPr="004111A7" w:rsidRDefault="008D1B59" w:rsidP="001864C9">
      <w:pPr>
        <w:pStyle w:val="ChartandTableFootnoteAlpha"/>
        <w:numPr>
          <w:ilvl w:val="0"/>
          <w:numId w:val="7"/>
        </w:numPr>
      </w:pPr>
      <w:r w:rsidRPr="004111A7">
        <w:t>More information on the Medical Research Future Fund can be f</w:t>
      </w:r>
      <w:r w:rsidR="00EE1FE9" w:rsidRPr="004111A7">
        <w:t>ound in Table 2.2.1.2 on page 3</w:t>
      </w:r>
      <w:r w:rsidR="006020A8">
        <w:t>0</w:t>
      </w:r>
      <w:r w:rsidRPr="004111A7">
        <w:t>.</w:t>
      </w:r>
    </w:p>
    <w:p w14:paraId="6200B821" w14:textId="435A0577" w:rsidR="008D1B59" w:rsidRPr="004111A7" w:rsidRDefault="008D1B59" w:rsidP="001864C9">
      <w:pPr>
        <w:pStyle w:val="ChartandTableFootnoteAlpha"/>
        <w:numPr>
          <w:ilvl w:val="0"/>
          <w:numId w:val="7"/>
        </w:numPr>
      </w:pPr>
      <w:r w:rsidRPr="004111A7">
        <w:t>More information on the Aboriginal and Torres Strait Islander Land and Sea Future Fu</w:t>
      </w:r>
      <w:r w:rsidR="00EE1FE9" w:rsidRPr="004111A7">
        <w:t>nd can be found in Table 2.2.1.3</w:t>
      </w:r>
      <w:r w:rsidRPr="004111A7">
        <w:t xml:space="preserve"> on page 3</w:t>
      </w:r>
      <w:r w:rsidR="006020A8">
        <w:t>1</w:t>
      </w:r>
      <w:r w:rsidRPr="004111A7">
        <w:t>.</w:t>
      </w:r>
    </w:p>
    <w:p w14:paraId="50A4AA0C" w14:textId="686723F1" w:rsidR="008D1B59" w:rsidRPr="004111A7" w:rsidRDefault="008D1B59" w:rsidP="001864C9">
      <w:pPr>
        <w:pStyle w:val="ChartandTableFootnoteAlpha"/>
        <w:numPr>
          <w:ilvl w:val="0"/>
          <w:numId w:val="7"/>
        </w:numPr>
      </w:pPr>
      <w:r w:rsidRPr="004111A7">
        <w:t>More information on the Future Drought Fu</w:t>
      </w:r>
      <w:r w:rsidR="00EE1FE9" w:rsidRPr="004111A7">
        <w:t>nd can be found in Table 2.2.1.4</w:t>
      </w:r>
      <w:r w:rsidRPr="004111A7">
        <w:t xml:space="preserve"> on </w:t>
      </w:r>
      <w:r w:rsidR="006020A8">
        <w:t>page 32</w:t>
      </w:r>
      <w:r w:rsidRPr="004111A7">
        <w:t>.</w:t>
      </w:r>
    </w:p>
    <w:p w14:paraId="581C62F4" w14:textId="480C0192" w:rsidR="008D1B59" w:rsidRPr="004111A7" w:rsidRDefault="008D1B59" w:rsidP="001864C9">
      <w:pPr>
        <w:pStyle w:val="ChartandTableFootnoteAlpha"/>
        <w:numPr>
          <w:ilvl w:val="0"/>
          <w:numId w:val="7"/>
        </w:numPr>
      </w:pPr>
      <w:r w:rsidRPr="004111A7">
        <w:t>More information on the Emergency Response Fund can be found in Table 2.2.1.</w:t>
      </w:r>
      <w:r w:rsidR="00EE1FE9" w:rsidRPr="004111A7">
        <w:t>5</w:t>
      </w:r>
      <w:r w:rsidRPr="004111A7">
        <w:t xml:space="preserve"> on </w:t>
      </w:r>
      <w:r w:rsidR="0023320D" w:rsidRPr="004111A7">
        <w:t>page 3</w:t>
      </w:r>
      <w:r w:rsidR="006020A8">
        <w:t>3</w:t>
      </w:r>
      <w:r w:rsidRPr="004111A7">
        <w:t>.</w:t>
      </w:r>
    </w:p>
    <w:p w14:paraId="075EA256" w14:textId="77777777" w:rsidR="00096A45" w:rsidRPr="004111A7" w:rsidRDefault="00096A45" w:rsidP="006C1CAB">
      <w:pPr>
        <w:pStyle w:val="ChartandTableFootnote"/>
      </w:pPr>
    </w:p>
    <w:p w14:paraId="7613DF56" w14:textId="748BE7FF" w:rsidR="006C1CAB" w:rsidRPr="004111A7" w:rsidRDefault="006C1CAB" w:rsidP="006C1CAB">
      <w:pPr>
        <w:pStyle w:val="ChartandTableFootnote"/>
      </w:pPr>
      <w:r w:rsidRPr="004111A7">
        <w:t xml:space="preserve">Note: Departmental appropriation splits and totals are indicative estimates and may change in the course of the </w:t>
      </w:r>
      <w:r w:rsidR="009240F7">
        <w:rPr>
          <w:lang w:val="en-AU"/>
        </w:rPr>
        <w:t>B</w:t>
      </w:r>
      <w:r w:rsidRPr="004111A7">
        <w:t>udget year as government priorities change.</w:t>
      </w:r>
    </w:p>
    <w:p w14:paraId="3EAF5B4B" w14:textId="753DB349" w:rsidR="008D1B59" w:rsidRPr="004111A7" w:rsidRDefault="008D1B59" w:rsidP="006C1CAB">
      <w:pPr>
        <w:pStyle w:val="NoSpacing"/>
      </w:pPr>
    </w:p>
    <w:p w14:paraId="5B13DE8B" w14:textId="2418F10A" w:rsidR="008D7878" w:rsidRPr="004111A7" w:rsidRDefault="008D7878" w:rsidP="006C1CAB">
      <w:pPr>
        <w:pStyle w:val="NoSpacing"/>
      </w:pPr>
      <w:r w:rsidRPr="004111A7">
        <w:br w:type="page"/>
      </w:r>
    </w:p>
    <w:p w14:paraId="63632220" w14:textId="22EBCF70" w:rsidR="00597F8A" w:rsidRPr="004111A7" w:rsidRDefault="008D7878" w:rsidP="00597F8A">
      <w:pPr>
        <w:pStyle w:val="TableHeadingcontinued"/>
        <w:rPr>
          <w:rFonts w:ascii="Arial" w:hAnsi="Arial" w:cs="Arial"/>
          <w:sz w:val="16"/>
        </w:rPr>
      </w:pPr>
      <w:r w:rsidRPr="004111A7">
        <w:rPr>
          <w:rFonts w:ascii="Arial" w:hAnsi="Arial" w:cs="Arial"/>
        </w:rPr>
        <w:lastRenderedPageBreak/>
        <w:t xml:space="preserve">Table 2.2.1.1: DisabilityCare Australia Fund (DCAF) – Estimates of </w:t>
      </w:r>
      <w:r w:rsidR="009240F7">
        <w:rPr>
          <w:rFonts w:ascii="Arial" w:hAnsi="Arial" w:cs="Arial"/>
        </w:rPr>
        <w:t>f</w:t>
      </w:r>
      <w:r w:rsidRPr="004111A7">
        <w:rPr>
          <w:rFonts w:ascii="Arial" w:hAnsi="Arial" w:cs="Arial"/>
        </w:rPr>
        <w:t xml:space="preserve">und </w:t>
      </w:r>
      <w:r w:rsidR="009240F7">
        <w:rPr>
          <w:rFonts w:ascii="Arial" w:hAnsi="Arial" w:cs="Arial"/>
        </w:rPr>
        <w:t>b</w:t>
      </w:r>
      <w:r w:rsidRPr="004111A7">
        <w:rPr>
          <w:rFonts w:ascii="Arial" w:hAnsi="Arial" w:cs="Arial"/>
        </w:rPr>
        <w:t>alances</w:t>
      </w:r>
      <w:bookmarkStart w:id="58" w:name="OLE_LINK2"/>
      <w:r w:rsidR="00597F8A" w:rsidRPr="004111A7">
        <w:rPr>
          <w:rFonts w:ascii="Arial" w:hAnsi="Arial" w:cs="Arial"/>
          <w:b w:val="0"/>
        </w:rPr>
        <w:t xml:space="preserve"> </w:t>
      </w:r>
      <w:r w:rsidR="00440BB3" w:rsidRPr="00440BB3">
        <w:rPr>
          <w:noProof/>
        </w:rPr>
        <w:drawing>
          <wp:inline distT="0" distB="0" distL="0" distR="0" wp14:anchorId="01B64BF1" wp14:editId="02866747">
            <wp:extent cx="4895850" cy="2160193"/>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95850" cy="2160193"/>
                    </a:xfrm>
                    <a:prstGeom prst="rect">
                      <a:avLst/>
                    </a:prstGeom>
                    <a:noFill/>
                    <a:ln>
                      <a:noFill/>
                    </a:ln>
                  </pic:spPr>
                </pic:pic>
              </a:graphicData>
            </a:graphic>
          </wp:inline>
        </w:drawing>
      </w:r>
    </w:p>
    <w:p w14:paraId="5D9CD799" w14:textId="26B1AF9B" w:rsidR="003F3EE4" w:rsidRPr="004111A7" w:rsidRDefault="003F3EE4" w:rsidP="003F3EE4">
      <w:pPr>
        <w:numPr>
          <w:ilvl w:val="0"/>
          <w:numId w:val="15"/>
        </w:numPr>
        <w:spacing w:after="0" w:line="240" w:lineRule="auto"/>
        <w:ind w:left="284" w:hanging="284"/>
        <w:contextualSpacing/>
        <w:rPr>
          <w:rFonts w:ascii="Arial" w:hAnsi="Arial" w:cs="Arial"/>
          <w:color w:val="000000"/>
          <w:sz w:val="16"/>
          <w:szCs w:val="16"/>
        </w:rPr>
      </w:pPr>
      <w:r w:rsidRPr="004111A7">
        <w:rPr>
          <w:rFonts w:ascii="Arial" w:hAnsi="Arial" w:cs="Arial"/>
          <w:color w:val="000000"/>
          <w:sz w:val="16"/>
          <w:szCs w:val="16"/>
        </w:rPr>
        <w:t>The DCAF consists of the DCAF Special Account and investments of the DCAF. The investments are managed by the Future Fund Board of Guardians. The special account is used to record all transactions relating to the DCAF, i</w:t>
      </w:r>
      <w:r w:rsidR="00B01CE4">
        <w:rPr>
          <w:rFonts w:ascii="Arial" w:hAnsi="Arial" w:cs="Arial"/>
          <w:color w:val="000000"/>
          <w:sz w:val="16"/>
          <w:szCs w:val="16"/>
        </w:rPr>
        <w:t>ncluding interest and Medicare l</w:t>
      </w:r>
      <w:r w:rsidRPr="004111A7">
        <w:rPr>
          <w:rFonts w:ascii="Arial" w:hAnsi="Arial" w:cs="Arial"/>
          <w:color w:val="000000"/>
          <w:sz w:val="16"/>
          <w:szCs w:val="16"/>
        </w:rPr>
        <w:t>evy proceeds received and payments.</w:t>
      </w:r>
    </w:p>
    <w:p w14:paraId="3CBE9196" w14:textId="1FB5AE18" w:rsidR="003F3EE4" w:rsidRPr="004111A7" w:rsidRDefault="003F3EE4" w:rsidP="003F3EE4">
      <w:pPr>
        <w:numPr>
          <w:ilvl w:val="0"/>
          <w:numId w:val="15"/>
        </w:numPr>
        <w:spacing w:after="0" w:line="240" w:lineRule="auto"/>
        <w:ind w:left="284" w:hanging="284"/>
        <w:contextualSpacing/>
        <w:rPr>
          <w:rFonts w:ascii="Arial" w:hAnsi="Arial" w:cs="Arial"/>
          <w:color w:val="000000"/>
          <w:sz w:val="16"/>
          <w:szCs w:val="16"/>
        </w:rPr>
      </w:pPr>
      <w:r w:rsidRPr="004111A7">
        <w:rPr>
          <w:rFonts w:ascii="Arial" w:hAnsi="Arial" w:cs="Arial"/>
          <w:color w:val="000000"/>
          <w:sz w:val="16"/>
          <w:szCs w:val="16"/>
        </w:rPr>
        <w:t xml:space="preserve">The Commonwealth agreed to credit the DCAF with money raised from the increase in the Medicare levy for 10 years to fund the additional costs of delivering </w:t>
      </w:r>
      <w:r w:rsidR="009240F7" w:rsidRPr="00456B4A">
        <w:rPr>
          <w:rFonts w:ascii="Arial" w:hAnsi="Arial" w:cs="Arial"/>
          <w:sz w:val="16"/>
          <w:szCs w:val="16"/>
        </w:rPr>
        <w:t xml:space="preserve">the National Disability Insurance Scheme </w:t>
      </w:r>
      <w:r w:rsidR="009240F7" w:rsidRPr="007D79C7">
        <w:rPr>
          <w:rFonts w:ascii="Arial" w:hAnsi="Arial" w:cs="Arial"/>
          <w:sz w:val="16"/>
          <w:szCs w:val="16"/>
        </w:rPr>
        <w:t>(</w:t>
      </w:r>
      <w:r w:rsidR="009240F7" w:rsidRPr="00456B4A">
        <w:rPr>
          <w:rFonts w:ascii="Arial" w:hAnsi="Arial" w:cs="Arial"/>
          <w:sz w:val="16"/>
          <w:szCs w:val="16"/>
        </w:rPr>
        <w:t xml:space="preserve">NDIS) (formerly </w:t>
      </w:r>
      <w:r w:rsidR="009240F7">
        <w:rPr>
          <w:rFonts w:ascii="Arial" w:hAnsi="Arial" w:cs="Arial"/>
          <w:color w:val="000000"/>
          <w:sz w:val="16"/>
          <w:szCs w:val="16"/>
        </w:rPr>
        <w:t>DisabilityCare Australia</w:t>
      </w:r>
      <w:r w:rsidR="009240F7" w:rsidRPr="00456B4A">
        <w:rPr>
          <w:rFonts w:ascii="Arial" w:hAnsi="Arial" w:cs="Arial"/>
          <w:sz w:val="16"/>
          <w:szCs w:val="16"/>
        </w:rPr>
        <w:t>)</w:t>
      </w:r>
      <w:r w:rsidR="001B02D8" w:rsidRPr="004111A7">
        <w:rPr>
          <w:rFonts w:ascii="Arial" w:hAnsi="Arial" w:cs="Arial"/>
          <w:color w:val="000000"/>
          <w:sz w:val="16"/>
          <w:szCs w:val="16"/>
        </w:rPr>
        <w:t xml:space="preserve">. </w:t>
      </w:r>
      <w:r w:rsidRPr="004111A7">
        <w:rPr>
          <w:rFonts w:ascii="Arial" w:hAnsi="Arial" w:cs="Arial"/>
          <w:color w:val="000000"/>
          <w:sz w:val="16"/>
          <w:szCs w:val="16"/>
        </w:rPr>
        <w:t>This 10 year period concludes in 2023-24.</w:t>
      </w:r>
    </w:p>
    <w:p w14:paraId="42B0D6EC" w14:textId="3751C815" w:rsidR="003F3EE4" w:rsidRPr="004111A7" w:rsidRDefault="003F3EE4" w:rsidP="003F3EE4">
      <w:pPr>
        <w:numPr>
          <w:ilvl w:val="0"/>
          <w:numId w:val="15"/>
        </w:numPr>
        <w:spacing w:after="0" w:line="240" w:lineRule="auto"/>
        <w:ind w:left="284" w:hanging="284"/>
        <w:contextualSpacing/>
        <w:rPr>
          <w:rFonts w:ascii="Arial" w:hAnsi="Arial" w:cs="Arial"/>
          <w:sz w:val="16"/>
        </w:rPr>
      </w:pPr>
      <w:r w:rsidRPr="004111A7">
        <w:rPr>
          <w:rFonts w:ascii="Arial" w:hAnsi="Arial" w:cs="Arial"/>
          <w:color w:val="000000"/>
          <w:sz w:val="16"/>
          <w:szCs w:val="16"/>
        </w:rPr>
        <w:t>The transfers relate to reimbursing the Commonwealth and the States and Territories for the costs of the operations of the NDIS.</w:t>
      </w:r>
    </w:p>
    <w:p w14:paraId="1D734984" w14:textId="09DCBC70" w:rsidR="008D7878" w:rsidRPr="004111A7" w:rsidRDefault="008D7878" w:rsidP="003F3EE4">
      <w:pPr>
        <w:spacing w:after="0" w:line="240" w:lineRule="auto"/>
        <w:contextualSpacing/>
        <w:rPr>
          <w:rFonts w:ascii="Arial" w:hAnsi="Arial" w:cs="Arial"/>
          <w:sz w:val="16"/>
        </w:rPr>
      </w:pPr>
    </w:p>
    <w:p w14:paraId="6AD81DF3" w14:textId="77777777" w:rsidR="008D7878" w:rsidRPr="004111A7" w:rsidRDefault="008D7878" w:rsidP="008D7878">
      <w:pPr>
        <w:spacing w:after="0" w:line="240" w:lineRule="auto"/>
        <w:contextualSpacing/>
        <w:rPr>
          <w:rFonts w:ascii="Arial" w:hAnsi="Arial" w:cs="Arial"/>
          <w:color w:val="000000"/>
          <w:sz w:val="16"/>
          <w:szCs w:val="16"/>
        </w:rPr>
      </w:pPr>
      <w:r w:rsidRPr="004111A7">
        <w:rPr>
          <w:rFonts w:ascii="Arial" w:hAnsi="Arial" w:cs="Arial"/>
          <w:color w:val="000000"/>
          <w:sz w:val="16"/>
          <w:szCs w:val="16"/>
        </w:rPr>
        <w:t>Note: The expenses figure does not include losses made on investments; rather this amount has been applied against investment earnings and gains.</w:t>
      </w:r>
    </w:p>
    <w:bookmarkEnd w:id="58"/>
    <w:p w14:paraId="4029A302" w14:textId="664C6E12" w:rsidR="008D7878" w:rsidRPr="004111A7" w:rsidRDefault="008D7878" w:rsidP="006C1CAB">
      <w:pPr>
        <w:pStyle w:val="NoSpacing"/>
      </w:pPr>
      <w:r w:rsidRPr="004111A7">
        <w:br w:type="page"/>
      </w:r>
    </w:p>
    <w:p w14:paraId="1D2796C3" w14:textId="0F82CB38" w:rsidR="008D7878" w:rsidRPr="004111A7" w:rsidRDefault="003C480C" w:rsidP="008D7878">
      <w:pPr>
        <w:pStyle w:val="TableHeadingcontinued"/>
        <w:rPr>
          <w:rFonts w:ascii="Arial" w:hAnsi="Arial" w:cs="Arial"/>
        </w:rPr>
      </w:pPr>
      <w:r w:rsidRPr="004111A7">
        <w:rPr>
          <w:rFonts w:ascii="Arial" w:hAnsi="Arial" w:cs="Arial"/>
        </w:rPr>
        <w:lastRenderedPageBreak/>
        <w:t xml:space="preserve">Table 2.2.1.2: </w:t>
      </w:r>
      <w:r w:rsidR="008D7878" w:rsidRPr="004111A7">
        <w:rPr>
          <w:rFonts w:ascii="Arial" w:hAnsi="Arial" w:cs="Arial"/>
        </w:rPr>
        <w:t xml:space="preserve">Medical Research Future Fund (MRFF) - Estimates of </w:t>
      </w:r>
      <w:r w:rsidR="009240F7">
        <w:rPr>
          <w:rFonts w:ascii="Arial" w:hAnsi="Arial" w:cs="Arial"/>
        </w:rPr>
        <w:t>f</w:t>
      </w:r>
      <w:r w:rsidR="008D7878" w:rsidRPr="004111A7">
        <w:rPr>
          <w:rFonts w:ascii="Arial" w:hAnsi="Arial" w:cs="Arial"/>
        </w:rPr>
        <w:t xml:space="preserve">und </w:t>
      </w:r>
      <w:r w:rsidR="009240F7">
        <w:rPr>
          <w:rFonts w:ascii="Arial" w:hAnsi="Arial" w:cs="Arial"/>
        </w:rPr>
        <w:t>b</w:t>
      </w:r>
      <w:r w:rsidR="008D7878" w:rsidRPr="004111A7">
        <w:rPr>
          <w:rFonts w:ascii="Arial" w:hAnsi="Arial" w:cs="Arial"/>
        </w:rPr>
        <w:t>alances</w:t>
      </w:r>
    </w:p>
    <w:p w14:paraId="44224607" w14:textId="54BDAC0C" w:rsidR="008D7878" w:rsidRPr="004111A7" w:rsidRDefault="00440BB3" w:rsidP="006C1CAB">
      <w:pPr>
        <w:pStyle w:val="NoSpacing"/>
        <w:rPr>
          <w:rFonts w:cs="Arial"/>
          <w:b/>
        </w:rPr>
      </w:pPr>
      <w:r w:rsidRPr="00440BB3">
        <w:rPr>
          <w:noProof/>
        </w:rPr>
        <w:drawing>
          <wp:inline distT="0" distB="0" distL="0" distR="0" wp14:anchorId="4D630AD6" wp14:editId="0E09D47B">
            <wp:extent cx="4895850" cy="2394568"/>
            <wp:effectExtent l="0" t="0" r="0" b="635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95850" cy="2394568"/>
                    </a:xfrm>
                    <a:prstGeom prst="rect">
                      <a:avLst/>
                    </a:prstGeom>
                    <a:noFill/>
                    <a:ln>
                      <a:noFill/>
                    </a:ln>
                  </pic:spPr>
                </pic:pic>
              </a:graphicData>
            </a:graphic>
          </wp:inline>
        </w:drawing>
      </w:r>
    </w:p>
    <w:p w14:paraId="71A6B1AC" w14:textId="352536F8" w:rsidR="00EE1FE9" w:rsidRPr="004111A7" w:rsidRDefault="00EE1FE9" w:rsidP="00EE1FE9">
      <w:pPr>
        <w:numPr>
          <w:ilvl w:val="0"/>
          <w:numId w:val="16"/>
        </w:numPr>
        <w:spacing w:after="0" w:line="240" w:lineRule="auto"/>
        <w:ind w:left="284" w:hanging="284"/>
        <w:contextualSpacing/>
        <w:rPr>
          <w:rFonts w:ascii="Arial" w:hAnsi="Arial" w:cs="Arial"/>
          <w:sz w:val="16"/>
        </w:rPr>
      </w:pPr>
      <w:r w:rsidRPr="004111A7">
        <w:rPr>
          <w:rFonts w:ascii="Arial" w:hAnsi="Arial" w:cs="Arial"/>
          <w:sz w:val="16"/>
        </w:rPr>
        <w:t>The MRFF consists of the MRFF Special Account and investments of the MRFF. The investments are managed by the Future Fund Board of Guardians. The special account is used to record all transactions relating to the MRFF, including interest received and payments.</w:t>
      </w:r>
    </w:p>
    <w:p w14:paraId="647C182D" w14:textId="0F2B6999" w:rsidR="00EE1FE9" w:rsidRPr="004111A7" w:rsidRDefault="00EE1FE9" w:rsidP="00EE1FE9">
      <w:pPr>
        <w:numPr>
          <w:ilvl w:val="0"/>
          <w:numId w:val="16"/>
        </w:numPr>
        <w:spacing w:after="0" w:line="240" w:lineRule="auto"/>
        <w:ind w:left="284" w:hanging="284"/>
        <w:contextualSpacing/>
        <w:rPr>
          <w:rFonts w:ascii="Arial" w:hAnsi="Arial" w:cs="Arial"/>
          <w:sz w:val="16"/>
        </w:rPr>
      </w:pPr>
      <w:r w:rsidRPr="004111A7">
        <w:rPr>
          <w:rFonts w:ascii="Arial" w:hAnsi="Arial" w:cs="Arial"/>
          <w:sz w:val="16"/>
        </w:rPr>
        <w:t>Credits consist of uncommitted funds from the Health and Hospitals Fund (HHF), plus further contributions consisting of amounts equivalent to the estimated value of health functio</w:t>
      </w:r>
      <w:r w:rsidR="00F14ABF" w:rsidRPr="004111A7">
        <w:rPr>
          <w:rFonts w:ascii="Arial" w:hAnsi="Arial" w:cs="Arial"/>
          <w:sz w:val="16"/>
        </w:rPr>
        <w:t>n savings published in the 2014</w:t>
      </w:r>
      <w:r w:rsidR="00F14ABF" w:rsidRPr="004111A7">
        <w:rPr>
          <w:rFonts w:ascii="Arial" w:hAnsi="Arial" w:cs="Arial"/>
          <w:sz w:val="16"/>
        </w:rPr>
        <w:noBreakHyphen/>
        <w:t>15 </w:t>
      </w:r>
      <w:r w:rsidRPr="004111A7">
        <w:rPr>
          <w:rFonts w:ascii="Arial" w:hAnsi="Arial" w:cs="Arial"/>
          <w:sz w:val="16"/>
        </w:rPr>
        <w:t>Budget adjusted for any subsequent associated government decisions, until the capital value of the MRFF reached $20 billion.</w:t>
      </w:r>
    </w:p>
    <w:p w14:paraId="2A317BB4" w14:textId="77777777" w:rsidR="008D7878" w:rsidRPr="004111A7" w:rsidRDefault="008D7878" w:rsidP="008D7878">
      <w:pPr>
        <w:spacing w:after="0" w:line="240" w:lineRule="auto"/>
        <w:contextualSpacing/>
        <w:rPr>
          <w:rFonts w:ascii="Arial" w:hAnsi="Arial" w:cs="Arial"/>
          <w:color w:val="000000"/>
          <w:sz w:val="16"/>
          <w:szCs w:val="16"/>
        </w:rPr>
      </w:pPr>
    </w:p>
    <w:p w14:paraId="47636143" w14:textId="77777777" w:rsidR="008D7878" w:rsidRPr="004111A7" w:rsidRDefault="008D7878" w:rsidP="008D7878">
      <w:pPr>
        <w:spacing w:line="240" w:lineRule="auto"/>
        <w:rPr>
          <w:rFonts w:ascii="Arial" w:hAnsi="Arial" w:cs="Arial"/>
          <w:color w:val="000000"/>
          <w:sz w:val="16"/>
          <w:szCs w:val="16"/>
        </w:rPr>
      </w:pPr>
      <w:r w:rsidRPr="004111A7">
        <w:rPr>
          <w:rFonts w:ascii="Arial" w:hAnsi="Arial" w:cs="Arial"/>
          <w:color w:val="000000"/>
          <w:sz w:val="16"/>
          <w:szCs w:val="16"/>
        </w:rPr>
        <w:t>Note: The expenses figure does not include losses made on investments; rather this amount has been applied against investment earnings and gains.</w:t>
      </w:r>
    </w:p>
    <w:p w14:paraId="22F852EF" w14:textId="14288590" w:rsidR="008D7878" w:rsidRPr="004111A7" w:rsidRDefault="008D7878" w:rsidP="006C1CAB">
      <w:pPr>
        <w:pStyle w:val="NoSpacing"/>
        <w:rPr>
          <w:rFonts w:cs="Arial"/>
          <w:b/>
        </w:rPr>
      </w:pPr>
    </w:p>
    <w:p w14:paraId="7198B170" w14:textId="38094872" w:rsidR="008D7878" w:rsidRPr="004111A7" w:rsidRDefault="008D7878" w:rsidP="006C1CAB">
      <w:pPr>
        <w:pStyle w:val="NoSpacing"/>
        <w:rPr>
          <w:rFonts w:cs="Arial"/>
          <w:b/>
        </w:rPr>
      </w:pPr>
      <w:r w:rsidRPr="004111A7">
        <w:rPr>
          <w:rFonts w:cs="Arial"/>
          <w:b/>
        </w:rPr>
        <w:br w:type="page"/>
      </w:r>
    </w:p>
    <w:p w14:paraId="572D0A84" w14:textId="440F9C23" w:rsidR="008D7878" w:rsidRPr="004111A7" w:rsidRDefault="003C480C" w:rsidP="008D7878">
      <w:pPr>
        <w:pStyle w:val="TableHeadingcontinued"/>
        <w:rPr>
          <w:rFonts w:ascii="Arial" w:hAnsi="Arial" w:cs="Arial"/>
        </w:rPr>
      </w:pPr>
      <w:r w:rsidRPr="004111A7">
        <w:rPr>
          <w:rFonts w:ascii="Arial" w:hAnsi="Arial" w:cs="Arial"/>
        </w:rPr>
        <w:lastRenderedPageBreak/>
        <w:t xml:space="preserve">Table 2.2.1.3: Aboriginal and Torres Strait Islander Land and Sea Future Fund (ATSILSFF) – Estimates of </w:t>
      </w:r>
      <w:r w:rsidR="009240F7">
        <w:rPr>
          <w:rFonts w:ascii="Arial" w:hAnsi="Arial" w:cs="Arial"/>
        </w:rPr>
        <w:t>f</w:t>
      </w:r>
      <w:r w:rsidRPr="004111A7">
        <w:rPr>
          <w:rFonts w:ascii="Arial" w:hAnsi="Arial" w:cs="Arial"/>
        </w:rPr>
        <w:t xml:space="preserve">und </w:t>
      </w:r>
      <w:r w:rsidR="009240F7">
        <w:rPr>
          <w:rFonts w:ascii="Arial" w:hAnsi="Arial" w:cs="Arial"/>
        </w:rPr>
        <w:t>b</w:t>
      </w:r>
      <w:r w:rsidRPr="004111A7">
        <w:rPr>
          <w:rFonts w:ascii="Arial" w:hAnsi="Arial" w:cs="Arial"/>
        </w:rPr>
        <w:t>alances</w:t>
      </w:r>
    </w:p>
    <w:p w14:paraId="488D6EF3" w14:textId="521CF58B" w:rsidR="008D7878" w:rsidRPr="004111A7" w:rsidRDefault="00440BB3" w:rsidP="006C1CAB">
      <w:pPr>
        <w:pStyle w:val="NoSpacing"/>
        <w:rPr>
          <w:rFonts w:ascii="Arial" w:hAnsi="Arial" w:cs="Arial"/>
          <w:b/>
        </w:rPr>
      </w:pPr>
      <w:r w:rsidRPr="00440BB3">
        <w:rPr>
          <w:noProof/>
        </w:rPr>
        <w:drawing>
          <wp:inline distT="0" distB="0" distL="0" distR="0" wp14:anchorId="368620AF" wp14:editId="4A2048ED">
            <wp:extent cx="4895850" cy="2650064"/>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95850" cy="2650064"/>
                    </a:xfrm>
                    <a:prstGeom prst="rect">
                      <a:avLst/>
                    </a:prstGeom>
                    <a:noFill/>
                    <a:ln>
                      <a:noFill/>
                    </a:ln>
                  </pic:spPr>
                </pic:pic>
              </a:graphicData>
            </a:graphic>
          </wp:inline>
        </w:drawing>
      </w:r>
    </w:p>
    <w:p w14:paraId="6ECF30D6" w14:textId="11B04D88" w:rsidR="00EE1FE9" w:rsidRPr="004111A7" w:rsidRDefault="00EE1FE9" w:rsidP="00EE1FE9">
      <w:pPr>
        <w:numPr>
          <w:ilvl w:val="0"/>
          <w:numId w:val="17"/>
        </w:numPr>
        <w:spacing w:after="0" w:line="240" w:lineRule="auto"/>
        <w:ind w:left="284" w:hanging="284"/>
        <w:contextualSpacing/>
        <w:rPr>
          <w:rFonts w:ascii="Arial" w:hAnsi="Arial" w:cs="Arial"/>
          <w:sz w:val="16"/>
          <w:szCs w:val="16"/>
        </w:rPr>
      </w:pPr>
      <w:r w:rsidRPr="004111A7">
        <w:rPr>
          <w:rFonts w:ascii="Arial" w:hAnsi="Arial" w:cs="Arial"/>
          <w:sz w:val="16"/>
          <w:szCs w:val="16"/>
        </w:rPr>
        <w:t>The ATSILSFF consists of the ATSILSFF Special Account and the investments of the ATSILSFF. The investments are managed by the Future Fund Board of Guardians. The special account is used to record all transactions relating to the ATSILSFF, including interest and payments.</w:t>
      </w:r>
    </w:p>
    <w:p w14:paraId="584C23BA" w14:textId="77777777" w:rsidR="008D7878" w:rsidRPr="004111A7" w:rsidRDefault="008D7878" w:rsidP="008D7878">
      <w:pPr>
        <w:spacing w:after="0" w:line="240" w:lineRule="auto"/>
        <w:contextualSpacing/>
        <w:rPr>
          <w:rFonts w:ascii="Arial" w:hAnsi="Arial" w:cs="Arial"/>
          <w:sz w:val="16"/>
          <w:szCs w:val="16"/>
        </w:rPr>
      </w:pPr>
    </w:p>
    <w:p w14:paraId="7C03774D" w14:textId="77777777" w:rsidR="008D7878" w:rsidRPr="004111A7" w:rsidRDefault="008D7878" w:rsidP="008D7878">
      <w:pPr>
        <w:spacing w:after="0" w:line="240" w:lineRule="auto"/>
        <w:contextualSpacing/>
        <w:rPr>
          <w:rFonts w:ascii="Arial" w:hAnsi="Arial" w:cs="Arial"/>
          <w:sz w:val="16"/>
        </w:rPr>
      </w:pPr>
      <w:r w:rsidRPr="004111A7">
        <w:rPr>
          <w:rFonts w:ascii="Arial" w:hAnsi="Arial" w:cs="Arial"/>
          <w:sz w:val="16"/>
          <w:szCs w:val="16"/>
        </w:rPr>
        <w:t>Note: The expenses figure does not include losses made on investments; rather this amount has been applied against investment earnings and gains.</w:t>
      </w:r>
    </w:p>
    <w:p w14:paraId="7C7F591B" w14:textId="77777777" w:rsidR="008D7878" w:rsidRPr="004111A7" w:rsidRDefault="008D7878" w:rsidP="006C1CAB">
      <w:pPr>
        <w:pStyle w:val="NoSpacing"/>
        <w:rPr>
          <w:rFonts w:ascii="Arial" w:hAnsi="Arial" w:cs="Arial"/>
          <w:b/>
        </w:rPr>
      </w:pPr>
    </w:p>
    <w:p w14:paraId="0207800D" w14:textId="3567BE6C" w:rsidR="008D7878" w:rsidRPr="004111A7" w:rsidRDefault="008D7878" w:rsidP="006C1CAB">
      <w:pPr>
        <w:pStyle w:val="NoSpacing"/>
        <w:rPr>
          <w:rFonts w:ascii="Arial" w:hAnsi="Arial" w:cs="Arial"/>
          <w:b/>
        </w:rPr>
      </w:pPr>
      <w:r w:rsidRPr="004111A7">
        <w:rPr>
          <w:rFonts w:ascii="Arial" w:hAnsi="Arial" w:cs="Arial"/>
          <w:b/>
        </w:rPr>
        <w:br w:type="page"/>
      </w:r>
    </w:p>
    <w:p w14:paraId="6800FD9D" w14:textId="793C9E11" w:rsidR="008D7878" w:rsidRPr="004111A7" w:rsidRDefault="008D7878" w:rsidP="008D7878">
      <w:pPr>
        <w:pStyle w:val="TableHeadingcontinued"/>
        <w:rPr>
          <w:rFonts w:ascii="Arial" w:hAnsi="Arial" w:cs="Arial"/>
        </w:rPr>
      </w:pPr>
      <w:r w:rsidRPr="004111A7">
        <w:rPr>
          <w:rFonts w:ascii="Arial" w:hAnsi="Arial" w:cs="Arial"/>
        </w:rPr>
        <w:lastRenderedPageBreak/>
        <w:t>Table 2.2.1.4: Future Drought Fund</w:t>
      </w:r>
      <w:r w:rsidR="00C9256F" w:rsidRPr="004111A7">
        <w:rPr>
          <w:rFonts w:ascii="Arial" w:hAnsi="Arial" w:cs="Arial"/>
        </w:rPr>
        <w:t xml:space="preserve"> (FDF)</w:t>
      </w:r>
      <w:r w:rsidRPr="004111A7">
        <w:rPr>
          <w:rFonts w:ascii="Arial" w:hAnsi="Arial" w:cs="Arial"/>
        </w:rPr>
        <w:t xml:space="preserve"> - Estimates of </w:t>
      </w:r>
      <w:r w:rsidR="009240F7">
        <w:rPr>
          <w:rFonts w:ascii="Arial" w:hAnsi="Arial" w:cs="Arial"/>
        </w:rPr>
        <w:t>f</w:t>
      </w:r>
      <w:r w:rsidRPr="004111A7">
        <w:rPr>
          <w:rFonts w:ascii="Arial" w:hAnsi="Arial" w:cs="Arial"/>
        </w:rPr>
        <w:t xml:space="preserve">und </w:t>
      </w:r>
      <w:r w:rsidR="009240F7">
        <w:rPr>
          <w:rFonts w:ascii="Arial" w:hAnsi="Arial" w:cs="Arial"/>
        </w:rPr>
        <w:t>b</w:t>
      </w:r>
      <w:r w:rsidRPr="004111A7">
        <w:rPr>
          <w:rFonts w:ascii="Arial" w:hAnsi="Arial" w:cs="Arial"/>
        </w:rPr>
        <w:t>alances</w:t>
      </w:r>
    </w:p>
    <w:p w14:paraId="18057D71" w14:textId="3717D1CD" w:rsidR="008D7878" w:rsidRPr="004111A7" w:rsidRDefault="00440BB3" w:rsidP="006C1CAB">
      <w:pPr>
        <w:pStyle w:val="NoSpacing"/>
      </w:pPr>
      <w:r w:rsidRPr="00440BB3">
        <w:rPr>
          <w:noProof/>
        </w:rPr>
        <w:drawing>
          <wp:inline distT="0" distB="0" distL="0" distR="0" wp14:anchorId="2CDE8792" wp14:editId="6BE3E569">
            <wp:extent cx="4895850" cy="2063826"/>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95850" cy="2063826"/>
                    </a:xfrm>
                    <a:prstGeom prst="rect">
                      <a:avLst/>
                    </a:prstGeom>
                    <a:noFill/>
                    <a:ln>
                      <a:noFill/>
                    </a:ln>
                  </pic:spPr>
                </pic:pic>
              </a:graphicData>
            </a:graphic>
          </wp:inline>
        </w:drawing>
      </w:r>
    </w:p>
    <w:p w14:paraId="51288C78" w14:textId="75046B1A" w:rsidR="00EE1FE9" w:rsidRPr="004111A7" w:rsidRDefault="00EE1FE9" w:rsidP="00EE1FE9">
      <w:pPr>
        <w:numPr>
          <w:ilvl w:val="0"/>
          <w:numId w:val="18"/>
        </w:numPr>
        <w:spacing w:after="0" w:line="240" w:lineRule="auto"/>
        <w:ind w:left="284" w:hanging="284"/>
        <w:contextualSpacing/>
        <w:rPr>
          <w:rFonts w:ascii="Arial" w:hAnsi="Arial" w:cs="Arial"/>
          <w:sz w:val="16"/>
          <w:szCs w:val="16"/>
        </w:rPr>
      </w:pPr>
      <w:r w:rsidRPr="004111A7">
        <w:rPr>
          <w:rFonts w:ascii="Arial" w:hAnsi="Arial" w:cs="Arial"/>
          <w:sz w:val="16"/>
          <w:szCs w:val="16"/>
        </w:rPr>
        <w:t>The FDF consists of the FDF Special Account and investments of the FDF. The investments are managed by the Future Fund Board of Guardians. The special account is used to record all transactions relating to the FDF, including interest and payments.</w:t>
      </w:r>
    </w:p>
    <w:p w14:paraId="0E385B5C" w14:textId="77777777" w:rsidR="003C480C" w:rsidRPr="004111A7" w:rsidRDefault="003C480C" w:rsidP="003C480C">
      <w:pPr>
        <w:spacing w:after="0" w:line="240" w:lineRule="auto"/>
        <w:ind w:left="284"/>
        <w:contextualSpacing/>
        <w:rPr>
          <w:rFonts w:ascii="Arial" w:hAnsi="Arial" w:cs="Arial"/>
          <w:sz w:val="16"/>
          <w:szCs w:val="16"/>
        </w:rPr>
      </w:pPr>
    </w:p>
    <w:p w14:paraId="61D1A101" w14:textId="3EC5CBCE" w:rsidR="003C480C" w:rsidRPr="004111A7" w:rsidRDefault="003C480C" w:rsidP="003C480C">
      <w:pPr>
        <w:pStyle w:val="ChartandTableFootnoteAlpha"/>
        <w:numPr>
          <w:ilvl w:val="0"/>
          <w:numId w:val="0"/>
        </w:numPr>
        <w:rPr>
          <w:rFonts w:cs="Arial"/>
          <w:szCs w:val="16"/>
        </w:rPr>
      </w:pPr>
      <w:r w:rsidRPr="004111A7">
        <w:rPr>
          <w:rFonts w:cs="Arial"/>
          <w:szCs w:val="16"/>
        </w:rPr>
        <w:t>Note: The expenses figure does not include losses made on investments; rather this amount has been applied against investment earnings and gains.</w:t>
      </w:r>
    </w:p>
    <w:p w14:paraId="0DE58A7A" w14:textId="7FE5E1DF" w:rsidR="008D7878" w:rsidRPr="004111A7" w:rsidRDefault="008D7878" w:rsidP="006C1CAB">
      <w:pPr>
        <w:pStyle w:val="NoSpacing"/>
      </w:pPr>
      <w:r w:rsidRPr="004111A7">
        <w:br w:type="page"/>
      </w:r>
    </w:p>
    <w:p w14:paraId="3840BAD7" w14:textId="11824818" w:rsidR="008D7878" w:rsidRPr="004111A7" w:rsidRDefault="008D7878" w:rsidP="008D7878">
      <w:pPr>
        <w:pStyle w:val="TableHeadingcontinued"/>
        <w:rPr>
          <w:rFonts w:ascii="Arial" w:hAnsi="Arial" w:cs="Arial"/>
        </w:rPr>
      </w:pPr>
      <w:r w:rsidRPr="004111A7">
        <w:rPr>
          <w:rFonts w:ascii="Arial" w:hAnsi="Arial" w:cs="Arial"/>
        </w:rPr>
        <w:lastRenderedPageBreak/>
        <w:t>Table 2.2.1.5</w:t>
      </w:r>
      <w:r w:rsidR="00C9256F" w:rsidRPr="004111A7">
        <w:rPr>
          <w:rFonts w:ascii="Arial" w:hAnsi="Arial" w:cs="Arial"/>
        </w:rPr>
        <w:t>: Emergency Response Fund (ERF)</w:t>
      </w:r>
      <w:r w:rsidRPr="004111A7">
        <w:rPr>
          <w:rFonts w:ascii="Arial" w:hAnsi="Arial" w:cs="Arial"/>
        </w:rPr>
        <w:t xml:space="preserve"> - Estimates of </w:t>
      </w:r>
      <w:r w:rsidR="009240F7">
        <w:rPr>
          <w:rFonts w:ascii="Arial" w:hAnsi="Arial" w:cs="Arial"/>
        </w:rPr>
        <w:t>f</w:t>
      </w:r>
      <w:r w:rsidRPr="004111A7">
        <w:rPr>
          <w:rFonts w:ascii="Arial" w:hAnsi="Arial" w:cs="Arial"/>
        </w:rPr>
        <w:t xml:space="preserve">und </w:t>
      </w:r>
      <w:r w:rsidR="009240F7">
        <w:rPr>
          <w:rFonts w:ascii="Arial" w:hAnsi="Arial" w:cs="Arial"/>
        </w:rPr>
        <w:t>b</w:t>
      </w:r>
      <w:r w:rsidRPr="004111A7">
        <w:rPr>
          <w:rFonts w:ascii="Arial" w:hAnsi="Arial" w:cs="Arial"/>
        </w:rPr>
        <w:t xml:space="preserve">alances </w:t>
      </w:r>
    </w:p>
    <w:p w14:paraId="03C7448C" w14:textId="2170CE62" w:rsidR="008D7878" w:rsidRPr="004111A7" w:rsidRDefault="00440BB3" w:rsidP="006C1CAB">
      <w:pPr>
        <w:pStyle w:val="NoSpacing"/>
      </w:pPr>
      <w:r w:rsidRPr="00440BB3">
        <w:rPr>
          <w:noProof/>
        </w:rPr>
        <w:drawing>
          <wp:inline distT="0" distB="0" distL="0" distR="0" wp14:anchorId="29FDAD04" wp14:editId="06607B3E">
            <wp:extent cx="4895850" cy="2027993"/>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95850" cy="2027993"/>
                    </a:xfrm>
                    <a:prstGeom prst="rect">
                      <a:avLst/>
                    </a:prstGeom>
                    <a:noFill/>
                    <a:ln>
                      <a:noFill/>
                    </a:ln>
                  </pic:spPr>
                </pic:pic>
              </a:graphicData>
            </a:graphic>
          </wp:inline>
        </w:drawing>
      </w:r>
    </w:p>
    <w:p w14:paraId="594DF22F" w14:textId="1AFB6353" w:rsidR="00EE1FE9" w:rsidRPr="004111A7" w:rsidRDefault="00EE1FE9" w:rsidP="00EE1FE9">
      <w:pPr>
        <w:numPr>
          <w:ilvl w:val="0"/>
          <w:numId w:val="19"/>
        </w:numPr>
        <w:spacing w:after="0" w:line="240" w:lineRule="auto"/>
        <w:ind w:left="284" w:hanging="284"/>
        <w:contextualSpacing/>
        <w:rPr>
          <w:rFonts w:ascii="Arial" w:hAnsi="Arial" w:cs="Arial"/>
          <w:sz w:val="16"/>
          <w:szCs w:val="16"/>
        </w:rPr>
      </w:pPr>
      <w:r w:rsidRPr="004111A7">
        <w:rPr>
          <w:rFonts w:ascii="Arial" w:hAnsi="Arial" w:cs="Arial"/>
          <w:sz w:val="16"/>
          <w:szCs w:val="16"/>
        </w:rPr>
        <w:t>The ERF consists of the ERF Special Account and investments of the ERF. The investments are managed by the Future Fund Board of Guardians. The special account is used to record all transactions relating to the ERF, including interest and payments.</w:t>
      </w:r>
    </w:p>
    <w:p w14:paraId="3EDFFE88" w14:textId="77777777" w:rsidR="00320EB0" w:rsidRPr="004111A7" w:rsidRDefault="00320EB0" w:rsidP="00320EB0">
      <w:pPr>
        <w:spacing w:after="0" w:line="240" w:lineRule="auto"/>
        <w:ind w:left="284"/>
        <w:contextualSpacing/>
        <w:rPr>
          <w:rFonts w:ascii="Arial" w:hAnsi="Arial" w:cs="Arial"/>
          <w:sz w:val="16"/>
          <w:szCs w:val="16"/>
        </w:rPr>
      </w:pPr>
    </w:p>
    <w:p w14:paraId="7E3D570F" w14:textId="54B42AE9" w:rsidR="008D7878" w:rsidRPr="004111A7" w:rsidRDefault="00320EB0" w:rsidP="00320EB0">
      <w:pPr>
        <w:spacing w:after="0" w:line="240" w:lineRule="auto"/>
        <w:contextualSpacing/>
        <w:rPr>
          <w:rFonts w:ascii="Arial" w:hAnsi="Arial" w:cs="Arial"/>
          <w:sz w:val="16"/>
          <w:szCs w:val="16"/>
        </w:rPr>
      </w:pPr>
      <w:r w:rsidRPr="004111A7">
        <w:rPr>
          <w:rFonts w:ascii="Arial" w:hAnsi="Arial" w:cs="Arial"/>
          <w:sz w:val="16"/>
          <w:szCs w:val="16"/>
        </w:rPr>
        <w:t>Note: The expenses figure does not include losses made on investments; rather this amount has been applied against investment earnings and gains.</w:t>
      </w:r>
    </w:p>
    <w:p w14:paraId="6814D4FC" w14:textId="77777777" w:rsidR="008D7878" w:rsidRPr="004111A7" w:rsidRDefault="008D7878" w:rsidP="006C1CAB">
      <w:pPr>
        <w:spacing w:after="0"/>
      </w:pPr>
    </w:p>
    <w:p w14:paraId="027A2E91" w14:textId="77777777" w:rsidR="008D7878" w:rsidRPr="004111A7" w:rsidRDefault="008D7878" w:rsidP="006C1CAB">
      <w:pPr>
        <w:spacing w:after="0"/>
      </w:pPr>
    </w:p>
    <w:p w14:paraId="5F56C494" w14:textId="0C11E795" w:rsidR="006C1CAB" w:rsidRPr="004111A7" w:rsidRDefault="006C1CAB" w:rsidP="00320EB0">
      <w:pPr>
        <w:spacing w:after="0"/>
      </w:pPr>
      <w:r w:rsidRPr="004111A7">
        <w:br w:type="page"/>
      </w:r>
    </w:p>
    <w:p w14:paraId="1EC0535C" w14:textId="0A96AFC8" w:rsidR="006C1CAB" w:rsidRPr="004111A7" w:rsidRDefault="00320EB0" w:rsidP="006C1CAB">
      <w:pPr>
        <w:pStyle w:val="TableHeading"/>
        <w:rPr>
          <w:lang w:val="en-AU"/>
        </w:rPr>
      </w:pPr>
      <w:r w:rsidRPr="004111A7">
        <w:lastRenderedPageBreak/>
        <w:t>Table 2.2.2</w:t>
      </w:r>
      <w:r w:rsidR="006C1CAB" w:rsidRPr="004111A7">
        <w:t xml:space="preserve">: </w:t>
      </w:r>
      <w:r w:rsidR="00280FEA" w:rsidRPr="004111A7">
        <w:t>Performance measures</w:t>
      </w:r>
      <w:r w:rsidR="006C1CAB" w:rsidRPr="004111A7">
        <w:t xml:space="preserve"> for Outcome </w:t>
      </w:r>
      <w:r w:rsidRPr="004111A7">
        <w:rPr>
          <w:lang w:val="en-AU"/>
        </w:rPr>
        <w:t>2</w:t>
      </w:r>
    </w:p>
    <w:p w14:paraId="534AB1FC" w14:textId="7BA133FB" w:rsidR="006C1CAB" w:rsidRPr="004111A7" w:rsidRDefault="006C1CAB" w:rsidP="006C1CAB">
      <w:r w:rsidRPr="004111A7">
        <w:t>Table 2.</w:t>
      </w:r>
      <w:r w:rsidR="00320EB0" w:rsidRPr="004111A7">
        <w:t>2</w:t>
      </w:r>
      <w:r w:rsidRPr="004111A7">
        <w:t>.</w:t>
      </w:r>
      <w:r w:rsidR="00320EB0" w:rsidRPr="004111A7">
        <w:t>2</w:t>
      </w:r>
      <w:r w:rsidRPr="004111A7">
        <w:t xml:space="preserve"> below details the </w:t>
      </w:r>
      <w:r w:rsidR="00280FEA" w:rsidRPr="004111A7">
        <w:t>performance measures</w:t>
      </w:r>
      <w:r w:rsidRPr="004111A7">
        <w:t xml:space="preserve"> for each program</w:t>
      </w:r>
      <w:r w:rsidR="00320EB0" w:rsidRPr="004111A7">
        <w:t xml:space="preserve"> associated with Outcome 2</w:t>
      </w:r>
      <w:r w:rsidRPr="004111A7">
        <w:t xml:space="preserve">. It also summarises how each program is delivered and where </w:t>
      </w:r>
      <w:r w:rsidR="00F75376" w:rsidRPr="004111A7">
        <w:t>2021</w:t>
      </w:r>
      <w:r w:rsidR="00F75376" w:rsidRPr="004111A7">
        <w:noBreakHyphen/>
        <w:t>22 </w:t>
      </w:r>
      <w:r w:rsidRPr="004111A7">
        <w:t>Budget measures have created new programs or materially changed existing programs.</w:t>
      </w:r>
    </w:p>
    <w:tbl>
      <w:tblPr>
        <w:tblW w:w="76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2180"/>
        <w:gridCol w:w="4101"/>
      </w:tblGrid>
      <w:tr w:rsidR="006A0B7F" w:rsidRPr="004111A7" w14:paraId="6A8E81EF" w14:textId="77777777" w:rsidTr="007C6F19">
        <w:trPr>
          <w:tblHeader/>
        </w:trPr>
        <w:tc>
          <w:tcPr>
            <w:tcW w:w="7685" w:type="dxa"/>
            <w:gridSpan w:val="3"/>
            <w:shd w:val="clear" w:color="auto" w:fill="F2F2F2"/>
          </w:tcPr>
          <w:p w14:paraId="694A82F3" w14:textId="77777777" w:rsidR="006A0B7F" w:rsidRPr="004111A7" w:rsidRDefault="006A0B7F" w:rsidP="006A0B7F">
            <w:pPr>
              <w:suppressAutoHyphens/>
              <w:spacing w:before="60" w:after="60" w:line="240" w:lineRule="auto"/>
              <w:jc w:val="left"/>
              <w:rPr>
                <w:rFonts w:ascii="Arial" w:hAnsi="Arial"/>
                <w:b/>
              </w:rPr>
            </w:pPr>
            <w:r w:rsidRPr="004111A7">
              <w:rPr>
                <w:rFonts w:ascii="Arial" w:hAnsi="Arial"/>
                <w:b/>
              </w:rPr>
              <w:t xml:space="preserve">Outcome 2 – </w:t>
            </w:r>
            <w:r w:rsidRPr="004111A7">
              <w:rPr>
                <w:rFonts w:ascii="Arial" w:hAnsi="Arial"/>
              </w:rPr>
              <w:t>Support an efficient and high-performing public sector through providing leadership to Commonwealth entities in ongoing improvements to public sector governance, including through systems, frameworks, policy, advice and service delivery.</w:t>
            </w:r>
          </w:p>
        </w:tc>
      </w:tr>
      <w:tr w:rsidR="006A0B7F" w:rsidRPr="004111A7" w14:paraId="406B1C87" w14:textId="77777777" w:rsidTr="007C6F19">
        <w:trPr>
          <w:tblHeader/>
        </w:trPr>
        <w:tc>
          <w:tcPr>
            <w:tcW w:w="7685" w:type="dxa"/>
            <w:gridSpan w:val="3"/>
            <w:tcBorders>
              <w:bottom w:val="single" w:sz="4" w:space="0" w:color="auto"/>
            </w:tcBorders>
            <w:shd w:val="clear" w:color="auto" w:fill="F2F2F2"/>
          </w:tcPr>
          <w:p w14:paraId="781BAFF9"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sz w:val="16"/>
                <w:szCs w:val="16"/>
                <w:lang w:eastAsia="en-US"/>
              </w:rPr>
              <w:t>Program 2.1</w:t>
            </w:r>
            <w:r w:rsidRPr="004111A7">
              <w:rPr>
                <w:rFonts w:ascii="Arial" w:eastAsia="Arial" w:hAnsi="Arial" w:cs="Arial"/>
                <w:sz w:val="16"/>
                <w:szCs w:val="16"/>
                <w:lang w:eastAsia="en-US"/>
              </w:rPr>
              <w:t xml:space="preserve"> – </w:t>
            </w:r>
            <w:r w:rsidRPr="004111A7">
              <w:rPr>
                <w:rFonts w:ascii="Arial" w:eastAsia="Arial" w:hAnsi="Arial" w:cs="Arial"/>
                <w:b/>
                <w:sz w:val="16"/>
                <w:szCs w:val="16"/>
                <w:lang w:eastAsia="en-US"/>
              </w:rPr>
              <w:t>Public Sector Governance</w:t>
            </w:r>
          </w:p>
          <w:p w14:paraId="593AD0DA" w14:textId="46174821" w:rsidR="006A0B7F" w:rsidRPr="004111A7" w:rsidRDefault="006A0B7F" w:rsidP="00870D84">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This program contributes to the outcome through developing and maintaining the </w:t>
            </w:r>
            <w:r w:rsidR="00870D84" w:rsidRPr="004111A7">
              <w:rPr>
                <w:rFonts w:ascii="Arial" w:eastAsia="Arial" w:hAnsi="Arial" w:cs="Arial"/>
                <w:sz w:val="16"/>
                <w:szCs w:val="16"/>
                <w:lang w:eastAsia="en-US"/>
              </w:rPr>
              <w:t>p</w:t>
            </w:r>
            <w:r w:rsidRPr="004111A7">
              <w:rPr>
                <w:rFonts w:ascii="Arial" w:eastAsia="Arial" w:hAnsi="Arial" w:cs="Arial"/>
                <w:sz w:val="16"/>
                <w:szCs w:val="16"/>
                <w:lang w:eastAsia="en-US"/>
              </w:rPr>
              <w:t xml:space="preserve">ublic </w:t>
            </w:r>
            <w:r w:rsidR="00870D84" w:rsidRPr="004111A7">
              <w:rPr>
                <w:rFonts w:ascii="Arial" w:eastAsia="Arial" w:hAnsi="Arial" w:cs="Arial"/>
                <w:sz w:val="16"/>
                <w:szCs w:val="16"/>
                <w:lang w:eastAsia="en-US"/>
              </w:rPr>
              <w:t>s</w:t>
            </w:r>
            <w:r w:rsidRPr="004111A7">
              <w:rPr>
                <w:rFonts w:ascii="Arial" w:eastAsia="Arial" w:hAnsi="Arial" w:cs="Arial"/>
                <w:sz w:val="16"/>
                <w:szCs w:val="16"/>
                <w:lang w:eastAsia="en-US"/>
              </w:rPr>
              <w:t xml:space="preserve">ector </w:t>
            </w:r>
            <w:r w:rsidR="00870D84" w:rsidRPr="004111A7">
              <w:rPr>
                <w:rFonts w:ascii="Arial" w:eastAsia="Arial" w:hAnsi="Arial" w:cs="Arial"/>
                <w:sz w:val="16"/>
                <w:szCs w:val="16"/>
                <w:lang w:eastAsia="en-US"/>
              </w:rPr>
              <w:t>r</w:t>
            </w:r>
            <w:r w:rsidRPr="004111A7">
              <w:rPr>
                <w:rFonts w:ascii="Arial" w:eastAsia="Arial" w:hAnsi="Arial" w:cs="Arial"/>
                <w:sz w:val="16"/>
                <w:szCs w:val="16"/>
                <w:lang w:eastAsia="en-US"/>
              </w:rPr>
              <w:t xml:space="preserve">esource </w:t>
            </w:r>
            <w:r w:rsidR="00870D84" w:rsidRPr="004111A7">
              <w:rPr>
                <w:rFonts w:ascii="Arial" w:eastAsia="Arial" w:hAnsi="Arial" w:cs="Arial"/>
                <w:sz w:val="16"/>
                <w:szCs w:val="16"/>
                <w:lang w:eastAsia="en-US"/>
              </w:rPr>
              <w:t>m</w:t>
            </w:r>
            <w:r w:rsidRPr="004111A7">
              <w:rPr>
                <w:rFonts w:ascii="Arial" w:eastAsia="Arial" w:hAnsi="Arial" w:cs="Arial"/>
                <w:sz w:val="16"/>
                <w:szCs w:val="16"/>
                <w:lang w:eastAsia="en-US"/>
              </w:rPr>
              <w:t xml:space="preserve">anagement </w:t>
            </w:r>
            <w:r w:rsidR="00870D84" w:rsidRPr="004111A7">
              <w:rPr>
                <w:rFonts w:ascii="Arial" w:eastAsia="Arial" w:hAnsi="Arial" w:cs="Arial"/>
                <w:sz w:val="16"/>
                <w:szCs w:val="16"/>
                <w:lang w:eastAsia="en-US"/>
              </w:rPr>
              <w:t>f</w:t>
            </w:r>
            <w:r w:rsidRPr="004111A7">
              <w:rPr>
                <w:rFonts w:ascii="Arial" w:eastAsia="Arial" w:hAnsi="Arial" w:cs="Arial"/>
                <w:sz w:val="16"/>
                <w:szCs w:val="16"/>
                <w:lang w:eastAsia="en-US"/>
              </w:rPr>
              <w:t>ramework and improving the standard of governance, performance and accountability of Commonwealth entities.</w:t>
            </w:r>
          </w:p>
        </w:tc>
      </w:tr>
      <w:tr w:rsidR="006A0B7F" w:rsidRPr="004111A7" w14:paraId="41DE4C78" w14:textId="77777777" w:rsidTr="007C6F19">
        <w:tc>
          <w:tcPr>
            <w:tcW w:w="1404" w:type="dxa"/>
            <w:tcBorders>
              <w:bottom w:val="double" w:sz="4" w:space="0" w:color="auto"/>
            </w:tcBorders>
          </w:tcPr>
          <w:p w14:paraId="68323F02"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Delivery</w:t>
            </w:r>
          </w:p>
        </w:tc>
        <w:tc>
          <w:tcPr>
            <w:tcW w:w="6281" w:type="dxa"/>
            <w:gridSpan w:val="2"/>
            <w:tcBorders>
              <w:bottom w:val="double" w:sz="4" w:space="0" w:color="auto"/>
            </w:tcBorders>
          </w:tcPr>
          <w:p w14:paraId="6AA81301" w14:textId="77777777" w:rsidR="006A0B7F" w:rsidRPr="004111A7" w:rsidRDefault="006A0B7F" w:rsidP="006A0B7F">
            <w:pPr>
              <w:spacing w:before="60" w:after="60" w:line="240" w:lineRule="auto"/>
              <w:contextualSpacing/>
              <w:jc w:val="left"/>
              <w:rPr>
                <w:rFonts w:ascii="Arial" w:eastAsia="Cambria" w:hAnsi="Arial" w:cs="Arial"/>
                <w:sz w:val="16"/>
                <w:szCs w:val="16"/>
                <w:lang w:eastAsia="en-US"/>
              </w:rPr>
            </w:pPr>
            <w:r w:rsidRPr="004111A7">
              <w:rPr>
                <w:rFonts w:ascii="Arial" w:hAnsi="Arial" w:cs="Arial"/>
                <w:sz w:val="16"/>
                <w:szCs w:val="16"/>
              </w:rPr>
              <w:t>Providing advice on policy and implementation issues to the Government in relation to the financial framework, in particular:</w:t>
            </w:r>
          </w:p>
          <w:p w14:paraId="4CEE010D" w14:textId="7A9A533B" w:rsidR="006A0B7F" w:rsidRPr="004111A7" w:rsidRDefault="002264E4" w:rsidP="00DF4D2A">
            <w:pPr>
              <w:numPr>
                <w:ilvl w:val="1"/>
                <w:numId w:val="46"/>
              </w:numPr>
              <w:tabs>
                <w:tab w:val="left" w:pos="709"/>
              </w:tabs>
              <w:suppressAutoHyphens/>
              <w:spacing w:before="60" w:after="60" w:line="240" w:lineRule="auto"/>
              <w:contextualSpacing/>
              <w:jc w:val="left"/>
              <w:rPr>
                <w:rFonts w:ascii="Arial" w:eastAsia="Cambria" w:hAnsi="Arial" w:cs="Arial"/>
                <w:sz w:val="16"/>
                <w:szCs w:val="16"/>
                <w:lang w:eastAsia="en-US"/>
              </w:rPr>
            </w:pPr>
            <w:r w:rsidRPr="004111A7">
              <w:rPr>
                <w:rFonts w:ascii="Arial" w:hAnsi="Arial" w:cs="Arial"/>
                <w:sz w:val="16"/>
                <w:szCs w:val="16"/>
              </w:rPr>
              <w:t>Relevant legislation and rules</w:t>
            </w:r>
            <w:r w:rsidR="00C02921" w:rsidRPr="004111A7">
              <w:rPr>
                <w:rFonts w:ascii="Arial" w:hAnsi="Arial" w:cs="Arial"/>
                <w:sz w:val="16"/>
                <w:szCs w:val="16"/>
              </w:rPr>
              <w:t>.</w:t>
            </w:r>
          </w:p>
          <w:p w14:paraId="61AB3AF1" w14:textId="0761272C" w:rsidR="006A0B7F" w:rsidRPr="004111A7" w:rsidRDefault="006A0B7F" w:rsidP="00DF4D2A">
            <w:pPr>
              <w:numPr>
                <w:ilvl w:val="1"/>
                <w:numId w:val="46"/>
              </w:numPr>
              <w:tabs>
                <w:tab w:val="left" w:pos="709"/>
              </w:tabs>
              <w:suppressAutoHyphens/>
              <w:spacing w:before="60" w:after="60" w:line="240" w:lineRule="auto"/>
              <w:contextualSpacing/>
              <w:jc w:val="left"/>
              <w:rPr>
                <w:rFonts w:ascii="Arial" w:eastAsia="Cambria" w:hAnsi="Arial" w:cs="Arial"/>
                <w:sz w:val="16"/>
                <w:szCs w:val="16"/>
                <w:lang w:eastAsia="en-US"/>
              </w:rPr>
            </w:pPr>
            <w:r w:rsidRPr="004111A7">
              <w:rPr>
                <w:rFonts w:ascii="Arial" w:hAnsi="Arial" w:cs="Arial"/>
                <w:sz w:val="16"/>
                <w:szCs w:val="16"/>
              </w:rPr>
              <w:t>G</w:t>
            </w:r>
            <w:r w:rsidR="002264E4" w:rsidRPr="004111A7">
              <w:rPr>
                <w:rFonts w:ascii="Arial" w:hAnsi="Arial" w:cs="Arial"/>
                <w:sz w:val="16"/>
                <w:szCs w:val="16"/>
              </w:rPr>
              <w:t>rant policy and related matters</w:t>
            </w:r>
            <w:r w:rsidR="00C02921" w:rsidRPr="004111A7">
              <w:rPr>
                <w:rFonts w:ascii="Arial" w:hAnsi="Arial" w:cs="Arial"/>
                <w:sz w:val="16"/>
                <w:szCs w:val="16"/>
              </w:rPr>
              <w:t>.</w:t>
            </w:r>
          </w:p>
          <w:p w14:paraId="01012CFC" w14:textId="7477BCA1" w:rsidR="006A0B7F" w:rsidRPr="004111A7" w:rsidRDefault="006A0B7F" w:rsidP="00DF4D2A">
            <w:pPr>
              <w:numPr>
                <w:ilvl w:val="1"/>
                <w:numId w:val="46"/>
              </w:numPr>
              <w:tabs>
                <w:tab w:val="left" w:pos="709"/>
              </w:tabs>
              <w:suppressAutoHyphens/>
              <w:spacing w:before="60" w:after="60" w:line="240" w:lineRule="auto"/>
              <w:contextualSpacing/>
              <w:jc w:val="left"/>
              <w:rPr>
                <w:rFonts w:ascii="Arial" w:eastAsia="Cambria" w:hAnsi="Arial" w:cs="Arial"/>
                <w:sz w:val="16"/>
                <w:szCs w:val="16"/>
                <w:lang w:eastAsia="en-US"/>
              </w:rPr>
            </w:pPr>
            <w:r w:rsidRPr="004111A7">
              <w:rPr>
                <w:rFonts w:ascii="Arial" w:hAnsi="Arial" w:cs="Arial"/>
                <w:sz w:val="16"/>
                <w:szCs w:val="16"/>
              </w:rPr>
              <w:t xml:space="preserve">Act of Grace requests </w:t>
            </w:r>
            <w:r w:rsidR="002264E4" w:rsidRPr="004111A7">
              <w:rPr>
                <w:rFonts w:ascii="Arial" w:hAnsi="Arial" w:cs="Arial"/>
                <w:sz w:val="16"/>
                <w:szCs w:val="16"/>
              </w:rPr>
              <w:t>and waiver of debt applications</w:t>
            </w:r>
            <w:r w:rsidR="00C02921" w:rsidRPr="004111A7">
              <w:rPr>
                <w:rFonts w:ascii="Arial" w:hAnsi="Arial" w:cs="Arial"/>
                <w:sz w:val="16"/>
                <w:szCs w:val="16"/>
              </w:rPr>
              <w:t>.</w:t>
            </w:r>
          </w:p>
          <w:p w14:paraId="25277592" w14:textId="479AD5D2" w:rsidR="006A0B7F" w:rsidRPr="004111A7" w:rsidRDefault="006A0B7F" w:rsidP="00DF4D2A">
            <w:pPr>
              <w:numPr>
                <w:ilvl w:val="1"/>
                <w:numId w:val="46"/>
              </w:numPr>
              <w:tabs>
                <w:tab w:val="left" w:pos="709"/>
              </w:tabs>
              <w:suppressAutoHyphens/>
              <w:spacing w:before="60" w:after="60" w:line="240" w:lineRule="auto"/>
              <w:contextualSpacing/>
              <w:jc w:val="left"/>
              <w:rPr>
                <w:rFonts w:ascii="Arial" w:eastAsia="Cambria" w:hAnsi="Arial" w:cs="Arial"/>
                <w:sz w:val="16"/>
                <w:szCs w:val="16"/>
                <w:lang w:eastAsia="en-US"/>
              </w:rPr>
            </w:pPr>
            <w:r w:rsidRPr="004111A7">
              <w:rPr>
                <w:rFonts w:ascii="Arial" w:hAnsi="Arial" w:cs="Arial"/>
                <w:sz w:val="16"/>
                <w:szCs w:val="16"/>
              </w:rPr>
              <w:t>Guidance material</w:t>
            </w:r>
            <w:r w:rsidR="00C02921" w:rsidRPr="004111A7">
              <w:rPr>
                <w:rFonts w:ascii="Arial" w:hAnsi="Arial" w:cs="Arial"/>
                <w:sz w:val="16"/>
                <w:szCs w:val="16"/>
              </w:rPr>
              <w:t>.</w:t>
            </w:r>
          </w:p>
          <w:p w14:paraId="75D63A74" w14:textId="77777777" w:rsidR="006A0B7F" w:rsidRPr="004111A7" w:rsidRDefault="006A0B7F" w:rsidP="00DF4D2A">
            <w:pPr>
              <w:numPr>
                <w:ilvl w:val="1"/>
                <w:numId w:val="46"/>
              </w:numPr>
              <w:tabs>
                <w:tab w:val="left" w:pos="709"/>
              </w:tabs>
              <w:suppressAutoHyphens/>
              <w:spacing w:before="60" w:after="60" w:line="240" w:lineRule="auto"/>
              <w:contextualSpacing/>
              <w:jc w:val="left"/>
              <w:rPr>
                <w:rFonts w:ascii="Arial" w:eastAsia="Cambria" w:hAnsi="Arial" w:cs="Arial"/>
                <w:sz w:val="16"/>
                <w:szCs w:val="16"/>
                <w:lang w:eastAsia="en-US"/>
              </w:rPr>
            </w:pPr>
            <w:r w:rsidRPr="004111A7">
              <w:rPr>
                <w:rFonts w:ascii="Arial" w:hAnsi="Arial" w:cs="Arial"/>
                <w:sz w:val="16"/>
                <w:szCs w:val="16"/>
              </w:rPr>
              <w:t>Training and communication.</w:t>
            </w:r>
          </w:p>
          <w:p w14:paraId="368D665F" w14:textId="4CF3C59E" w:rsidR="006A0B7F" w:rsidRPr="004111A7" w:rsidRDefault="006A0B7F" w:rsidP="002D148E">
            <w:pPr>
              <w:numPr>
                <w:ilvl w:val="0"/>
                <w:numId w:val="46"/>
              </w:numPr>
              <w:suppressAutoHyphens/>
              <w:spacing w:before="240" w:line="240" w:lineRule="auto"/>
              <w:ind w:left="357" w:hanging="357"/>
              <w:contextualSpacing/>
              <w:jc w:val="left"/>
              <w:rPr>
                <w:rFonts w:ascii="Arial" w:eastAsia="Cambria" w:hAnsi="Arial" w:cs="Arial"/>
                <w:sz w:val="16"/>
                <w:szCs w:val="16"/>
                <w:lang w:eastAsia="en-US"/>
              </w:rPr>
            </w:pPr>
            <w:r w:rsidRPr="004111A7">
              <w:rPr>
                <w:rFonts w:ascii="Arial" w:hAnsi="Arial" w:cs="Arial"/>
                <w:sz w:val="16"/>
                <w:szCs w:val="16"/>
              </w:rPr>
              <w:t>Undertaking Assurance Reviews of major projects and programs over their lifecycle, to provide assurance to the Government and Senior Responsible Officers regardi</w:t>
            </w:r>
            <w:r w:rsidR="002D148E" w:rsidRPr="004111A7">
              <w:rPr>
                <w:rFonts w:ascii="Arial" w:hAnsi="Arial" w:cs="Arial"/>
                <w:sz w:val="16"/>
                <w:szCs w:val="16"/>
              </w:rPr>
              <w:t>ng delivery and implementation.</w:t>
            </w:r>
          </w:p>
          <w:p w14:paraId="699D0DDF" w14:textId="5EFE3A3A" w:rsidR="006A0B7F" w:rsidRPr="004111A7" w:rsidRDefault="006A0B7F" w:rsidP="002D148E">
            <w:pPr>
              <w:numPr>
                <w:ilvl w:val="0"/>
                <w:numId w:val="46"/>
              </w:numPr>
              <w:suppressAutoHyphens/>
              <w:spacing w:before="240" w:line="240" w:lineRule="auto"/>
              <w:ind w:left="357" w:hanging="357"/>
              <w:contextualSpacing/>
              <w:jc w:val="left"/>
              <w:rPr>
                <w:rFonts w:ascii="Arial" w:eastAsia="Cambria" w:hAnsi="Arial" w:cs="Arial"/>
                <w:i/>
                <w:sz w:val="16"/>
                <w:szCs w:val="16"/>
                <w:lang w:eastAsia="en-US"/>
              </w:rPr>
            </w:pPr>
            <w:r w:rsidRPr="004111A7">
              <w:rPr>
                <w:rFonts w:ascii="Arial" w:hAnsi="Arial" w:cs="Arial"/>
                <w:sz w:val="16"/>
                <w:szCs w:val="16"/>
              </w:rPr>
              <w:t xml:space="preserve">Implementing recommendations from the Independent Review of the </w:t>
            </w:r>
            <w:r w:rsidRPr="004111A7">
              <w:rPr>
                <w:rFonts w:ascii="Arial" w:hAnsi="Arial" w:cs="Arial"/>
                <w:i/>
                <w:sz w:val="16"/>
                <w:szCs w:val="16"/>
              </w:rPr>
              <w:t xml:space="preserve">Public Governance, Performance and Accountability Act 2013 </w:t>
            </w:r>
            <w:r w:rsidR="002D148E" w:rsidRPr="004111A7">
              <w:rPr>
                <w:rFonts w:ascii="Arial" w:hAnsi="Arial" w:cs="Arial"/>
                <w:sz w:val="16"/>
                <w:szCs w:val="16"/>
              </w:rPr>
              <w:t>and Rule.</w:t>
            </w:r>
          </w:p>
          <w:p w14:paraId="492A092A" w14:textId="097B23B8" w:rsidR="006A0B7F" w:rsidRPr="004111A7" w:rsidRDefault="006A0B7F" w:rsidP="002D148E">
            <w:pPr>
              <w:numPr>
                <w:ilvl w:val="0"/>
                <w:numId w:val="46"/>
              </w:numPr>
              <w:suppressAutoHyphens/>
              <w:spacing w:before="240" w:line="240" w:lineRule="auto"/>
              <w:ind w:left="357" w:hanging="357"/>
              <w:contextualSpacing/>
              <w:jc w:val="left"/>
              <w:rPr>
                <w:rFonts w:ascii="Arial" w:eastAsia="Cambria" w:hAnsi="Arial" w:cs="Arial"/>
                <w:sz w:val="16"/>
                <w:szCs w:val="16"/>
                <w:lang w:eastAsia="en-US"/>
              </w:rPr>
            </w:pPr>
            <w:r w:rsidRPr="004111A7">
              <w:rPr>
                <w:rFonts w:ascii="Arial" w:hAnsi="Arial" w:cs="Arial"/>
                <w:sz w:val="16"/>
                <w:szCs w:val="16"/>
              </w:rPr>
              <w:t>Paying Grants in Aid fun</w:t>
            </w:r>
            <w:r w:rsidR="002D148E" w:rsidRPr="004111A7">
              <w:rPr>
                <w:rFonts w:ascii="Arial" w:hAnsi="Arial" w:cs="Arial"/>
                <w:sz w:val="16"/>
                <w:szCs w:val="16"/>
              </w:rPr>
              <w:t>ding to approved organisations.</w:t>
            </w:r>
          </w:p>
          <w:p w14:paraId="6CAE7256" w14:textId="0047A486" w:rsidR="006A0B7F" w:rsidRPr="004111A7" w:rsidRDefault="006A0B7F" w:rsidP="002D148E">
            <w:pPr>
              <w:numPr>
                <w:ilvl w:val="0"/>
                <w:numId w:val="46"/>
              </w:numPr>
              <w:suppressAutoHyphens/>
              <w:spacing w:before="240" w:line="240" w:lineRule="auto"/>
              <w:ind w:left="357" w:hanging="357"/>
              <w:contextualSpacing/>
              <w:jc w:val="left"/>
              <w:rPr>
                <w:rFonts w:ascii="Arial" w:eastAsia="Cambria" w:hAnsi="Arial" w:cs="Arial"/>
                <w:sz w:val="16"/>
                <w:szCs w:val="16"/>
                <w:lang w:eastAsia="en-US"/>
              </w:rPr>
            </w:pPr>
            <w:r w:rsidRPr="004111A7">
              <w:rPr>
                <w:rFonts w:ascii="Arial" w:hAnsi="Arial" w:cs="Arial"/>
                <w:sz w:val="16"/>
                <w:szCs w:val="16"/>
              </w:rPr>
              <w:t xml:space="preserve">Providing advice on strategy, governance, operations, financial forecasts and performance on </w:t>
            </w:r>
            <w:r w:rsidR="004738A6">
              <w:rPr>
                <w:rFonts w:ascii="Arial" w:hAnsi="Arial" w:cs="Arial"/>
                <w:sz w:val="16"/>
                <w:szCs w:val="16"/>
              </w:rPr>
              <w:t>GBEs</w:t>
            </w:r>
            <w:r w:rsidR="00B34416" w:rsidRPr="004111A7">
              <w:rPr>
                <w:rFonts w:ascii="Arial" w:hAnsi="Arial" w:cs="Arial"/>
                <w:sz w:val="16"/>
                <w:szCs w:val="16"/>
              </w:rPr>
              <w:t xml:space="preserve"> </w:t>
            </w:r>
            <w:r w:rsidR="002D148E" w:rsidRPr="004111A7">
              <w:rPr>
                <w:rFonts w:ascii="Arial" w:hAnsi="Arial" w:cs="Arial"/>
                <w:sz w:val="16"/>
                <w:szCs w:val="16"/>
              </w:rPr>
              <w:t>and other commercial entities.</w:t>
            </w:r>
          </w:p>
          <w:p w14:paraId="7B654486" w14:textId="5CA9C3C8" w:rsidR="006A0B7F" w:rsidRPr="004111A7" w:rsidRDefault="006A0B7F" w:rsidP="002D148E">
            <w:pPr>
              <w:numPr>
                <w:ilvl w:val="0"/>
                <w:numId w:val="46"/>
              </w:numPr>
              <w:suppressAutoHyphens/>
              <w:spacing w:before="240" w:line="240" w:lineRule="auto"/>
              <w:ind w:left="357" w:hanging="357"/>
              <w:contextualSpacing/>
              <w:jc w:val="left"/>
              <w:rPr>
                <w:rFonts w:ascii="Arial" w:eastAsia="Cambria" w:hAnsi="Arial" w:cs="Arial"/>
                <w:sz w:val="16"/>
                <w:szCs w:val="16"/>
                <w:lang w:eastAsia="en-US"/>
              </w:rPr>
            </w:pPr>
            <w:r w:rsidRPr="004111A7">
              <w:rPr>
                <w:rFonts w:ascii="Arial" w:hAnsi="Arial" w:cs="Arial"/>
                <w:sz w:val="16"/>
                <w:szCs w:val="16"/>
              </w:rPr>
              <w:t>Strengthening public sector capability through regular cap</w:t>
            </w:r>
            <w:r w:rsidR="002D148E" w:rsidRPr="004111A7">
              <w:rPr>
                <w:rFonts w:ascii="Arial" w:hAnsi="Arial" w:cs="Arial"/>
                <w:sz w:val="16"/>
                <w:szCs w:val="16"/>
              </w:rPr>
              <w:t>acity-building activities.</w:t>
            </w:r>
          </w:p>
          <w:p w14:paraId="768E26C4" w14:textId="77777777" w:rsidR="006A0B7F" w:rsidRPr="004111A7" w:rsidRDefault="006A0B7F" w:rsidP="002D148E">
            <w:pPr>
              <w:numPr>
                <w:ilvl w:val="0"/>
                <w:numId w:val="46"/>
              </w:numPr>
              <w:suppressAutoHyphens/>
              <w:spacing w:before="240" w:line="240" w:lineRule="auto"/>
              <w:ind w:left="357" w:hanging="357"/>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 xml:space="preserve">Monitoring and reporting on the Government’s cash balances to the Government. </w:t>
            </w:r>
          </w:p>
          <w:p w14:paraId="7702CF79" w14:textId="43D25185" w:rsidR="002D148E" w:rsidRPr="004111A7" w:rsidRDefault="002D148E" w:rsidP="002D148E">
            <w:pPr>
              <w:suppressAutoHyphens/>
              <w:spacing w:before="60" w:after="60" w:line="240" w:lineRule="auto"/>
              <w:ind w:left="360"/>
              <w:contextualSpacing/>
              <w:jc w:val="left"/>
              <w:rPr>
                <w:rFonts w:ascii="Arial" w:eastAsia="Cambria" w:hAnsi="Arial" w:cs="Arial"/>
                <w:sz w:val="16"/>
                <w:szCs w:val="16"/>
                <w:lang w:eastAsia="en-US"/>
              </w:rPr>
            </w:pPr>
          </w:p>
        </w:tc>
      </w:tr>
      <w:tr w:rsidR="00C02572" w:rsidRPr="004111A7" w14:paraId="1BCB4E16" w14:textId="77777777" w:rsidTr="007C6F19">
        <w:tc>
          <w:tcPr>
            <w:tcW w:w="7685" w:type="dxa"/>
            <w:gridSpan w:val="3"/>
          </w:tcPr>
          <w:p w14:paraId="0DB2B4B5" w14:textId="1E9B1D54" w:rsidR="00C02572" w:rsidRPr="004111A7" w:rsidRDefault="00C02572" w:rsidP="00C02572">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Performance information: 2.1 – Public Sector Governance</w:t>
            </w:r>
          </w:p>
        </w:tc>
      </w:tr>
      <w:tr w:rsidR="002D148E" w:rsidRPr="004111A7" w14:paraId="13283F28" w14:textId="77777777" w:rsidTr="007C6F19">
        <w:trPr>
          <w:trHeight w:val="205"/>
        </w:trPr>
        <w:tc>
          <w:tcPr>
            <w:tcW w:w="1404" w:type="dxa"/>
            <w:tcBorders>
              <w:top w:val="double" w:sz="4" w:space="0" w:color="auto"/>
            </w:tcBorders>
          </w:tcPr>
          <w:p w14:paraId="4A0F24B4" w14:textId="32945EA1" w:rsidR="002D148E" w:rsidRPr="004111A7" w:rsidRDefault="002D148E" w:rsidP="00D75CC7">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180" w:type="dxa"/>
            <w:tcBorders>
              <w:top w:val="double" w:sz="4" w:space="0" w:color="auto"/>
            </w:tcBorders>
          </w:tcPr>
          <w:p w14:paraId="358B605D" w14:textId="6E41B5AC" w:rsidR="002D148E" w:rsidRPr="004111A7" w:rsidRDefault="002D148E" w:rsidP="00D75CC7">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00C50514" w:rsidRPr="004111A7">
              <w:rPr>
                <w:rFonts w:ascii="Arial" w:eastAsia="Arial" w:hAnsi="Arial" w:cs="Arial"/>
                <w:sz w:val="16"/>
                <w:szCs w:val="16"/>
                <w:lang w:eastAsia="en-US"/>
              </w:rPr>
              <w:t xml:space="preserve"> (a)</w:t>
            </w:r>
          </w:p>
        </w:tc>
        <w:tc>
          <w:tcPr>
            <w:tcW w:w="4101" w:type="dxa"/>
            <w:tcBorders>
              <w:top w:val="double" w:sz="4" w:space="0" w:color="auto"/>
            </w:tcBorders>
          </w:tcPr>
          <w:p w14:paraId="41FFF35E" w14:textId="5351ED2C" w:rsidR="002D148E" w:rsidRPr="004111A7" w:rsidRDefault="002D148E" w:rsidP="00D75CC7">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2D148E" w:rsidRPr="004111A7" w14:paraId="51D905FB" w14:textId="77777777" w:rsidTr="007C6F19">
        <w:tc>
          <w:tcPr>
            <w:tcW w:w="1404" w:type="dxa"/>
            <w:tcBorders>
              <w:bottom w:val="single" w:sz="4" w:space="0" w:color="auto"/>
            </w:tcBorders>
          </w:tcPr>
          <w:p w14:paraId="6494E0C7" w14:textId="026AF0F0" w:rsidR="002D148E" w:rsidRPr="004111A7" w:rsidRDefault="002D148E" w:rsidP="002D148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sz w:val="16"/>
                <w:szCs w:val="16"/>
                <w:lang w:eastAsia="en-US"/>
              </w:rPr>
              <w:t>2020-21</w:t>
            </w:r>
          </w:p>
        </w:tc>
        <w:tc>
          <w:tcPr>
            <w:tcW w:w="2180" w:type="dxa"/>
            <w:tcBorders>
              <w:bottom w:val="single" w:sz="4" w:space="0" w:color="auto"/>
            </w:tcBorders>
          </w:tcPr>
          <w:p w14:paraId="79155DF4" w14:textId="5E3C6F88" w:rsidR="002D148E" w:rsidRPr="004111A7" w:rsidRDefault="002D148E" w:rsidP="00C9256F">
            <w:pPr>
              <w:spacing w:before="120" w:after="60" w:line="240" w:lineRule="auto"/>
              <w:contextualSpacing/>
              <w:jc w:val="left"/>
              <w:rPr>
                <w:rFonts w:ascii="Arial" w:eastAsia="Arial" w:hAnsi="Arial" w:cs="Arial"/>
                <w:sz w:val="16"/>
                <w:szCs w:val="16"/>
                <w:vertAlign w:val="superscript"/>
                <w:lang w:eastAsia="en-US"/>
              </w:rPr>
            </w:pPr>
            <w:r w:rsidRPr="004111A7">
              <w:rPr>
                <w:rFonts w:ascii="Arial" w:eastAsia="Arial" w:hAnsi="Arial" w:cs="Arial"/>
                <w:b/>
                <w:bCs/>
                <w:sz w:val="16"/>
                <w:szCs w:val="16"/>
                <w:lang w:eastAsia="en-US"/>
              </w:rPr>
              <w:t>Governance and accountability</w:t>
            </w:r>
            <w:r w:rsidRPr="004111A7">
              <w:rPr>
                <w:rFonts w:ascii="Arial" w:eastAsia="Arial" w:hAnsi="Arial" w:cs="Arial"/>
                <w:b/>
                <w:bCs/>
                <w:sz w:val="16"/>
                <w:szCs w:val="16"/>
                <w:lang w:eastAsia="en-US"/>
              </w:rPr>
              <w:br/>
            </w:r>
            <w:r w:rsidRPr="004111A7">
              <w:rPr>
                <w:rFonts w:ascii="Arial" w:eastAsia="Arial" w:hAnsi="Arial" w:cs="Arial"/>
                <w:sz w:val="16"/>
                <w:szCs w:val="16"/>
                <w:lang w:eastAsia="en-US"/>
              </w:rPr>
              <w:t xml:space="preserve">Finance ensures the </w:t>
            </w:r>
            <w:r w:rsidR="00CE4FEF">
              <w:rPr>
                <w:rFonts w:ascii="Arial" w:eastAsia="Arial" w:hAnsi="Arial" w:cs="Arial"/>
                <w:sz w:val="16"/>
                <w:szCs w:val="16"/>
                <w:lang w:eastAsia="en-US"/>
              </w:rPr>
              <w:t>r</w:t>
            </w:r>
            <w:r w:rsidRPr="004111A7">
              <w:rPr>
                <w:rFonts w:ascii="Arial" w:eastAsia="Arial" w:hAnsi="Arial" w:cs="Arial"/>
                <w:sz w:val="16"/>
                <w:szCs w:val="16"/>
                <w:lang w:eastAsia="en-US"/>
              </w:rPr>
              <w:t xml:space="preserve">esource </w:t>
            </w:r>
            <w:r w:rsidR="00CE4FEF">
              <w:rPr>
                <w:rFonts w:ascii="Arial" w:eastAsia="Arial" w:hAnsi="Arial" w:cs="Arial"/>
                <w:sz w:val="16"/>
                <w:szCs w:val="16"/>
                <w:lang w:eastAsia="en-US"/>
              </w:rPr>
              <w:t>m</w:t>
            </w:r>
            <w:r w:rsidRPr="004111A7">
              <w:rPr>
                <w:rFonts w:ascii="Arial" w:eastAsia="Arial" w:hAnsi="Arial" w:cs="Arial"/>
                <w:sz w:val="16"/>
                <w:szCs w:val="16"/>
                <w:lang w:eastAsia="en-US"/>
              </w:rPr>
              <w:t xml:space="preserve">anagement </w:t>
            </w:r>
            <w:r w:rsidR="00CE4FEF">
              <w:rPr>
                <w:rFonts w:ascii="Arial" w:eastAsia="Arial" w:hAnsi="Arial" w:cs="Arial"/>
                <w:sz w:val="16"/>
                <w:szCs w:val="16"/>
                <w:lang w:eastAsia="en-US"/>
              </w:rPr>
              <w:t>f</w:t>
            </w:r>
            <w:r w:rsidRPr="004111A7">
              <w:rPr>
                <w:rFonts w:ascii="Arial" w:eastAsia="Arial" w:hAnsi="Arial" w:cs="Arial"/>
                <w:sz w:val="16"/>
                <w:szCs w:val="16"/>
                <w:lang w:eastAsia="en-US"/>
              </w:rPr>
              <w:t>ramework is maintained as a fit-for-purpose framework for the proper use of public resources, and supports Commonwealth entities and companies to meet high standards of governance, performance and accountability through effective engagement and the provision of guidance.</w:t>
            </w:r>
            <w:r w:rsidRPr="004111A7">
              <w:rPr>
                <w:rFonts w:ascii="Arial" w:eastAsia="Arial" w:hAnsi="Arial" w:cs="Arial"/>
                <w:sz w:val="16"/>
                <w:szCs w:val="16"/>
                <w:vertAlign w:val="superscript"/>
                <w:lang w:eastAsia="en-US"/>
              </w:rPr>
              <w:t xml:space="preserve"> </w:t>
            </w:r>
          </w:p>
          <w:p w14:paraId="3E801413" w14:textId="6E4F73AB" w:rsidR="00B61B0A" w:rsidRPr="004111A7" w:rsidRDefault="00B61B0A" w:rsidP="00C9256F">
            <w:pPr>
              <w:spacing w:before="120" w:after="60" w:line="240" w:lineRule="auto"/>
              <w:contextualSpacing/>
              <w:jc w:val="left"/>
              <w:rPr>
                <w:rFonts w:ascii="Arial" w:eastAsia="Arial" w:hAnsi="Arial" w:cs="Arial"/>
                <w:sz w:val="16"/>
                <w:szCs w:val="16"/>
                <w:vertAlign w:val="superscript"/>
                <w:lang w:eastAsia="en-US"/>
              </w:rPr>
            </w:pPr>
          </w:p>
        </w:tc>
        <w:tc>
          <w:tcPr>
            <w:tcW w:w="4101" w:type="dxa"/>
            <w:tcBorders>
              <w:bottom w:val="single" w:sz="4" w:space="0" w:color="auto"/>
            </w:tcBorders>
          </w:tcPr>
          <w:p w14:paraId="3B7A556C" w14:textId="77777777" w:rsidR="002D148E" w:rsidRPr="004111A7" w:rsidRDefault="002D148E" w:rsidP="003F5522">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On Track</w:t>
            </w:r>
          </w:p>
          <w:p w14:paraId="5F2BD53E" w14:textId="77777777" w:rsidR="002D148E" w:rsidRPr="004111A7" w:rsidRDefault="002D148E" w:rsidP="002D148E">
            <w:pPr>
              <w:tabs>
                <w:tab w:val="left" w:pos="709"/>
              </w:tabs>
              <w:suppressAutoHyphens/>
              <w:spacing w:before="60" w:afterLines="40" w:after="96"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Finance has undertaken its annual PGPA survey of Commonwealth entities, which will provide feedback on the effectiveness of Finance’s stewardship, policy advice, engagement and guidance. Survey results are currently being compiled and will be available before the end of</w:t>
            </w:r>
            <w:r w:rsidRPr="004111A7">
              <w:rPr>
                <w:rFonts w:ascii="Arial" w:eastAsia="Arial" w:hAnsi="Arial" w:cs="Arial"/>
                <w:sz w:val="16"/>
                <w:szCs w:val="16"/>
                <w:lang w:eastAsia="en-US"/>
              </w:rPr>
              <w:br/>
              <w:t>2020-21.</w:t>
            </w:r>
          </w:p>
          <w:p w14:paraId="2FA09087" w14:textId="77777777" w:rsidR="002D148E" w:rsidRPr="004111A7" w:rsidRDefault="002D148E" w:rsidP="002D148E">
            <w:pPr>
              <w:tabs>
                <w:tab w:val="left" w:pos="709"/>
              </w:tabs>
              <w:suppressAutoHyphens/>
              <w:spacing w:before="60" w:afterLines="40" w:after="96" w:line="240" w:lineRule="auto"/>
              <w:jc w:val="left"/>
              <w:rPr>
                <w:rFonts w:ascii="Arial" w:eastAsia="Arial" w:hAnsi="Arial" w:cs="Arial"/>
                <w:sz w:val="16"/>
                <w:szCs w:val="16"/>
                <w:lang w:eastAsia="en-US"/>
              </w:rPr>
            </w:pPr>
          </w:p>
          <w:p w14:paraId="528EF850" w14:textId="7025C2CB" w:rsidR="002D148E" w:rsidRPr="004111A7" w:rsidRDefault="002D148E" w:rsidP="00870D84">
            <w:pPr>
              <w:spacing w:before="60" w:after="60" w:line="240" w:lineRule="auto"/>
              <w:contextualSpacing/>
              <w:jc w:val="left"/>
              <w:rPr>
                <w:rFonts w:ascii="Arial" w:hAnsi="Arial" w:cs="Arial"/>
                <w:sz w:val="16"/>
                <w:szCs w:val="16"/>
              </w:rPr>
            </w:pPr>
            <w:r w:rsidRPr="004111A7">
              <w:rPr>
                <w:rFonts w:ascii="Arial" w:eastAsia="Arial" w:hAnsi="Arial" w:cs="Arial"/>
                <w:sz w:val="16"/>
                <w:szCs w:val="16"/>
                <w:lang w:eastAsia="en-US"/>
              </w:rPr>
              <w:t xml:space="preserve">Reports by the Auditor-General and </w:t>
            </w:r>
            <w:r w:rsidR="00870D84" w:rsidRPr="004111A7">
              <w:rPr>
                <w:rFonts w:ascii="Arial" w:eastAsia="Arial" w:hAnsi="Arial" w:cs="Arial"/>
                <w:sz w:val="16"/>
                <w:szCs w:val="16"/>
                <w:lang w:eastAsia="en-US"/>
              </w:rPr>
              <w:t xml:space="preserve">the Joint Committee of Public Accounts and Audit </w:t>
            </w:r>
            <w:r w:rsidRPr="004111A7">
              <w:rPr>
                <w:rFonts w:ascii="Arial" w:eastAsia="Arial" w:hAnsi="Arial" w:cs="Arial"/>
                <w:sz w:val="16"/>
                <w:szCs w:val="16"/>
                <w:lang w:eastAsia="en-US"/>
              </w:rPr>
              <w:t xml:space="preserve">are continually monitored for findings in relation to Finance and the </w:t>
            </w:r>
            <w:r w:rsidR="00CE4FEF">
              <w:rPr>
                <w:rFonts w:ascii="Arial" w:eastAsia="Arial" w:hAnsi="Arial" w:cs="Arial"/>
                <w:sz w:val="16"/>
                <w:szCs w:val="16"/>
                <w:lang w:eastAsia="en-US"/>
              </w:rPr>
              <w:t>r</w:t>
            </w:r>
            <w:r w:rsidRPr="004111A7">
              <w:rPr>
                <w:rFonts w:ascii="Arial" w:eastAsia="Arial" w:hAnsi="Arial" w:cs="Arial"/>
                <w:sz w:val="16"/>
                <w:szCs w:val="16"/>
                <w:lang w:eastAsia="en-US"/>
              </w:rPr>
              <w:t xml:space="preserve">esource </w:t>
            </w:r>
            <w:r w:rsidR="00CE4FEF">
              <w:rPr>
                <w:rFonts w:ascii="Arial" w:eastAsia="Arial" w:hAnsi="Arial" w:cs="Arial"/>
                <w:sz w:val="16"/>
                <w:szCs w:val="16"/>
                <w:lang w:eastAsia="en-US"/>
              </w:rPr>
              <w:t>m</w:t>
            </w:r>
            <w:r w:rsidRPr="004111A7">
              <w:rPr>
                <w:rFonts w:ascii="Arial" w:eastAsia="Arial" w:hAnsi="Arial" w:cs="Arial"/>
                <w:sz w:val="16"/>
                <w:szCs w:val="16"/>
                <w:lang w:eastAsia="en-US"/>
              </w:rPr>
              <w:t xml:space="preserve">anagement </w:t>
            </w:r>
            <w:r w:rsidR="00CE4FEF">
              <w:rPr>
                <w:rFonts w:ascii="Arial" w:eastAsia="Arial" w:hAnsi="Arial" w:cs="Arial"/>
                <w:sz w:val="16"/>
                <w:szCs w:val="16"/>
                <w:lang w:eastAsia="en-US"/>
              </w:rPr>
              <w:t>f</w:t>
            </w:r>
            <w:r w:rsidRPr="004111A7">
              <w:rPr>
                <w:rFonts w:ascii="Arial" w:eastAsia="Arial" w:hAnsi="Arial" w:cs="Arial"/>
                <w:sz w:val="16"/>
                <w:szCs w:val="16"/>
                <w:lang w:eastAsia="en-US"/>
              </w:rPr>
              <w:t xml:space="preserve">ramework.  </w:t>
            </w:r>
          </w:p>
        </w:tc>
      </w:tr>
    </w:tbl>
    <w:p w14:paraId="76244D59" w14:textId="629448F0" w:rsidR="003C1A23" w:rsidRPr="004111A7" w:rsidRDefault="002D148E" w:rsidP="002D148E">
      <w:pPr>
        <w:pStyle w:val="ChartandTableFootnoteAlpha"/>
        <w:numPr>
          <w:ilvl w:val="0"/>
          <w:numId w:val="0"/>
        </w:numPr>
        <w:ind w:left="284" w:hanging="284"/>
      </w:pPr>
      <w:r w:rsidRPr="004111A7">
        <w:t>Table continues on next page</w:t>
      </w:r>
      <w:r w:rsidR="003C1A23" w:rsidRPr="004111A7">
        <w:br w:type="page"/>
      </w:r>
    </w:p>
    <w:p w14:paraId="6DBF163F" w14:textId="77777777" w:rsidR="002D148E" w:rsidRPr="004111A7" w:rsidRDefault="002D148E" w:rsidP="002D148E">
      <w:pPr>
        <w:pStyle w:val="ChartandTableFootnoteAlpha"/>
        <w:numPr>
          <w:ilvl w:val="0"/>
          <w:numId w:val="0"/>
        </w:numPr>
        <w:ind w:left="284" w:hanging="284"/>
      </w:pPr>
    </w:p>
    <w:p w14:paraId="2ADD8424" w14:textId="062439D6" w:rsidR="006A0B7F" w:rsidRPr="004111A7" w:rsidRDefault="006A0B7F" w:rsidP="006A0B7F">
      <w:pPr>
        <w:spacing w:after="0" w:line="240" w:lineRule="auto"/>
        <w:ind w:right="-113"/>
        <w:jc w:val="left"/>
        <w:rPr>
          <w:rFonts w:cs="Arial"/>
        </w:rPr>
      </w:pPr>
      <w:r w:rsidRPr="004111A7">
        <w:rPr>
          <w:rFonts w:ascii="Arial" w:hAnsi="Arial" w:cs="Arial"/>
          <w:b/>
        </w:rPr>
        <w:t xml:space="preserve">  Table 2.2.2: </w:t>
      </w:r>
      <w:r w:rsidR="00280FEA" w:rsidRPr="004111A7">
        <w:rPr>
          <w:rFonts w:ascii="Arial" w:hAnsi="Arial" w:cs="Arial"/>
          <w:b/>
        </w:rPr>
        <w:t>Performance measures</w:t>
      </w:r>
      <w:r w:rsidRPr="004111A7">
        <w:rPr>
          <w:rFonts w:ascii="Arial" w:hAnsi="Arial" w:cs="Arial"/>
          <w:b/>
        </w:rPr>
        <w:t xml:space="preserve"> for Outcome 2 (continued)</w:t>
      </w:r>
    </w:p>
    <w:tbl>
      <w:tblPr>
        <w:tblW w:w="767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184"/>
        <w:gridCol w:w="4157"/>
      </w:tblGrid>
      <w:tr w:rsidR="006A0B7F" w:rsidRPr="004111A7" w14:paraId="4F8E4AC8" w14:textId="77777777" w:rsidTr="007C6F19">
        <w:tc>
          <w:tcPr>
            <w:tcW w:w="7671" w:type="dxa"/>
            <w:gridSpan w:val="3"/>
            <w:tcBorders>
              <w:top w:val="double" w:sz="4" w:space="0" w:color="auto"/>
              <w:bottom w:val="double" w:sz="4" w:space="0" w:color="auto"/>
            </w:tcBorders>
          </w:tcPr>
          <w:p w14:paraId="0F2312A0"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Performance information: 2.1 – Public Sector Governance</w:t>
            </w:r>
          </w:p>
        </w:tc>
      </w:tr>
      <w:tr w:rsidR="006A0B7F" w:rsidRPr="004111A7" w14:paraId="1CE607E4" w14:textId="77777777" w:rsidTr="007C6F19">
        <w:tc>
          <w:tcPr>
            <w:tcW w:w="1330" w:type="dxa"/>
            <w:tcBorders>
              <w:top w:val="double" w:sz="4" w:space="0" w:color="auto"/>
              <w:bottom w:val="single" w:sz="4" w:space="0" w:color="auto"/>
              <w:right w:val="single" w:sz="4" w:space="0" w:color="auto"/>
            </w:tcBorders>
          </w:tcPr>
          <w:p w14:paraId="20D7BF83"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184" w:type="dxa"/>
            <w:tcBorders>
              <w:top w:val="double" w:sz="4" w:space="0" w:color="auto"/>
              <w:left w:val="single" w:sz="4" w:space="0" w:color="auto"/>
              <w:bottom w:val="single" w:sz="4" w:space="0" w:color="auto"/>
              <w:right w:val="single" w:sz="4" w:space="0" w:color="auto"/>
            </w:tcBorders>
          </w:tcPr>
          <w:p w14:paraId="0FDACACD" w14:textId="4FCE7AFD"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00C50514" w:rsidRPr="004111A7">
              <w:rPr>
                <w:rFonts w:ascii="Arial" w:eastAsia="Arial" w:hAnsi="Arial" w:cs="Arial"/>
                <w:b/>
                <w:sz w:val="16"/>
                <w:szCs w:val="16"/>
                <w:lang w:eastAsia="en-US"/>
              </w:rPr>
              <w:t xml:space="preserve"> </w:t>
            </w:r>
            <w:r w:rsidR="00C50514" w:rsidRPr="004111A7">
              <w:rPr>
                <w:rFonts w:ascii="Arial" w:eastAsia="Arial" w:hAnsi="Arial" w:cs="Arial"/>
                <w:sz w:val="16"/>
                <w:szCs w:val="16"/>
                <w:lang w:eastAsia="en-US"/>
              </w:rPr>
              <w:t>(a)</w:t>
            </w:r>
          </w:p>
        </w:tc>
        <w:tc>
          <w:tcPr>
            <w:tcW w:w="4157" w:type="dxa"/>
            <w:tcBorders>
              <w:top w:val="double" w:sz="4" w:space="0" w:color="auto"/>
              <w:left w:val="single" w:sz="4" w:space="0" w:color="auto"/>
              <w:bottom w:val="single" w:sz="4" w:space="0" w:color="auto"/>
            </w:tcBorders>
          </w:tcPr>
          <w:p w14:paraId="57A2D584"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6A0B7F" w:rsidRPr="004111A7" w14:paraId="49884893" w14:textId="77777777" w:rsidTr="007C6F19">
        <w:trPr>
          <w:trHeight w:val="2762"/>
        </w:trPr>
        <w:tc>
          <w:tcPr>
            <w:tcW w:w="1330" w:type="dxa"/>
            <w:tcBorders>
              <w:top w:val="dotted" w:sz="4" w:space="0" w:color="auto"/>
              <w:bottom w:val="dotted" w:sz="4" w:space="0" w:color="auto"/>
              <w:right w:val="single" w:sz="4" w:space="0" w:color="auto"/>
            </w:tcBorders>
          </w:tcPr>
          <w:p w14:paraId="3FC96EA0" w14:textId="77777777" w:rsidR="006A0B7F" w:rsidRPr="004111A7" w:rsidRDefault="006A0B7F" w:rsidP="006A0B7F">
            <w:pPr>
              <w:tabs>
                <w:tab w:val="left" w:pos="709"/>
              </w:tabs>
              <w:suppressAutoHyphens/>
              <w:spacing w:before="60" w:after="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2021-22</w:t>
            </w:r>
          </w:p>
        </w:tc>
        <w:tc>
          <w:tcPr>
            <w:tcW w:w="2184" w:type="dxa"/>
            <w:tcBorders>
              <w:top w:val="dotted" w:sz="4" w:space="0" w:color="auto"/>
              <w:left w:val="single" w:sz="4" w:space="0" w:color="auto"/>
              <w:bottom w:val="dotted" w:sz="4" w:space="0" w:color="auto"/>
              <w:right w:val="single" w:sz="4" w:space="0" w:color="auto"/>
            </w:tcBorders>
          </w:tcPr>
          <w:p w14:paraId="595DB5F9" w14:textId="3CAE8BD5" w:rsidR="006A0B7F" w:rsidRPr="004111A7" w:rsidRDefault="002D148E" w:rsidP="00B61B0A">
            <w:pPr>
              <w:tabs>
                <w:tab w:val="left" w:pos="709"/>
              </w:tabs>
              <w:suppressAutoHyphens/>
              <w:spacing w:after="0" w:line="240" w:lineRule="auto"/>
              <w:jc w:val="left"/>
              <w:rPr>
                <w:rFonts w:ascii="Arial" w:eastAsia="Arial" w:hAnsi="Arial" w:cs="Arial"/>
                <w:sz w:val="16"/>
                <w:szCs w:val="16"/>
                <w:vertAlign w:val="superscript"/>
                <w:lang w:eastAsia="en-US"/>
              </w:rPr>
            </w:pPr>
            <w:r w:rsidRPr="004111A7">
              <w:rPr>
                <w:rFonts w:ascii="Arial" w:eastAsia="Arial" w:hAnsi="Arial" w:cs="Arial"/>
                <w:b/>
                <w:bCs/>
                <w:sz w:val="16"/>
                <w:szCs w:val="16"/>
                <w:lang w:eastAsia="en-US"/>
              </w:rPr>
              <w:t>Governance and accountability</w:t>
            </w:r>
            <w:r w:rsidRPr="004111A7">
              <w:rPr>
                <w:rFonts w:ascii="Arial" w:eastAsia="Arial" w:hAnsi="Arial" w:cs="Arial"/>
                <w:b/>
                <w:bCs/>
                <w:sz w:val="16"/>
                <w:szCs w:val="16"/>
                <w:lang w:eastAsia="en-US"/>
              </w:rPr>
              <w:br/>
            </w:r>
            <w:r w:rsidRPr="004111A7">
              <w:rPr>
                <w:rFonts w:ascii="Arial" w:eastAsia="Arial" w:hAnsi="Arial" w:cs="Arial"/>
                <w:b/>
                <w:bCs/>
                <w:sz w:val="16"/>
                <w:szCs w:val="16"/>
                <w:lang w:eastAsia="en-US"/>
              </w:rPr>
              <w:br/>
            </w:r>
            <w:r w:rsidRPr="004111A7">
              <w:rPr>
                <w:rFonts w:ascii="Arial" w:eastAsia="Arial" w:hAnsi="Arial" w:cs="Arial"/>
                <w:sz w:val="16"/>
                <w:szCs w:val="16"/>
                <w:lang w:eastAsia="en-US"/>
              </w:rPr>
              <w:t>Finance ensures the</w:t>
            </w:r>
            <w:r w:rsidR="006A0B7F" w:rsidRPr="004111A7">
              <w:rPr>
                <w:rFonts w:ascii="Arial" w:eastAsia="Arial" w:hAnsi="Arial" w:cs="Arial"/>
                <w:sz w:val="16"/>
                <w:szCs w:val="16"/>
                <w:lang w:eastAsia="en-US"/>
              </w:rPr>
              <w:t xml:space="preserve"> </w:t>
            </w:r>
            <w:r w:rsidR="00CE4FEF">
              <w:rPr>
                <w:rFonts w:ascii="Arial" w:eastAsia="Arial" w:hAnsi="Arial" w:cs="Arial"/>
                <w:sz w:val="16"/>
                <w:szCs w:val="16"/>
                <w:lang w:eastAsia="en-US"/>
              </w:rPr>
              <w:t>r</w:t>
            </w:r>
            <w:r w:rsidR="006A0B7F" w:rsidRPr="004111A7">
              <w:rPr>
                <w:rFonts w:ascii="Arial" w:eastAsia="Arial" w:hAnsi="Arial" w:cs="Arial"/>
                <w:sz w:val="16"/>
                <w:szCs w:val="16"/>
                <w:lang w:eastAsia="en-US"/>
              </w:rPr>
              <w:t xml:space="preserve">esource </w:t>
            </w:r>
            <w:r w:rsidR="00CE4FEF">
              <w:rPr>
                <w:rFonts w:ascii="Arial" w:eastAsia="Arial" w:hAnsi="Arial" w:cs="Arial"/>
                <w:sz w:val="16"/>
                <w:szCs w:val="16"/>
                <w:lang w:eastAsia="en-US"/>
              </w:rPr>
              <w:t>m</w:t>
            </w:r>
            <w:r w:rsidR="006A0B7F" w:rsidRPr="004111A7">
              <w:rPr>
                <w:rFonts w:ascii="Arial" w:eastAsia="Arial" w:hAnsi="Arial" w:cs="Arial"/>
                <w:sz w:val="16"/>
                <w:szCs w:val="16"/>
                <w:lang w:eastAsia="en-US"/>
              </w:rPr>
              <w:t xml:space="preserve">anagement </w:t>
            </w:r>
            <w:r w:rsidR="00CE4FEF">
              <w:rPr>
                <w:rFonts w:ascii="Arial" w:eastAsia="Arial" w:hAnsi="Arial" w:cs="Arial"/>
                <w:sz w:val="16"/>
                <w:szCs w:val="16"/>
                <w:lang w:eastAsia="en-US"/>
              </w:rPr>
              <w:t>f</w:t>
            </w:r>
            <w:r w:rsidR="006A0B7F" w:rsidRPr="004111A7">
              <w:rPr>
                <w:rFonts w:ascii="Arial" w:eastAsia="Arial" w:hAnsi="Arial" w:cs="Arial"/>
                <w:sz w:val="16"/>
                <w:szCs w:val="16"/>
                <w:lang w:eastAsia="en-US"/>
              </w:rPr>
              <w:t>ramework is maintained as a fit-for-purpose framework for the proper use of public resources, and supports Commonwealth entities and companies to meet high standards of governance, performance and accountability through effective engagement and the provision of guidance.</w:t>
            </w:r>
            <w:r w:rsidR="00B61B0A" w:rsidRPr="004111A7">
              <w:rPr>
                <w:rFonts w:ascii="Arial" w:eastAsia="Arial" w:hAnsi="Arial" w:cs="Arial"/>
                <w:sz w:val="16"/>
                <w:szCs w:val="16"/>
                <w:vertAlign w:val="superscript"/>
                <w:lang w:eastAsia="en-US"/>
              </w:rPr>
              <w:t xml:space="preserve"> </w:t>
            </w:r>
          </w:p>
          <w:p w14:paraId="4A702F5A" w14:textId="00ABC97F" w:rsidR="00B61B0A" w:rsidRPr="004111A7" w:rsidRDefault="00B61B0A" w:rsidP="00B61B0A">
            <w:pPr>
              <w:tabs>
                <w:tab w:val="left" w:pos="709"/>
              </w:tabs>
              <w:suppressAutoHyphens/>
              <w:spacing w:after="0" w:line="240" w:lineRule="auto"/>
              <w:jc w:val="left"/>
              <w:rPr>
                <w:rFonts w:ascii="Arial" w:eastAsia="Arial" w:hAnsi="Arial" w:cs="Arial"/>
                <w:sz w:val="16"/>
                <w:szCs w:val="16"/>
                <w:vertAlign w:val="superscript"/>
                <w:lang w:eastAsia="en-US"/>
              </w:rPr>
            </w:pPr>
          </w:p>
        </w:tc>
        <w:tc>
          <w:tcPr>
            <w:tcW w:w="4157" w:type="dxa"/>
            <w:tcBorders>
              <w:top w:val="dotted" w:sz="4" w:space="0" w:color="auto"/>
              <w:left w:val="single" w:sz="4" w:space="0" w:color="auto"/>
              <w:bottom w:val="dotted" w:sz="4" w:space="0" w:color="auto"/>
            </w:tcBorders>
          </w:tcPr>
          <w:p w14:paraId="4CD57885" w14:textId="77777777" w:rsidR="006A0B7F" w:rsidRPr="004111A7" w:rsidRDefault="006A0B7F" w:rsidP="006A0B7F">
            <w:pPr>
              <w:tabs>
                <w:tab w:val="left" w:pos="709"/>
              </w:tabs>
              <w:suppressAutoHyphens/>
              <w:spacing w:before="60" w:after="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Effectiveness of Finance's stewardship, policy advice, engagement and guidance on governance and accountability arrangements.</w:t>
            </w:r>
          </w:p>
          <w:p w14:paraId="347D6494" w14:textId="77777777" w:rsidR="006A0B7F" w:rsidRPr="004111A7" w:rsidRDefault="006A0B7F" w:rsidP="006A0B7F">
            <w:pPr>
              <w:tabs>
                <w:tab w:val="left" w:pos="709"/>
              </w:tabs>
              <w:suppressAutoHyphens/>
              <w:spacing w:before="60" w:after="0" w:line="240" w:lineRule="auto"/>
              <w:jc w:val="left"/>
              <w:rPr>
                <w:rFonts w:ascii="Arial" w:eastAsia="Arial" w:hAnsi="Arial" w:cs="Arial"/>
                <w:i/>
                <w:sz w:val="16"/>
                <w:szCs w:val="16"/>
                <w:lang w:eastAsia="en-US"/>
              </w:rPr>
            </w:pPr>
            <w:r w:rsidRPr="004111A7">
              <w:rPr>
                <w:rFonts w:ascii="Arial" w:eastAsia="Arial" w:hAnsi="Arial" w:cs="Arial"/>
                <w:sz w:val="16"/>
                <w:szCs w:val="16"/>
                <w:lang w:eastAsia="en-US"/>
              </w:rPr>
              <w:t>Parliamentary and independent audit report findings related to the PGPA framework and the effectiveness of Finance's support services and guidance are applied to maintain a fit-for-purpose framework.</w:t>
            </w:r>
          </w:p>
        </w:tc>
      </w:tr>
      <w:tr w:rsidR="006A0B7F" w:rsidRPr="004111A7" w14:paraId="3ACCC584" w14:textId="77777777" w:rsidTr="007C6F19">
        <w:tc>
          <w:tcPr>
            <w:tcW w:w="1330" w:type="dxa"/>
            <w:tcBorders>
              <w:top w:val="dotted" w:sz="4" w:space="0" w:color="auto"/>
              <w:right w:val="single" w:sz="4" w:space="0" w:color="auto"/>
            </w:tcBorders>
          </w:tcPr>
          <w:p w14:paraId="0C54FBD5"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2022-23 and beyond</w:t>
            </w:r>
          </w:p>
        </w:tc>
        <w:tc>
          <w:tcPr>
            <w:tcW w:w="2184" w:type="dxa"/>
            <w:tcBorders>
              <w:top w:val="dotted" w:sz="4" w:space="0" w:color="auto"/>
              <w:left w:val="single" w:sz="4" w:space="0" w:color="auto"/>
              <w:right w:val="single" w:sz="4" w:space="0" w:color="auto"/>
            </w:tcBorders>
          </w:tcPr>
          <w:p w14:paraId="334DD859" w14:textId="4FA5F1EC" w:rsidR="006A0B7F" w:rsidRPr="004111A7" w:rsidRDefault="006A0B7F" w:rsidP="006A0B7F">
            <w:pPr>
              <w:tabs>
                <w:tab w:val="left" w:pos="709"/>
              </w:tabs>
              <w:suppressAutoHyphens/>
              <w:spacing w:before="60" w:after="60" w:line="240" w:lineRule="auto"/>
              <w:jc w:val="left"/>
              <w:rPr>
                <w:rFonts w:ascii="Arial" w:eastAsia="Arial" w:hAnsi="Arial" w:cs="Arial"/>
                <w:color w:val="FF0000"/>
                <w:sz w:val="16"/>
                <w:szCs w:val="16"/>
                <w:lang w:eastAsia="en-US"/>
              </w:rPr>
            </w:pPr>
            <w:r w:rsidRPr="004111A7">
              <w:rPr>
                <w:rFonts w:ascii="Arial" w:eastAsia="Arial" w:hAnsi="Arial" w:cs="Arial"/>
                <w:sz w:val="16"/>
                <w:szCs w:val="16"/>
                <w:lang w:eastAsia="en-US"/>
              </w:rPr>
              <w:t>As per 2021-22</w:t>
            </w:r>
            <w:r w:rsidR="006A3032" w:rsidRPr="004111A7">
              <w:rPr>
                <w:rFonts w:ascii="Arial" w:eastAsia="Arial" w:hAnsi="Arial" w:cs="Arial"/>
                <w:sz w:val="16"/>
                <w:szCs w:val="16"/>
                <w:lang w:eastAsia="en-US"/>
              </w:rPr>
              <w:t>.</w:t>
            </w:r>
          </w:p>
        </w:tc>
        <w:tc>
          <w:tcPr>
            <w:tcW w:w="4157" w:type="dxa"/>
            <w:tcBorders>
              <w:top w:val="dotted" w:sz="4" w:space="0" w:color="auto"/>
              <w:left w:val="single" w:sz="4" w:space="0" w:color="auto"/>
            </w:tcBorders>
          </w:tcPr>
          <w:p w14:paraId="4C718A20" w14:textId="4EDCF094" w:rsidR="006A0B7F" w:rsidRPr="004111A7" w:rsidRDefault="006A0B7F" w:rsidP="006A0B7F">
            <w:pPr>
              <w:tabs>
                <w:tab w:val="left" w:pos="709"/>
              </w:tabs>
              <w:suppressAutoHyphens/>
              <w:spacing w:before="60" w:after="60" w:line="240" w:lineRule="auto"/>
              <w:jc w:val="left"/>
              <w:rPr>
                <w:rFonts w:ascii="Arial" w:eastAsia="Arial" w:hAnsi="Arial" w:cs="Arial"/>
                <w:i/>
                <w:color w:val="FF0000"/>
                <w:sz w:val="16"/>
                <w:szCs w:val="16"/>
                <w:lang w:eastAsia="en-US"/>
              </w:rPr>
            </w:pPr>
            <w:r w:rsidRPr="004111A7">
              <w:rPr>
                <w:rFonts w:ascii="Arial" w:eastAsia="Arial" w:hAnsi="Arial" w:cs="Arial"/>
                <w:sz w:val="16"/>
                <w:szCs w:val="16"/>
                <w:lang w:eastAsia="en-US"/>
              </w:rPr>
              <w:t>As per 2021-22</w:t>
            </w:r>
            <w:r w:rsidR="006A3032" w:rsidRPr="004111A7">
              <w:rPr>
                <w:rFonts w:ascii="Arial" w:eastAsia="Arial" w:hAnsi="Arial" w:cs="Arial"/>
                <w:sz w:val="16"/>
                <w:szCs w:val="16"/>
                <w:lang w:eastAsia="en-US"/>
              </w:rPr>
              <w:t>.</w:t>
            </w:r>
          </w:p>
        </w:tc>
      </w:tr>
      <w:tr w:rsidR="006A0B7F" w:rsidRPr="004111A7" w14:paraId="1D56F3A8" w14:textId="77777777" w:rsidTr="007C6F19">
        <w:tc>
          <w:tcPr>
            <w:tcW w:w="1330" w:type="dxa"/>
          </w:tcPr>
          <w:p w14:paraId="5CC23543"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sz w:val="16"/>
                <w:szCs w:val="16"/>
                <w:lang w:eastAsia="en-US"/>
              </w:rPr>
              <w:t>Purpose</w:t>
            </w:r>
          </w:p>
        </w:tc>
        <w:tc>
          <w:tcPr>
            <w:tcW w:w="6341" w:type="dxa"/>
            <w:gridSpan w:val="2"/>
          </w:tcPr>
          <w:p w14:paraId="21824327"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To assist the Australian Government to achieve its fiscal and policy objectives by advising on expenditure, managing sustainable public sector resourcing, driving public sector transformation and delivering efficient, cost-effective services to, and for, government.</w:t>
            </w:r>
          </w:p>
        </w:tc>
      </w:tr>
    </w:tbl>
    <w:p w14:paraId="67A8FA47" w14:textId="77777777" w:rsidR="00F646CE" w:rsidRPr="004111A7" w:rsidRDefault="00F646CE" w:rsidP="00F646CE">
      <w:pPr>
        <w:pStyle w:val="ChartandTableFootnoteAlpha"/>
        <w:numPr>
          <w:ilvl w:val="0"/>
          <w:numId w:val="0"/>
        </w:numPr>
        <w:ind w:left="284" w:hanging="284"/>
      </w:pPr>
      <w:r w:rsidRPr="004111A7">
        <w:t>Table continues on next page</w:t>
      </w:r>
    </w:p>
    <w:p w14:paraId="2BCE2842" w14:textId="0A55E91F" w:rsidR="002D148E" w:rsidRPr="004111A7" w:rsidRDefault="002D148E" w:rsidP="006A0B7F">
      <w:pPr>
        <w:spacing w:after="0" w:line="240" w:lineRule="auto"/>
        <w:ind w:right="-113"/>
        <w:jc w:val="left"/>
        <w:rPr>
          <w:rFonts w:ascii="Arial" w:hAnsi="Arial" w:cs="Arial"/>
          <w:b/>
        </w:rPr>
      </w:pPr>
      <w:r w:rsidRPr="004111A7">
        <w:rPr>
          <w:rFonts w:ascii="Arial" w:hAnsi="Arial" w:cs="Arial"/>
          <w:b/>
        </w:rPr>
        <w:br w:type="page"/>
      </w:r>
    </w:p>
    <w:p w14:paraId="59DA52A0" w14:textId="42E70371" w:rsidR="006A0B7F" w:rsidRPr="004111A7" w:rsidRDefault="006A0B7F" w:rsidP="006A0B7F">
      <w:pPr>
        <w:spacing w:after="0" w:line="240" w:lineRule="auto"/>
        <w:ind w:right="-113"/>
        <w:jc w:val="left"/>
        <w:rPr>
          <w:rFonts w:ascii="Arial" w:hAnsi="Arial" w:cs="Arial"/>
          <w:b/>
        </w:rPr>
      </w:pPr>
      <w:r w:rsidRPr="004111A7">
        <w:rPr>
          <w:rFonts w:ascii="Arial" w:hAnsi="Arial" w:cs="Arial"/>
          <w:b/>
        </w:rPr>
        <w:lastRenderedPageBreak/>
        <w:t xml:space="preserve">  Table 2.2.2: </w:t>
      </w:r>
      <w:r w:rsidR="00280FEA" w:rsidRPr="004111A7">
        <w:rPr>
          <w:rFonts w:ascii="Arial" w:hAnsi="Arial" w:cs="Arial"/>
          <w:b/>
        </w:rPr>
        <w:t>Performance measures</w:t>
      </w:r>
      <w:r w:rsidRPr="004111A7">
        <w:rPr>
          <w:rFonts w:ascii="Arial" w:hAnsi="Arial" w:cs="Arial"/>
          <w:b/>
        </w:rPr>
        <w:t xml:space="preserve"> for Outcome 2 (continued)</w:t>
      </w:r>
    </w:p>
    <w:tbl>
      <w:tblPr>
        <w:tblW w:w="76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2142"/>
        <w:gridCol w:w="4171"/>
      </w:tblGrid>
      <w:tr w:rsidR="006A0B7F" w:rsidRPr="004111A7" w14:paraId="1C64AB57" w14:textId="77777777" w:rsidTr="007C6F19">
        <w:trPr>
          <w:tblHeader/>
        </w:trPr>
        <w:tc>
          <w:tcPr>
            <w:tcW w:w="7685" w:type="dxa"/>
            <w:gridSpan w:val="3"/>
            <w:shd w:val="clear" w:color="auto" w:fill="F2F2F2"/>
          </w:tcPr>
          <w:p w14:paraId="27A0981F"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sz w:val="16"/>
                <w:szCs w:val="16"/>
                <w:lang w:eastAsia="en-US"/>
              </w:rPr>
              <w:t>Program 2.2</w:t>
            </w:r>
            <w:r w:rsidRPr="004111A7">
              <w:rPr>
                <w:rFonts w:ascii="Arial" w:eastAsia="Arial" w:hAnsi="Arial" w:cs="Arial"/>
                <w:sz w:val="16"/>
                <w:szCs w:val="16"/>
                <w:lang w:eastAsia="en-US"/>
              </w:rPr>
              <w:t xml:space="preserve"> – </w:t>
            </w:r>
            <w:r w:rsidRPr="004111A7">
              <w:rPr>
                <w:rFonts w:ascii="Arial" w:eastAsia="Arial" w:hAnsi="Arial" w:cs="Arial"/>
                <w:b/>
                <w:sz w:val="16"/>
                <w:szCs w:val="16"/>
                <w:lang w:eastAsia="en-US"/>
              </w:rPr>
              <w:t>Transforming Government</w:t>
            </w:r>
          </w:p>
          <w:p w14:paraId="56F8A87D"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This program contributes to the outcome by providing leadership in the development and delivery of reforms and initiatives that support the modernisation of government and increase public sector productivity.</w:t>
            </w:r>
          </w:p>
        </w:tc>
      </w:tr>
      <w:tr w:rsidR="006A0B7F" w:rsidRPr="004111A7" w14:paraId="5A053F72" w14:textId="77777777" w:rsidTr="007C6F19">
        <w:tc>
          <w:tcPr>
            <w:tcW w:w="1372" w:type="dxa"/>
            <w:tcBorders>
              <w:bottom w:val="double" w:sz="4" w:space="0" w:color="auto"/>
            </w:tcBorders>
          </w:tcPr>
          <w:p w14:paraId="5D0DD99B"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Delivery</w:t>
            </w:r>
          </w:p>
        </w:tc>
        <w:tc>
          <w:tcPr>
            <w:tcW w:w="6313" w:type="dxa"/>
            <w:gridSpan w:val="2"/>
            <w:tcBorders>
              <w:bottom w:val="double" w:sz="4" w:space="0" w:color="auto"/>
            </w:tcBorders>
          </w:tcPr>
          <w:p w14:paraId="77620791"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u w:val="single"/>
                <w:lang w:eastAsia="en-US"/>
              </w:rPr>
              <w:t>Transforming the Public Sector</w:t>
            </w:r>
          </w:p>
          <w:p w14:paraId="06C933F9" w14:textId="77777777" w:rsidR="006A0B7F" w:rsidRPr="004111A7" w:rsidRDefault="006A0B7F" w:rsidP="00DF4D2A">
            <w:pPr>
              <w:numPr>
                <w:ilvl w:val="0"/>
                <w:numId w:val="53"/>
              </w:numPr>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Supporting the Government’s transformation agenda through key projects, including implementation of the</w:t>
            </w:r>
            <w:r w:rsidRPr="004111A7">
              <w:rPr>
                <w:rFonts w:ascii="Arial" w:eastAsia="Cambria" w:hAnsi="Arial" w:cs="Arial"/>
                <w:i/>
                <w:sz w:val="16"/>
                <w:szCs w:val="16"/>
                <w:lang w:eastAsia="en-US"/>
              </w:rPr>
              <w:t xml:space="preserve"> Improving Public Sector Productivity: Roadmap</w:t>
            </w:r>
            <w:r w:rsidRPr="004111A7">
              <w:rPr>
                <w:rFonts w:ascii="Arial" w:eastAsia="Cambria" w:hAnsi="Arial" w:cs="Arial"/>
                <w:sz w:val="16"/>
                <w:szCs w:val="16"/>
                <w:lang w:eastAsia="en-US"/>
              </w:rPr>
              <w:t xml:space="preserve">; the Shared and Common Services Program and the delivery of projects supported by the Modernisation Fund; and advising the Government on delivering its Smaller Government objectives. </w:t>
            </w:r>
          </w:p>
          <w:p w14:paraId="6FDB9951" w14:textId="77777777" w:rsidR="006A0B7F" w:rsidRPr="004111A7" w:rsidRDefault="006A0B7F" w:rsidP="00DF4D2A">
            <w:pPr>
              <w:numPr>
                <w:ilvl w:val="0"/>
                <w:numId w:val="49"/>
              </w:numPr>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 xml:space="preserve">Providing advice to the Government on the efficient and effective delivery of government activities. </w:t>
            </w:r>
          </w:p>
          <w:p w14:paraId="5695ABAA" w14:textId="77777777" w:rsidR="006A0B7F" w:rsidRPr="004111A7" w:rsidRDefault="006A0B7F" w:rsidP="00DF4D2A">
            <w:pPr>
              <w:numPr>
                <w:ilvl w:val="0"/>
                <w:numId w:val="49"/>
              </w:numPr>
              <w:tabs>
                <w:tab w:val="left" w:pos="363"/>
              </w:tabs>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 xml:space="preserve">Delivering scoping studies to the Government and implementing agreed scoping study outcomes. </w:t>
            </w:r>
          </w:p>
          <w:p w14:paraId="46E780AF" w14:textId="4F1EB32F" w:rsidR="006A0B7F" w:rsidRPr="004111A7" w:rsidRDefault="006A0B7F" w:rsidP="00DF4D2A">
            <w:pPr>
              <w:numPr>
                <w:ilvl w:val="0"/>
                <w:numId w:val="49"/>
              </w:numPr>
              <w:tabs>
                <w:tab w:val="left" w:pos="363"/>
              </w:tabs>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 xml:space="preserve">Implementing recommendations from the Independent Review of the WoAG Internal Regulations for the Government. </w:t>
            </w:r>
          </w:p>
          <w:p w14:paraId="3A4090F1" w14:textId="00326001" w:rsidR="00B61B0A" w:rsidRPr="004111A7" w:rsidRDefault="00B61B0A" w:rsidP="00870D84">
            <w:pPr>
              <w:tabs>
                <w:tab w:val="left" w:pos="363"/>
              </w:tabs>
              <w:suppressAutoHyphens/>
              <w:spacing w:before="60" w:after="60" w:line="240" w:lineRule="auto"/>
              <w:ind w:left="360"/>
              <w:contextualSpacing/>
              <w:jc w:val="left"/>
              <w:rPr>
                <w:rFonts w:ascii="Arial" w:eastAsia="Cambria" w:hAnsi="Arial" w:cs="Arial"/>
                <w:sz w:val="16"/>
                <w:szCs w:val="16"/>
                <w:lang w:eastAsia="en-US"/>
              </w:rPr>
            </w:pPr>
          </w:p>
        </w:tc>
      </w:tr>
      <w:tr w:rsidR="006A0B7F" w:rsidRPr="004111A7" w14:paraId="782295FA" w14:textId="77777777" w:rsidTr="007C6F19">
        <w:tc>
          <w:tcPr>
            <w:tcW w:w="7685" w:type="dxa"/>
            <w:gridSpan w:val="3"/>
            <w:tcBorders>
              <w:top w:val="double" w:sz="4" w:space="0" w:color="auto"/>
              <w:bottom w:val="double" w:sz="4" w:space="0" w:color="auto"/>
            </w:tcBorders>
          </w:tcPr>
          <w:p w14:paraId="165FE6B6"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Performance information: Program 2.2 – Transforming Government</w:t>
            </w:r>
          </w:p>
        </w:tc>
      </w:tr>
      <w:tr w:rsidR="006A0B7F" w:rsidRPr="004111A7" w14:paraId="6D418491" w14:textId="77777777" w:rsidTr="007C6F19">
        <w:tc>
          <w:tcPr>
            <w:tcW w:w="1372" w:type="dxa"/>
            <w:tcBorders>
              <w:top w:val="double" w:sz="4" w:space="0" w:color="auto"/>
              <w:bottom w:val="single" w:sz="4" w:space="0" w:color="auto"/>
              <w:right w:val="single" w:sz="4" w:space="0" w:color="auto"/>
            </w:tcBorders>
          </w:tcPr>
          <w:p w14:paraId="61E08B0F"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142" w:type="dxa"/>
            <w:tcBorders>
              <w:top w:val="double" w:sz="4" w:space="0" w:color="auto"/>
              <w:left w:val="single" w:sz="4" w:space="0" w:color="auto"/>
              <w:bottom w:val="single" w:sz="4" w:space="0" w:color="auto"/>
              <w:right w:val="single" w:sz="4" w:space="0" w:color="auto"/>
            </w:tcBorders>
          </w:tcPr>
          <w:p w14:paraId="7E43A65F" w14:textId="356D4D80"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00C50514" w:rsidRPr="004111A7">
              <w:rPr>
                <w:rFonts w:ascii="Arial" w:eastAsia="Arial" w:hAnsi="Arial" w:cs="Arial"/>
                <w:b/>
                <w:sz w:val="16"/>
                <w:szCs w:val="16"/>
                <w:lang w:eastAsia="en-US"/>
              </w:rPr>
              <w:t xml:space="preserve"> </w:t>
            </w:r>
            <w:r w:rsidR="00C50514" w:rsidRPr="004111A7">
              <w:rPr>
                <w:rFonts w:ascii="Arial" w:eastAsia="Arial" w:hAnsi="Arial" w:cs="Arial"/>
                <w:sz w:val="16"/>
                <w:szCs w:val="16"/>
                <w:lang w:eastAsia="en-US"/>
              </w:rPr>
              <w:t>(a)</w:t>
            </w:r>
          </w:p>
        </w:tc>
        <w:tc>
          <w:tcPr>
            <w:tcW w:w="4171" w:type="dxa"/>
            <w:tcBorders>
              <w:top w:val="double" w:sz="4" w:space="0" w:color="auto"/>
              <w:left w:val="single" w:sz="4" w:space="0" w:color="auto"/>
              <w:bottom w:val="single" w:sz="4" w:space="0" w:color="auto"/>
            </w:tcBorders>
          </w:tcPr>
          <w:p w14:paraId="0452883F"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6A0B7F" w:rsidRPr="004111A7" w14:paraId="1273A840" w14:textId="77777777" w:rsidTr="007C6F19">
        <w:trPr>
          <w:trHeight w:val="60"/>
        </w:trPr>
        <w:tc>
          <w:tcPr>
            <w:tcW w:w="1372" w:type="dxa"/>
            <w:tcBorders>
              <w:top w:val="single" w:sz="4" w:space="0" w:color="auto"/>
              <w:bottom w:val="dotted" w:sz="4" w:space="0" w:color="auto"/>
              <w:right w:val="single" w:sz="4" w:space="0" w:color="auto"/>
            </w:tcBorders>
          </w:tcPr>
          <w:p w14:paraId="0587AAE9"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2020-21</w:t>
            </w:r>
          </w:p>
        </w:tc>
        <w:tc>
          <w:tcPr>
            <w:tcW w:w="2142" w:type="dxa"/>
            <w:tcBorders>
              <w:top w:val="single" w:sz="4" w:space="0" w:color="auto"/>
              <w:left w:val="single" w:sz="4" w:space="0" w:color="auto"/>
              <w:bottom w:val="dotted" w:sz="4" w:space="0" w:color="auto"/>
              <w:right w:val="single" w:sz="4" w:space="0" w:color="auto"/>
            </w:tcBorders>
          </w:tcPr>
          <w:p w14:paraId="40B4666A"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GovTEAMS improves public sector productivity</w:t>
            </w:r>
          </w:p>
          <w:p w14:paraId="5B5B745F"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Commonwealth entities and companies have access to GovTEAMS, a new generation platform to provide a single environment for both internal and external collaboration across government.  </w:t>
            </w:r>
          </w:p>
          <w:p w14:paraId="63C9CC11" w14:textId="4CE72AA2" w:rsidR="00B61B0A" w:rsidRPr="004111A7" w:rsidRDefault="00B61B0A" w:rsidP="00B61B0A">
            <w:pPr>
              <w:tabs>
                <w:tab w:val="left" w:pos="363"/>
              </w:tabs>
              <w:suppressAutoHyphens/>
              <w:spacing w:before="60" w:after="60" w:line="240" w:lineRule="auto"/>
              <w:contextualSpacing/>
              <w:jc w:val="left"/>
              <w:rPr>
                <w:rFonts w:ascii="Arial" w:eastAsia="Arial" w:hAnsi="Arial" w:cs="Arial"/>
                <w:sz w:val="16"/>
                <w:szCs w:val="16"/>
                <w:lang w:eastAsia="en-US"/>
              </w:rPr>
            </w:pPr>
          </w:p>
        </w:tc>
        <w:tc>
          <w:tcPr>
            <w:tcW w:w="4171" w:type="dxa"/>
            <w:tcBorders>
              <w:top w:val="single" w:sz="4" w:space="0" w:color="auto"/>
              <w:left w:val="single" w:sz="4" w:space="0" w:color="auto"/>
              <w:bottom w:val="dotted" w:sz="4" w:space="0" w:color="auto"/>
            </w:tcBorders>
          </w:tcPr>
          <w:p w14:paraId="4FA6A707"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On Track</w:t>
            </w:r>
          </w:p>
          <w:p w14:paraId="4762A53D" w14:textId="63A83113"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Set performance targets are fully operational, (99% of the time) </w:t>
            </w:r>
            <w:r w:rsidR="00821F46">
              <w:rPr>
                <w:rFonts w:ascii="Arial" w:eastAsia="Arial" w:hAnsi="Arial" w:cs="Arial"/>
                <w:sz w:val="16"/>
                <w:szCs w:val="16"/>
                <w:lang w:eastAsia="en-US"/>
              </w:rPr>
              <w:t>and were</w:t>
            </w:r>
            <w:r w:rsidR="00821F46" w:rsidRPr="004111A7">
              <w:rPr>
                <w:rFonts w:ascii="Arial" w:eastAsia="Arial" w:hAnsi="Arial" w:cs="Arial"/>
                <w:sz w:val="16"/>
                <w:szCs w:val="16"/>
                <w:lang w:eastAsia="en-US"/>
              </w:rPr>
              <w:t xml:space="preserve"> </w:t>
            </w:r>
            <w:r w:rsidRPr="004111A7">
              <w:rPr>
                <w:rFonts w:ascii="Arial" w:eastAsia="Arial" w:hAnsi="Arial" w:cs="Arial"/>
                <w:sz w:val="16"/>
                <w:szCs w:val="16"/>
                <w:lang w:eastAsia="en-US"/>
              </w:rPr>
              <w:t>achieved.</w:t>
            </w:r>
          </w:p>
          <w:p w14:paraId="2E69EC01"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p>
          <w:p w14:paraId="308FA9D9" w14:textId="35D146B0"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Target exceeded. Current registered users in excess of 110,000</w:t>
            </w:r>
            <w:r w:rsidR="004F4223" w:rsidRPr="004111A7">
              <w:rPr>
                <w:rFonts w:ascii="Arial" w:eastAsia="Arial" w:hAnsi="Arial" w:cs="Arial"/>
                <w:sz w:val="16"/>
                <w:szCs w:val="16"/>
                <w:lang w:eastAsia="en-US"/>
              </w:rPr>
              <w:t xml:space="preserve"> (Target: 90,000 users)</w:t>
            </w:r>
            <w:r w:rsidR="002264E4" w:rsidRPr="004111A7">
              <w:rPr>
                <w:rFonts w:ascii="Arial" w:eastAsia="Arial" w:hAnsi="Arial" w:cs="Arial"/>
                <w:sz w:val="16"/>
                <w:szCs w:val="16"/>
                <w:lang w:eastAsia="en-US"/>
              </w:rPr>
              <w:t>.</w:t>
            </w:r>
          </w:p>
        </w:tc>
      </w:tr>
      <w:tr w:rsidR="00580963" w:rsidRPr="004111A7" w14:paraId="6173ACB8" w14:textId="77777777" w:rsidTr="007C6F19">
        <w:trPr>
          <w:trHeight w:val="961"/>
        </w:trPr>
        <w:tc>
          <w:tcPr>
            <w:tcW w:w="1372" w:type="dxa"/>
            <w:tcBorders>
              <w:top w:val="dotted" w:sz="4" w:space="0" w:color="auto"/>
              <w:bottom w:val="dotted" w:sz="4" w:space="0" w:color="auto"/>
              <w:right w:val="single" w:sz="4" w:space="0" w:color="auto"/>
            </w:tcBorders>
          </w:tcPr>
          <w:p w14:paraId="75D5C270" w14:textId="77777777" w:rsidR="00580963" w:rsidRPr="004111A7" w:rsidRDefault="00580963" w:rsidP="00580963">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2021-22</w:t>
            </w:r>
          </w:p>
          <w:p w14:paraId="7A0A5E7C" w14:textId="362437E8" w:rsidR="00580963" w:rsidRPr="004111A7" w:rsidRDefault="00580963" w:rsidP="00580963">
            <w:pPr>
              <w:tabs>
                <w:tab w:val="left" w:pos="709"/>
              </w:tabs>
              <w:suppressAutoHyphens/>
              <w:spacing w:before="60" w:after="60" w:line="240" w:lineRule="auto"/>
              <w:jc w:val="left"/>
              <w:rPr>
                <w:rFonts w:ascii="Arial" w:eastAsia="Arial" w:hAnsi="Arial" w:cs="Arial"/>
                <w:sz w:val="16"/>
                <w:szCs w:val="16"/>
                <w:lang w:eastAsia="en-US"/>
              </w:rPr>
            </w:pPr>
          </w:p>
        </w:tc>
        <w:tc>
          <w:tcPr>
            <w:tcW w:w="2142" w:type="dxa"/>
            <w:tcBorders>
              <w:top w:val="dotted" w:sz="4" w:space="0" w:color="auto"/>
              <w:left w:val="single" w:sz="4" w:space="0" w:color="auto"/>
              <w:bottom w:val="dotted" w:sz="4" w:space="0" w:color="auto"/>
              <w:right w:val="single" w:sz="4" w:space="0" w:color="auto"/>
            </w:tcBorders>
          </w:tcPr>
          <w:p w14:paraId="24912E5D" w14:textId="77777777" w:rsidR="00580963" w:rsidRPr="004111A7" w:rsidRDefault="00580963" w:rsidP="00580963">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GovTEAMS improves public sector productivity</w:t>
            </w:r>
          </w:p>
          <w:p w14:paraId="70AC5A02" w14:textId="77777777" w:rsidR="00580963" w:rsidRPr="004111A7" w:rsidRDefault="00580963" w:rsidP="00580963">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Commonwealth entities and companies have access to GovTEAMS, a new generation platform to provide a single environment for both internal and external collaboration across government.  </w:t>
            </w:r>
          </w:p>
          <w:p w14:paraId="42F7C3D2" w14:textId="01D6CAEE" w:rsidR="00580963" w:rsidRPr="004111A7" w:rsidRDefault="00580963" w:rsidP="00580963">
            <w:pPr>
              <w:tabs>
                <w:tab w:val="left" w:pos="709"/>
              </w:tabs>
              <w:suppressAutoHyphens/>
              <w:spacing w:before="60" w:after="60" w:line="240" w:lineRule="auto"/>
              <w:jc w:val="left"/>
              <w:rPr>
                <w:rFonts w:ascii="Arial" w:eastAsia="Arial" w:hAnsi="Arial" w:cs="Arial"/>
                <w:sz w:val="16"/>
                <w:szCs w:val="16"/>
                <w:lang w:eastAsia="en-US"/>
              </w:rPr>
            </w:pPr>
          </w:p>
        </w:tc>
        <w:tc>
          <w:tcPr>
            <w:tcW w:w="4171" w:type="dxa"/>
            <w:tcBorders>
              <w:top w:val="dotted" w:sz="4" w:space="0" w:color="auto"/>
              <w:left w:val="single" w:sz="4" w:space="0" w:color="auto"/>
              <w:bottom w:val="dotted" w:sz="4" w:space="0" w:color="auto"/>
            </w:tcBorders>
          </w:tcPr>
          <w:p w14:paraId="1F05EFB9" w14:textId="77777777" w:rsidR="00580963" w:rsidRPr="004111A7" w:rsidRDefault="00580963" w:rsidP="00580963">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GovTEAMS platform is fully operational in accordance with set performance targets (99%).</w:t>
            </w:r>
          </w:p>
          <w:p w14:paraId="0AF483DF" w14:textId="41CA3C63" w:rsidR="00580963" w:rsidRPr="004111A7" w:rsidRDefault="00580963" w:rsidP="00580963">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GovTEAMS user adoption rates meet set performance targets (90,000).</w:t>
            </w:r>
          </w:p>
        </w:tc>
      </w:tr>
      <w:tr w:rsidR="00580963" w:rsidRPr="004111A7" w14:paraId="0ADB68E1" w14:textId="77777777" w:rsidTr="007C6F19">
        <w:trPr>
          <w:trHeight w:val="961"/>
        </w:trPr>
        <w:tc>
          <w:tcPr>
            <w:tcW w:w="1372" w:type="dxa"/>
            <w:tcBorders>
              <w:top w:val="dotted" w:sz="4" w:space="0" w:color="auto"/>
              <w:bottom w:val="single" w:sz="4" w:space="0" w:color="auto"/>
              <w:right w:val="single" w:sz="4" w:space="0" w:color="auto"/>
            </w:tcBorders>
          </w:tcPr>
          <w:p w14:paraId="69E224C8" w14:textId="1AD67CA8" w:rsidR="00580963" w:rsidRPr="004111A7" w:rsidRDefault="00580963" w:rsidP="00580963">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2022-23 and beyond</w:t>
            </w:r>
          </w:p>
        </w:tc>
        <w:tc>
          <w:tcPr>
            <w:tcW w:w="2142" w:type="dxa"/>
            <w:tcBorders>
              <w:top w:val="dotted" w:sz="4" w:space="0" w:color="auto"/>
              <w:left w:val="single" w:sz="4" w:space="0" w:color="auto"/>
              <w:bottom w:val="single" w:sz="4" w:space="0" w:color="auto"/>
              <w:right w:val="single" w:sz="4" w:space="0" w:color="auto"/>
            </w:tcBorders>
          </w:tcPr>
          <w:p w14:paraId="23AA0EBC" w14:textId="3178EFCE" w:rsidR="00580963" w:rsidRPr="004111A7" w:rsidRDefault="00580963" w:rsidP="00580963">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As per 2021-22.</w:t>
            </w:r>
          </w:p>
        </w:tc>
        <w:tc>
          <w:tcPr>
            <w:tcW w:w="4171" w:type="dxa"/>
            <w:tcBorders>
              <w:top w:val="dotted" w:sz="4" w:space="0" w:color="auto"/>
              <w:left w:val="single" w:sz="4" w:space="0" w:color="auto"/>
              <w:bottom w:val="single" w:sz="4" w:space="0" w:color="auto"/>
            </w:tcBorders>
          </w:tcPr>
          <w:p w14:paraId="4E04025C" w14:textId="07948336" w:rsidR="00580963" w:rsidRPr="004111A7" w:rsidRDefault="00580963" w:rsidP="00580963">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As per 2021-22.</w:t>
            </w:r>
          </w:p>
        </w:tc>
      </w:tr>
      <w:tr w:rsidR="00580963" w:rsidRPr="004111A7" w14:paraId="188AE77C" w14:textId="77777777" w:rsidTr="007C6F19">
        <w:trPr>
          <w:trHeight w:val="961"/>
        </w:trPr>
        <w:tc>
          <w:tcPr>
            <w:tcW w:w="1372" w:type="dxa"/>
            <w:tcBorders>
              <w:top w:val="single" w:sz="4" w:space="0" w:color="auto"/>
              <w:bottom w:val="single" w:sz="4" w:space="0" w:color="auto"/>
              <w:right w:val="single" w:sz="4" w:space="0" w:color="auto"/>
            </w:tcBorders>
          </w:tcPr>
          <w:p w14:paraId="11FE25F3" w14:textId="677A6C22" w:rsidR="00580963" w:rsidRPr="004111A7" w:rsidRDefault="00580963" w:rsidP="00580963">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sz w:val="16"/>
                <w:szCs w:val="16"/>
                <w:lang w:eastAsia="en-US"/>
              </w:rPr>
              <w:t>Purpose</w:t>
            </w:r>
          </w:p>
        </w:tc>
        <w:tc>
          <w:tcPr>
            <w:tcW w:w="6313" w:type="dxa"/>
            <w:gridSpan w:val="2"/>
            <w:tcBorders>
              <w:top w:val="dotted" w:sz="4" w:space="0" w:color="auto"/>
              <w:left w:val="single" w:sz="4" w:space="0" w:color="auto"/>
              <w:bottom w:val="single" w:sz="4" w:space="0" w:color="auto"/>
            </w:tcBorders>
          </w:tcPr>
          <w:p w14:paraId="2672AE06" w14:textId="5E93330F" w:rsidR="00580963" w:rsidRPr="004111A7" w:rsidRDefault="00580963" w:rsidP="00580963">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To assist the Australian Government to achieve its fiscal and policy objectives by advising on expenditure, managing sustainable public sector resourcing, driving public sector transformation and delivering efficient, cost-effective services to, and for, government.</w:t>
            </w:r>
          </w:p>
        </w:tc>
      </w:tr>
    </w:tbl>
    <w:p w14:paraId="1E8CE17F" w14:textId="258A54DA" w:rsidR="00C02572" w:rsidRPr="004111A7" w:rsidRDefault="00C02572" w:rsidP="00B61B0A">
      <w:pPr>
        <w:pStyle w:val="ChartandTableFootnoteAlpha"/>
        <w:numPr>
          <w:ilvl w:val="0"/>
          <w:numId w:val="0"/>
        </w:numPr>
        <w:ind w:left="284" w:hanging="284"/>
        <w:rPr>
          <w:rFonts w:cs="Arial"/>
          <w:b/>
        </w:rPr>
      </w:pPr>
      <w:r w:rsidRPr="004111A7">
        <w:t>Table continues on next page</w:t>
      </w:r>
      <w:r w:rsidRPr="004111A7">
        <w:rPr>
          <w:rFonts w:cs="Arial"/>
          <w:b/>
        </w:rPr>
        <w:br w:type="page"/>
      </w:r>
    </w:p>
    <w:p w14:paraId="13DD0EC8" w14:textId="6C9E6E04" w:rsidR="006A0B7F" w:rsidRPr="004111A7" w:rsidRDefault="006A0B7F" w:rsidP="006A0B7F">
      <w:pPr>
        <w:keepNext/>
        <w:spacing w:after="20" w:line="240" w:lineRule="auto"/>
        <w:jc w:val="left"/>
        <w:rPr>
          <w:rFonts w:ascii="Arial Bold" w:hAnsi="Arial Bold"/>
          <w:b/>
        </w:rPr>
      </w:pPr>
      <w:r w:rsidRPr="004111A7">
        <w:rPr>
          <w:rFonts w:ascii="Arial" w:hAnsi="Arial" w:cs="Arial"/>
          <w:b/>
        </w:rPr>
        <w:lastRenderedPageBreak/>
        <w:t xml:space="preserve">Table 2.2.2: </w:t>
      </w:r>
      <w:r w:rsidR="00280FEA" w:rsidRPr="004111A7">
        <w:rPr>
          <w:rFonts w:ascii="Arial" w:hAnsi="Arial" w:cs="Arial"/>
          <w:b/>
        </w:rPr>
        <w:t>Performance measures</w:t>
      </w:r>
      <w:r w:rsidRPr="004111A7">
        <w:rPr>
          <w:rFonts w:ascii="Arial" w:hAnsi="Arial" w:cs="Arial"/>
          <w:b/>
        </w:rPr>
        <w:t xml:space="preserve"> for Outcome 2 (continued)</w:t>
      </w:r>
    </w:p>
    <w:tbl>
      <w:tblPr>
        <w:tblW w:w="767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2142"/>
        <w:gridCol w:w="4171"/>
      </w:tblGrid>
      <w:tr w:rsidR="006A0B7F" w:rsidRPr="004111A7" w14:paraId="555C7FCD" w14:textId="77777777" w:rsidTr="007C6F19">
        <w:trPr>
          <w:tblHeader/>
        </w:trPr>
        <w:tc>
          <w:tcPr>
            <w:tcW w:w="7671" w:type="dxa"/>
            <w:gridSpan w:val="3"/>
            <w:shd w:val="clear" w:color="auto" w:fill="F2F2F2"/>
          </w:tcPr>
          <w:p w14:paraId="228CBDDD"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sz w:val="16"/>
                <w:szCs w:val="16"/>
                <w:lang w:eastAsia="en-US"/>
              </w:rPr>
              <w:t>Program 2.3</w:t>
            </w:r>
            <w:r w:rsidRPr="004111A7">
              <w:rPr>
                <w:rFonts w:ascii="Arial" w:eastAsia="Arial" w:hAnsi="Arial" w:cs="Arial"/>
                <w:sz w:val="16"/>
                <w:szCs w:val="16"/>
                <w:lang w:eastAsia="en-US"/>
              </w:rPr>
              <w:t xml:space="preserve"> – </w:t>
            </w:r>
            <w:r w:rsidRPr="004111A7">
              <w:rPr>
                <w:rFonts w:ascii="Arial" w:eastAsia="Arial" w:hAnsi="Arial" w:cs="Arial"/>
                <w:b/>
                <w:sz w:val="16"/>
                <w:szCs w:val="16"/>
                <w:lang w:eastAsia="en-US"/>
              </w:rPr>
              <w:t>Property and Construction</w:t>
            </w:r>
          </w:p>
          <w:p w14:paraId="0C5C8B66" w14:textId="0F373AB5"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This program contributes to the outcome by providing policy advice, guidance and support on managing Commonwealth property, land and public works across the Government; and managing specified major capital works projects and the </w:t>
            </w:r>
            <w:r w:rsidR="005117BF">
              <w:rPr>
                <w:rFonts w:ascii="Arial" w:eastAsia="Arial" w:hAnsi="Arial" w:cs="Arial"/>
                <w:sz w:val="16"/>
                <w:szCs w:val="16"/>
                <w:lang w:eastAsia="en-US"/>
              </w:rPr>
              <w:t>g</w:t>
            </w:r>
            <w:r w:rsidRPr="004111A7">
              <w:rPr>
                <w:rFonts w:ascii="Arial" w:eastAsia="Arial" w:hAnsi="Arial" w:cs="Arial"/>
                <w:sz w:val="16"/>
                <w:szCs w:val="16"/>
                <w:lang w:eastAsia="en-US"/>
              </w:rPr>
              <w:t>overnment’s non-Defence property portfolio within Australia.</w:t>
            </w:r>
          </w:p>
        </w:tc>
      </w:tr>
      <w:tr w:rsidR="006A0B7F" w:rsidRPr="004111A7" w14:paraId="6599846D" w14:textId="77777777" w:rsidTr="007C6F19">
        <w:tc>
          <w:tcPr>
            <w:tcW w:w="1358" w:type="dxa"/>
            <w:tcBorders>
              <w:bottom w:val="double" w:sz="4" w:space="0" w:color="auto"/>
            </w:tcBorders>
          </w:tcPr>
          <w:p w14:paraId="589FBAB5"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Delivery</w:t>
            </w:r>
          </w:p>
        </w:tc>
        <w:tc>
          <w:tcPr>
            <w:tcW w:w="6313" w:type="dxa"/>
            <w:gridSpan w:val="2"/>
            <w:tcBorders>
              <w:bottom w:val="double" w:sz="4" w:space="0" w:color="auto"/>
            </w:tcBorders>
          </w:tcPr>
          <w:p w14:paraId="02CA866D" w14:textId="77777777" w:rsidR="006A0B7F" w:rsidRPr="004111A7" w:rsidRDefault="006A0B7F" w:rsidP="002F2EE5">
            <w:pPr>
              <w:numPr>
                <w:ilvl w:val="0"/>
                <w:numId w:val="50"/>
              </w:numPr>
              <w:tabs>
                <w:tab w:val="left" w:pos="0"/>
              </w:tabs>
              <w:suppressAutoHyphens/>
              <w:spacing w:before="60" w:after="60" w:line="240" w:lineRule="auto"/>
              <w:ind w:hanging="316"/>
              <w:contextualSpacing/>
              <w:jc w:val="left"/>
              <w:rPr>
                <w:rFonts w:ascii="Arial" w:hAnsi="Arial" w:cs="Arial"/>
                <w:sz w:val="16"/>
                <w:szCs w:val="16"/>
              </w:rPr>
            </w:pPr>
            <w:r w:rsidRPr="004111A7">
              <w:rPr>
                <w:rFonts w:ascii="Arial" w:hAnsi="Arial" w:cs="Arial"/>
                <w:sz w:val="16"/>
                <w:szCs w:val="16"/>
              </w:rPr>
              <w:t>Providing advice to the Government on property management issues such as ownership, construction, divestment and management of residual issues from previous divestments, leasing and acquisition.</w:t>
            </w:r>
          </w:p>
          <w:p w14:paraId="2E93C0D1" w14:textId="77777777" w:rsidR="006A0B7F" w:rsidRPr="004111A7" w:rsidRDefault="006A0B7F" w:rsidP="002F2EE5">
            <w:pPr>
              <w:numPr>
                <w:ilvl w:val="0"/>
                <w:numId w:val="50"/>
              </w:numPr>
              <w:tabs>
                <w:tab w:val="left" w:pos="0"/>
              </w:tabs>
              <w:suppressAutoHyphens/>
              <w:spacing w:before="60" w:after="60" w:line="240" w:lineRule="auto"/>
              <w:ind w:hanging="316"/>
              <w:contextualSpacing/>
              <w:jc w:val="left"/>
              <w:rPr>
                <w:rFonts w:ascii="Arial" w:hAnsi="Arial" w:cs="Arial"/>
                <w:sz w:val="16"/>
                <w:szCs w:val="16"/>
              </w:rPr>
            </w:pPr>
            <w:r w:rsidRPr="004111A7">
              <w:rPr>
                <w:rFonts w:ascii="Arial" w:hAnsi="Arial" w:cs="Arial"/>
                <w:sz w:val="16"/>
                <w:szCs w:val="16"/>
              </w:rPr>
              <w:t>Assisting entities to use the Commonwealth Property Management Framework.</w:t>
            </w:r>
          </w:p>
          <w:p w14:paraId="7558D4C3" w14:textId="77777777" w:rsidR="006A0B7F" w:rsidRPr="004111A7" w:rsidRDefault="006A0B7F" w:rsidP="002F2EE5">
            <w:pPr>
              <w:numPr>
                <w:ilvl w:val="0"/>
                <w:numId w:val="50"/>
              </w:numPr>
              <w:tabs>
                <w:tab w:val="left" w:pos="0"/>
              </w:tabs>
              <w:suppressAutoHyphens/>
              <w:spacing w:before="60" w:after="60" w:line="240" w:lineRule="auto"/>
              <w:ind w:hanging="316"/>
              <w:contextualSpacing/>
              <w:jc w:val="left"/>
              <w:rPr>
                <w:rFonts w:ascii="Arial" w:hAnsi="Arial" w:cs="Arial"/>
                <w:sz w:val="16"/>
                <w:szCs w:val="16"/>
              </w:rPr>
            </w:pPr>
            <w:r w:rsidRPr="004111A7">
              <w:rPr>
                <w:rFonts w:ascii="Arial" w:hAnsi="Arial" w:cs="Arial"/>
                <w:sz w:val="16"/>
                <w:szCs w:val="16"/>
              </w:rPr>
              <w:t>Collecting property data for the Government on Commonwealth leasing trends and assisting in the disposal of Commonwealth property.</w:t>
            </w:r>
          </w:p>
          <w:p w14:paraId="6BE72E94" w14:textId="77777777" w:rsidR="006A0B7F" w:rsidRPr="004111A7" w:rsidRDefault="006A0B7F" w:rsidP="002F2EE5">
            <w:pPr>
              <w:numPr>
                <w:ilvl w:val="0"/>
                <w:numId w:val="50"/>
              </w:numPr>
              <w:tabs>
                <w:tab w:val="left" w:pos="0"/>
              </w:tabs>
              <w:suppressAutoHyphens/>
              <w:spacing w:before="60" w:after="60" w:line="240" w:lineRule="auto"/>
              <w:ind w:hanging="316"/>
              <w:contextualSpacing/>
              <w:jc w:val="left"/>
              <w:rPr>
                <w:rFonts w:ascii="Arial" w:hAnsi="Arial" w:cs="Arial"/>
                <w:sz w:val="16"/>
                <w:szCs w:val="16"/>
              </w:rPr>
            </w:pPr>
            <w:r w:rsidRPr="004111A7">
              <w:rPr>
                <w:rFonts w:ascii="Arial" w:hAnsi="Arial" w:cs="Arial"/>
                <w:sz w:val="16"/>
                <w:szCs w:val="16"/>
              </w:rPr>
              <w:t>Managing properties within the Finance-managed portfolio for the Government through adoption of effective property management systems and processes.</w:t>
            </w:r>
          </w:p>
          <w:p w14:paraId="24CB17EE" w14:textId="77777777" w:rsidR="006A0B7F" w:rsidRPr="004111A7" w:rsidRDefault="006A0B7F" w:rsidP="002F2EE5">
            <w:pPr>
              <w:numPr>
                <w:ilvl w:val="0"/>
                <w:numId w:val="50"/>
              </w:numPr>
              <w:tabs>
                <w:tab w:val="left" w:pos="0"/>
              </w:tabs>
              <w:suppressAutoHyphens/>
              <w:spacing w:before="60" w:after="60" w:line="240" w:lineRule="auto"/>
              <w:ind w:hanging="316"/>
              <w:contextualSpacing/>
              <w:jc w:val="left"/>
              <w:rPr>
                <w:rFonts w:ascii="Arial" w:hAnsi="Arial" w:cs="Arial"/>
                <w:sz w:val="16"/>
                <w:szCs w:val="16"/>
              </w:rPr>
            </w:pPr>
            <w:r w:rsidRPr="004111A7">
              <w:rPr>
                <w:rFonts w:ascii="Arial" w:hAnsi="Arial" w:cs="Arial"/>
                <w:sz w:val="16"/>
                <w:szCs w:val="16"/>
              </w:rPr>
              <w:t xml:space="preserve">Providing advice and support to the Government and entities in relation to the </w:t>
            </w:r>
            <w:r w:rsidRPr="004111A7">
              <w:rPr>
                <w:rFonts w:ascii="Arial" w:hAnsi="Arial" w:cs="Arial"/>
                <w:i/>
                <w:sz w:val="16"/>
                <w:szCs w:val="16"/>
              </w:rPr>
              <w:t>Lands Acquisition Act 1989</w:t>
            </w:r>
            <w:r w:rsidRPr="004111A7">
              <w:rPr>
                <w:rFonts w:ascii="Arial" w:hAnsi="Arial" w:cs="Arial"/>
                <w:sz w:val="16"/>
                <w:szCs w:val="16"/>
              </w:rPr>
              <w:t xml:space="preserve">, the </w:t>
            </w:r>
            <w:r w:rsidRPr="004111A7">
              <w:rPr>
                <w:rFonts w:ascii="Arial" w:hAnsi="Arial" w:cs="Arial"/>
                <w:i/>
                <w:sz w:val="16"/>
                <w:szCs w:val="16"/>
              </w:rPr>
              <w:t>Public Works Committee Act 1969</w:t>
            </w:r>
            <w:r w:rsidRPr="004111A7">
              <w:rPr>
                <w:rFonts w:ascii="Arial" w:hAnsi="Arial" w:cs="Arial"/>
                <w:sz w:val="16"/>
                <w:szCs w:val="16"/>
              </w:rPr>
              <w:t xml:space="preserve">, relevant sections of the </w:t>
            </w:r>
            <w:r w:rsidRPr="004111A7">
              <w:rPr>
                <w:rFonts w:ascii="Arial" w:hAnsi="Arial" w:cs="Arial"/>
                <w:i/>
                <w:sz w:val="16"/>
                <w:szCs w:val="16"/>
              </w:rPr>
              <w:t>Native Title Act 1993</w:t>
            </w:r>
            <w:r w:rsidRPr="004111A7">
              <w:rPr>
                <w:rFonts w:ascii="Arial" w:hAnsi="Arial" w:cs="Arial"/>
                <w:sz w:val="16"/>
                <w:szCs w:val="16"/>
              </w:rPr>
              <w:t>, the National Land Ordinance and the Commonwealth Property Disposal Policy.</w:t>
            </w:r>
          </w:p>
          <w:p w14:paraId="1EF2D9C8" w14:textId="093A8348" w:rsidR="00B61B0A" w:rsidRPr="004111A7" w:rsidRDefault="00B61B0A" w:rsidP="00B61B0A">
            <w:pPr>
              <w:tabs>
                <w:tab w:val="left" w:pos="0"/>
              </w:tabs>
              <w:suppressAutoHyphens/>
              <w:spacing w:before="60" w:after="60" w:line="240" w:lineRule="auto"/>
              <w:ind w:left="44"/>
              <w:contextualSpacing/>
              <w:jc w:val="left"/>
              <w:rPr>
                <w:rFonts w:ascii="Arial" w:hAnsi="Arial" w:cs="Arial"/>
                <w:sz w:val="16"/>
                <w:szCs w:val="16"/>
              </w:rPr>
            </w:pPr>
          </w:p>
        </w:tc>
      </w:tr>
      <w:tr w:rsidR="006A0B7F" w:rsidRPr="004111A7" w14:paraId="66293DC2" w14:textId="77777777" w:rsidTr="007C6F19">
        <w:tc>
          <w:tcPr>
            <w:tcW w:w="7671" w:type="dxa"/>
            <w:gridSpan w:val="3"/>
            <w:tcBorders>
              <w:top w:val="double" w:sz="4" w:space="0" w:color="auto"/>
              <w:bottom w:val="double" w:sz="4" w:space="0" w:color="auto"/>
            </w:tcBorders>
          </w:tcPr>
          <w:p w14:paraId="4D7A4155"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information: 2.3 – Property and Construction </w:t>
            </w:r>
          </w:p>
        </w:tc>
      </w:tr>
      <w:tr w:rsidR="006A0B7F" w:rsidRPr="004111A7" w14:paraId="26F74B5D" w14:textId="77777777" w:rsidTr="007C6F19">
        <w:tc>
          <w:tcPr>
            <w:tcW w:w="1358" w:type="dxa"/>
            <w:tcBorders>
              <w:top w:val="double" w:sz="4" w:space="0" w:color="auto"/>
              <w:bottom w:val="single" w:sz="4" w:space="0" w:color="auto"/>
              <w:right w:val="single" w:sz="4" w:space="0" w:color="auto"/>
            </w:tcBorders>
          </w:tcPr>
          <w:p w14:paraId="57331A2F"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142" w:type="dxa"/>
            <w:tcBorders>
              <w:top w:val="double" w:sz="4" w:space="0" w:color="auto"/>
              <w:left w:val="single" w:sz="4" w:space="0" w:color="auto"/>
              <w:bottom w:val="single" w:sz="4" w:space="0" w:color="auto"/>
              <w:right w:val="single" w:sz="4" w:space="0" w:color="auto"/>
            </w:tcBorders>
          </w:tcPr>
          <w:p w14:paraId="5E806DB1" w14:textId="5F32DCF2"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00C50514" w:rsidRPr="004111A7">
              <w:rPr>
                <w:rFonts w:ascii="Arial" w:eastAsia="Arial" w:hAnsi="Arial" w:cs="Arial"/>
                <w:b/>
                <w:sz w:val="16"/>
                <w:szCs w:val="16"/>
                <w:lang w:eastAsia="en-US"/>
              </w:rPr>
              <w:t xml:space="preserve"> </w:t>
            </w:r>
            <w:r w:rsidR="00C50514" w:rsidRPr="004111A7">
              <w:rPr>
                <w:rFonts w:ascii="Arial" w:eastAsia="Arial" w:hAnsi="Arial" w:cs="Arial"/>
                <w:sz w:val="16"/>
                <w:szCs w:val="16"/>
                <w:lang w:eastAsia="en-US"/>
              </w:rPr>
              <w:t>(a)</w:t>
            </w:r>
          </w:p>
        </w:tc>
        <w:tc>
          <w:tcPr>
            <w:tcW w:w="4171" w:type="dxa"/>
            <w:tcBorders>
              <w:top w:val="double" w:sz="4" w:space="0" w:color="auto"/>
              <w:left w:val="single" w:sz="4" w:space="0" w:color="auto"/>
              <w:bottom w:val="single" w:sz="4" w:space="0" w:color="auto"/>
            </w:tcBorders>
          </w:tcPr>
          <w:p w14:paraId="7FFCF95C"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6A0B7F" w:rsidRPr="004111A7" w14:paraId="43C7966F" w14:textId="77777777" w:rsidTr="007C6F19">
        <w:trPr>
          <w:trHeight w:val="60"/>
        </w:trPr>
        <w:tc>
          <w:tcPr>
            <w:tcW w:w="1358" w:type="dxa"/>
            <w:tcBorders>
              <w:top w:val="single" w:sz="4" w:space="0" w:color="auto"/>
              <w:bottom w:val="single" w:sz="4" w:space="0" w:color="auto"/>
              <w:right w:val="single" w:sz="4" w:space="0" w:color="auto"/>
            </w:tcBorders>
          </w:tcPr>
          <w:p w14:paraId="7812FBE2"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2020-21</w:t>
            </w:r>
          </w:p>
        </w:tc>
        <w:tc>
          <w:tcPr>
            <w:tcW w:w="2142" w:type="dxa"/>
            <w:tcBorders>
              <w:top w:val="single" w:sz="4" w:space="0" w:color="auto"/>
              <w:left w:val="single" w:sz="4" w:space="0" w:color="auto"/>
              <w:bottom w:val="single" w:sz="4" w:space="0" w:color="auto"/>
              <w:right w:val="single" w:sz="4" w:space="0" w:color="auto"/>
            </w:tcBorders>
          </w:tcPr>
          <w:p w14:paraId="0B5609C9"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bCs/>
                <w:sz w:val="16"/>
                <w:szCs w:val="16"/>
                <w:lang w:eastAsia="en-US"/>
              </w:rPr>
              <w:t>Commonwealth property initiatives are efficient and effective</w:t>
            </w:r>
          </w:p>
          <w:p w14:paraId="7EC22115" w14:textId="54D3DA70" w:rsidR="006A0B7F" w:rsidRPr="004111A7" w:rsidRDefault="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The management of Commonwealth property demonstrates best practice effectiveness in an evolving environment, and delivers efficiencies in relation to leasing and facilities management for non-corporate Commonwealth entities.</w:t>
            </w:r>
            <w:r w:rsidRPr="004111A7">
              <w:rPr>
                <w:rFonts w:ascii="Arial" w:eastAsia="Arial" w:hAnsi="Arial" w:cs="Arial"/>
                <w:sz w:val="16"/>
                <w:szCs w:val="16"/>
                <w:vertAlign w:val="superscript"/>
                <w:lang w:eastAsia="en-US"/>
              </w:rPr>
              <w:t xml:space="preserve"> </w:t>
            </w:r>
          </w:p>
        </w:tc>
        <w:tc>
          <w:tcPr>
            <w:tcW w:w="4171" w:type="dxa"/>
            <w:tcBorders>
              <w:top w:val="single" w:sz="4" w:space="0" w:color="auto"/>
              <w:left w:val="single" w:sz="4" w:space="0" w:color="auto"/>
              <w:bottom w:val="single" w:sz="4" w:space="0" w:color="auto"/>
            </w:tcBorders>
          </w:tcPr>
          <w:p w14:paraId="787C2440"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On Track</w:t>
            </w:r>
          </w:p>
          <w:p w14:paraId="4D87B4BE" w14:textId="08BDD112"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The 2020 Australian Government Property Register (AGPR) collection is nearing completion (commencement was delayed due to COVID-19), so new AGPR figures are not yet available. </w:t>
            </w:r>
          </w:p>
          <w:p w14:paraId="6A2DC2D9" w14:textId="06D986F2"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The 2019 Office Occupancy Report, published on 30</w:t>
            </w:r>
            <w:r w:rsidR="00BD7329">
              <w:rPr>
                <w:rFonts w:ascii="Arial" w:eastAsia="Arial" w:hAnsi="Arial" w:cs="Arial"/>
                <w:sz w:val="16"/>
                <w:szCs w:val="16"/>
                <w:lang w:eastAsia="en-US"/>
              </w:rPr>
              <w:t> </w:t>
            </w:r>
            <w:r w:rsidRPr="004111A7">
              <w:rPr>
                <w:rFonts w:ascii="Arial" w:eastAsia="Arial" w:hAnsi="Arial" w:cs="Arial"/>
                <w:sz w:val="16"/>
                <w:szCs w:val="16"/>
                <w:lang w:eastAsia="en-US"/>
              </w:rPr>
              <w:t>June</w:t>
            </w:r>
            <w:r w:rsidR="00BD7329">
              <w:rPr>
                <w:rFonts w:ascii="Arial" w:eastAsia="Arial" w:hAnsi="Arial" w:cs="Arial"/>
                <w:sz w:val="16"/>
                <w:szCs w:val="16"/>
                <w:lang w:eastAsia="en-US"/>
              </w:rPr>
              <w:t> </w:t>
            </w:r>
            <w:r w:rsidRPr="004111A7">
              <w:rPr>
                <w:rFonts w:ascii="Arial" w:eastAsia="Arial" w:hAnsi="Arial" w:cs="Arial"/>
                <w:sz w:val="16"/>
                <w:szCs w:val="16"/>
                <w:lang w:eastAsia="en-US"/>
              </w:rPr>
              <w:t xml:space="preserve">2020, highlights that efficiency gains have been locked in since the </w:t>
            </w:r>
            <w:r w:rsidR="00A24B81" w:rsidRPr="004111A7">
              <w:rPr>
                <w:rFonts w:ascii="Arial" w:eastAsia="Arial" w:hAnsi="Arial" w:cs="Arial"/>
                <w:sz w:val="16"/>
                <w:szCs w:val="16"/>
                <w:lang w:eastAsia="en-US"/>
              </w:rPr>
              <w:t>Property Services Coordinated Procurement</w:t>
            </w:r>
            <w:r w:rsidRPr="004111A7">
              <w:rPr>
                <w:rFonts w:ascii="Arial" w:eastAsia="Arial" w:hAnsi="Arial" w:cs="Arial"/>
                <w:sz w:val="16"/>
                <w:szCs w:val="16"/>
                <w:lang w:eastAsia="en-US"/>
              </w:rPr>
              <w:t xml:space="preserve"> </w:t>
            </w:r>
            <w:r w:rsidR="00A24B81" w:rsidRPr="004111A7">
              <w:rPr>
                <w:rFonts w:ascii="Arial" w:eastAsia="Arial" w:hAnsi="Arial" w:cs="Arial"/>
                <w:sz w:val="16"/>
                <w:szCs w:val="16"/>
                <w:lang w:eastAsia="en-US"/>
              </w:rPr>
              <w:t xml:space="preserve">(PSCP) </w:t>
            </w:r>
            <w:r w:rsidRPr="004111A7">
              <w:rPr>
                <w:rFonts w:ascii="Arial" w:eastAsia="Arial" w:hAnsi="Arial" w:cs="Arial"/>
                <w:sz w:val="16"/>
                <w:szCs w:val="16"/>
                <w:lang w:eastAsia="en-US"/>
              </w:rPr>
              <w:t>Arrangements commenced in 2017, including improvements in both occupational density and the proportion of tenancies meeting the density target. The Strategic Property Adviser advises that the Commonwealth’s average office cost is below the estimated average cost for the broader market.</w:t>
            </w:r>
          </w:p>
          <w:p w14:paraId="7898F943" w14:textId="621AB08D"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The </w:t>
            </w:r>
            <w:r w:rsidR="00BD7329">
              <w:rPr>
                <w:rFonts w:ascii="Arial" w:eastAsia="Arial" w:hAnsi="Arial" w:cs="Arial"/>
                <w:sz w:val="16"/>
                <w:szCs w:val="16"/>
                <w:lang w:eastAsia="en-US"/>
              </w:rPr>
              <w:t>WoAG</w:t>
            </w:r>
            <w:r w:rsidRPr="004111A7">
              <w:rPr>
                <w:rFonts w:ascii="Arial" w:eastAsia="Arial" w:hAnsi="Arial" w:cs="Arial"/>
                <w:sz w:val="16"/>
                <w:szCs w:val="16"/>
                <w:lang w:eastAsia="en-US"/>
              </w:rPr>
              <w:t xml:space="preserve"> </w:t>
            </w:r>
            <w:r w:rsidR="00A24B81" w:rsidRPr="004111A7">
              <w:rPr>
                <w:rFonts w:ascii="Arial" w:eastAsia="Arial" w:hAnsi="Arial" w:cs="Arial"/>
                <w:sz w:val="16"/>
                <w:szCs w:val="16"/>
                <w:lang w:eastAsia="en-US"/>
              </w:rPr>
              <w:t>PSCP</w:t>
            </w:r>
            <w:r w:rsidRPr="004111A7">
              <w:rPr>
                <w:rFonts w:ascii="Arial" w:eastAsia="Arial" w:hAnsi="Arial" w:cs="Arial"/>
                <w:sz w:val="16"/>
                <w:szCs w:val="16"/>
                <w:lang w:eastAsia="en-US"/>
              </w:rPr>
              <w:t xml:space="preserve"> Arrangements are also achieving efficiencies for covered entities</w:t>
            </w:r>
            <w:r w:rsidR="00821F46">
              <w:rPr>
                <w:rFonts w:ascii="Arial" w:eastAsia="Arial" w:hAnsi="Arial" w:cs="Arial"/>
                <w:sz w:val="16"/>
                <w:szCs w:val="16"/>
                <w:lang w:eastAsia="en-US"/>
              </w:rPr>
              <w:t>,</w:t>
            </w:r>
            <w:r w:rsidRPr="004111A7">
              <w:rPr>
                <w:rFonts w:ascii="Arial" w:eastAsia="Arial" w:hAnsi="Arial" w:cs="Arial"/>
                <w:sz w:val="16"/>
                <w:szCs w:val="16"/>
                <w:lang w:eastAsia="en-US"/>
              </w:rPr>
              <w:t xml:space="preserve"> with Property Service Providers on track to meet Property Operating Expense savings targets, as required under contractual arrangements.</w:t>
            </w:r>
          </w:p>
          <w:p w14:paraId="2D56FB96" w14:textId="45956CAA" w:rsidR="006A0B7F" w:rsidRPr="004111A7" w:rsidRDefault="006A0B7F" w:rsidP="006A0B7F">
            <w:pPr>
              <w:tabs>
                <w:tab w:val="left" w:pos="709"/>
              </w:tabs>
              <w:suppressAutoHyphens/>
              <w:spacing w:before="60" w:after="60" w:line="240" w:lineRule="auto"/>
              <w:jc w:val="left"/>
              <w:rPr>
                <w:rFonts w:ascii="Arial" w:hAnsi="Arial" w:cs="Arial"/>
                <w:sz w:val="16"/>
                <w:szCs w:val="16"/>
              </w:rPr>
            </w:pPr>
            <w:r w:rsidRPr="004111A7">
              <w:rPr>
                <w:rFonts w:ascii="Arial" w:eastAsia="Arial" w:hAnsi="Arial" w:cs="Arial"/>
                <w:sz w:val="16"/>
                <w:szCs w:val="16"/>
                <w:lang w:eastAsia="en-US"/>
              </w:rPr>
              <w:t>Further to these quantitative measures, Finance’s support of Commonwealth property management delivers a range of non-financial qualitative benefits including improved service delivery, best practice industry expertise and utilisation of Indigenous Providers and Small and Medium Enterprises</w:t>
            </w:r>
            <w:r w:rsidRPr="004111A7">
              <w:rPr>
                <w:rFonts w:ascii="Arial" w:hAnsi="Arial" w:cs="Arial"/>
                <w:sz w:val="16"/>
                <w:szCs w:val="16"/>
              </w:rPr>
              <w:t>.</w:t>
            </w:r>
            <w:r w:rsidR="00B61B0A" w:rsidRPr="004111A7">
              <w:rPr>
                <w:rFonts w:ascii="Arial" w:hAnsi="Arial" w:cs="Arial"/>
                <w:sz w:val="16"/>
                <w:szCs w:val="16"/>
              </w:rPr>
              <w:t xml:space="preserve"> </w:t>
            </w:r>
          </w:p>
          <w:p w14:paraId="1F9F77E7" w14:textId="5ABD5AF3" w:rsidR="00B61B0A" w:rsidRPr="004111A7" w:rsidRDefault="00B61B0A" w:rsidP="00B61B0A">
            <w:pPr>
              <w:tabs>
                <w:tab w:val="left" w:pos="0"/>
              </w:tabs>
              <w:suppressAutoHyphens/>
              <w:spacing w:before="60" w:after="60" w:line="240" w:lineRule="auto"/>
              <w:ind w:left="44"/>
              <w:contextualSpacing/>
              <w:jc w:val="left"/>
              <w:rPr>
                <w:rFonts w:ascii="Arial" w:eastAsia="Arial" w:hAnsi="Arial" w:cs="Arial"/>
                <w:color w:val="FF0000"/>
                <w:sz w:val="16"/>
                <w:szCs w:val="16"/>
                <w:lang w:eastAsia="en-US"/>
              </w:rPr>
            </w:pPr>
          </w:p>
        </w:tc>
      </w:tr>
    </w:tbl>
    <w:p w14:paraId="322C7256" w14:textId="54F15C10" w:rsidR="00C02572" w:rsidRPr="004111A7" w:rsidRDefault="00C02572" w:rsidP="00C02572">
      <w:pPr>
        <w:pStyle w:val="ChartandTableFootnoteAlpha"/>
        <w:numPr>
          <w:ilvl w:val="0"/>
          <w:numId w:val="0"/>
        </w:numPr>
        <w:ind w:left="284" w:hanging="284"/>
      </w:pPr>
      <w:r w:rsidRPr="004111A7">
        <w:t>Table continues on next page</w:t>
      </w:r>
    </w:p>
    <w:p w14:paraId="2F6E56CC" w14:textId="48D48A96" w:rsidR="00C02572" w:rsidRPr="004111A7" w:rsidRDefault="00C02572" w:rsidP="006A0B7F">
      <w:pPr>
        <w:keepNext/>
        <w:spacing w:after="20" w:line="240" w:lineRule="auto"/>
        <w:jc w:val="left"/>
        <w:rPr>
          <w:rFonts w:ascii="Arial" w:hAnsi="Arial" w:cs="Arial"/>
          <w:b/>
        </w:rPr>
      </w:pPr>
      <w:r w:rsidRPr="004111A7">
        <w:rPr>
          <w:rFonts w:ascii="Arial" w:hAnsi="Arial" w:cs="Arial"/>
          <w:b/>
        </w:rPr>
        <w:br w:type="page"/>
      </w:r>
    </w:p>
    <w:p w14:paraId="515EC686" w14:textId="55194A10" w:rsidR="006A0B7F" w:rsidRPr="004111A7" w:rsidRDefault="006A0B7F" w:rsidP="006A0B7F">
      <w:pPr>
        <w:keepNext/>
        <w:spacing w:after="20" w:line="240" w:lineRule="auto"/>
        <w:jc w:val="left"/>
        <w:rPr>
          <w:rFonts w:ascii="Arial" w:hAnsi="Arial" w:cs="Arial"/>
          <w:b/>
        </w:rPr>
      </w:pPr>
      <w:r w:rsidRPr="004111A7">
        <w:rPr>
          <w:rFonts w:ascii="Arial" w:hAnsi="Arial" w:cs="Arial"/>
          <w:b/>
        </w:rPr>
        <w:lastRenderedPageBreak/>
        <w:t xml:space="preserve">Table 2.2.2: Performance </w:t>
      </w:r>
      <w:r w:rsidR="00D0241A" w:rsidRPr="004111A7">
        <w:rPr>
          <w:rFonts w:ascii="Arial" w:hAnsi="Arial" w:cs="Arial"/>
          <w:b/>
        </w:rPr>
        <w:t>measure</w:t>
      </w:r>
      <w:r w:rsidR="00280FEA" w:rsidRPr="004111A7">
        <w:rPr>
          <w:rFonts w:ascii="Arial" w:hAnsi="Arial" w:cs="Arial"/>
          <w:b/>
        </w:rPr>
        <w:t>s</w:t>
      </w:r>
      <w:r w:rsidRPr="004111A7">
        <w:rPr>
          <w:rFonts w:ascii="Arial" w:hAnsi="Arial" w:cs="Arial"/>
          <w:b/>
        </w:rPr>
        <w:t xml:space="preserve"> for Outcome 2 (continued)</w:t>
      </w:r>
    </w:p>
    <w:tbl>
      <w:tblPr>
        <w:tblW w:w="76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142"/>
        <w:gridCol w:w="4115"/>
      </w:tblGrid>
      <w:tr w:rsidR="006A0B7F" w:rsidRPr="004111A7" w14:paraId="6F0B4B99" w14:textId="77777777" w:rsidTr="008519D7">
        <w:tc>
          <w:tcPr>
            <w:tcW w:w="7685" w:type="dxa"/>
            <w:gridSpan w:val="3"/>
            <w:tcBorders>
              <w:top w:val="double" w:sz="4" w:space="0" w:color="auto"/>
              <w:bottom w:val="double" w:sz="4" w:space="0" w:color="auto"/>
            </w:tcBorders>
          </w:tcPr>
          <w:p w14:paraId="3BF2DCBE"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information: 2.3 – Property and Construction </w:t>
            </w:r>
          </w:p>
        </w:tc>
      </w:tr>
      <w:tr w:rsidR="006A0B7F" w:rsidRPr="004111A7" w14:paraId="37BC90DB" w14:textId="77777777" w:rsidTr="00D75CC7">
        <w:tc>
          <w:tcPr>
            <w:tcW w:w="1428" w:type="dxa"/>
            <w:tcBorders>
              <w:top w:val="double" w:sz="4" w:space="0" w:color="auto"/>
              <w:bottom w:val="single" w:sz="4" w:space="0" w:color="auto"/>
              <w:right w:val="single" w:sz="4" w:space="0" w:color="auto"/>
            </w:tcBorders>
          </w:tcPr>
          <w:p w14:paraId="1F601FF9"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142" w:type="dxa"/>
            <w:tcBorders>
              <w:top w:val="double" w:sz="4" w:space="0" w:color="auto"/>
              <w:left w:val="single" w:sz="4" w:space="0" w:color="auto"/>
              <w:bottom w:val="single" w:sz="4" w:space="0" w:color="auto"/>
              <w:right w:val="single" w:sz="4" w:space="0" w:color="auto"/>
            </w:tcBorders>
          </w:tcPr>
          <w:p w14:paraId="45B762CE" w14:textId="13EE3DA3"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00C50514" w:rsidRPr="004111A7">
              <w:rPr>
                <w:rFonts w:ascii="Arial" w:eastAsia="Arial" w:hAnsi="Arial" w:cs="Arial"/>
                <w:b/>
                <w:sz w:val="16"/>
                <w:szCs w:val="16"/>
                <w:lang w:eastAsia="en-US"/>
              </w:rPr>
              <w:t xml:space="preserve"> </w:t>
            </w:r>
            <w:r w:rsidR="00C50514" w:rsidRPr="004111A7">
              <w:rPr>
                <w:rFonts w:ascii="Arial" w:eastAsia="Arial" w:hAnsi="Arial" w:cs="Arial"/>
                <w:sz w:val="16"/>
                <w:szCs w:val="16"/>
                <w:lang w:eastAsia="en-US"/>
              </w:rPr>
              <w:t>(a)</w:t>
            </w:r>
          </w:p>
        </w:tc>
        <w:tc>
          <w:tcPr>
            <w:tcW w:w="4115" w:type="dxa"/>
            <w:tcBorders>
              <w:top w:val="double" w:sz="4" w:space="0" w:color="auto"/>
              <w:left w:val="single" w:sz="4" w:space="0" w:color="auto"/>
              <w:bottom w:val="single" w:sz="4" w:space="0" w:color="auto"/>
            </w:tcBorders>
          </w:tcPr>
          <w:p w14:paraId="27566063"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6A0B7F" w:rsidRPr="004111A7" w14:paraId="6B3CF586" w14:textId="77777777" w:rsidTr="00D75CC7">
        <w:tc>
          <w:tcPr>
            <w:tcW w:w="1428" w:type="dxa"/>
            <w:tcBorders>
              <w:top w:val="dotted" w:sz="4" w:space="0" w:color="auto"/>
              <w:bottom w:val="dotted" w:sz="4" w:space="0" w:color="auto"/>
              <w:right w:val="single" w:sz="4" w:space="0" w:color="auto"/>
            </w:tcBorders>
          </w:tcPr>
          <w:p w14:paraId="580DE1B2"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2021-22</w:t>
            </w:r>
          </w:p>
        </w:tc>
        <w:tc>
          <w:tcPr>
            <w:tcW w:w="2142" w:type="dxa"/>
            <w:tcBorders>
              <w:top w:val="dotted" w:sz="4" w:space="0" w:color="auto"/>
              <w:left w:val="single" w:sz="4" w:space="0" w:color="auto"/>
              <w:bottom w:val="dotted" w:sz="4" w:space="0" w:color="auto"/>
              <w:right w:val="single" w:sz="4" w:space="0" w:color="auto"/>
            </w:tcBorders>
          </w:tcPr>
          <w:p w14:paraId="27985616"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Commonwealth property initiatives are efficient and effective</w:t>
            </w:r>
          </w:p>
          <w:p w14:paraId="0E09D1CE" w14:textId="34F40BBB"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vertAlign w:val="superscript"/>
                <w:lang w:eastAsia="en-US"/>
              </w:rPr>
            </w:pPr>
            <w:r w:rsidRPr="004111A7">
              <w:rPr>
                <w:rFonts w:ascii="Arial" w:eastAsia="Arial" w:hAnsi="Arial" w:cs="Arial"/>
                <w:sz w:val="16"/>
                <w:szCs w:val="16"/>
                <w:lang w:eastAsia="en-US"/>
              </w:rPr>
              <w:t>The management of Commonwealth property demonstrates best practice effectiveness in an evolving environment, and delivers efficiencies in relation to leasing and facilities management for non-corporate Commonwealth entities.</w:t>
            </w:r>
            <w:r w:rsidRPr="004111A7">
              <w:rPr>
                <w:rFonts w:ascii="Arial" w:eastAsia="Arial" w:hAnsi="Arial" w:cs="Arial"/>
                <w:sz w:val="16"/>
                <w:szCs w:val="16"/>
                <w:vertAlign w:val="superscript"/>
                <w:lang w:eastAsia="en-US"/>
              </w:rPr>
              <w:t xml:space="preserve"> </w:t>
            </w:r>
          </w:p>
          <w:p w14:paraId="1A2B5D77" w14:textId="63FA227C" w:rsidR="00B61B0A" w:rsidRPr="004111A7" w:rsidRDefault="00B61B0A" w:rsidP="00B61B0A">
            <w:pPr>
              <w:tabs>
                <w:tab w:val="left" w:pos="0"/>
              </w:tabs>
              <w:suppressAutoHyphens/>
              <w:spacing w:before="60" w:after="60" w:line="240" w:lineRule="auto"/>
              <w:ind w:left="44"/>
              <w:contextualSpacing/>
              <w:jc w:val="left"/>
              <w:rPr>
                <w:rFonts w:ascii="Arial" w:eastAsia="Arial" w:hAnsi="Arial" w:cs="Arial"/>
                <w:sz w:val="16"/>
                <w:szCs w:val="16"/>
                <w:lang w:eastAsia="en-US"/>
              </w:rPr>
            </w:pPr>
          </w:p>
        </w:tc>
        <w:tc>
          <w:tcPr>
            <w:tcW w:w="4115" w:type="dxa"/>
            <w:tcBorders>
              <w:top w:val="dotted" w:sz="4" w:space="0" w:color="auto"/>
              <w:left w:val="single" w:sz="4" w:space="0" w:color="auto"/>
              <w:bottom w:val="dotted" w:sz="4" w:space="0" w:color="auto"/>
            </w:tcBorders>
          </w:tcPr>
          <w:p w14:paraId="0CAD5F0C" w14:textId="7EBF44C3"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Property efficiencies are</w:t>
            </w:r>
            <w:r w:rsidR="001D68CF" w:rsidRPr="004111A7">
              <w:rPr>
                <w:rFonts w:ascii="Arial" w:eastAsia="Arial" w:hAnsi="Arial" w:cs="Arial"/>
                <w:sz w:val="16"/>
                <w:szCs w:val="16"/>
                <w:lang w:eastAsia="en-US"/>
              </w:rPr>
              <w:t xml:space="preserve"> delivered through the </w:t>
            </w:r>
            <w:r w:rsidR="00BD7329">
              <w:rPr>
                <w:rFonts w:ascii="Arial" w:eastAsia="Arial" w:hAnsi="Arial" w:cs="Arial"/>
                <w:sz w:val="16"/>
                <w:szCs w:val="16"/>
                <w:lang w:eastAsia="en-US"/>
              </w:rPr>
              <w:t>WoAG</w:t>
            </w:r>
            <w:r w:rsidRPr="004111A7">
              <w:rPr>
                <w:rFonts w:ascii="Arial" w:eastAsia="Arial" w:hAnsi="Arial" w:cs="Arial"/>
                <w:sz w:val="16"/>
                <w:szCs w:val="16"/>
                <w:lang w:eastAsia="en-US"/>
              </w:rPr>
              <w:t xml:space="preserve"> </w:t>
            </w:r>
            <w:r w:rsidR="00A24B81" w:rsidRPr="004111A7">
              <w:rPr>
                <w:rFonts w:ascii="Arial" w:eastAsia="Arial" w:hAnsi="Arial" w:cs="Arial"/>
                <w:sz w:val="16"/>
                <w:szCs w:val="16"/>
                <w:lang w:eastAsia="en-US"/>
              </w:rPr>
              <w:t>PSCP A</w:t>
            </w:r>
            <w:r w:rsidRPr="004111A7">
              <w:rPr>
                <w:rFonts w:ascii="Arial" w:eastAsia="Arial" w:hAnsi="Arial" w:cs="Arial"/>
                <w:sz w:val="16"/>
                <w:szCs w:val="16"/>
                <w:lang w:eastAsia="en-US"/>
              </w:rPr>
              <w:t>rrangements for leasing and facilities management.</w:t>
            </w:r>
          </w:p>
          <w:p w14:paraId="72240767" w14:textId="77777777" w:rsidR="006A0B7F" w:rsidRPr="004111A7" w:rsidRDefault="006A0B7F" w:rsidP="006A0B7F">
            <w:pPr>
              <w:tabs>
                <w:tab w:val="left" w:pos="709"/>
              </w:tabs>
              <w:suppressAutoHyphens/>
              <w:spacing w:before="60" w:after="60" w:line="240" w:lineRule="auto"/>
              <w:jc w:val="left"/>
              <w:rPr>
                <w:rFonts w:ascii="Arial" w:eastAsia="Arial" w:hAnsi="Arial" w:cs="Arial"/>
                <w:i/>
                <w:color w:val="FF0000"/>
                <w:sz w:val="16"/>
                <w:szCs w:val="16"/>
                <w:lang w:eastAsia="en-US"/>
              </w:rPr>
            </w:pPr>
            <w:r w:rsidRPr="004111A7">
              <w:rPr>
                <w:rFonts w:ascii="Arial" w:eastAsia="Arial" w:hAnsi="Arial" w:cs="Arial"/>
                <w:sz w:val="16"/>
                <w:szCs w:val="16"/>
                <w:lang w:eastAsia="en-US"/>
              </w:rPr>
              <w:t>Effectiveness of Finance's stewardship, policy advice, engagement and guidance on Commonwealth property management.</w:t>
            </w:r>
          </w:p>
        </w:tc>
      </w:tr>
      <w:tr w:rsidR="006A0B7F" w:rsidRPr="004111A7" w14:paraId="702C6881" w14:textId="77777777" w:rsidTr="00D75CC7">
        <w:tc>
          <w:tcPr>
            <w:tcW w:w="1428" w:type="dxa"/>
            <w:tcBorders>
              <w:top w:val="dotted" w:sz="4" w:space="0" w:color="auto"/>
              <w:bottom w:val="dotted" w:sz="4" w:space="0" w:color="auto"/>
              <w:right w:val="single" w:sz="4" w:space="0" w:color="auto"/>
            </w:tcBorders>
          </w:tcPr>
          <w:p w14:paraId="1CA4004E"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2022-23 and beyond</w:t>
            </w:r>
          </w:p>
        </w:tc>
        <w:tc>
          <w:tcPr>
            <w:tcW w:w="2142" w:type="dxa"/>
            <w:tcBorders>
              <w:top w:val="dotted" w:sz="4" w:space="0" w:color="auto"/>
              <w:left w:val="single" w:sz="4" w:space="0" w:color="auto"/>
              <w:bottom w:val="dotted" w:sz="4" w:space="0" w:color="auto"/>
              <w:right w:val="single" w:sz="4" w:space="0" w:color="auto"/>
            </w:tcBorders>
          </w:tcPr>
          <w:p w14:paraId="5AAC7618" w14:textId="2C71AB1F"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As per 2021-22</w:t>
            </w:r>
            <w:r w:rsidR="006A3032" w:rsidRPr="004111A7">
              <w:rPr>
                <w:rFonts w:ascii="Arial" w:eastAsia="Arial" w:hAnsi="Arial" w:cs="Arial"/>
                <w:sz w:val="16"/>
                <w:szCs w:val="16"/>
                <w:lang w:eastAsia="en-US"/>
              </w:rPr>
              <w:t>.</w:t>
            </w:r>
          </w:p>
        </w:tc>
        <w:tc>
          <w:tcPr>
            <w:tcW w:w="4115" w:type="dxa"/>
            <w:tcBorders>
              <w:top w:val="dotted" w:sz="4" w:space="0" w:color="auto"/>
              <w:left w:val="single" w:sz="4" w:space="0" w:color="auto"/>
              <w:bottom w:val="dotted" w:sz="4" w:space="0" w:color="auto"/>
            </w:tcBorders>
          </w:tcPr>
          <w:p w14:paraId="253B54AE" w14:textId="2ED645AD" w:rsidR="006A0B7F" w:rsidRPr="004111A7" w:rsidRDefault="006A0B7F" w:rsidP="006A0B7F">
            <w:pPr>
              <w:tabs>
                <w:tab w:val="left" w:pos="709"/>
              </w:tabs>
              <w:suppressAutoHyphens/>
              <w:spacing w:before="60" w:after="60" w:line="240" w:lineRule="auto"/>
              <w:jc w:val="left"/>
              <w:rPr>
                <w:rFonts w:ascii="Arial" w:eastAsia="Arial" w:hAnsi="Arial" w:cs="Arial"/>
                <w:color w:val="FF0000"/>
                <w:sz w:val="16"/>
                <w:szCs w:val="16"/>
                <w:lang w:eastAsia="en-US"/>
              </w:rPr>
            </w:pPr>
            <w:r w:rsidRPr="004111A7">
              <w:rPr>
                <w:rFonts w:ascii="Arial" w:eastAsia="Arial" w:hAnsi="Arial" w:cs="Arial"/>
                <w:sz w:val="16"/>
                <w:szCs w:val="16"/>
                <w:lang w:eastAsia="en-US"/>
              </w:rPr>
              <w:t>As per 2021-22</w:t>
            </w:r>
            <w:r w:rsidR="006A3032" w:rsidRPr="004111A7">
              <w:rPr>
                <w:rFonts w:ascii="Arial" w:eastAsia="Arial" w:hAnsi="Arial" w:cs="Arial"/>
                <w:sz w:val="16"/>
                <w:szCs w:val="16"/>
                <w:lang w:eastAsia="en-US"/>
              </w:rPr>
              <w:t>.</w:t>
            </w:r>
          </w:p>
        </w:tc>
      </w:tr>
      <w:tr w:rsidR="006A0B7F" w:rsidRPr="004111A7" w14:paraId="1118E1D1" w14:textId="77777777" w:rsidTr="00D75CC7">
        <w:tc>
          <w:tcPr>
            <w:tcW w:w="1428" w:type="dxa"/>
          </w:tcPr>
          <w:p w14:paraId="72B22023"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Purpose</w:t>
            </w:r>
          </w:p>
        </w:tc>
        <w:tc>
          <w:tcPr>
            <w:tcW w:w="6257" w:type="dxa"/>
            <w:gridSpan w:val="2"/>
          </w:tcPr>
          <w:p w14:paraId="58EFB9EE"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To assist the Australian Government to achieve its fiscal and policy objectives by advising on expenditure, managing sustainable public sector resourcing, driving public sector transformation and delivering efficient, cost-effective services to, and for, government.</w:t>
            </w:r>
          </w:p>
          <w:p w14:paraId="3687C18C" w14:textId="627FB92C" w:rsidR="00B61B0A" w:rsidRPr="004111A7" w:rsidRDefault="00B61B0A" w:rsidP="00B61B0A">
            <w:pPr>
              <w:tabs>
                <w:tab w:val="left" w:pos="0"/>
              </w:tabs>
              <w:suppressAutoHyphens/>
              <w:spacing w:before="60" w:after="60" w:line="240" w:lineRule="auto"/>
              <w:ind w:left="44"/>
              <w:contextualSpacing/>
              <w:jc w:val="left"/>
              <w:rPr>
                <w:rFonts w:ascii="Arial" w:eastAsia="Arial" w:hAnsi="Arial" w:cs="Arial"/>
                <w:color w:val="FF0000"/>
                <w:sz w:val="16"/>
                <w:szCs w:val="16"/>
                <w:lang w:eastAsia="en-US"/>
              </w:rPr>
            </w:pPr>
          </w:p>
        </w:tc>
      </w:tr>
    </w:tbl>
    <w:p w14:paraId="401360E3" w14:textId="44D1F5EA" w:rsidR="008519D7" w:rsidRPr="004111A7" w:rsidRDefault="008519D7" w:rsidP="008519D7">
      <w:pPr>
        <w:pStyle w:val="ChartandTableFootnoteAlpha"/>
        <w:numPr>
          <w:ilvl w:val="0"/>
          <w:numId w:val="0"/>
        </w:numPr>
        <w:ind w:left="284" w:hanging="284"/>
      </w:pPr>
      <w:r w:rsidRPr="004111A7">
        <w:t>Table continues on next page</w:t>
      </w:r>
    </w:p>
    <w:p w14:paraId="029BCD1F" w14:textId="5F225A38" w:rsidR="008519D7" w:rsidRPr="004111A7" w:rsidRDefault="008519D7" w:rsidP="006A0B7F">
      <w:pPr>
        <w:keepNext/>
        <w:spacing w:after="20" w:line="240" w:lineRule="auto"/>
        <w:jc w:val="left"/>
        <w:rPr>
          <w:rFonts w:ascii="Arial" w:hAnsi="Arial" w:cs="Arial"/>
          <w:b/>
        </w:rPr>
      </w:pPr>
      <w:r w:rsidRPr="004111A7">
        <w:rPr>
          <w:rFonts w:ascii="Arial" w:hAnsi="Arial" w:cs="Arial"/>
          <w:b/>
        </w:rPr>
        <w:br w:type="page"/>
      </w:r>
    </w:p>
    <w:p w14:paraId="2E18C899" w14:textId="598946A5" w:rsidR="006A0B7F" w:rsidRPr="004111A7" w:rsidRDefault="006A0B7F" w:rsidP="006A0B7F">
      <w:pPr>
        <w:keepNext/>
        <w:spacing w:after="20" w:line="240" w:lineRule="auto"/>
        <w:jc w:val="left"/>
        <w:rPr>
          <w:rFonts w:ascii="Arial" w:hAnsi="Arial" w:cs="Arial"/>
          <w:b/>
        </w:rPr>
      </w:pPr>
      <w:r w:rsidRPr="004111A7">
        <w:rPr>
          <w:rFonts w:ascii="Arial" w:hAnsi="Arial" w:cs="Arial"/>
          <w:b/>
        </w:rPr>
        <w:lastRenderedPageBreak/>
        <w:t xml:space="preserve">Table 2.2.2: Performance </w:t>
      </w:r>
      <w:r w:rsidR="00D0241A" w:rsidRPr="004111A7">
        <w:rPr>
          <w:rFonts w:ascii="Arial" w:hAnsi="Arial" w:cs="Arial"/>
          <w:b/>
        </w:rPr>
        <w:t>measure</w:t>
      </w:r>
      <w:r w:rsidR="00280FEA" w:rsidRPr="004111A7">
        <w:rPr>
          <w:rFonts w:ascii="Arial" w:hAnsi="Arial" w:cs="Arial"/>
          <w:b/>
        </w:rPr>
        <w:t>s</w:t>
      </w:r>
      <w:r w:rsidRPr="004111A7">
        <w:rPr>
          <w:rFonts w:ascii="Arial" w:hAnsi="Arial" w:cs="Arial"/>
          <w:b/>
        </w:rPr>
        <w:t xml:space="preserve"> for Outcome 2 (continued)</w:t>
      </w:r>
    </w:p>
    <w:tbl>
      <w:tblPr>
        <w:tblW w:w="76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2170"/>
        <w:gridCol w:w="4115"/>
      </w:tblGrid>
      <w:tr w:rsidR="006A0B7F" w:rsidRPr="004111A7" w14:paraId="4C603BDA" w14:textId="77777777" w:rsidTr="008519D7">
        <w:trPr>
          <w:tblHeader/>
        </w:trPr>
        <w:tc>
          <w:tcPr>
            <w:tcW w:w="7685" w:type="dxa"/>
            <w:gridSpan w:val="3"/>
            <w:shd w:val="clear" w:color="auto" w:fill="F2F2F2"/>
          </w:tcPr>
          <w:p w14:paraId="07D4611E" w14:textId="77777777" w:rsidR="006A0B7F" w:rsidRPr="004111A7" w:rsidRDefault="006A0B7F" w:rsidP="006A0B7F">
            <w:pPr>
              <w:tabs>
                <w:tab w:val="left" w:pos="709"/>
              </w:tabs>
              <w:suppressAutoHyphens/>
              <w:spacing w:before="40" w:after="60" w:line="240" w:lineRule="auto"/>
              <w:jc w:val="left"/>
              <w:rPr>
                <w:rFonts w:ascii="Arial" w:eastAsia="Arial" w:hAnsi="Arial" w:cs="Arial"/>
                <w:sz w:val="16"/>
                <w:szCs w:val="16"/>
                <w:lang w:eastAsia="en-US"/>
              </w:rPr>
            </w:pPr>
            <w:r w:rsidRPr="004111A7">
              <w:rPr>
                <w:rFonts w:ascii="Arial" w:eastAsia="Arial" w:hAnsi="Arial" w:cs="Arial"/>
                <w:b/>
                <w:sz w:val="16"/>
                <w:szCs w:val="16"/>
                <w:lang w:eastAsia="en-US"/>
              </w:rPr>
              <w:t>Program 2.4</w:t>
            </w:r>
            <w:r w:rsidRPr="004111A7">
              <w:rPr>
                <w:rFonts w:ascii="Arial" w:eastAsia="Arial" w:hAnsi="Arial" w:cs="Arial"/>
                <w:sz w:val="16"/>
                <w:szCs w:val="16"/>
                <w:lang w:eastAsia="en-US"/>
              </w:rPr>
              <w:t xml:space="preserve"> – </w:t>
            </w:r>
            <w:r w:rsidRPr="004111A7">
              <w:rPr>
                <w:rFonts w:ascii="Arial" w:eastAsia="Arial" w:hAnsi="Arial" w:cs="Arial"/>
                <w:b/>
                <w:sz w:val="16"/>
                <w:szCs w:val="16"/>
                <w:lang w:eastAsia="en-US"/>
              </w:rPr>
              <w:t>Insurance and Risk Management</w:t>
            </w:r>
          </w:p>
          <w:p w14:paraId="799E639B" w14:textId="77777777" w:rsidR="006A0B7F" w:rsidRPr="004111A7" w:rsidRDefault="006A0B7F" w:rsidP="006A0B7F">
            <w:pPr>
              <w:tabs>
                <w:tab w:val="left" w:pos="709"/>
              </w:tabs>
              <w:suppressAutoHyphens/>
              <w:spacing w:before="40" w:after="4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This program contributes to the outcome by providing general insurance services and promoting risk management across the Government through the Comcover Special Account.</w:t>
            </w:r>
          </w:p>
        </w:tc>
      </w:tr>
      <w:tr w:rsidR="006A0B7F" w:rsidRPr="004111A7" w14:paraId="2E90E7BE" w14:textId="77777777" w:rsidTr="00D75CC7">
        <w:tc>
          <w:tcPr>
            <w:tcW w:w="1400" w:type="dxa"/>
            <w:tcBorders>
              <w:bottom w:val="double" w:sz="4" w:space="0" w:color="auto"/>
            </w:tcBorders>
          </w:tcPr>
          <w:p w14:paraId="22E4EE7E" w14:textId="77777777" w:rsidR="006A0B7F" w:rsidRPr="004111A7" w:rsidRDefault="006A0B7F" w:rsidP="006A0B7F">
            <w:pPr>
              <w:tabs>
                <w:tab w:val="left" w:pos="709"/>
              </w:tabs>
              <w:suppressAutoHyphens/>
              <w:spacing w:before="20" w:after="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Delivery</w:t>
            </w:r>
          </w:p>
        </w:tc>
        <w:tc>
          <w:tcPr>
            <w:tcW w:w="6285" w:type="dxa"/>
            <w:gridSpan w:val="2"/>
            <w:tcBorders>
              <w:bottom w:val="double" w:sz="4" w:space="0" w:color="auto"/>
            </w:tcBorders>
          </w:tcPr>
          <w:p w14:paraId="439E1883" w14:textId="77777777" w:rsidR="006A0B7F" w:rsidRPr="004111A7" w:rsidRDefault="006A0B7F" w:rsidP="002F2EE5">
            <w:pPr>
              <w:numPr>
                <w:ilvl w:val="0"/>
                <w:numId w:val="54"/>
              </w:numPr>
              <w:tabs>
                <w:tab w:val="left" w:pos="356"/>
              </w:tabs>
              <w:suppressAutoHyphens/>
              <w:spacing w:before="20" w:after="0" w:line="240" w:lineRule="auto"/>
              <w:contextualSpacing/>
              <w:jc w:val="left"/>
              <w:rPr>
                <w:rFonts w:ascii="Arial" w:eastAsia="Cambria" w:hAnsi="Arial" w:cs="Arial"/>
                <w:sz w:val="16"/>
                <w:szCs w:val="16"/>
                <w:lang w:eastAsia="en-US"/>
              </w:rPr>
            </w:pPr>
            <w:r w:rsidRPr="004111A7">
              <w:rPr>
                <w:rFonts w:ascii="Arial" w:hAnsi="Arial" w:cs="Arial"/>
                <w:sz w:val="16"/>
                <w:szCs w:val="16"/>
              </w:rPr>
              <w:t>Providing a self-managed insurance fund (Comcover) to protect Commonwealth entities against the impact and volatility of insurable losses.</w:t>
            </w:r>
          </w:p>
          <w:p w14:paraId="231F3109" w14:textId="77777777" w:rsidR="006A0B7F" w:rsidRPr="004111A7" w:rsidRDefault="006A0B7F" w:rsidP="002F2EE5">
            <w:pPr>
              <w:numPr>
                <w:ilvl w:val="0"/>
                <w:numId w:val="54"/>
              </w:numPr>
              <w:tabs>
                <w:tab w:val="left" w:pos="356"/>
              </w:tabs>
              <w:suppressAutoHyphens/>
              <w:spacing w:before="20" w:after="0" w:line="240" w:lineRule="auto"/>
              <w:contextualSpacing/>
              <w:jc w:val="left"/>
              <w:rPr>
                <w:rFonts w:ascii="Arial" w:eastAsia="Cambria" w:hAnsi="Arial" w:cs="Arial"/>
                <w:sz w:val="16"/>
                <w:szCs w:val="16"/>
                <w:lang w:eastAsia="en-US"/>
              </w:rPr>
            </w:pPr>
            <w:r w:rsidRPr="004111A7">
              <w:rPr>
                <w:rFonts w:ascii="Arial" w:hAnsi="Arial" w:cs="Arial"/>
                <w:sz w:val="16"/>
                <w:szCs w:val="16"/>
              </w:rPr>
              <w:t>Providing a consistent WoAG approach to managing legal liability claims against Commonwealth entities.</w:t>
            </w:r>
          </w:p>
          <w:p w14:paraId="0EDB2875" w14:textId="77777777" w:rsidR="006A0B7F" w:rsidRPr="004111A7" w:rsidRDefault="006A0B7F" w:rsidP="002F2EE5">
            <w:pPr>
              <w:numPr>
                <w:ilvl w:val="0"/>
                <w:numId w:val="54"/>
              </w:numPr>
              <w:tabs>
                <w:tab w:val="left" w:pos="356"/>
              </w:tabs>
              <w:suppressAutoHyphens/>
              <w:spacing w:before="20" w:after="0" w:line="240" w:lineRule="auto"/>
              <w:contextualSpacing/>
              <w:jc w:val="left"/>
              <w:rPr>
                <w:rFonts w:ascii="Arial" w:eastAsia="Cambria" w:hAnsi="Arial" w:cs="Arial"/>
                <w:sz w:val="16"/>
                <w:szCs w:val="16"/>
                <w:lang w:eastAsia="en-US"/>
              </w:rPr>
            </w:pPr>
            <w:r w:rsidRPr="004111A7">
              <w:rPr>
                <w:rFonts w:ascii="Arial" w:hAnsi="Arial" w:cs="Arial"/>
                <w:sz w:val="16"/>
                <w:szCs w:val="16"/>
              </w:rPr>
              <w:t>Providing risk management and education services to entities to support best practice risk management across the Government.</w:t>
            </w:r>
          </w:p>
          <w:p w14:paraId="7EA8D8C5" w14:textId="33884C12" w:rsidR="00870D84" w:rsidRPr="004111A7" w:rsidRDefault="00870D84" w:rsidP="00870D84">
            <w:pPr>
              <w:tabs>
                <w:tab w:val="left" w:pos="356"/>
              </w:tabs>
              <w:suppressAutoHyphens/>
              <w:spacing w:before="20" w:after="0" w:line="240" w:lineRule="auto"/>
              <w:ind w:left="360"/>
              <w:contextualSpacing/>
              <w:jc w:val="left"/>
              <w:rPr>
                <w:rFonts w:ascii="Arial" w:eastAsia="Cambria" w:hAnsi="Arial" w:cs="Arial"/>
                <w:sz w:val="16"/>
                <w:szCs w:val="16"/>
                <w:lang w:eastAsia="en-US"/>
              </w:rPr>
            </w:pPr>
          </w:p>
        </w:tc>
      </w:tr>
      <w:tr w:rsidR="006A0B7F" w:rsidRPr="004111A7" w14:paraId="7B268190" w14:textId="77777777" w:rsidTr="008519D7">
        <w:tc>
          <w:tcPr>
            <w:tcW w:w="7685" w:type="dxa"/>
            <w:gridSpan w:val="3"/>
            <w:tcBorders>
              <w:top w:val="double" w:sz="4" w:space="0" w:color="auto"/>
              <w:bottom w:val="double" w:sz="4" w:space="0" w:color="auto"/>
            </w:tcBorders>
          </w:tcPr>
          <w:p w14:paraId="08172657" w14:textId="77777777" w:rsidR="006A0B7F" w:rsidRPr="004111A7" w:rsidRDefault="006A0B7F" w:rsidP="006A0B7F">
            <w:pPr>
              <w:tabs>
                <w:tab w:val="left" w:pos="709"/>
              </w:tabs>
              <w:suppressAutoHyphens/>
              <w:spacing w:before="40" w:after="4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Performance information: Program 2.4 – Insurance and Risk Management</w:t>
            </w:r>
          </w:p>
        </w:tc>
      </w:tr>
      <w:tr w:rsidR="006A0B7F" w:rsidRPr="004111A7" w14:paraId="365CE005" w14:textId="77777777" w:rsidTr="00D75CC7">
        <w:tc>
          <w:tcPr>
            <w:tcW w:w="1400" w:type="dxa"/>
            <w:tcBorders>
              <w:top w:val="double" w:sz="4" w:space="0" w:color="auto"/>
              <w:bottom w:val="single" w:sz="4" w:space="0" w:color="auto"/>
              <w:right w:val="single" w:sz="4" w:space="0" w:color="auto"/>
            </w:tcBorders>
          </w:tcPr>
          <w:p w14:paraId="0F4566BA" w14:textId="77777777" w:rsidR="006A0B7F" w:rsidRPr="004111A7" w:rsidRDefault="006A0B7F" w:rsidP="006A0B7F">
            <w:pPr>
              <w:tabs>
                <w:tab w:val="left" w:pos="709"/>
              </w:tabs>
              <w:suppressAutoHyphens/>
              <w:spacing w:before="40" w:after="4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170" w:type="dxa"/>
            <w:tcBorders>
              <w:top w:val="double" w:sz="4" w:space="0" w:color="auto"/>
              <w:left w:val="single" w:sz="4" w:space="0" w:color="auto"/>
              <w:bottom w:val="single" w:sz="4" w:space="0" w:color="auto"/>
              <w:right w:val="single" w:sz="4" w:space="0" w:color="auto"/>
            </w:tcBorders>
          </w:tcPr>
          <w:p w14:paraId="7482B952" w14:textId="0478BF0E" w:rsidR="006A0B7F" w:rsidRPr="004111A7" w:rsidRDefault="008519D7" w:rsidP="008519D7">
            <w:pPr>
              <w:tabs>
                <w:tab w:val="left" w:pos="709"/>
              </w:tabs>
              <w:suppressAutoHyphens/>
              <w:spacing w:before="40" w:after="4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00C50514" w:rsidRPr="004111A7">
              <w:rPr>
                <w:rFonts w:ascii="Arial" w:eastAsia="Arial" w:hAnsi="Arial" w:cs="Arial"/>
                <w:b/>
                <w:sz w:val="16"/>
                <w:szCs w:val="16"/>
                <w:lang w:eastAsia="en-US"/>
              </w:rPr>
              <w:t xml:space="preserve"> </w:t>
            </w:r>
            <w:r w:rsidR="00C50514" w:rsidRPr="004111A7">
              <w:rPr>
                <w:rFonts w:ascii="Arial" w:eastAsia="Arial" w:hAnsi="Arial" w:cs="Arial"/>
                <w:sz w:val="16"/>
                <w:szCs w:val="16"/>
                <w:lang w:eastAsia="en-US"/>
              </w:rPr>
              <w:t>(a)</w:t>
            </w:r>
          </w:p>
        </w:tc>
        <w:tc>
          <w:tcPr>
            <w:tcW w:w="4115" w:type="dxa"/>
            <w:tcBorders>
              <w:top w:val="double" w:sz="4" w:space="0" w:color="auto"/>
              <w:left w:val="single" w:sz="4" w:space="0" w:color="auto"/>
              <w:bottom w:val="single" w:sz="4" w:space="0" w:color="auto"/>
            </w:tcBorders>
          </w:tcPr>
          <w:p w14:paraId="560C7121" w14:textId="77777777" w:rsidR="006A0B7F" w:rsidRPr="004111A7" w:rsidRDefault="006A0B7F" w:rsidP="006A0B7F">
            <w:pPr>
              <w:tabs>
                <w:tab w:val="left" w:pos="709"/>
              </w:tabs>
              <w:suppressAutoHyphens/>
              <w:spacing w:before="40" w:after="4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6A0B7F" w:rsidRPr="004111A7" w14:paraId="6E358E7D" w14:textId="77777777" w:rsidTr="00D75CC7">
        <w:trPr>
          <w:trHeight w:val="60"/>
        </w:trPr>
        <w:tc>
          <w:tcPr>
            <w:tcW w:w="1400" w:type="dxa"/>
            <w:tcBorders>
              <w:top w:val="single" w:sz="4" w:space="0" w:color="auto"/>
              <w:bottom w:val="single" w:sz="4" w:space="0" w:color="auto"/>
              <w:right w:val="single" w:sz="4" w:space="0" w:color="auto"/>
            </w:tcBorders>
          </w:tcPr>
          <w:p w14:paraId="240B0246" w14:textId="77777777" w:rsidR="006A0B7F" w:rsidRPr="004111A7" w:rsidRDefault="006A0B7F" w:rsidP="001F2DCA">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2020-21</w:t>
            </w:r>
          </w:p>
        </w:tc>
        <w:tc>
          <w:tcPr>
            <w:tcW w:w="2170" w:type="dxa"/>
            <w:tcBorders>
              <w:top w:val="single" w:sz="4" w:space="0" w:color="auto"/>
              <w:left w:val="single" w:sz="4" w:space="0" w:color="auto"/>
              <w:bottom w:val="single" w:sz="4" w:space="0" w:color="auto"/>
              <w:right w:val="single" w:sz="4" w:space="0" w:color="auto"/>
            </w:tcBorders>
          </w:tcPr>
          <w:p w14:paraId="556304D4" w14:textId="77777777" w:rsidR="006A0B7F" w:rsidRPr="004111A7" w:rsidRDefault="006A0B7F" w:rsidP="006A1703">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Treatment of insurable risks and claims management</w:t>
            </w:r>
          </w:p>
          <w:p w14:paraId="52BD2B35" w14:textId="0ABDEB53" w:rsidR="006A0B7F" w:rsidRPr="004111A7" w:rsidRDefault="006A0B7F">
            <w:pPr>
              <w:tabs>
                <w:tab w:val="left" w:pos="709"/>
              </w:tabs>
              <w:suppressAutoHyphens/>
              <w:spacing w:before="180" w:afterLines="20" w:after="48"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Comcover is effectively managed to ensure the fund is financially sustainable, there is a consistent, WoAG approach to the management of claims and Comcover supports the improvement of risk maturity in General Government Sector entities over time.</w:t>
            </w:r>
            <w:r w:rsidRPr="004111A7">
              <w:rPr>
                <w:rFonts w:ascii="Arial" w:eastAsia="Arial" w:hAnsi="Arial" w:cs="Arial"/>
                <w:sz w:val="16"/>
                <w:szCs w:val="16"/>
                <w:vertAlign w:val="superscript"/>
                <w:lang w:eastAsia="en-US"/>
              </w:rPr>
              <w:t xml:space="preserve"> </w:t>
            </w:r>
          </w:p>
        </w:tc>
        <w:tc>
          <w:tcPr>
            <w:tcW w:w="4115" w:type="dxa"/>
            <w:tcBorders>
              <w:top w:val="single" w:sz="4" w:space="0" w:color="auto"/>
              <w:left w:val="single" w:sz="4" w:space="0" w:color="auto"/>
              <w:bottom w:val="single" w:sz="4" w:space="0" w:color="auto"/>
            </w:tcBorders>
          </w:tcPr>
          <w:p w14:paraId="3E2F6333" w14:textId="77777777" w:rsidR="006A0B7F" w:rsidRPr="004111A7" w:rsidRDefault="006A0B7F" w:rsidP="003F5522">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On Track.</w:t>
            </w:r>
          </w:p>
          <w:p w14:paraId="3AFD784A" w14:textId="77777777" w:rsidR="006A0B7F" w:rsidRPr="004111A7" w:rsidRDefault="006A0B7F" w:rsidP="006A0B7F">
            <w:pPr>
              <w:suppressAutoHyphens/>
              <w:spacing w:before="180" w:afterLines="20" w:after="48"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As at 31 December 2020, Comcover net assets are projected to be $36.2 million at 2020-21 financial year-end.</w:t>
            </w:r>
          </w:p>
          <w:p w14:paraId="28FC83C7" w14:textId="093E2AC1" w:rsidR="006A0B7F" w:rsidRPr="004111A7" w:rsidRDefault="006A0B7F" w:rsidP="006A0B7F">
            <w:pPr>
              <w:suppressAutoHyphens/>
              <w:spacing w:before="180" w:afterLines="20" w:after="48"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Finance is undertaking all litigation consistently with </w:t>
            </w:r>
            <w:r w:rsidR="00821F46">
              <w:rPr>
                <w:rFonts w:ascii="Arial" w:eastAsia="Arial" w:hAnsi="Arial" w:cs="Arial"/>
                <w:sz w:val="16"/>
                <w:szCs w:val="16"/>
                <w:lang w:eastAsia="en-US"/>
              </w:rPr>
              <w:t>its</w:t>
            </w:r>
            <w:r w:rsidR="00821F46" w:rsidRPr="004111A7">
              <w:rPr>
                <w:rFonts w:ascii="Arial" w:eastAsia="Arial" w:hAnsi="Arial" w:cs="Arial"/>
                <w:sz w:val="16"/>
                <w:szCs w:val="16"/>
                <w:lang w:eastAsia="en-US"/>
              </w:rPr>
              <w:t xml:space="preserve"> </w:t>
            </w:r>
            <w:r w:rsidRPr="004111A7">
              <w:rPr>
                <w:rFonts w:ascii="Arial" w:eastAsia="Arial" w:hAnsi="Arial" w:cs="Arial"/>
                <w:sz w:val="16"/>
                <w:szCs w:val="16"/>
                <w:lang w:eastAsia="en-US"/>
              </w:rPr>
              <w:t>obligation</w:t>
            </w:r>
            <w:r w:rsidR="00821F46">
              <w:rPr>
                <w:rFonts w:ascii="Arial" w:eastAsia="Arial" w:hAnsi="Arial" w:cs="Arial"/>
                <w:sz w:val="16"/>
                <w:szCs w:val="16"/>
                <w:lang w:eastAsia="en-US"/>
              </w:rPr>
              <w:t>s</w:t>
            </w:r>
            <w:r w:rsidRPr="004111A7">
              <w:rPr>
                <w:rFonts w:ascii="Arial" w:eastAsia="Arial" w:hAnsi="Arial" w:cs="Arial"/>
                <w:sz w:val="16"/>
                <w:szCs w:val="16"/>
                <w:lang w:eastAsia="en-US"/>
              </w:rPr>
              <w:t xml:space="preserve"> to act as a model litigant and other obligations under the </w:t>
            </w:r>
            <w:r w:rsidRPr="004111A7">
              <w:rPr>
                <w:rFonts w:ascii="Arial" w:eastAsia="Arial" w:hAnsi="Arial" w:cs="Arial"/>
                <w:i/>
                <w:sz w:val="16"/>
                <w:szCs w:val="16"/>
                <w:lang w:eastAsia="en-US"/>
              </w:rPr>
              <w:t>Legal Services Directions 2017</w:t>
            </w:r>
            <w:r w:rsidRPr="004111A7">
              <w:rPr>
                <w:rFonts w:ascii="Arial" w:eastAsia="Arial" w:hAnsi="Arial" w:cs="Arial"/>
                <w:sz w:val="16"/>
                <w:szCs w:val="16"/>
                <w:lang w:eastAsia="en-US"/>
              </w:rPr>
              <w:t xml:space="preserve">. </w:t>
            </w:r>
          </w:p>
          <w:p w14:paraId="7A583B69" w14:textId="70CAE394" w:rsidR="006A0B7F" w:rsidRPr="004111A7" w:rsidRDefault="006A0B7F" w:rsidP="006A0B7F">
            <w:pPr>
              <w:suppressAutoHyphens/>
              <w:spacing w:before="180" w:afterLines="20" w:after="48"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To date, Comcover’s Risk Education Program is on track with strong attendance at both face-to-face and virtual workshops, and a h</w:t>
            </w:r>
            <w:r w:rsidR="00870D84" w:rsidRPr="004111A7">
              <w:rPr>
                <w:rFonts w:ascii="Arial" w:eastAsia="Arial" w:hAnsi="Arial" w:cs="Arial"/>
                <w:sz w:val="16"/>
                <w:szCs w:val="16"/>
                <w:lang w:eastAsia="en-US"/>
              </w:rPr>
              <w:t>igh rate of completions in the eL</w:t>
            </w:r>
            <w:r w:rsidRPr="004111A7">
              <w:rPr>
                <w:rFonts w:ascii="Arial" w:eastAsia="Arial" w:hAnsi="Arial" w:cs="Arial"/>
                <w:sz w:val="16"/>
                <w:szCs w:val="16"/>
                <w:lang w:eastAsia="en-US"/>
              </w:rPr>
              <w:t>earn</w:t>
            </w:r>
            <w:r w:rsidR="00C07B64" w:rsidRPr="004111A7">
              <w:rPr>
                <w:rFonts w:ascii="Arial" w:eastAsia="Arial" w:hAnsi="Arial" w:cs="Arial"/>
                <w:sz w:val="16"/>
                <w:szCs w:val="16"/>
                <w:lang w:eastAsia="en-US"/>
              </w:rPr>
              <w:t>ing modules and views of microbi</w:t>
            </w:r>
            <w:r w:rsidRPr="004111A7">
              <w:rPr>
                <w:rFonts w:ascii="Arial" w:eastAsia="Arial" w:hAnsi="Arial" w:cs="Arial"/>
                <w:sz w:val="16"/>
                <w:szCs w:val="16"/>
                <w:lang w:eastAsia="en-US"/>
              </w:rPr>
              <w:t>tes.</w:t>
            </w:r>
          </w:p>
          <w:p w14:paraId="25EC2E59" w14:textId="3603AFED" w:rsidR="006A0B7F" w:rsidRPr="004111A7" w:rsidRDefault="006A0B7F" w:rsidP="00CA0E8B">
            <w:pPr>
              <w:numPr>
                <w:ilvl w:val="0"/>
                <w:numId w:val="58"/>
              </w:numPr>
              <w:suppressAutoHyphens/>
              <w:spacing w:before="180" w:afterLines="20" w:after="48" w:line="240" w:lineRule="auto"/>
              <w:ind w:left="275" w:hanging="275"/>
              <w:jc w:val="left"/>
              <w:rPr>
                <w:rFonts w:ascii="Arial" w:eastAsia="Arial" w:hAnsi="Arial" w:cs="Arial"/>
                <w:sz w:val="16"/>
                <w:szCs w:val="16"/>
                <w:lang w:eastAsia="en-US"/>
              </w:rPr>
            </w:pPr>
            <w:r w:rsidRPr="004111A7">
              <w:rPr>
                <w:rFonts w:ascii="Arial" w:eastAsia="Arial" w:hAnsi="Arial" w:cs="Arial"/>
                <w:sz w:val="16"/>
                <w:szCs w:val="16"/>
                <w:lang w:eastAsia="en-US"/>
              </w:rPr>
              <w:t>In the Gen</w:t>
            </w:r>
            <w:r w:rsidR="0080715D" w:rsidRPr="004111A7">
              <w:rPr>
                <w:rFonts w:ascii="Arial" w:eastAsia="Arial" w:hAnsi="Arial" w:cs="Arial"/>
                <w:sz w:val="16"/>
                <w:szCs w:val="16"/>
                <w:lang w:eastAsia="en-US"/>
              </w:rPr>
              <w:t xml:space="preserve">eralist program, there was a 50% </w:t>
            </w:r>
            <w:r w:rsidRPr="004111A7">
              <w:rPr>
                <w:rFonts w:ascii="Arial" w:eastAsia="Arial" w:hAnsi="Arial" w:cs="Arial"/>
                <w:sz w:val="16"/>
                <w:szCs w:val="16"/>
                <w:lang w:eastAsia="en-US"/>
              </w:rPr>
              <w:t>increase in understanding of risk management across five capabilities.</w:t>
            </w:r>
          </w:p>
          <w:p w14:paraId="70BAC1E7" w14:textId="6821DA8E" w:rsidR="006A0B7F" w:rsidRPr="004111A7" w:rsidRDefault="006A0B7F" w:rsidP="00CA0E8B">
            <w:pPr>
              <w:numPr>
                <w:ilvl w:val="0"/>
                <w:numId w:val="58"/>
              </w:numPr>
              <w:suppressAutoHyphens/>
              <w:spacing w:before="180" w:afterLines="20" w:after="48" w:line="240" w:lineRule="auto"/>
              <w:ind w:left="275" w:hanging="275"/>
              <w:jc w:val="left"/>
              <w:rPr>
                <w:rFonts w:ascii="Arial" w:eastAsia="Arial" w:hAnsi="Arial" w:cs="Arial"/>
                <w:sz w:val="16"/>
                <w:szCs w:val="16"/>
                <w:lang w:eastAsia="en-US"/>
              </w:rPr>
            </w:pPr>
            <w:r w:rsidRPr="004111A7">
              <w:rPr>
                <w:rFonts w:ascii="Arial" w:eastAsia="Arial" w:hAnsi="Arial" w:cs="Arial"/>
                <w:sz w:val="16"/>
                <w:szCs w:val="16"/>
                <w:lang w:eastAsia="en-US"/>
              </w:rPr>
              <w:t>In the SES prog</w:t>
            </w:r>
            <w:r w:rsidR="0080715D" w:rsidRPr="004111A7">
              <w:rPr>
                <w:rFonts w:ascii="Arial" w:eastAsia="Arial" w:hAnsi="Arial" w:cs="Arial"/>
                <w:sz w:val="16"/>
                <w:szCs w:val="16"/>
                <w:lang w:eastAsia="en-US"/>
              </w:rPr>
              <w:t xml:space="preserve">ram, there was a 43% </w:t>
            </w:r>
            <w:r w:rsidRPr="004111A7">
              <w:rPr>
                <w:rFonts w:ascii="Arial" w:eastAsia="Arial" w:hAnsi="Arial" w:cs="Arial"/>
                <w:sz w:val="16"/>
                <w:szCs w:val="16"/>
                <w:lang w:eastAsia="en-US"/>
              </w:rPr>
              <w:t xml:space="preserve">increase in understanding of risk management across four capabilities. </w:t>
            </w:r>
          </w:p>
          <w:p w14:paraId="14458CAF" w14:textId="77777777" w:rsidR="006A0B7F" w:rsidRPr="004111A7" w:rsidRDefault="006A0B7F" w:rsidP="006A0B7F">
            <w:pPr>
              <w:suppressAutoHyphens/>
              <w:spacing w:before="180" w:afterLines="20" w:after="48"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The biennial Risk Benchmarking survey is currently being completed by participating entities. Results will be available in the next reporting period.</w:t>
            </w:r>
          </w:p>
          <w:p w14:paraId="47ADB640" w14:textId="54030E39" w:rsidR="00B61B0A" w:rsidRPr="004111A7" w:rsidRDefault="00B61B0A" w:rsidP="00B61B0A">
            <w:pPr>
              <w:tabs>
                <w:tab w:val="left" w:pos="0"/>
              </w:tabs>
              <w:suppressAutoHyphens/>
              <w:spacing w:before="60" w:after="60" w:line="240" w:lineRule="auto"/>
              <w:ind w:left="44"/>
              <w:contextualSpacing/>
              <w:jc w:val="left"/>
              <w:rPr>
                <w:rFonts w:ascii="Arial" w:eastAsia="Arial" w:hAnsi="Arial" w:cs="Arial"/>
                <w:sz w:val="16"/>
                <w:szCs w:val="16"/>
                <w:lang w:eastAsia="en-US"/>
              </w:rPr>
            </w:pPr>
          </w:p>
        </w:tc>
      </w:tr>
    </w:tbl>
    <w:p w14:paraId="324D14AB" w14:textId="01B7BAF1" w:rsidR="00F7046A" w:rsidRPr="004111A7" w:rsidRDefault="008519D7" w:rsidP="00F7046A">
      <w:pPr>
        <w:pStyle w:val="ChartandTableFootnoteAlpha"/>
        <w:numPr>
          <w:ilvl w:val="0"/>
          <w:numId w:val="0"/>
        </w:numPr>
        <w:ind w:left="284" w:hanging="284"/>
      </w:pPr>
      <w:r w:rsidRPr="004111A7">
        <w:t>Table continues on next page</w:t>
      </w:r>
      <w:r w:rsidR="00F7046A" w:rsidRPr="004111A7">
        <w:br w:type="page"/>
      </w:r>
    </w:p>
    <w:p w14:paraId="1020E8D2" w14:textId="32F973A5" w:rsidR="00F7046A" w:rsidRPr="004111A7" w:rsidRDefault="00F7046A" w:rsidP="00F7046A">
      <w:pPr>
        <w:keepNext/>
        <w:spacing w:after="20" w:line="240" w:lineRule="auto"/>
        <w:jc w:val="left"/>
        <w:rPr>
          <w:rFonts w:ascii="Arial" w:hAnsi="Arial" w:cs="Arial"/>
          <w:b/>
        </w:rPr>
      </w:pPr>
      <w:r w:rsidRPr="004111A7">
        <w:rPr>
          <w:rFonts w:ascii="Arial" w:hAnsi="Arial" w:cs="Arial"/>
          <w:b/>
        </w:rPr>
        <w:lastRenderedPageBreak/>
        <w:t xml:space="preserve">Table 2.2.2: Performance </w:t>
      </w:r>
      <w:r w:rsidR="00D0241A" w:rsidRPr="004111A7">
        <w:rPr>
          <w:rFonts w:ascii="Arial" w:hAnsi="Arial" w:cs="Arial"/>
          <w:b/>
        </w:rPr>
        <w:t>measure</w:t>
      </w:r>
      <w:r w:rsidR="00280FEA" w:rsidRPr="004111A7">
        <w:rPr>
          <w:rFonts w:ascii="Arial" w:hAnsi="Arial" w:cs="Arial"/>
          <w:b/>
        </w:rPr>
        <w:t>s</w:t>
      </w:r>
      <w:r w:rsidRPr="004111A7">
        <w:rPr>
          <w:rFonts w:ascii="Arial" w:hAnsi="Arial" w:cs="Arial"/>
          <w:b/>
        </w:rPr>
        <w:t xml:space="preserve"> for Outcome 2 (continued)</w:t>
      </w:r>
    </w:p>
    <w:tbl>
      <w:tblPr>
        <w:tblW w:w="76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156"/>
        <w:gridCol w:w="4115"/>
      </w:tblGrid>
      <w:tr w:rsidR="007837E2" w:rsidRPr="004111A7" w14:paraId="6657F65B" w14:textId="77777777" w:rsidTr="007C6F19">
        <w:tc>
          <w:tcPr>
            <w:tcW w:w="7685" w:type="dxa"/>
            <w:gridSpan w:val="3"/>
            <w:tcBorders>
              <w:top w:val="double" w:sz="4" w:space="0" w:color="auto"/>
              <w:bottom w:val="double" w:sz="4" w:space="0" w:color="auto"/>
            </w:tcBorders>
          </w:tcPr>
          <w:p w14:paraId="316E0F91" w14:textId="77777777" w:rsidR="007837E2" w:rsidRPr="004111A7" w:rsidRDefault="007837E2" w:rsidP="003C100E">
            <w:pPr>
              <w:tabs>
                <w:tab w:val="left" w:pos="709"/>
              </w:tabs>
              <w:suppressAutoHyphens/>
              <w:spacing w:before="40" w:after="4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Performance information: Program 2.4 – Insurance and Risk Management</w:t>
            </w:r>
          </w:p>
        </w:tc>
      </w:tr>
      <w:tr w:rsidR="007837E2" w:rsidRPr="004111A7" w14:paraId="3DD7E5F7" w14:textId="77777777" w:rsidTr="007C6F19">
        <w:tc>
          <w:tcPr>
            <w:tcW w:w="1414" w:type="dxa"/>
            <w:tcBorders>
              <w:top w:val="double" w:sz="4" w:space="0" w:color="auto"/>
              <w:bottom w:val="single" w:sz="4" w:space="0" w:color="auto"/>
              <w:right w:val="single" w:sz="4" w:space="0" w:color="auto"/>
            </w:tcBorders>
          </w:tcPr>
          <w:p w14:paraId="5792E23D" w14:textId="77777777" w:rsidR="007837E2" w:rsidRPr="004111A7" w:rsidRDefault="007837E2" w:rsidP="003C100E">
            <w:pPr>
              <w:tabs>
                <w:tab w:val="left" w:pos="709"/>
              </w:tabs>
              <w:suppressAutoHyphens/>
              <w:spacing w:before="40" w:after="4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156" w:type="dxa"/>
            <w:tcBorders>
              <w:top w:val="double" w:sz="4" w:space="0" w:color="auto"/>
              <w:left w:val="single" w:sz="4" w:space="0" w:color="auto"/>
              <w:bottom w:val="single" w:sz="4" w:space="0" w:color="auto"/>
              <w:right w:val="single" w:sz="4" w:space="0" w:color="auto"/>
            </w:tcBorders>
          </w:tcPr>
          <w:p w14:paraId="38FE2E8E" w14:textId="14C7F60D" w:rsidR="007837E2" w:rsidRPr="004111A7" w:rsidRDefault="007837E2" w:rsidP="003C100E">
            <w:pPr>
              <w:tabs>
                <w:tab w:val="left" w:pos="709"/>
              </w:tabs>
              <w:suppressAutoHyphens/>
              <w:spacing w:before="40" w:after="4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00C50514" w:rsidRPr="004111A7">
              <w:rPr>
                <w:rFonts w:ascii="Arial" w:eastAsia="Arial" w:hAnsi="Arial" w:cs="Arial"/>
                <w:b/>
                <w:sz w:val="16"/>
                <w:szCs w:val="16"/>
                <w:lang w:eastAsia="en-US"/>
              </w:rPr>
              <w:t xml:space="preserve"> </w:t>
            </w:r>
            <w:r w:rsidR="00C50514" w:rsidRPr="004111A7">
              <w:rPr>
                <w:rFonts w:ascii="Arial" w:eastAsia="Arial" w:hAnsi="Arial" w:cs="Arial"/>
                <w:sz w:val="16"/>
                <w:szCs w:val="16"/>
                <w:lang w:eastAsia="en-US"/>
              </w:rPr>
              <w:t>(a)</w:t>
            </w:r>
          </w:p>
        </w:tc>
        <w:tc>
          <w:tcPr>
            <w:tcW w:w="4115" w:type="dxa"/>
            <w:tcBorders>
              <w:top w:val="double" w:sz="4" w:space="0" w:color="auto"/>
              <w:left w:val="single" w:sz="4" w:space="0" w:color="auto"/>
              <w:bottom w:val="single" w:sz="4" w:space="0" w:color="auto"/>
            </w:tcBorders>
          </w:tcPr>
          <w:p w14:paraId="0A4CC2C0" w14:textId="77777777" w:rsidR="007837E2" w:rsidRPr="004111A7" w:rsidRDefault="007837E2" w:rsidP="003C100E">
            <w:pPr>
              <w:tabs>
                <w:tab w:val="left" w:pos="709"/>
              </w:tabs>
              <w:suppressAutoHyphens/>
              <w:spacing w:before="40" w:after="4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7837E2" w:rsidRPr="004111A7" w14:paraId="00EFC7BB" w14:textId="77777777" w:rsidTr="007C6F19">
        <w:tc>
          <w:tcPr>
            <w:tcW w:w="1414" w:type="dxa"/>
            <w:tcBorders>
              <w:top w:val="dotted" w:sz="4" w:space="0" w:color="auto"/>
              <w:bottom w:val="dotted" w:sz="4" w:space="0" w:color="auto"/>
              <w:right w:val="single" w:sz="4" w:space="0" w:color="auto"/>
            </w:tcBorders>
          </w:tcPr>
          <w:p w14:paraId="1B070F85" w14:textId="77777777" w:rsidR="007837E2" w:rsidRPr="004111A7" w:rsidRDefault="007837E2" w:rsidP="003C100E">
            <w:pPr>
              <w:tabs>
                <w:tab w:val="left" w:pos="709"/>
              </w:tabs>
              <w:suppressAutoHyphens/>
              <w:spacing w:before="40" w:after="2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2021-22</w:t>
            </w:r>
          </w:p>
        </w:tc>
        <w:tc>
          <w:tcPr>
            <w:tcW w:w="2156" w:type="dxa"/>
            <w:tcBorders>
              <w:top w:val="dotted" w:sz="4" w:space="0" w:color="auto"/>
              <w:left w:val="single" w:sz="4" w:space="0" w:color="auto"/>
              <w:bottom w:val="dotted" w:sz="4" w:space="0" w:color="auto"/>
              <w:right w:val="single" w:sz="4" w:space="0" w:color="auto"/>
            </w:tcBorders>
          </w:tcPr>
          <w:p w14:paraId="78EB1131" w14:textId="77777777" w:rsidR="007837E2" w:rsidRPr="004111A7" w:rsidRDefault="007837E2" w:rsidP="006A1703">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Treatment of insurable risks and claims management</w:t>
            </w:r>
          </w:p>
          <w:p w14:paraId="1B189865" w14:textId="05494028" w:rsidR="007837E2" w:rsidRPr="004111A7" w:rsidRDefault="007837E2" w:rsidP="003C100E">
            <w:pPr>
              <w:tabs>
                <w:tab w:val="left" w:pos="709"/>
              </w:tabs>
              <w:suppressAutoHyphens/>
              <w:spacing w:before="40" w:after="20" w:line="240" w:lineRule="auto"/>
              <w:jc w:val="left"/>
              <w:rPr>
                <w:rFonts w:ascii="Arial" w:eastAsia="Arial" w:hAnsi="Arial" w:cs="Arial"/>
                <w:sz w:val="16"/>
                <w:szCs w:val="16"/>
                <w:vertAlign w:val="superscript"/>
                <w:lang w:eastAsia="en-US"/>
              </w:rPr>
            </w:pPr>
            <w:r w:rsidRPr="004111A7">
              <w:rPr>
                <w:rFonts w:ascii="Arial" w:eastAsia="Arial" w:hAnsi="Arial" w:cs="Arial"/>
                <w:sz w:val="16"/>
                <w:szCs w:val="16"/>
                <w:lang w:eastAsia="en-US"/>
              </w:rPr>
              <w:t>Comcover is effectively managed to ensure the fund is financially sustainable, there is a consistent, WoAG approach to the management of claims and Comcover supports the improvement of risk maturity in General Government Sector entities over time.</w:t>
            </w:r>
          </w:p>
          <w:p w14:paraId="6CFF87A0" w14:textId="001E07A9" w:rsidR="00B61B0A" w:rsidRPr="004111A7" w:rsidRDefault="00B61B0A" w:rsidP="003C100E">
            <w:pPr>
              <w:tabs>
                <w:tab w:val="left" w:pos="709"/>
              </w:tabs>
              <w:suppressAutoHyphens/>
              <w:spacing w:before="40" w:after="20" w:line="240" w:lineRule="auto"/>
              <w:jc w:val="left"/>
              <w:rPr>
                <w:rFonts w:ascii="Arial" w:eastAsia="Arial" w:hAnsi="Arial" w:cs="Arial"/>
                <w:sz w:val="16"/>
                <w:szCs w:val="16"/>
                <w:lang w:eastAsia="en-US"/>
              </w:rPr>
            </w:pPr>
          </w:p>
        </w:tc>
        <w:tc>
          <w:tcPr>
            <w:tcW w:w="4115" w:type="dxa"/>
            <w:tcBorders>
              <w:top w:val="dotted" w:sz="4" w:space="0" w:color="auto"/>
              <w:left w:val="single" w:sz="4" w:space="0" w:color="auto"/>
              <w:bottom w:val="dotted" w:sz="4" w:space="0" w:color="auto"/>
            </w:tcBorders>
          </w:tcPr>
          <w:p w14:paraId="2202E4A9" w14:textId="77777777" w:rsidR="007837E2" w:rsidRPr="004111A7" w:rsidRDefault="007837E2" w:rsidP="003C100E">
            <w:pPr>
              <w:tabs>
                <w:tab w:val="left" w:pos="709"/>
              </w:tabs>
              <w:suppressAutoHyphens/>
              <w:spacing w:before="40" w:after="2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An appropriate level of net assets is maintained.</w:t>
            </w:r>
          </w:p>
          <w:p w14:paraId="640AF1A6" w14:textId="77777777" w:rsidR="007837E2" w:rsidRPr="004111A7" w:rsidRDefault="007837E2" w:rsidP="003C100E">
            <w:pPr>
              <w:tabs>
                <w:tab w:val="left" w:pos="709"/>
              </w:tabs>
              <w:suppressAutoHyphens/>
              <w:spacing w:before="40" w:after="2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Litigation is undertaken honestly and fairly as a model litigant.</w:t>
            </w:r>
          </w:p>
          <w:p w14:paraId="12E5475F" w14:textId="77777777" w:rsidR="007837E2" w:rsidRPr="004111A7" w:rsidRDefault="007837E2" w:rsidP="003C100E">
            <w:pPr>
              <w:tabs>
                <w:tab w:val="left" w:pos="709"/>
              </w:tabs>
              <w:suppressAutoHyphens/>
              <w:spacing w:before="40" w:after="20" w:line="240" w:lineRule="auto"/>
              <w:jc w:val="left"/>
              <w:rPr>
                <w:rFonts w:ascii="Arial" w:eastAsia="Arial" w:hAnsi="Arial" w:cs="Arial"/>
                <w:i/>
                <w:color w:val="FF0000"/>
                <w:sz w:val="16"/>
                <w:szCs w:val="16"/>
                <w:lang w:eastAsia="en-US"/>
              </w:rPr>
            </w:pPr>
            <w:r w:rsidRPr="004111A7">
              <w:rPr>
                <w:rFonts w:ascii="Arial" w:eastAsia="Arial" w:hAnsi="Arial" w:cs="Arial"/>
                <w:sz w:val="16"/>
                <w:szCs w:val="16"/>
                <w:lang w:eastAsia="en-US"/>
              </w:rPr>
              <w:t>Effectiveness of Comcover's stewardship, policy advice, engagement and guidance on risk management.</w:t>
            </w:r>
            <w:r w:rsidRPr="004111A7">
              <w:rPr>
                <w:rFonts w:ascii="Arial" w:eastAsia="Arial" w:hAnsi="Arial" w:cs="Arial"/>
                <w:i/>
                <w:sz w:val="16"/>
                <w:szCs w:val="16"/>
                <w:lang w:eastAsia="en-US"/>
              </w:rPr>
              <w:t> </w:t>
            </w:r>
          </w:p>
        </w:tc>
      </w:tr>
      <w:tr w:rsidR="007837E2" w:rsidRPr="004111A7" w14:paraId="56F00316" w14:textId="77777777" w:rsidTr="007C6F19">
        <w:tc>
          <w:tcPr>
            <w:tcW w:w="1414" w:type="dxa"/>
            <w:tcBorders>
              <w:top w:val="dotted" w:sz="4" w:space="0" w:color="auto"/>
              <w:bottom w:val="dotted" w:sz="4" w:space="0" w:color="auto"/>
              <w:right w:val="single" w:sz="4" w:space="0" w:color="auto"/>
            </w:tcBorders>
          </w:tcPr>
          <w:p w14:paraId="09CDF79A" w14:textId="77777777" w:rsidR="007837E2" w:rsidRPr="004111A7" w:rsidRDefault="007837E2" w:rsidP="003C100E">
            <w:pPr>
              <w:tabs>
                <w:tab w:val="left" w:pos="709"/>
              </w:tabs>
              <w:suppressAutoHyphens/>
              <w:spacing w:before="40" w:after="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2022-23 and beyond</w:t>
            </w:r>
          </w:p>
        </w:tc>
        <w:tc>
          <w:tcPr>
            <w:tcW w:w="2156" w:type="dxa"/>
            <w:tcBorders>
              <w:top w:val="dotted" w:sz="4" w:space="0" w:color="auto"/>
              <w:left w:val="single" w:sz="4" w:space="0" w:color="auto"/>
              <w:bottom w:val="dotted" w:sz="4" w:space="0" w:color="auto"/>
              <w:right w:val="single" w:sz="4" w:space="0" w:color="auto"/>
            </w:tcBorders>
          </w:tcPr>
          <w:p w14:paraId="3DA077EF" w14:textId="583089F2" w:rsidR="007837E2" w:rsidRPr="004111A7" w:rsidRDefault="007837E2" w:rsidP="003C100E">
            <w:pPr>
              <w:tabs>
                <w:tab w:val="left" w:pos="709"/>
              </w:tabs>
              <w:suppressAutoHyphens/>
              <w:spacing w:before="40" w:after="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As per 2021-22</w:t>
            </w:r>
            <w:r w:rsidR="006A3032" w:rsidRPr="004111A7">
              <w:rPr>
                <w:rFonts w:ascii="Arial" w:eastAsia="Arial" w:hAnsi="Arial" w:cs="Arial"/>
                <w:sz w:val="16"/>
                <w:szCs w:val="16"/>
                <w:lang w:eastAsia="en-US"/>
              </w:rPr>
              <w:t>.</w:t>
            </w:r>
          </w:p>
        </w:tc>
        <w:tc>
          <w:tcPr>
            <w:tcW w:w="4115" w:type="dxa"/>
            <w:tcBorders>
              <w:top w:val="dotted" w:sz="4" w:space="0" w:color="auto"/>
              <w:left w:val="single" w:sz="4" w:space="0" w:color="auto"/>
              <w:bottom w:val="dotted" w:sz="4" w:space="0" w:color="auto"/>
            </w:tcBorders>
          </w:tcPr>
          <w:p w14:paraId="5025D883" w14:textId="6A6478E5" w:rsidR="007837E2" w:rsidRPr="004111A7" w:rsidRDefault="007837E2" w:rsidP="003C100E">
            <w:pPr>
              <w:tabs>
                <w:tab w:val="left" w:pos="709"/>
              </w:tabs>
              <w:suppressAutoHyphens/>
              <w:spacing w:before="40" w:after="0" w:line="240" w:lineRule="auto"/>
              <w:jc w:val="left"/>
              <w:rPr>
                <w:rFonts w:ascii="Arial" w:eastAsia="Arial" w:hAnsi="Arial" w:cs="Arial"/>
                <w:color w:val="FF0000"/>
                <w:sz w:val="16"/>
                <w:szCs w:val="16"/>
                <w:lang w:eastAsia="en-US"/>
              </w:rPr>
            </w:pPr>
            <w:r w:rsidRPr="004111A7">
              <w:rPr>
                <w:rFonts w:ascii="Arial" w:eastAsia="Arial" w:hAnsi="Arial" w:cs="Arial"/>
                <w:sz w:val="16"/>
                <w:szCs w:val="16"/>
                <w:lang w:eastAsia="en-US"/>
              </w:rPr>
              <w:t>As per 2021-22</w:t>
            </w:r>
            <w:r w:rsidR="006A3032" w:rsidRPr="004111A7">
              <w:rPr>
                <w:rFonts w:ascii="Arial" w:eastAsia="Arial" w:hAnsi="Arial" w:cs="Arial"/>
                <w:sz w:val="16"/>
                <w:szCs w:val="16"/>
                <w:lang w:eastAsia="en-US"/>
              </w:rPr>
              <w:t>.</w:t>
            </w:r>
          </w:p>
        </w:tc>
      </w:tr>
      <w:tr w:rsidR="007837E2" w:rsidRPr="004111A7" w14:paraId="7C026720" w14:textId="77777777" w:rsidTr="007C6F19">
        <w:tc>
          <w:tcPr>
            <w:tcW w:w="1414" w:type="dxa"/>
          </w:tcPr>
          <w:p w14:paraId="50B3599A" w14:textId="77777777" w:rsidR="007837E2" w:rsidRPr="004111A7" w:rsidRDefault="007837E2"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Purpose</w:t>
            </w:r>
          </w:p>
        </w:tc>
        <w:tc>
          <w:tcPr>
            <w:tcW w:w="6271" w:type="dxa"/>
            <w:gridSpan w:val="2"/>
          </w:tcPr>
          <w:p w14:paraId="6A72DDA2" w14:textId="77777777" w:rsidR="007837E2" w:rsidRPr="004111A7" w:rsidRDefault="007837E2"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To assist the Australian Government to achieve its fiscal and policy objectives by advising on expenditure, managing sustainable public sector resourcing, driving public sector transformation and delivering efficient, cost-effective services to, and for, government.</w:t>
            </w:r>
          </w:p>
          <w:p w14:paraId="0B815765" w14:textId="09D5CF00" w:rsidR="00B61B0A" w:rsidRPr="004111A7" w:rsidRDefault="00B61B0A" w:rsidP="00B61B0A">
            <w:pPr>
              <w:tabs>
                <w:tab w:val="left" w:pos="709"/>
              </w:tabs>
              <w:suppressAutoHyphens/>
              <w:spacing w:before="40" w:after="20" w:line="240" w:lineRule="auto"/>
              <w:jc w:val="left"/>
              <w:rPr>
                <w:rFonts w:ascii="Arial" w:eastAsia="Arial" w:hAnsi="Arial" w:cs="Arial"/>
                <w:color w:val="FF0000"/>
                <w:sz w:val="16"/>
                <w:szCs w:val="16"/>
                <w:lang w:eastAsia="en-US"/>
              </w:rPr>
            </w:pPr>
          </w:p>
        </w:tc>
      </w:tr>
    </w:tbl>
    <w:p w14:paraId="033B21A0" w14:textId="7D925135" w:rsidR="007837E2" w:rsidRPr="004111A7" w:rsidRDefault="007837E2" w:rsidP="007837E2">
      <w:pPr>
        <w:pStyle w:val="ChartandTableFootnoteAlpha"/>
        <w:numPr>
          <w:ilvl w:val="0"/>
          <w:numId w:val="0"/>
        </w:numPr>
        <w:ind w:left="284" w:hanging="284"/>
      </w:pPr>
      <w:r w:rsidRPr="004111A7">
        <w:t>Table continues on next page</w:t>
      </w:r>
    </w:p>
    <w:p w14:paraId="521EC501" w14:textId="77777777" w:rsidR="008519D7" w:rsidRPr="004111A7" w:rsidRDefault="008519D7" w:rsidP="008519D7">
      <w:pPr>
        <w:keepNext/>
        <w:spacing w:after="20" w:line="240" w:lineRule="auto"/>
        <w:jc w:val="left"/>
        <w:rPr>
          <w:rFonts w:ascii="Arial" w:hAnsi="Arial" w:cs="Arial"/>
          <w:b/>
        </w:rPr>
      </w:pPr>
      <w:r w:rsidRPr="004111A7">
        <w:rPr>
          <w:rFonts w:ascii="Arial" w:hAnsi="Arial" w:cs="Arial"/>
          <w:b/>
        </w:rPr>
        <w:br w:type="page"/>
      </w:r>
    </w:p>
    <w:p w14:paraId="057C222E" w14:textId="7612A53F" w:rsidR="006A0B7F" w:rsidRPr="004111A7" w:rsidRDefault="006A0B7F" w:rsidP="006A0B7F">
      <w:pPr>
        <w:keepNext/>
        <w:spacing w:after="20" w:line="240" w:lineRule="auto"/>
        <w:jc w:val="left"/>
        <w:rPr>
          <w:rFonts w:ascii="Arial" w:hAnsi="Arial" w:cs="Arial"/>
          <w:b/>
        </w:rPr>
      </w:pPr>
      <w:r w:rsidRPr="004111A7">
        <w:rPr>
          <w:rFonts w:ascii="Arial" w:hAnsi="Arial" w:cs="Arial"/>
          <w:b/>
        </w:rPr>
        <w:lastRenderedPageBreak/>
        <w:t xml:space="preserve">Table 2.2.2: </w:t>
      </w:r>
      <w:r w:rsidR="00280FEA" w:rsidRPr="004111A7">
        <w:rPr>
          <w:rFonts w:ascii="Arial" w:hAnsi="Arial" w:cs="Arial"/>
          <w:b/>
        </w:rPr>
        <w:t>Performance measures</w:t>
      </w:r>
      <w:r w:rsidRPr="004111A7">
        <w:rPr>
          <w:rFonts w:ascii="Arial" w:hAnsi="Arial" w:cs="Arial"/>
          <w:b/>
        </w:rPr>
        <w:t xml:space="preserve"> for Outcome 2 (continued)</w:t>
      </w:r>
    </w:p>
    <w:tbl>
      <w:tblPr>
        <w:tblW w:w="76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142"/>
        <w:gridCol w:w="4115"/>
      </w:tblGrid>
      <w:tr w:rsidR="006A0B7F" w:rsidRPr="004111A7" w14:paraId="2BA9611E" w14:textId="77777777" w:rsidTr="008D7FF6">
        <w:trPr>
          <w:tblHeader/>
        </w:trPr>
        <w:tc>
          <w:tcPr>
            <w:tcW w:w="7685" w:type="dxa"/>
            <w:gridSpan w:val="3"/>
            <w:shd w:val="clear" w:color="auto" w:fill="F2F2F2"/>
          </w:tcPr>
          <w:p w14:paraId="0637E41B"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sz w:val="16"/>
                <w:szCs w:val="16"/>
                <w:lang w:eastAsia="en-US"/>
              </w:rPr>
              <w:t>Program 2.5</w:t>
            </w:r>
            <w:r w:rsidRPr="004111A7">
              <w:rPr>
                <w:rFonts w:ascii="Arial" w:eastAsia="Arial" w:hAnsi="Arial" w:cs="Arial"/>
                <w:sz w:val="16"/>
                <w:szCs w:val="16"/>
                <w:lang w:eastAsia="en-US"/>
              </w:rPr>
              <w:t xml:space="preserve"> – </w:t>
            </w:r>
            <w:r w:rsidRPr="004111A7">
              <w:rPr>
                <w:rFonts w:ascii="Arial" w:eastAsia="Arial" w:hAnsi="Arial" w:cs="Arial"/>
                <w:b/>
                <w:sz w:val="16"/>
                <w:szCs w:val="16"/>
                <w:lang w:eastAsia="en-US"/>
              </w:rPr>
              <w:t>Technology and Procurement</w:t>
            </w:r>
          </w:p>
          <w:p w14:paraId="2936856D" w14:textId="64D1DAC4" w:rsidR="006A0B7F" w:rsidRPr="004111A7" w:rsidRDefault="006A0B7F" w:rsidP="007D79C7">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This program contributes to the outcome through providing timely and relevant procurement policy advice; providing advice to the Government on advertising; establishing and maintaining WoAG procurement arrangements for common goods and services; and establishing, developing and maintaining </w:t>
            </w:r>
            <w:r w:rsidR="00BD7329">
              <w:rPr>
                <w:rFonts w:ascii="Arial" w:eastAsia="Arial" w:hAnsi="Arial" w:cs="Arial"/>
                <w:sz w:val="16"/>
                <w:szCs w:val="16"/>
                <w:lang w:eastAsia="en-US"/>
              </w:rPr>
              <w:t>WoAG</w:t>
            </w:r>
            <w:r w:rsidRPr="004111A7">
              <w:rPr>
                <w:rFonts w:ascii="Arial" w:eastAsia="Arial" w:hAnsi="Arial" w:cs="Arial"/>
                <w:sz w:val="16"/>
                <w:szCs w:val="16"/>
                <w:lang w:eastAsia="en-US"/>
              </w:rPr>
              <w:t xml:space="preserve"> and cross-entity ICT infrastructure, platforms, systems and services.</w:t>
            </w:r>
          </w:p>
        </w:tc>
      </w:tr>
      <w:tr w:rsidR="006A0B7F" w:rsidRPr="004111A7" w14:paraId="2A09D29F" w14:textId="77777777" w:rsidTr="00D75CC7">
        <w:tc>
          <w:tcPr>
            <w:tcW w:w="1428" w:type="dxa"/>
            <w:tcBorders>
              <w:bottom w:val="double" w:sz="4" w:space="0" w:color="auto"/>
            </w:tcBorders>
          </w:tcPr>
          <w:p w14:paraId="1BFF906C"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Delivery</w:t>
            </w:r>
          </w:p>
        </w:tc>
        <w:tc>
          <w:tcPr>
            <w:tcW w:w="6257" w:type="dxa"/>
            <w:gridSpan w:val="2"/>
            <w:tcBorders>
              <w:bottom w:val="double" w:sz="4" w:space="0" w:color="auto"/>
            </w:tcBorders>
          </w:tcPr>
          <w:p w14:paraId="36542E84" w14:textId="77777777" w:rsidR="006A0B7F" w:rsidRPr="004111A7" w:rsidRDefault="006A0B7F" w:rsidP="00870D84">
            <w:pPr>
              <w:numPr>
                <w:ilvl w:val="0"/>
                <w:numId w:val="55"/>
              </w:numPr>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Developing and managing WoAG procurement arrangements for entities.</w:t>
            </w:r>
          </w:p>
          <w:p w14:paraId="56894908" w14:textId="77777777" w:rsidR="006A0B7F" w:rsidRPr="004111A7" w:rsidRDefault="006A0B7F" w:rsidP="00870D84">
            <w:pPr>
              <w:numPr>
                <w:ilvl w:val="0"/>
                <w:numId w:val="55"/>
              </w:numPr>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Providing assistance and advice to Commonwealth entities on the process of developing government advertising campaigns.</w:t>
            </w:r>
          </w:p>
          <w:p w14:paraId="6BC391E5" w14:textId="77777777" w:rsidR="006A0B7F" w:rsidRPr="004111A7" w:rsidRDefault="006A0B7F" w:rsidP="00870D84">
            <w:pPr>
              <w:numPr>
                <w:ilvl w:val="0"/>
                <w:numId w:val="55"/>
              </w:numPr>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Procurement policy advice.</w:t>
            </w:r>
          </w:p>
          <w:p w14:paraId="71F0ED12" w14:textId="77777777" w:rsidR="00870D84" w:rsidRPr="004111A7" w:rsidRDefault="006A0B7F" w:rsidP="00870D84">
            <w:pPr>
              <w:numPr>
                <w:ilvl w:val="0"/>
                <w:numId w:val="55"/>
              </w:numPr>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Developing and managing AusTender and GrantConnect.</w:t>
            </w:r>
          </w:p>
          <w:p w14:paraId="2C154324" w14:textId="77777777" w:rsidR="006A0B7F" w:rsidRPr="004111A7" w:rsidRDefault="00870D84" w:rsidP="00870D84">
            <w:pPr>
              <w:numPr>
                <w:ilvl w:val="0"/>
                <w:numId w:val="55"/>
              </w:numPr>
              <w:tabs>
                <w:tab w:val="left" w:pos="363"/>
              </w:tabs>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Providing appropriate WoAG ICT services, including communications networks and online services to entities.</w:t>
            </w:r>
            <w:r w:rsidR="006A0B7F" w:rsidRPr="004111A7">
              <w:rPr>
                <w:rFonts w:ascii="Arial" w:hAnsi="Arial" w:cs="Arial"/>
                <w:sz w:val="16"/>
                <w:szCs w:val="16"/>
              </w:rPr>
              <w:t xml:space="preserve">  </w:t>
            </w:r>
          </w:p>
          <w:p w14:paraId="48C0DDCD" w14:textId="2049036D" w:rsidR="00870D84" w:rsidRPr="004111A7" w:rsidRDefault="00870D84" w:rsidP="00870D84">
            <w:pPr>
              <w:tabs>
                <w:tab w:val="left" w:pos="363"/>
              </w:tabs>
              <w:suppressAutoHyphens/>
              <w:spacing w:before="60" w:after="60" w:line="240" w:lineRule="auto"/>
              <w:ind w:left="360"/>
              <w:contextualSpacing/>
              <w:jc w:val="left"/>
              <w:rPr>
                <w:rFonts w:ascii="Arial" w:eastAsia="Cambria" w:hAnsi="Arial" w:cs="Arial"/>
                <w:sz w:val="16"/>
                <w:szCs w:val="16"/>
                <w:lang w:eastAsia="en-US"/>
              </w:rPr>
            </w:pPr>
          </w:p>
        </w:tc>
      </w:tr>
      <w:tr w:rsidR="006A0B7F" w:rsidRPr="004111A7" w14:paraId="5743D35E" w14:textId="77777777" w:rsidTr="008D7FF6">
        <w:tc>
          <w:tcPr>
            <w:tcW w:w="7685" w:type="dxa"/>
            <w:gridSpan w:val="3"/>
            <w:tcBorders>
              <w:top w:val="double" w:sz="4" w:space="0" w:color="auto"/>
              <w:bottom w:val="double" w:sz="4" w:space="0" w:color="auto"/>
            </w:tcBorders>
          </w:tcPr>
          <w:p w14:paraId="55E1ECBC"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Performance information: Program 2.5 – Technology and Procurement</w:t>
            </w:r>
          </w:p>
        </w:tc>
      </w:tr>
      <w:tr w:rsidR="006A0B7F" w:rsidRPr="004111A7" w14:paraId="3423614B" w14:textId="77777777" w:rsidTr="00D75CC7">
        <w:tc>
          <w:tcPr>
            <w:tcW w:w="1428" w:type="dxa"/>
            <w:tcBorders>
              <w:top w:val="double" w:sz="4" w:space="0" w:color="auto"/>
              <w:bottom w:val="single" w:sz="4" w:space="0" w:color="auto"/>
              <w:right w:val="single" w:sz="4" w:space="0" w:color="auto"/>
            </w:tcBorders>
          </w:tcPr>
          <w:p w14:paraId="6010ACA4"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142" w:type="dxa"/>
            <w:tcBorders>
              <w:top w:val="double" w:sz="4" w:space="0" w:color="auto"/>
              <w:left w:val="single" w:sz="4" w:space="0" w:color="auto"/>
              <w:bottom w:val="single" w:sz="4" w:space="0" w:color="auto"/>
              <w:right w:val="single" w:sz="4" w:space="0" w:color="auto"/>
            </w:tcBorders>
          </w:tcPr>
          <w:p w14:paraId="7ABBF434" w14:textId="6EEE9FBE"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00C50514" w:rsidRPr="004111A7">
              <w:rPr>
                <w:rFonts w:ascii="Arial" w:eastAsia="Arial" w:hAnsi="Arial" w:cs="Arial"/>
                <w:b/>
                <w:sz w:val="16"/>
                <w:szCs w:val="16"/>
                <w:lang w:eastAsia="en-US"/>
              </w:rPr>
              <w:t xml:space="preserve"> </w:t>
            </w:r>
            <w:r w:rsidR="00C50514" w:rsidRPr="004111A7">
              <w:rPr>
                <w:rFonts w:ascii="Arial" w:eastAsia="Arial" w:hAnsi="Arial" w:cs="Arial"/>
                <w:sz w:val="16"/>
                <w:szCs w:val="16"/>
                <w:lang w:eastAsia="en-US"/>
              </w:rPr>
              <w:t>(a)</w:t>
            </w:r>
          </w:p>
        </w:tc>
        <w:tc>
          <w:tcPr>
            <w:tcW w:w="4115" w:type="dxa"/>
            <w:tcBorders>
              <w:top w:val="double" w:sz="4" w:space="0" w:color="auto"/>
              <w:left w:val="single" w:sz="4" w:space="0" w:color="auto"/>
              <w:bottom w:val="single" w:sz="4" w:space="0" w:color="auto"/>
            </w:tcBorders>
          </w:tcPr>
          <w:p w14:paraId="17946CEC"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6A0B7F" w:rsidRPr="004111A7" w14:paraId="5B2E18D9" w14:textId="77777777" w:rsidTr="00D75CC7">
        <w:trPr>
          <w:trHeight w:val="60"/>
        </w:trPr>
        <w:tc>
          <w:tcPr>
            <w:tcW w:w="1428" w:type="dxa"/>
            <w:tcBorders>
              <w:top w:val="single" w:sz="4" w:space="0" w:color="auto"/>
              <w:bottom w:val="single" w:sz="4" w:space="0" w:color="auto"/>
              <w:right w:val="single" w:sz="4" w:space="0" w:color="auto"/>
            </w:tcBorders>
          </w:tcPr>
          <w:p w14:paraId="4C583FA1"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2020-21</w:t>
            </w:r>
          </w:p>
        </w:tc>
        <w:tc>
          <w:tcPr>
            <w:tcW w:w="2142" w:type="dxa"/>
            <w:tcBorders>
              <w:top w:val="single" w:sz="4" w:space="0" w:color="auto"/>
              <w:left w:val="single" w:sz="4" w:space="0" w:color="auto"/>
              <w:bottom w:val="single" w:sz="4" w:space="0" w:color="auto"/>
              <w:right w:val="single" w:sz="4" w:space="0" w:color="auto"/>
            </w:tcBorders>
          </w:tcPr>
          <w:p w14:paraId="708DE4F8"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bCs/>
                <w:sz w:val="16"/>
                <w:szCs w:val="16"/>
                <w:lang w:eastAsia="en-US"/>
              </w:rPr>
              <w:t>Stewardship over procurement systems and policies</w:t>
            </w:r>
          </w:p>
          <w:p w14:paraId="0E95E400"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Finance works with external stakeholders to: </w:t>
            </w:r>
          </w:p>
          <w:p w14:paraId="275888AD"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Provide stewardship over systems and policies to support a fair, efficient, and transparent procurement framework.</w:t>
            </w:r>
          </w:p>
          <w:p w14:paraId="0A8022ED"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Implement and maintain WoAG procurement arrangements for non-ICT services (e.g. travel bookings and major office equipment) to generate price savings and operating efficiencies.</w:t>
            </w:r>
          </w:p>
        </w:tc>
        <w:tc>
          <w:tcPr>
            <w:tcW w:w="4115" w:type="dxa"/>
            <w:tcBorders>
              <w:top w:val="single" w:sz="4" w:space="0" w:color="auto"/>
              <w:left w:val="single" w:sz="4" w:space="0" w:color="auto"/>
              <w:bottom w:val="single" w:sz="4" w:space="0" w:color="auto"/>
            </w:tcBorders>
          </w:tcPr>
          <w:p w14:paraId="70C89BE9" w14:textId="77777777" w:rsidR="006A0B7F" w:rsidRPr="004111A7" w:rsidRDefault="006A0B7F" w:rsidP="003F5522">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On Track.</w:t>
            </w:r>
          </w:p>
          <w:p w14:paraId="5B12343A" w14:textId="7B020542" w:rsidR="006A0B7F" w:rsidRPr="004111A7" w:rsidRDefault="006A0B7F" w:rsidP="005F7F8A">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Finance takes a proactive approach to its role as policy steward providing entities with web guidance on the Commonwealth Procurement Framework and tailored advice through a dedicated outreach program and inbox. </w:t>
            </w:r>
          </w:p>
          <w:p w14:paraId="646A7534" w14:textId="77777777" w:rsidR="006A0B7F" w:rsidRPr="004111A7" w:rsidRDefault="006A0B7F" w:rsidP="005F7F8A">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Finance deliver a scheduled outreach program, which is a mechanism for two-way communication between central procurement areas and the policies, which support the Framework. Engagement on strategic procurement matters and related policies takes place through the Senior Procurement Officials Reference Group (SPORG). </w:t>
            </w:r>
          </w:p>
          <w:p w14:paraId="631F2774" w14:textId="61C27B13" w:rsidR="006A0B7F" w:rsidRPr="004111A7" w:rsidRDefault="006A0B7F" w:rsidP="005F7F8A">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As at 31 December 2020, </w:t>
            </w:r>
            <w:r w:rsidR="00BD7329">
              <w:rPr>
                <w:rFonts w:ascii="Arial" w:eastAsia="Arial" w:hAnsi="Arial" w:cs="Arial"/>
                <w:sz w:val="16"/>
                <w:szCs w:val="16"/>
                <w:lang w:eastAsia="en-US"/>
              </w:rPr>
              <w:t>10</w:t>
            </w:r>
            <w:r w:rsidRPr="004111A7">
              <w:rPr>
                <w:rFonts w:ascii="Arial" w:eastAsia="Arial" w:hAnsi="Arial" w:cs="Arial"/>
                <w:sz w:val="16"/>
                <w:szCs w:val="16"/>
                <w:lang w:eastAsia="en-US"/>
              </w:rPr>
              <w:t xml:space="preserve"> outreach sessions have been attended by 45 entity representatives and six SPORG meetings have been attended by 667 representatives from 102 entities.</w:t>
            </w:r>
          </w:p>
          <w:p w14:paraId="3D3965A2" w14:textId="12867B64" w:rsidR="006A0B7F" w:rsidRPr="004111A7" w:rsidRDefault="006A0B7F" w:rsidP="005F7F8A">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For the period 1 July to 31 December 2020, the AusTender platform and data was avail</w:t>
            </w:r>
            <w:r w:rsidR="0080715D" w:rsidRPr="004111A7">
              <w:rPr>
                <w:rFonts w:ascii="Arial" w:eastAsia="Arial" w:hAnsi="Arial" w:cs="Arial"/>
                <w:sz w:val="16"/>
                <w:szCs w:val="16"/>
                <w:lang w:eastAsia="en-US"/>
              </w:rPr>
              <w:t xml:space="preserve">able to users in excess of 99.5% </w:t>
            </w:r>
            <w:r w:rsidRPr="004111A7">
              <w:rPr>
                <w:rFonts w:ascii="Arial" w:eastAsia="Arial" w:hAnsi="Arial" w:cs="Arial"/>
                <w:sz w:val="16"/>
                <w:szCs w:val="16"/>
                <w:lang w:eastAsia="en-US"/>
              </w:rPr>
              <w:t xml:space="preserve">of the time. </w:t>
            </w:r>
          </w:p>
          <w:p w14:paraId="5DFCBF2F" w14:textId="77777777" w:rsidR="006A0B7F" w:rsidRPr="004111A7" w:rsidRDefault="006A0B7F" w:rsidP="006A0B7F">
            <w:pPr>
              <w:spacing w:after="200" w:line="276"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 xml:space="preserve">For the period 1 July to 31 December 2020, Finance participated in: </w:t>
            </w:r>
          </w:p>
          <w:p w14:paraId="443F44EB" w14:textId="0EE383D1" w:rsidR="006A0B7F" w:rsidRPr="004111A7" w:rsidRDefault="005F7F8A" w:rsidP="002F2EE5">
            <w:pPr>
              <w:numPr>
                <w:ilvl w:val="0"/>
                <w:numId w:val="57"/>
              </w:numPr>
              <w:suppressAutoHyphens/>
              <w:spacing w:before="180" w:after="200" w:line="276" w:lineRule="auto"/>
              <w:ind w:left="275" w:hanging="275"/>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T</w:t>
            </w:r>
            <w:r w:rsidR="006A0B7F" w:rsidRPr="004111A7">
              <w:rPr>
                <w:rFonts w:ascii="Arial" w:eastAsia="Cambria" w:hAnsi="Arial" w:cs="Arial"/>
                <w:sz w:val="16"/>
                <w:szCs w:val="16"/>
                <w:lang w:eastAsia="en-US"/>
              </w:rPr>
              <w:t>wo rounds of trade negoti</w:t>
            </w:r>
            <w:r w:rsidR="00C65092" w:rsidRPr="004111A7">
              <w:rPr>
                <w:rFonts w:ascii="Arial" w:eastAsia="Cambria" w:hAnsi="Arial" w:cs="Arial"/>
                <w:sz w:val="16"/>
                <w:szCs w:val="16"/>
                <w:lang w:eastAsia="en-US"/>
              </w:rPr>
              <w:t>ations with the United Kingdom.</w:t>
            </w:r>
          </w:p>
          <w:p w14:paraId="4A43B2DA" w14:textId="40B005B7" w:rsidR="006A0B7F" w:rsidRPr="004111A7" w:rsidRDefault="005F7F8A" w:rsidP="002F2EE5">
            <w:pPr>
              <w:numPr>
                <w:ilvl w:val="0"/>
                <w:numId w:val="57"/>
              </w:numPr>
              <w:suppressAutoHyphens/>
              <w:spacing w:before="180" w:after="200" w:line="276" w:lineRule="auto"/>
              <w:ind w:left="275" w:hanging="275"/>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T</w:t>
            </w:r>
            <w:r w:rsidR="006A0B7F" w:rsidRPr="004111A7">
              <w:rPr>
                <w:rFonts w:ascii="Arial" w:eastAsia="Cambria" w:hAnsi="Arial" w:cs="Arial"/>
                <w:sz w:val="16"/>
                <w:szCs w:val="16"/>
                <w:lang w:eastAsia="en-US"/>
              </w:rPr>
              <w:t>wo rounds of trade negotia</w:t>
            </w:r>
            <w:r w:rsidR="00C65092" w:rsidRPr="004111A7">
              <w:rPr>
                <w:rFonts w:ascii="Arial" w:eastAsia="Cambria" w:hAnsi="Arial" w:cs="Arial"/>
                <w:sz w:val="16"/>
                <w:szCs w:val="16"/>
                <w:lang w:eastAsia="en-US"/>
              </w:rPr>
              <w:t>tions with the European Union.</w:t>
            </w:r>
          </w:p>
          <w:p w14:paraId="223139FA" w14:textId="2AFB7322" w:rsidR="006A0B7F" w:rsidRPr="004111A7" w:rsidRDefault="005F7F8A" w:rsidP="002F2EE5">
            <w:pPr>
              <w:numPr>
                <w:ilvl w:val="0"/>
                <w:numId w:val="57"/>
              </w:numPr>
              <w:suppressAutoHyphens/>
              <w:spacing w:before="180" w:after="200" w:line="276" w:lineRule="auto"/>
              <w:ind w:left="275" w:hanging="275"/>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T</w:t>
            </w:r>
            <w:r w:rsidR="006A0B7F" w:rsidRPr="004111A7">
              <w:rPr>
                <w:rFonts w:ascii="Arial" w:eastAsia="Cambria" w:hAnsi="Arial" w:cs="Arial"/>
                <w:sz w:val="16"/>
                <w:szCs w:val="16"/>
                <w:lang w:eastAsia="en-US"/>
              </w:rPr>
              <w:t>wo meetings of the Organisation for Economic Cooperation and Development Working Party of the Leading Practitioners on Public Procurement and the World Trade Organisation Comm</w:t>
            </w:r>
            <w:r w:rsidR="00C65092" w:rsidRPr="004111A7">
              <w:rPr>
                <w:rFonts w:ascii="Arial" w:eastAsia="Cambria" w:hAnsi="Arial" w:cs="Arial"/>
                <w:sz w:val="16"/>
                <w:szCs w:val="16"/>
                <w:lang w:eastAsia="en-US"/>
              </w:rPr>
              <w:t>ittee on Government Procurement.</w:t>
            </w:r>
            <w:r w:rsidR="006A0B7F" w:rsidRPr="004111A7">
              <w:rPr>
                <w:rFonts w:ascii="Arial" w:eastAsia="Cambria" w:hAnsi="Arial" w:cs="Arial"/>
                <w:sz w:val="16"/>
                <w:szCs w:val="16"/>
                <w:lang w:eastAsia="en-US"/>
              </w:rPr>
              <w:t xml:space="preserve"> </w:t>
            </w:r>
          </w:p>
          <w:p w14:paraId="5589EB0F" w14:textId="7319BC1E" w:rsidR="006A0B7F" w:rsidRPr="004111A7" w:rsidRDefault="005F7F8A" w:rsidP="002F2EE5">
            <w:pPr>
              <w:numPr>
                <w:ilvl w:val="0"/>
                <w:numId w:val="57"/>
              </w:numPr>
              <w:suppressAutoHyphens/>
              <w:spacing w:before="180" w:after="200" w:line="276" w:lineRule="auto"/>
              <w:ind w:left="275" w:hanging="275"/>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F</w:t>
            </w:r>
            <w:r w:rsidR="006A0B7F" w:rsidRPr="004111A7">
              <w:rPr>
                <w:rFonts w:ascii="Arial" w:eastAsia="Cambria" w:hAnsi="Arial" w:cs="Arial"/>
                <w:sz w:val="16"/>
                <w:szCs w:val="16"/>
                <w:lang w:eastAsia="en-US"/>
              </w:rPr>
              <w:t>our surveys by international organisations on issues such as responsible business conduct in public procurement, and anti</w:t>
            </w:r>
            <w:r w:rsidRPr="004111A7">
              <w:rPr>
                <w:rFonts w:ascii="Arial" w:eastAsia="Cambria" w:hAnsi="Arial" w:cs="Arial"/>
                <w:sz w:val="16"/>
                <w:szCs w:val="16"/>
                <w:lang w:eastAsia="en-US"/>
              </w:rPr>
              <w:t>-</w:t>
            </w:r>
            <w:r w:rsidR="00C65092" w:rsidRPr="004111A7">
              <w:rPr>
                <w:rFonts w:ascii="Arial" w:eastAsia="Cambria" w:hAnsi="Arial" w:cs="Arial"/>
                <w:sz w:val="16"/>
                <w:szCs w:val="16"/>
                <w:lang w:eastAsia="en-US"/>
              </w:rPr>
              <w:t xml:space="preserve">corruption mechanisms. </w:t>
            </w:r>
          </w:p>
          <w:p w14:paraId="48114FC5" w14:textId="039395C2" w:rsidR="006A0B7F" w:rsidRPr="004111A7" w:rsidRDefault="006A0B7F" w:rsidP="00B61B0A">
            <w:pPr>
              <w:tabs>
                <w:tab w:val="left" w:pos="709"/>
              </w:tabs>
              <w:suppressAutoHyphens/>
              <w:spacing w:before="40" w:after="20" w:line="240" w:lineRule="auto"/>
              <w:jc w:val="left"/>
              <w:rPr>
                <w:rFonts w:ascii="Arial" w:eastAsia="Cambria" w:hAnsi="Arial" w:cs="Arial"/>
                <w:sz w:val="16"/>
                <w:szCs w:val="16"/>
                <w:lang w:eastAsia="en-US"/>
              </w:rPr>
            </w:pPr>
          </w:p>
        </w:tc>
      </w:tr>
    </w:tbl>
    <w:p w14:paraId="5266D145" w14:textId="77777777" w:rsidR="008D7FF6" w:rsidRPr="004111A7" w:rsidRDefault="008D7FF6" w:rsidP="008D7FF6">
      <w:pPr>
        <w:pStyle w:val="ChartandTableFootnoteAlpha"/>
        <w:numPr>
          <w:ilvl w:val="0"/>
          <w:numId w:val="0"/>
        </w:numPr>
        <w:ind w:left="284" w:hanging="284"/>
      </w:pPr>
      <w:r w:rsidRPr="004111A7">
        <w:t>Table continues on next page</w:t>
      </w:r>
    </w:p>
    <w:p w14:paraId="4D772FAA" w14:textId="77777777" w:rsidR="008D7FF6" w:rsidRPr="004111A7" w:rsidRDefault="008D7FF6" w:rsidP="008D7FF6">
      <w:pPr>
        <w:keepNext/>
        <w:spacing w:after="20" w:line="240" w:lineRule="auto"/>
        <w:jc w:val="left"/>
        <w:rPr>
          <w:rFonts w:ascii="Arial" w:hAnsi="Arial" w:cs="Arial"/>
          <w:b/>
        </w:rPr>
      </w:pPr>
      <w:r w:rsidRPr="004111A7">
        <w:rPr>
          <w:rFonts w:ascii="Arial" w:hAnsi="Arial" w:cs="Arial"/>
          <w:b/>
        </w:rPr>
        <w:br w:type="page"/>
      </w:r>
    </w:p>
    <w:p w14:paraId="43CFC912" w14:textId="33C07CCB" w:rsidR="006A0B7F" w:rsidRPr="004111A7" w:rsidRDefault="006A0B7F" w:rsidP="006A0B7F">
      <w:pPr>
        <w:keepNext/>
        <w:spacing w:after="20" w:line="240" w:lineRule="auto"/>
        <w:jc w:val="left"/>
        <w:rPr>
          <w:rFonts w:ascii="Arial" w:hAnsi="Arial" w:cs="Arial"/>
          <w:b/>
        </w:rPr>
      </w:pPr>
      <w:r w:rsidRPr="004111A7">
        <w:rPr>
          <w:rFonts w:ascii="Arial" w:hAnsi="Arial" w:cs="Arial"/>
          <w:b/>
        </w:rPr>
        <w:lastRenderedPageBreak/>
        <w:t xml:space="preserve">Table 2.2.2: </w:t>
      </w:r>
      <w:r w:rsidR="00280FEA" w:rsidRPr="004111A7">
        <w:rPr>
          <w:rFonts w:ascii="Arial" w:hAnsi="Arial" w:cs="Arial"/>
          <w:b/>
        </w:rPr>
        <w:t>Performance measures</w:t>
      </w:r>
      <w:r w:rsidRPr="004111A7">
        <w:rPr>
          <w:rFonts w:ascii="Arial" w:hAnsi="Arial" w:cs="Arial"/>
          <w:b/>
        </w:rPr>
        <w:t xml:space="preserve"> for Outcome 2 (continued)</w:t>
      </w:r>
    </w:p>
    <w:tbl>
      <w:tblPr>
        <w:tblW w:w="76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2156"/>
        <w:gridCol w:w="4171"/>
      </w:tblGrid>
      <w:tr w:rsidR="006A0B7F" w:rsidRPr="004111A7" w14:paraId="5991D93D" w14:textId="77777777" w:rsidTr="007C6F19">
        <w:tc>
          <w:tcPr>
            <w:tcW w:w="7685" w:type="dxa"/>
            <w:gridSpan w:val="3"/>
            <w:tcBorders>
              <w:top w:val="double" w:sz="4" w:space="0" w:color="auto"/>
              <w:bottom w:val="double" w:sz="4" w:space="0" w:color="auto"/>
            </w:tcBorders>
          </w:tcPr>
          <w:p w14:paraId="15618757"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Performance information: Program 2.5 – Technology and Procurement</w:t>
            </w:r>
          </w:p>
        </w:tc>
      </w:tr>
      <w:tr w:rsidR="006A0B7F" w:rsidRPr="004111A7" w14:paraId="5AD9C257" w14:textId="77777777" w:rsidTr="007C6F19">
        <w:tc>
          <w:tcPr>
            <w:tcW w:w="1358" w:type="dxa"/>
            <w:tcBorders>
              <w:top w:val="double" w:sz="4" w:space="0" w:color="auto"/>
              <w:bottom w:val="single" w:sz="4" w:space="0" w:color="auto"/>
              <w:right w:val="single" w:sz="4" w:space="0" w:color="auto"/>
            </w:tcBorders>
          </w:tcPr>
          <w:p w14:paraId="4B47E1AF"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156" w:type="dxa"/>
            <w:tcBorders>
              <w:top w:val="double" w:sz="4" w:space="0" w:color="auto"/>
              <w:left w:val="single" w:sz="4" w:space="0" w:color="auto"/>
              <w:bottom w:val="single" w:sz="4" w:space="0" w:color="auto"/>
              <w:right w:val="single" w:sz="4" w:space="0" w:color="auto"/>
            </w:tcBorders>
          </w:tcPr>
          <w:p w14:paraId="1FA9DF54" w14:textId="61403CC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00C50514" w:rsidRPr="004111A7">
              <w:rPr>
                <w:rFonts w:ascii="Arial" w:eastAsia="Arial" w:hAnsi="Arial" w:cs="Arial"/>
                <w:b/>
                <w:sz w:val="16"/>
                <w:szCs w:val="16"/>
                <w:lang w:eastAsia="en-US"/>
              </w:rPr>
              <w:t xml:space="preserve"> </w:t>
            </w:r>
            <w:r w:rsidR="00C50514" w:rsidRPr="004111A7">
              <w:rPr>
                <w:rFonts w:ascii="Arial" w:eastAsia="Arial" w:hAnsi="Arial" w:cs="Arial"/>
                <w:sz w:val="16"/>
                <w:szCs w:val="16"/>
                <w:lang w:eastAsia="en-US"/>
              </w:rPr>
              <w:t>(a)</w:t>
            </w:r>
          </w:p>
        </w:tc>
        <w:tc>
          <w:tcPr>
            <w:tcW w:w="4171" w:type="dxa"/>
            <w:tcBorders>
              <w:top w:val="double" w:sz="4" w:space="0" w:color="auto"/>
              <w:left w:val="single" w:sz="4" w:space="0" w:color="auto"/>
              <w:bottom w:val="single" w:sz="4" w:space="0" w:color="auto"/>
            </w:tcBorders>
          </w:tcPr>
          <w:p w14:paraId="52E94A71"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8D7FF6" w:rsidRPr="004111A7" w14:paraId="4FB55106" w14:textId="77777777" w:rsidTr="007C6F19">
        <w:tc>
          <w:tcPr>
            <w:tcW w:w="1358" w:type="dxa"/>
            <w:tcBorders>
              <w:top w:val="dotted" w:sz="4" w:space="0" w:color="auto"/>
              <w:bottom w:val="dotted" w:sz="4" w:space="0" w:color="auto"/>
              <w:right w:val="single" w:sz="4" w:space="0" w:color="auto"/>
            </w:tcBorders>
          </w:tcPr>
          <w:p w14:paraId="6395C02A" w14:textId="1F6FB175" w:rsidR="008D7FF6" w:rsidRPr="004111A7" w:rsidRDefault="008D7FF6"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2020-21</w:t>
            </w:r>
            <w:r w:rsidR="009502A7" w:rsidRPr="004111A7">
              <w:rPr>
                <w:rFonts w:ascii="Arial" w:eastAsia="Arial" w:hAnsi="Arial" w:cs="Arial"/>
                <w:sz w:val="16"/>
                <w:szCs w:val="16"/>
                <w:lang w:eastAsia="en-US"/>
              </w:rPr>
              <w:t xml:space="preserve"> (</w:t>
            </w:r>
            <w:r w:rsidRPr="004111A7">
              <w:rPr>
                <w:rFonts w:ascii="Arial" w:eastAsia="Arial" w:hAnsi="Arial" w:cs="Arial"/>
                <w:sz w:val="16"/>
                <w:szCs w:val="16"/>
                <w:lang w:eastAsia="en-US"/>
              </w:rPr>
              <w:t>continued</w:t>
            </w:r>
            <w:r w:rsidR="009502A7" w:rsidRPr="004111A7">
              <w:rPr>
                <w:rFonts w:ascii="Arial" w:eastAsia="Arial" w:hAnsi="Arial" w:cs="Arial"/>
                <w:sz w:val="16"/>
                <w:szCs w:val="16"/>
                <w:lang w:eastAsia="en-US"/>
              </w:rPr>
              <w:t>)</w:t>
            </w:r>
          </w:p>
        </w:tc>
        <w:tc>
          <w:tcPr>
            <w:tcW w:w="2156" w:type="dxa"/>
            <w:tcBorders>
              <w:top w:val="dotted" w:sz="4" w:space="0" w:color="auto"/>
              <w:left w:val="single" w:sz="4" w:space="0" w:color="auto"/>
              <w:bottom w:val="dotted" w:sz="4" w:space="0" w:color="auto"/>
              <w:right w:val="single" w:sz="4" w:space="0" w:color="auto"/>
            </w:tcBorders>
          </w:tcPr>
          <w:p w14:paraId="02F9ECF8" w14:textId="77777777" w:rsidR="008D7FF6" w:rsidRPr="004111A7" w:rsidRDefault="008D7FF6" w:rsidP="006A0B7F">
            <w:pPr>
              <w:tabs>
                <w:tab w:val="left" w:pos="709"/>
              </w:tabs>
              <w:suppressAutoHyphens/>
              <w:spacing w:before="60" w:after="60" w:line="240" w:lineRule="auto"/>
              <w:jc w:val="left"/>
              <w:rPr>
                <w:rFonts w:ascii="Arial" w:eastAsia="Arial" w:hAnsi="Arial" w:cs="Arial"/>
                <w:b/>
                <w:bCs/>
                <w:sz w:val="16"/>
                <w:szCs w:val="16"/>
                <w:lang w:eastAsia="en-US"/>
              </w:rPr>
            </w:pPr>
          </w:p>
        </w:tc>
        <w:tc>
          <w:tcPr>
            <w:tcW w:w="4171" w:type="dxa"/>
            <w:tcBorders>
              <w:top w:val="dotted" w:sz="4" w:space="0" w:color="auto"/>
              <w:left w:val="single" w:sz="4" w:space="0" w:color="auto"/>
              <w:bottom w:val="dotted" w:sz="4" w:space="0" w:color="auto"/>
            </w:tcBorders>
          </w:tcPr>
          <w:p w14:paraId="2582519F" w14:textId="5BB3A12E" w:rsidR="008D7FF6" w:rsidRPr="004111A7" w:rsidRDefault="008D7FF6" w:rsidP="008D7FF6">
            <w:pPr>
              <w:spacing w:after="200" w:line="276"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 xml:space="preserve">Finance is establishing a new WoAG Management Advisory Services Panel (the Panel) to improve the quality, consistency and efficiency of engaging these services. </w:t>
            </w:r>
          </w:p>
          <w:p w14:paraId="1382010E" w14:textId="77777777" w:rsidR="008D7FF6" w:rsidRPr="004111A7" w:rsidRDefault="008D7FF6" w:rsidP="008D7FF6">
            <w:pPr>
              <w:spacing w:after="200" w:line="276"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 xml:space="preserve">The Panel will be established in three phases: </w:t>
            </w:r>
          </w:p>
          <w:p w14:paraId="7D6F23B7" w14:textId="32588B49" w:rsidR="008D7FF6" w:rsidRPr="004111A7" w:rsidRDefault="008D7FF6" w:rsidP="002F2EE5">
            <w:pPr>
              <w:numPr>
                <w:ilvl w:val="0"/>
                <w:numId w:val="50"/>
              </w:numPr>
              <w:tabs>
                <w:tab w:val="left" w:pos="401"/>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Phase 1 – Financial Management Advisory Services</w:t>
            </w:r>
            <w:r w:rsidR="00C65092" w:rsidRPr="004111A7">
              <w:rPr>
                <w:rFonts w:ascii="Arial" w:hAnsi="Arial" w:cs="Arial"/>
                <w:sz w:val="16"/>
                <w:szCs w:val="16"/>
              </w:rPr>
              <w:t>.</w:t>
            </w:r>
            <w:r w:rsidRPr="004111A7">
              <w:rPr>
                <w:rFonts w:ascii="Arial" w:hAnsi="Arial" w:cs="Arial"/>
                <w:sz w:val="16"/>
                <w:szCs w:val="16"/>
              </w:rPr>
              <w:t xml:space="preserve"> </w:t>
            </w:r>
          </w:p>
          <w:p w14:paraId="2BBA1513" w14:textId="2E063B29" w:rsidR="008D7FF6" w:rsidRPr="004111A7" w:rsidRDefault="008D7FF6" w:rsidP="002F2EE5">
            <w:pPr>
              <w:numPr>
                <w:ilvl w:val="0"/>
                <w:numId w:val="50"/>
              </w:numPr>
              <w:tabs>
                <w:tab w:val="left" w:pos="401"/>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Phase 2 – Corporate Management Advisory Services</w:t>
            </w:r>
            <w:r w:rsidR="00C65092" w:rsidRPr="004111A7">
              <w:rPr>
                <w:rFonts w:ascii="Arial" w:hAnsi="Arial" w:cs="Arial"/>
                <w:sz w:val="16"/>
                <w:szCs w:val="16"/>
              </w:rPr>
              <w:t>.</w:t>
            </w:r>
            <w:r w:rsidRPr="004111A7">
              <w:rPr>
                <w:rFonts w:ascii="Arial" w:hAnsi="Arial" w:cs="Arial"/>
                <w:sz w:val="16"/>
                <w:szCs w:val="16"/>
              </w:rPr>
              <w:t xml:space="preserve"> </w:t>
            </w:r>
          </w:p>
          <w:p w14:paraId="1CC73B78" w14:textId="4F7D9217" w:rsidR="008D7FF6" w:rsidRPr="004111A7" w:rsidRDefault="008D7FF6" w:rsidP="002F2EE5">
            <w:pPr>
              <w:numPr>
                <w:ilvl w:val="0"/>
                <w:numId w:val="50"/>
              </w:numPr>
              <w:tabs>
                <w:tab w:val="left" w:pos="401"/>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Phase 3 – Commercial Management Advisory Services</w:t>
            </w:r>
            <w:r w:rsidR="00C65092" w:rsidRPr="004111A7">
              <w:rPr>
                <w:rFonts w:ascii="Arial" w:hAnsi="Arial" w:cs="Arial"/>
                <w:sz w:val="16"/>
                <w:szCs w:val="16"/>
              </w:rPr>
              <w:t>.</w:t>
            </w:r>
            <w:r w:rsidRPr="004111A7">
              <w:rPr>
                <w:rFonts w:ascii="Arial" w:hAnsi="Arial" w:cs="Arial"/>
                <w:sz w:val="16"/>
                <w:szCs w:val="16"/>
              </w:rPr>
              <w:t xml:space="preserve"> </w:t>
            </w:r>
          </w:p>
          <w:p w14:paraId="4D238738" w14:textId="78DFAE19" w:rsidR="008D7FF6" w:rsidRPr="004111A7" w:rsidRDefault="008D7FF6" w:rsidP="00B61B0A">
            <w:pPr>
              <w:tabs>
                <w:tab w:val="left" w:pos="709"/>
              </w:tabs>
              <w:suppressAutoHyphens/>
              <w:spacing w:before="40" w:after="20" w:line="240" w:lineRule="auto"/>
              <w:jc w:val="left"/>
              <w:rPr>
                <w:rFonts w:ascii="Arial" w:eastAsia="Cambria" w:hAnsi="Arial" w:cs="Arial"/>
                <w:sz w:val="16"/>
                <w:szCs w:val="16"/>
                <w:lang w:eastAsia="en-US"/>
              </w:rPr>
            </w:pPr>
            <w:r w:rsidRPr="004111A7">
              <w:rPr>
                <w:rFonts w:ascii="Arial" w:eastAsia="Cambria" w:hAnsi="Arial" w:cs="Arial"/>
                <w:sz w:val="16"/>
                <w:szCs w:val="16"/>
                <w:lang w:eastAsia="en-US"/>
              </w:rPr>
              <w:t>The Phase 1 Reque</w:t>
            </w:r>
            <w:r w:rsidR="005F7F8A" w:rsidRPr="004111A7">
              <w:rPr>
                <w:rFonts w:ascii="Arial" w:eastAsia="Cambria" w:hAnsi="Arial" w:cs="Arial"/>
                <w:sz w:val="16"/>
                <w:szCs w:val="16"/>
                <w:lang w:eastAsia="en-US"/>
              </w:rPr>
              <w:t>st for Tender was released on 5 </w:t>
            </w:r>
            <w:r w:rsidRPr="004111A7">
              <w:rPr>
                <w:rFonts w:ascii="Arial" w:eastAsia="Cambria" w:hAnsi="Arial" w:cs="Arial"/>
                <w:sz w:val="16"/>
                <w:szCs w:val="16"/>
                <w:lang w:eastAsia="en-US"/>
              </w:rPr>
              <w:t>November 2020 and closed on 11 December 2020.</w:t>
            </w:r>
          </w:p>
          <w:p w14:paraId="4904942D" w14:textId="029299D1" w:rsidR="00B61B0A" w:rsidRPr="004111A7" w:rsidRDefault="00B61B0A" w:rsidP="00B61B0A">
            <w:pPr>
              <w:tabs>
                <w:tab w:val="left" w:pos="709"/>
              </w:tabs>
              <w:suppressAutoHyphens/>
              <w:spacing w:before="40" w:after="20" w:line="240" w:lineRule="auto"/>
              <w:jc w:val="left"/>
              <w:rPr>
                <w:rFonts w:ascii="Arial" w:eastAsia="Arial" w:hAnsi="Arial" w:cs="Arial"/>
                <w:sz w:val="16"/>
                <w:szCs w:val="16"/>
                <w:lang w:eastAsia="en-US"/>
              </w:rPr>
            </w:pPr>
          </w:p>
        </w:tc>
      </w:tr>
      <w:tr w:rsidR="006A0B7F" w:rsidRPr="004111A7" w14:paraId="3467FB1F" w14:textId="77777777" w:rsidTr="007C6F19">
        <w:tc>
          <w:tcPr>
            <w:tcW w:w="1358" w:type="dxa"/>
            <w:tcBorders>
              <w:top w:val="dotted" w:sz="4" w:space="0" w:color="auto"/>
              <w:bottom w:val="dotted" w:sz="4" w:space="0" w:color="auto"/>
              <w:right w:val="single" w:sz="4" w:space="0" w:color="auto"/>
            </w:tcBorders>
          </w:tcPr>
          <w:p w14:paraId="6F017605"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2021-22</w:t>
            </w:r>
          </w:p>
        </w:tc>
        <w:tc>
          <w:tcPr>
            <w:tcW w:w="2156" w:type="dxa"/>
            <w:tcBorders>
              <w:top w:val="dotted" w:sz="4" w:space="0" w:color="auto"/>
              <w:left w:val="single" w:sz="4" w:space="0" w:color="auto"/>
              <w:bottom w:val="dotted" w:sz="4" w:space="0" w:color="auto"/>
              <w:right w:val="single" w:sz="4" w:space="0" w:color="auto"/>
            </w:tcBorders>
          </w:tcPr>
          <w:p w14:paraId="261985AB"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bCs/>
                <w:sz w:val="16"/>
                <w:szCs w:val="16"/>
                <w:lang w:eastAsia="en-US"/>
              </w:rPr>
              <w:t>Stewardship over procurement systems and policies</w:t>
            </w:r>
          </w:p>
          <w:p w14:paraId="3C29C1AB"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Finance works with external stakeholders to: </w:t>
            </w:r>
          </w:p>
          <w:p w14:paraId="28F7A114"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Provide stewardship over systems and policies to support a fair, efficient, and transparent procurement framework.</w:t>
            </w:r>
          </w:p>
          <w:p w14:paraId="084E434C"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Implement and maintain WoAG procurement arrangements for non-ICT services (e.g. travel bookings and major office equipment) to generate price savings and operating efficiencies.</w:t>
            </w:r>
          </w:p>
          <w:p w14:paraId="3EEB3B95" w14:textId="0679C384" w:rsidR="00B61B0A" w:rsidRPr="004111A7" w:rsidRDefault="00B61B0A" w:rsidP="00B61B0A">
            <w:pPr>
              <w:tabs>
                <w:tab w:val="left" w:pos="709"/>
              </w:tabs>
              <w:suppressAutoHyphens/>
              <w:spacing w:before="40" w:after="20" w:line="240" w:lineRule="auto"/>
              <w:jc w:val="left"/>
              <w:rPr>
                <w:rFonts w:ascii="Arial" w:eastAsia="Arial" w:hAnsi="Arial" w:cs="Arial"/>
                <w:color w:val="FF0000"/>
                <w:sz w:val="16"/>
                <w:szCs w:val="16"/>
                <w:lang w:eastAsia="en-US"/>
              </w:rPr>
            </w:pPr>
          </w:p>
        </w:tc>
        <w:tc>
          <w:tcPr>
            <w:tcW w:w="4171" w:type="dxa"/>
            <w:tcBorders>
              <w:top w:val="dotted" w:sz="4" w:space="0" w:color="auto"/>
              <w:left w:val="single" w:sz="4" w:space="0" w:color="auto"/>
              <w:bottom w:val="dotted" w:sz="4" w:space="0" w:color="auto"/>
            </w:tcBorders>
          </w:tcPr>
          <w:p w14:paraId="61598943"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Effectiveness of Finance's stewardship, policy advice, engagement and guidance on procurement systems and policies.</w:t>
            </w:r>
          </w:p>
          <w:p w14:paraId="42F3A9C7" w14:textId="7CF87AFD"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Aus</w:t>
            </w:r>
            <w:r w:rsidR="00BD7329">
              <w:rPr>
                <w:rFonts w:ascii="Arial" w:eastAsia="Arial" w:hAnsi="Arial" w:cs="Arial"/>
                <w:sz w:val="16"/>
                <w:szCs w:val="16"/>
                <w:lang w:eastAsia="en-US"/>
              </w:rPr>
              <w:t>T</w:t>
            </w:r>
            <w:r w:rsidRPr="004111A7">
              <w:rPr>
                <w:rFonts w:ascii="Arial" w:eastAsia="Arial" w:hAnsi="Arial" w:cs="Arial"/>
                <w:sz w:val="16"/>
                <w:szCs w:val="16"/>
                <w:lang w:eastAsia="en-US"/>
              </w:rPr>
              <w:t>ender platform and data is available to users 99.5% of the time.</w:t>
            </w:r>
          </w:p>
          <w:p w14:paraId="18C51A5A"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Engagement with domestic and international stakeholders supports information exchange on advances in procurement policy.</w:t>
            </w:r>
          </w:p>
          <w:p w14:paraId="5C90A71D" w14:textId="77777777" w:rsidR="006A0B7F" w:rsidRPr="004111A7" w:rsidRDefault="006A0B7F" w:rsidP="006A0B7F">
            <w:pPr>
              <w:tabs>
                <w:tab w:val="left" w:pos="709"/>
              </w:tabs>
              <w:suppressAutoHyphens/>
              <w:spacing w:before="60" w:after="60" w:line="240" w:lineRule="auto"/>
              <w:jc w:val="left"/>
              <w:rPr>
                <w:rFonts w:ascii="Arial" w:eastAsia="Arial" w:hAnsi="Arial" w:cs="Arial"/>
                <w:i/>
                <w:color w:val="FF0000"/>
                <w:sz w:val="16"/>
                <w:szCs w:val="16"/>
                <w:lang w:eastAsia="en-US"/>
              </w:rPr>
            </w:pPr>
            <w:r w:rsidRPr="004111A7">
              <w:rPr>
                <w:rFonts w:ascii="Arial" w:eastAsia="Arial" w:hAnsi="Arial" w:cs="Arial"/>
                <w:sz w:val="16"/>
                <w:szCs w:val="16"/>
                <w:lang w:eastAsia="en-US"/>
              </w:rPr>
              <w:t>Savings and efficiencies from WoAG arrangements are compared, where possible, against similar arrangements, previous arrangements or markets.</w:t>
            </w:r>
          </w:p>
        </w:tc>
      </w:tr>
      <w:tr w:rsidR="006A0B7F" w:rsidRPr="004111A7" w14:paraId="569FA790" w14:textId="77777777" w:rsidTr="007C6F19">
        <w:tc>
          <w:tcPr>
            <w:tcW w:w="1358" w:type="dxa"/>
            <w:tcBorders>
              <w:top w:val="dotted" w:sz="4" w:space="0" w:color="auto"/>
              <w:bottom w:val="dotted" w:sz="4" w:space="0" w:color="auto"/>
              <w:right w:val="single" w:sz="4" w:space="0" w:color="auto"/>
            </w:tcBorders>
          </w:tcPr>
          <w:p w14:paraId="1419AA35"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2022-23 and beyond</w:t>
            </w:r>
          </w:p>
        </w:tc>
        <w:tc>
          <w:tcPr>
            <w:tcW w:w="2156" w:type="dxa"/>
            <w:tcBorders>
              <w:top w:val="dotted" w:sz="4" w:space="0" w:color="auto"/>
              <w:left w:val="single" w:sz="4" w:space="0" w:color="auto"/>
              <w:bottom w:val="dotted" w:sz="4" w:space="0" w:color="auto"/>
              <w:right w:val="single" w:sz="4" w:space="0" w:color="auto"/>
            </w:tcBorders>
          </w:tcPr>
          <w:p w14:paraId="37A373D8" w14:textId="2A96559E"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As per 2021-22</w:t>
            </w:r>
            <w:r w:rsidR="006A3032" w:rsidRPr="004111A7">
              <w:rPr>
                <w:rFonts w:ascii="Arial" w:eastAsia="Arial" w:hAnsi="Arial" w:cs="Arial"/>
                <w:sz w:val="16"/>
                <w:szCs w:val="16"/>
                <w:lang w:eastAsia="en-US"/>
              </w:rPr>
              <w:t>.</w:t>
            </w:r>
          </w:p>
        </w:tc>
        <w:tc>
          <w:tcPr>
            <w:tcW w:w="4171" w:type="dxa"/>
            <w:tcBorders>
              <w:top w:val="dotted" w:sz="4" w:space="0" w:color="auto"/>
              <w:left w:val="single" w:sz="4" w:space="0" w:color="auto"/>
              <w:bottom w:val="dotted" w:sz="4" w:space="0" w:color="auto"/>
            </w:tcBorders>
          </w:tcPr>
          <w:p w14:paraId="149FEEFA" w14:textId="41E51612" w:rsidR="006A0B7F" w:rsidRPr="004111A7" w:rsidRDefault="006A0B7F" w:rsidP="006A0B7F">
            <w:pPr>
              <w:tabs>
                <w:tab w:val="left" w:pos="709"/>
              </w:tabs>
              <w:suppressAutoHyphens/>
              <w:spacing w:before="60" w:after="60" w:line="240" w:lineRule="auto"/>
              <w:jc w:val="left"/>
              <w:rPr>
                <w:rFonts w:ascii="Arial" w:eastAsia="Arial" w:hAnsi="Arial" w:cs="Arial"/>
                <w:color w:val="FF0000"/>
                <w:sz w:val="16"/>
                <w:szCs w:val="16"/>
                <w:lang w:eastAsia="en-US"/>
              </w:rPr>
            </w:pPr>
            <w:r w:rsidRPr="004111A7">
              <w:rPr>
                <w:rFonts w:ascii="Arial" w:eastAsia="Arial" w:hAnsi="Arial" w:cs="Arial"/>
                <w:sz w:val="16"/>
                <w:szCs w:val="16"/>
                <w:lang w:eastAsia="en-US"/>
              </w:rPr>
              <w:t>As per 2021-22</w:t>
            </w:r>
            <w:r w:rsidR="006A3032" w:rsidRPr="004111A7">
              <w:rPr>
                <w:rFonts w:ascii="Arial" w:eastAsia="Arial" w:hAnsi="Arial" w:cs="Arial"/>
                <w:sz w:val="16"/>
                <w:szCs w:val="16"/>
                <w:lang w:eastAsia="en-US"/>
              </w:rPr>
              <w:t>.</w:t>
            </w:r>
          </w:p>
        </w:tc>
      </w:tr>
      <w:tr w:rsidR="006A0B7F" w:rsidRPr="004111A7" w14:paraId="2B1520C1" w14:textId="77777777" w:rsidTr="007C6F19">
        <w:tc>
          <w:tcPr>
            <w:tcW w:w="1358" w:type="dxa"/>
          </w:tcPr>
          <w:p w14:paraId="45EC28BD"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Purpose</w:t>
            </w:r>
          </w:p>
        </w:tc>
        <w:tc>
          <w:tcPr>
            <w:tcW w:w="6327" w:type="dxa"/>
            <w:gridSpan w:val="2"/>
          </w:tcPr>
          <w:p w14:paraId="2D683222"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To assist the Australian Government to achieve its fiscal and policy objectives by advising on expenditure, managing sustainable public sector resourcing, driving public sector transformation and delivering efficient, cost-effective services to, and for, government.</w:t>
            </w:r>
          </w:p>
          <w:p w14:paraId="0FE3A3F1" w14:textId="7EF8E4A3" w:rsidR="00B61B0A" w:rsidRPr="004111A7" w:rsidRDefault="00B61B0A" w:rsidP="00B61B0A">
            <w:pPr>
              <w:tabs>
                <w:tab w:val="left" w:pos="709"/>
              </w:tabs>
              <w:suppressAutoHyphens/>
              <w:spacing w:before="40" w:after="20" w:line="240" w:lineRule="auto"/>
              <w:jc w:val="left"/>
              <w:rPr>
                <w:rFonts w:ascii="Arial" w:eastAsia="Arial" w:hAnsi="Arial" w:cs="Arial"/>
                <w:color w:val="FF0000"/>
                <w:sz w:val="16"/>
                <w:szCs w:val="16"/>
                <w:lang w:eastAsia="en-US"/>
              </w:rPr>
            </w:pPr>
          </w:p>
        </w:tc>
      </w:tr>
    </w:tbl>
    <w:p w14:paraId="01DF73DD" w14:textId="77777777" w:rsidR="008D7FF6" w:rsidRPr="004111A7" w:rsidRDefault="008D7FF6" w:rsidP="008D7FF6">
      <w:pPr>
        <w:pStyle w:val="ChartandTableFootnoteAlpha"/>
        <w:numPr>
          <w:ilvl w:val="0"/>
          <w:numId w:val="0"/>
        </w:numPr>
        <w:ind w:left="284" w:hanging="284"/>
      </w:pPr>
      <w:r w:rsidRPr="004111A7">
        <w:t>Table continues on next page</w:t>
      </w:r>
    </w:p>
    <w:p w14:paraId="746C8E58" w14:textId="77777777" w:rsidR="008D7FF6" w:rsidRPr="004111A7" w:rsidRDefault="008D7FF6" w:rsidP="008D7FF6">
      <w:pPr>
        <w:keepNext/>
        <w:spacing w:after="20" w:line="240" w:lineRule="auto"/>
        <w:jc w:val="left"/>
        <w:rPr>
          <w:rFonts w:ascii="Arial" w:hAnsi="Arial" w:cs="Arial"/>
          <w:b/>
        </w:rPr>
      </w:pPr>
      <w:r w:rsidRPr="004111A7">
        <w:rPr>
          <w:rFonts w:ascii="Arial" w:hAnsi="Arial" w:cs="Arial"/>
          <w:b/>
        </w:rPr>
        <w:br w:type="page"/>
      </w:r>
    </w:p>
    <w:p w14:paraId="2BC91ED1" w14:textId="1B68FE69" w:rsidR="003F3E41" w:rsidRPr="004111A7" w:rsidRDefault="003F3E41" w:rsidP="003F3E41">
      <w:pPr>
        <w:keepNext/>
        <w:spacing w:after="20" w:line="240" w:lineRule="auto"/>
        <w:jc w:val="left"/>
        <w:rPr>
          <w:rFonts w:ascii="Arial" w:hAnsi="Arial" w:cs="Arial"/>
          <w:b/>
        </w:rPr>
      </w:pPr>
      <w:r w:rsidRPr="004111A7">
        <w:rPr>
          <w:rFonts w:ascii="Arial" w:hAnsi="Arial" w:cs="Arial"/>
          <w:b/>
        </w:rPr>
        <w:lastRenderedPageBreak/>
        <w:t xml:space="preserve">Table 2.2.2: </w:t>
      </w:r>
      <w:r w:rsidR="00280FEA" w:rsidRPr="004111A7">
        <w:rPr>
          <w:rFonts w:ascii="Arial" w:hAnsi="Arial" w:cs="Arial"/>
          <w:b/>
        </w:rPr>
        <w:t>Performance measures</w:t>
      </w:r>
      <w:r w:rsidRPr="004111A7">
        <w:rPr>
          <w:rFonts w:ascii="Arial" w:hAnsi="Arial" w:cs="Arial"/>
          <w:b/>
        </w:rPr>
        <w:t xml:space="preserve"> for Outcome 2 (continued)</w:t>
      </w:r>
    </w:p>
    <w:tbl>
      <w:tblPr>
        <w:tblW w:w="76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142"/>
        <w:gridCol w:w="4115"/>
      </w:tblGrid>
      <w:tr w:rsidR="003F3E41" w:rsidRPr="004111A7" w14:paraId="2AB21208" w14:textId="77777777" w:rsidTr="003C100E">
        <w:trPr>
          <w:tblHeader/>
        </w:trPr>
        <w:tc>
          <w:tcPr>
            <w:tcW w:w="7685" w:type="dxa"/>
            <w:gridSpan w:val="3"/>
            <w:shd w:val="clear" w:color="auto" w:fill="F2F2F2"/>
          </w:tcPr>
          <w:p w14:paraId="5DB00ED7"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sz w:val="16"/>
                <w:szCs w:val="16"/>
                <w:lang w:eastAsia="en-US"/>
              </w:rPr>
              <w:t>Program 2.6</w:t>
            </w:r>
            <w:r w:rsidRPr="004111A7">
              <w:rPr>
                <w:rFonts w:ascii="Arial" w:eastAsia="Arial" w:hAnsi="Arial" w:cs="Arial"/>
                <w:sz w:val="16"/>
                <w:szCs w:val="16"/>
                <w:lang w:eastAsia="en-US"/>
              </w:rPr>
              <w:t xml:space="preserve"> – </w:t>
            </w:r>
            <w:r w:rsidRPr="004111A7">
              <w:rPr>
                <w:rFonts w:ascii="Arial" w:eastAsia="Arial" w:hAnsi="Arial" w:cs="Arial"/>
                <w:b/>
                <w:sz w:val="16"/>
                <w:szCs w:val="16"/>
                <w:lang w:eastAsia="en-US"/>
              </w:rPr>
              <w:t xml:space="preserve">Service Delivery Office </w:t>
            </w:r>
          </w:p>
          <w:p w14:paraId="463642EB"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This program contributes to the outcome through providing a range of corporate services to Australian Government entities.</w:t>
            </w:r>
          </w:p>
        </w:tc>
      </w:tr>
      <w:tr w:rsidR="003F3E41" w:rsidRPr="004111A7" w14:paraId="2F0FD037" w14:textId="77777777" w:rsidTr="00D75CC7">
        <w:tc>
          <w:tcPr>
            <w:tcW w:w="1428" w:type="dxa"/>
            <w:tcBorders>
              <w:bottom w:val="double" w:sz="4" w:space="0" w:color="auto"/>
            </w:tcBorders>
          </w:tcPr>
          <w:p w14:paraId="0C6A7C86"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Delivery</w:t>
            </w:r>
          </w:p>
        </w:tc>
        <w:tc>
          <w:tcPr>
            <w:tcW w:w="6257" w:type="dxa"/>
            <w:gridSpan w:val="2"/>
            <w:tcBorders>
              <w:bottom w:val="double" w:sz="4" w:space="0" w:color="auto"/>
            </w:tcBorders>
          </w:tcPr>
          <w:p w14:paraId="6C37DC52" w14:textId="77777777" w:rsidR="003F3E41" w:rsidRPr="004111A7" w:rsidRDefault="003F3E41" w:rsidP="003C100E">
            <w:pPr>
              <w:tabs>
                <w:tab w:val="left" w:pos="401"/>
              </w:tabs>
              <w:spacing w:before="60" w:after="60" w:line="240" w:lineRule="auto"/>
              <w:contextualSpacing/>
              <w:jc w:val="left"/>
              <w:rPr>
                <w:rFonts w:ascii="Arial" w:hAnsi="Arial" w:cs="Arial"/>
                <w:sz w:val="16"/>
                <w:szCs w:val="16"/>
              </w:rPr>
            </w:pPr>
            <w:r w:rsidRPr="004111A7">
              <w:rPr>
                <w:rFonts w:ascii="Arial" w:hAnsi="Arial" w:cs="Arial"/>
                <w:sz w:val="16"/>
                <w:szCs w:val="16"/>
              </w:rPr>
              <w:t xml:space="preserve">Providing the following services to Australian Government entities:  </w:t>
            </w:r>
          </w:p>
          <w:p w14:paraId="360C261C" w14:textId="5CF86E17" w:rsidR="003F3E41" w:rsidRPr="004111A7" w:rsidRDefault="00C02921" w:rsidP="003C100E">
            <w:pPr>
              <w:numPr>
                <w:ilvl w:val="0"/>
                <w:numId w:val="50"/>
              </w:numPr>
              <w:tabs>
                <w:tab w:val="left" w:pos="401"/>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A</w:t>
            </w:r>
            <w:r w:rsidR="006A3032" w:rsidRPr="004111A7">
              <w:rPr>
                <w:rFonts w:ascii="Arial" w:hAnsi="Arial" w:cs="Arial"/>
                <w:sz w:val="16"/>
                <w:szCs w:val="16"/>
              </w:rPr>
              <w:t>ccounts payable</w:t>
            </w:r>
            <w:r w:rsidRPr="004111A7">
              <w:rPr>
                <w:rFonts w:ascii="Arial" w:hAnsi="Arial" w:cs="Arial"/>
                <w:sz w:val="16"/>
                <w:szCs w:val="16"/>
              </w:rPr>
              <w:t>.</w:t>
            </w:r>
          </w:p>
          <w:p w14:paraId="0B1EBE71" w14:textId="2396EE49" w:rsidR="003F3E41" w:rsidRPr="004111A7" w:rsidRDefault="00C02921" w:rsidP="003C100E">
            <w:pPr>
              <w:numPr>
                <w:ilvl w:val="0"/>
                <w:numId w:val="50"/>
              </w:numPr>
              <w:tabs>
                <w:tab w:val="left" w:pos="401"/>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A</w:t>
            </w:r>
            <w:r w:rsidR="003F3E41" w:rsidRPr="004111A7">
              <w:rPr>
                <w:rFonts w:ascii="Arial" w:hAnsi="Arial" w:cs="Arial"/>
                <w:sz w:val="16"/>
                <w:szCs w:val="16"/>
              </w:rPr>
              <w:t>cco</w:t>
            </w:r>
            <w:r w:rsidR="006A3032" w:rsidRPr="004111A7">
              <w:rPr>
                <w:rFonts w:ascii="Arial" w:hAnsi="Arial" w:cs="Arial"/>
                <w:sz w:val="16"/>
                <w:szCs w:val="16"/>
              </w:rPr>
              <w:t>unts receivable</w:t>
            </w:r>
            <w:r w:rsidRPr="004111A7">
              <w:rPr>
                <w:rFonts w:ascii="Arial" w:hAnsi="Arial" w:cs="Arial"/>
                <w:sz w:val="16"/>
                <w:szCs w:val="16"/>
              </w:rPr>
              <w:t>.</w:t>
            </w:r>
          </w:p>
          <w:p w14:paraId="357CA65B" w14:textId="33997DE4" w:rsidR="003F3E41" w:rsidRPr="004111A7" w:rsidRDefault="00C02921" w:rsidP="003C100E">
            <w:pPr>
              <w:numPr>
                <w:ilvl w:val="0"/>
                <w:numId w:val="50"/>
              </w:numPr>
              <w:tabs>
                <w:tab w:val="left" w:pos="401"/>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C</w:t>
            </w:r>
            <w:r w:rsidR="006A3032" w:rsidRPr="004111A7">
              <w:rPr>
                <w:rFonts w:ascii="Arial" w:hAnsi="Arial" w:cs="Arial"/>
                <w:sz w:val="16"/>
                <w:szCs w:val="16"/>
              </w:rPr>
              <w:t>redit card management</w:t>
            </w:r>
            <w:r w:rsidRPr="004111A7">
              <w:rPr>
                <w:rFonts w:ascii="Arial" w:hAnsi="Arial" w:cs="Arial"/>
                <w:sz w:val="16"/>
                <w:szCs w:val="16"/>
              </w:rPr>
              <w:t>.</w:t>
            </w:r>
          </w:p>
          <w:p w14:paraId="0A06B878" w14:textId="7BEB21A2" w:rsidR="003F3E41" w:rsidRPr="004111A7" w:rsidRDefault="00C02921" w:rsidP="003C100E">
            <w:pPr>
              <w:numPr>
                <w:ilvl w:val="0"/>
                <w:numId w:val="50"/>
              </w:numPr>
              <w:tabs>
                <w:tab w:val="left" w:pos="401"/>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T</w:t>
            </w:r>
            <w:r w:rsidR="006A3032" w:rsidRPr="004111A7">
              <w:rPr>
                <w:rFonts w:ascii="Arial" w:hAnsi="Arial" w:cs="Arial"/>
                <w:sz w:val="16"/>
                <w:szCs w:val="16"/>
              </w:rPr>
              <w:t>ravel and expense management</w:t>
            </w:r>
            <w:r w:rsidRPr="004111A7">
              <w:rPr>
                <w:rFonts w:ascii="Arial" w:hAnsi="Arial" w:cs="Arial"/>
                <w:sz w:val="16"/>
                <w:szCs w:val="16"/>
              </w:rPr>
              <w:t>.</w:t>
            </w:r>
          </w:p>
          <w:p w14:paraId="3EDF8B0B" w14:textId="63933C1C" w:rsidR="003F3E41" w:rsidRPr="004111A7" w:rsidRDefault="00BD7329" w:rsidP="003C100E">
            <w:pPr>
              <w:numPr>
                <w:ilvl w:val="0"/>
                <w:numId w:val="50"/>
              </w:numPr>
              <w:tabs>
                <w:tab w:val="left" w:pos="401"/>
              </w:tabs>
              <w:suppressAutoHyphens/>
              <w:spacing w:before="60" w:after="60" w:line="240" w:lineRule="auto"/>
              <w:contextualSpacing/>
              <w:jc w:val="left"/>
              <w:rPr>
                <w:rFonts w:ascii="Arial" w:hAnsi="Arial" w:cs="Arial"/>
                <w:sz w:val="16"/>
                <w:szCs w:val="16"/>
              </w:rPr>
            </w:pPr>
            <w:r>
              <w:rPr>
                <w:rFonts w:ascii="Arial" w:hAnsi="Arial" w:cs="Arial"/>
                <w:sz w:val="16"/>
                <w:szCs w:val="16"/>
              </w:rPr>
              <w:t>P</w:t>
            </w:r>
            <w:r w:rsidR="003F3E41" w:rsidRPr="004111A7">
              <w:rPr>
                <w:rFonts w:ascii="Arial" w:hAnsi="Arial" w:cs="Arial"/>
                <w:sz w:val="16"/>
                <w:szCs w:val="16"/>
              </w:rPr>
              <w:t>ayroll and</w:t>
            </w:r>
            <w:r w:rsidR="006A3032" w:rsidRPr="004111A7">
              <w:rPr>
                <w:rFonts w:ascii="Arial" w:hAnsi="Arial" w:cs="Arial"/>
                <w:sz w:val="16"/>
                <w:szCs w:val="16"/>
              </w:rPr>
              <w:t xml:space="preserve"> payroll systems administration</w:t>
            </w:r>
            <w:r w:rsidR="00C02921" w:rsidRPr="004111A7">
              <w:rPr>
                <w:rFonts w:ascii="Arial" w:hAnsi="Arial" w:cs="Arial"/>
                <w:sz w:val="16"/>
                <w:szCs w:val="16"/>
              </w:rPr>
              <w:t>.</w:t>
            </w:r>
          </w:p>
          <w:p w14:paraId="20E5E85C" w14:textId="77777777" w:rsidR="003F3E41" w:rsidRPr="004111A7" w:rsidRDefault="003F3E41" w:rsidP="003C100E">
            <w:pPr>
              <w:numPr>
                <w:ilvl w:val="0"/>
                <w:numId w:val="50"/>
              </w:numPr>
              <w:tabs>
                <w:tab w:val="left" w:pos="401"/>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ICT functions supporting the Enterprise Resource Planning (ERP) solution.</w:t>
            </w:r>
          </w:p>
        </w:tc>
      </w:tr>
      <w:tr w:rsidR="003F3E41" w:rsidRPr="004111A7" w14:paraId="5EB668F3" w14:textId="77777777" w:rsidTr="003C100E">
        <w:tc>
          <w:tcPr>
            <w:tcW w:w="7685" w:type="dxa"/>
            <w:gridSpan w:val="3"/>
            <w:tcBorders>
              <w:top w:val="double" w:sz="4" w:space="0" w:color="auto"/>
              <w:bottom w:val="double" w:sz="4" w:space="0" w:color="auto"/>
            </w:tcBorders>
          </w:tcPr>
          <w:p w14:paraId="0CB389B4"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Performance information: Program 2.6 – Service Delivery Office</w:t>
            </w:r>
          </w:p>
        </w:tc>
      </w:tr>
      <w:tr w:rsidR="003F3E41" w:rsidRPr="004111A7" w14:paraId="41137A1B" w14:textId="77777777" w:rsidTr="00D75CC7">
        <w:tc>
          <w:tcPr>
            <w:tcW w:w="1428" w:type="dxa"/>
            <w:tcBorders>
              <w:top w:val="double" w:sz="4" w:space="0" w:color="auto"/>
              <w:bottom w:val="single" w:sz="4" w:space="0" w:color="auto"/>
              <w:right w:val="single" w:sz="4" w:space="0" w:color="auto"/>
            </w:tcBorders>
          </w:tcPr>
          <w:p w14:paraId="16E512B6"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142" w:type="dxa"/>
            <w:tcBorders>
              <w:top w:val="double" w:sz="4" w:space="0" w:color="auto"/>
              <w:left w:val="single" w:sz="4" w:space="0" w:color="auto"/>
              <w:bottom w:val="single" w:sz="4" w:space="0" w:color="auto"/>
              <w:right w:val="single" w:sz="4" w:space="0" w:color="auto"/>
            </w:tcBorders>
          </w:tcPr>
          <w:p w14:paraId="6D0BA130" w14:textId="33C93A99"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00C50514" w:rsidRPr="004111A7">
              <w:rPr>
                <w:rFonts w:ascii="Arial" w:eastAsia="Arial" w:hAnsi="Arial" w:cs="Arial"/>
                <w:b/>
                <w:sz w:val="16"/>
                <w:szCs w:val="16"/>
                <w:lang w:eastAsia="en-US"/>
              </w:rPr>
              <w:t xml:space="preserve"> </w:t>
            </w:r>
            <w:r w:rsidR="00C50514" w:rsidRPr="004111A7">
              <w:rPr>
                <w:rFonts w:ascii="Arial" w:eastAsia="Arial" w:hAnsi="Arial" w:cs="Arial"/>
                <w:sz w:val="16"/>
                <w:szCs w:val="16"/>
                <w:lang w:eastAsia="en-US"/>
              </w:rPr>
              <w:t>(a)</w:t>
            </w:r>
          </w:p>
        </w:tc>
        <w:tc>
          <w:tcPr>
            <w:tcW w:w="4115" w:type="dxa"/>
            <w:tcBorders>
              <w:top w:val="double" w:sz="4" w:space="0" w:color="auto"/>
              <w:left w:val="single" w:sz="4" w:space="0" w:color="auto"/>
              <w:bottom w:val="single" w:sz="4" w:space="0" w:color="auto"/>
            </w:tcBorders>
          </w:tcPr>
          <w:p w14:paraId="72339CCE"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3F3E41" w:rsidRPr="004111A7" w14:paraId="0D96CC40" w14:textId="77777777" w:rsidTr="00D75CC7">
        <w:trPr>
          <w:trHeight w:val="4219"/>
        </w:trPr>
        <w:tc>
          <w:tcPr>
            <w:tcW w:w="1428" w:type="dxa"/>
            <w:tcBorders>
              <w:top w:val="single" w:sz="4" w:space="0" w:color="auto"/>
              <w:bottom w:val="single" w:sz="4" w:space="0" w:color="auto"/>
              <w:right w:val="single" w:sz="4" w:space="0" w:color="auto"/>
            </w:tcBorders>
          </w:tcPr>
          <w:p w14:paraId="23402D9C"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2020-21</w:t>
            </w:r>
          </w:p>
        </w:tc>
        <w:tc>
          <w:tcPr>
            <w:tcW w:w="2142" w:type="dxa"/>
            <w:tcBorders>
              <w:top w:val="single" w:sz="4" w:space="0" w:color="auto"/>
              <w:left w:val="single" w:sz="4" w:space="0" w:color="auto"/>
              <w:bottom w:val="single" w:sz="4" w:space="0" w:color="auto"/>
              <w:right w:val="single" w:sz="4" w:space="0" w:color="auto"/>
            </w:tcBorders>
          </w:tcPr>
          <w:p w14:paraId="70227E4E"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bCs/>
                <w:sz w:val="16"/>
                <w:szCs w:val="16"/>
                <w:lang w:eastAsia="en-US"/>
              </w:rPr>
              <w:t>Shared services hub meets clients’ needs</w:t>
            </w:r>
          </w:p>
          <w:p w14:paraId="76545EDC" w14:textId="2275F649" w:rsidR="003F3E41" w:rsidRPr="004111A7" w:rsidRDefault="003F3E41" w:rsidP="007D79C7">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As a Shared Services hub, the </w:t>
            </w:r>
            <w:r w:rsidR="00BD7329">
              <w:rPr>
                <w:rFonts w:ascii="Arial" w:eastAsia="Arial" w:hAnsi="Arial" w:cs="Arial"/>
                <w:sz w:val="16"/>
                <w:szCs w:val="16"/>
                <w:lang w:eastAsia="en-US"/>
              </w:rPr>
              <w:t>SDO</w:t>
            </w:r>
            <w:r w:rsidRPr="004111A7">
              <w:rPr>
                <w:rFonts w:ascii="Arial" w:eastAsia="Arial" w:hAnsi="Arial" w:cs="Arial"/>
                <w:sz w:val="16"/>
                <w:szCs w:val="16"/>
                <w:lang w:eastAsia="en-US"/>
              </w:rPr>
              <w:t xml:space="preserve"> provides quality and efficient services to client entities.</w:t>
            </w:r>
          </w:p>
        </w:tc>
        <w:tc>
          <w:tcPr>
            <w:tcW w:w="4115" w:type="dxa"/>
            <w:tcBorders>
              <w:top w:val="single" w:sz="4" w:space="0" w:color="auto"/>
              <w:left w:val="single" w:sz="4" w:space="0" w:color="auto"/>
              <w:bottom w:val="single" w:sz="4" w:space="0" w:color="auto"/>
            </w:tcBorders>
          </w:tcPr>
          <w:p w14:paraId="1DC806C0"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On Track</w:t>
            </w:r>
          </w:p>
          <w:p w14:paraId="1DB7ABB9" w14:textId="638136C7" w:rsidR="003F3E41" w:rsidRPr="004111A7" w:rsidRDefault="003C6AF6" w:rsidP="003C100E">
            <w:pPr>
              <w:tabs>
                <w:tab w:val="left" w:pos="709"/>
              </w:tabs>
              <w:suppressAutoHyphens/>
              <w:spacing w:before="60" w:after="60" w:line="240" w:lineRule="auto"/>
              <w:jc w:val="left"/>
              <w:rPr>
                <w:rFonts w:ascii="Arial" w:eastAsia="Arial" w:hAnsi="Arial" w:cs="Arial"/>
                <w:sz w:val="16"/>
                <w:szCs w:val="16"/>
                <w:lang w:eastAsia="en-US"/>
              </w:rPr>
            </w:pPr>
            <w:r>
              <w:rPr>
                <w:rFonts w:ascii="Arial" w:eastAsia="Arial" w:hAnsi="Arial" w:cs="Arial"/>
                <w:sz w:val="16"/>
                <w:szCs w:val="16"/>
                <w:lang w:eastAsia="en-US"/>
              </w:rPr>
              <w:t xml:space="preserve">The </w:t>
            </w:r>
            <w:r w:rsidR="003F3E41" w:rsidRPr="004111A7">
              <w:rPr>
                <w:rFonts w:ascii="Arial" w:eastAsia="Arial" w:hAnsi="Arial" w:cs="Arial"/>
                <w:sz w:val="16"/>
                <w:szCs w:val="16"/>
                <w:lang w:eastAsia="en-US"/>
              </w:rPr>
              <w:t xml:space="preserve">SDO has agreed service level agreements with clients. </w:t>
            </w:r>
          </w:p>
          <w:p w14:paraId="54ADC63C" w14:textId="77777777" w:rsidR="00FA025D" w:rsidRDefault="00FA025D" w:rsidP="00FA025D">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As at 31 March 2021</w:t>
            </w:r>
            <w:r>
              <w:rPr>
                <w:rFonts w:ascii="Arial" w:eastAsia="Arial" w:hAnsi="Arial" w:cs="Arial"/>
                <w:sz w:val="16"/>
                <w:szCs w:val="16"/>
                <w:lang w:eastAsia="en-US"/>
              </w:rPr>
              <w:t>:</w:t>
            </w:r>
          </w:p>
          <w:p w14:paraId="299AC44A" w14:textId="77777777" w:rsidR="00FA025D" w:rsidRDefault="00FA025D" w:rsidP="00FA025D">
            <w:pPr>
              <w:pStyle w:val="ListParagraph"/>
              <w:numPr>
                <w:ilvl w:val="0"/>
                <w:numId w:val="70"/>
              </w:numPr>
              <w:tabs>
                <w:tab w:val="left" w:pos="709"/>
              </w:tabs>
              <w:suppressAutoHyphens/>
              <w:spacing w:before="60" w:after="60" w:line="240" w:lineRule="auto"/>
              <w:rPr>
                <w:rFonts w:ascii="Arial" w:eastAsia="Arial" w:hAnsi="Arial" w:cs="Arial"/>
                <w:sz w:val="16"/>
                <w:szCs w:val="16"/>
              </w:rPr>
            </w:pPr>
            <w:r w:rsidRPr="00314268">
              <w:rPr>
                <w:rFonts w:ascii="Arial" w:eastAsia="Arial" w:hAnsi="Arial" w:cs="Arial"/>
                <w:sz w:val="16"/>
                <w:szCs w:val="16"/>
              </w:rPr>
              <w:t xml:space="preserve">the SDO </w:t>
            </w:r>
            <w:r>
              <w:rPr>
                <w:rFonts w:ascii="Arial" w:eastAsia="Arial" w:hAnsi="Arial" w:cs="Arial"/>
                <w:sz w:val="16"/>
                <w:szCs w:val="16"/>
              </w:rPr>
              <w:t>was</w:t>
            </w:r>
            <w:r w:rsidRPr="00314268">
              <w:rPr>
                <w:rFonts w:ascii="Arial" w:eastAsia="Arial" w:hAnsi="Arial" w:cs="Arial"/>
                <w:sz w:val="16"/>
                <w:szCs w:val="16"/>
              </w:rPr>
              <w:t xml:space="preserve"> meeting service level outcomes for accounts payable, accounts receivable, payroll administration, credit card management and HUB usage.</w:t>
            </w:r>
          </w:p>
          <w:p w14:paraId="31691237" w14:textId="77777777" w:rsidR="00FA025D" w:rsidRDefault="00FA025D" w:rsidP="00FA025D">
            <w:pPr>
              <w:pStyle w:val="ListParagraph"/>
              <w:numPr>
                <w:ilvl w:val="0"/>
                <w:numId w:val="70"/>
              </w:numPr>
              <w:tabs>
                <w:tab w:val="left" w:pos="709"/>
              </w:tabs>
              <w:suppressAutoHyphens/>
              <w:spacing w:before="60" w:after="60" w:line="240" w:lineRule="auto"/>
              <w:rPr>
                <w:rFonts w:ascii="Arial" w:eastAsia="Arial" w:hAnsi="Arial" w:cs="Arial"/>
                <w:sz w:val="16"/>
                <w:szCs w:val="16"/>
              </w:rPr>
            </w:pPr>
            <w:r>
              <w:rPr>
                <w:rFonts w:ascii="Arial" w:eastAsia="Arial" w:hAnsi="Arial" w:cs="Arial"/>
                <w:sz w:val="16"/>
                <w:szCs w:val="16"/>
              </w:rPr>
              <w:t xml:space="preserve">there were </w:t>
            </w:r>
            <w:r w:rsidRPr="00314268">
              <w:rPr>
                <w:rFonts w:ascii="Arial" w:eastAsia="Arial" w:hAnsi="Arial" w:cs="Arial"/>
                <w:sz w:val="16"/>
                <w:szCs w:val="16"/>
              </w:rPr>
              <w:t>8,257 HUB users, co</w:t>
            </w:r>
            <w:r w:rsidRPr="004C1BDF">
              <w:rPr>
                <w:rFonts w:ascii="Arial" w:eastAsia="Arial" w:hAnsi="Arial" w:cs="Arial"/>
                <w:sz w:val="16"/>
                <w:szCs w:val="16"/>
              </w:rPr>
              <w:t>ntinuing the increasing trend in</w:t>
            </w:r>
            <w:r w:rsidRPr="00314268">
              <w:rPr>
                <w:rFonts w:ascii="Arial" w:eastAsia="Arial" w:hAnsi="Arial" w:cs="Arial"/>
                <w:sz w:val="16"/>
                <w:szCs w:val="16"/>
              </w:rPr>
              <w:t xml:space="preserve"> the number of HUB users.</w:t>
            </w:r>
            <w:r w:rsidRPr="00314268" w:rsidDel="00D710EA">
              <w:rPr>
                <w:rFonts w:ascii="Arial" w:eastAsia="Arial" w:hAnsi="Arial" w:cs="Arial"/>
                <w:sz w:val="16"/>
                <w:szCs w:val="16"/>
              </w:rPr>
              <w:t xml:space="preserve"> </w:t>
            </w:r>
            <w:r w:rsidRPr="00314268">
              <w:rPr>
                <w:rFonts w:ascii="Arial" w:eastAsia="Arial" w:hAnsi="Arial" w:cs="Arial"/>
                <w:sz w:val="16"/>
                <w:szCs w:val="16"/>
              </w:rPr>
              <w:t>100% of clients were able to manage their services, data and ledger maintenance activities through the HUB.</w:t>
            </w:r>
          </w:p>
          <w:p w14:paraId="26EC9ED3" w14:textId="77777777" w:rsidR="00FA025D" w:rsidRPr="00314268" w:rsidRDefault="00FA025D" w:rsidP="00FA025D">
            <w:pPr>
              <w:pStyle w:val="ListParagraph"/>
              <w:numPr>
                <w:ilvl w:val="0"/>
                <w:numId w:val="70"/>
              </w:numPr>
              <w:tabs>
                <w:tab w:val="left" w:pos="709"/>
              </w:tabs>
              <w:suppressAutoHyphens/>
              <w:spacing w:before="60" w:after="60" w:line="240" w:lineRule="auto"/>
              <w:rPr>
                <w:rFonts w:ascii="Arial" w:eastAsia="Arial" w:hAnsi="Arial" w:cs="Arial"/>
                <w:sz w:val="16"/>
                <w:szCs w:val="16"/>
              </w:rPr>
            </w:pPr>
            <w:r>
              <w:rPr>
                <w:rFonts w:ascii="Arial" w:eastAsia="Arial" w:hAnsi="Arial" w:cs="Arial"/>
                <w:sz w:val="16"/>
                <w:szCs w:val="16"/>
              </w:rPr>
              <w:t>o</w:t>
            </w:r>
            <w:r w:rsidRPr="00314268">
              <w:rPr>
                <w:rFonts w:ascii="Arial" w:eastAsia="Arial" w:hAnsi="Arial" w:cs="Arial"/>
                <w:sz w:val="16"/>
                <w:szCs w:val="16"/>
              </w:rPr>
              <w:t>ver 80,000 tickets were raised and resolved,</w:t>
            </w:r>
            <w:r>
              <w:rPr>
                <w:rFonts w:ascii="Arial" w:eastAsia="Arial" w:hAnsi="Arial" w:cs="Arial"/>
                <w:sz w:val="16"/>
                <w:szCs w:val="16"/>
              </w:rPr>
              <w:t xml:space="preserve"> </w:t>
            </w:r>
            <w:r w:rsidRPr="00314268">
              <w:rPr>
                <w:rFonts w:ascii="Arial" w:eastAsia="Arial" w:hAnsi="Arial" w:cs="Arial"/>
                <w:sz w:val="16"/>
                <w:szCs w:val="16"/>
              </w:rPr>
              <w:t xml:space="preserve">with an average resolution time of 4.4 days. </w:t>
            </w:r>
          </w:p>
          <w:p w14:paraId="5E95CC22" w14:textId="77777777" w:rsidR="00FA025D" w:rsidRPr="004111A7" w:rsidRDefault="00FA025D" w:rsidP="00FA025D">
            <w:pPr>
              <w:tabs>
                <w:tab w:val="left" w:pos="709"/>
              </w:tabs>
              <w:suppressAutoHyphens/>
              <w:spacing w:before="60" w:after="60" w:line="240" w:lineRule="auto"/>
              <w:jc w:val="left"/>
              <w:rPr>
                <w:rFonts w:ascii="Arial" w:eastAsia="Arial" w:hAnsi="Arial" w:cs="Arial"/>
                <w:sz w:val="16"/>
                <w:szCs w:val="16"/>
                <w:lang w:eastAsia="en-US"/>
              </w:rPr>
            </w:pPr>
            <w:r>
              <w:rPr>
                <w:rFonts w:ascii="Arial" w:eastAsia="Arial" w:hAnsi="Arial" w:cs="Arial"/>
                <w:sz w:val="16"/>
                <w:szCs w:val="16"/>
                <w:lang w:eastAsia="en-US"/>
              </w:rPr>
              <w:t>Results from the</w:t>
            </w:r>
            <w:r w:rsidRPr="004111A7">
              <w:rPr>
                <w:rFonts w:ascii="Arial" w:eastAsia="Arial" w:hAnsi="Arial" w:cs="Arial"/>
                <w:sz w:val="16"/>
                <w:szCs w:val="16"/>
                <w:lang w:eastAsia="en-US"/>
              </w:rPr>
              <w:t xml:space="preserve"> SDO client survey</w:t>
            </w:r>
            <w:r>
              <w:rPr>
                <w:rFonts w:ascii="Arial" w:eastAsia="Arial" w:hAnsi="Arial" w:cs="Arial"/>
                <w:sz w:val="16"/>
                <w:szCs w:val="16"/>
                <w:lang w:eastAsia="en-US"/>
              </w:rPr>
              <w:t>s across</w:t>
            </w:r>
            <w:r w:rsidRPr="004111A7">
              <w:rPr>
                <w:rFonts w:ascii="Arial" w:eastAsia="Arial" w:hAnsi="Arial" w:cs="Arial"/>
                <w:sz w:val="16"/>
                <w:szCs w:val="16"/>
                <w:lang w:eastAsia="en-US"/>
              </w:rPr>
              <w:t xml:space="preserve"> </w:t>
            </w:r>
            <w:r>
              <w:rPr>
                <w:rFonts w:ascii="Arial" w:eastAsia="Arial" w:hAnsi="Arial" w:cs="Arial"/>
                <w:sz w:val="16"/>
                <w:szCs w:val="16"/>
                <w:lang w:eastAsia="en-US"/>
              </w:rPr>
              <w:t>the first three quarters of 2020–21</w:t>
            </w:r>
            <w:r w:rsidRPr="004111A7">
              <w:rPr>
                <w:rFonts w:ascii="Arial" w:eastAsia="Arial" w:hAnsi="Arial" w:cs="Arial"/>
                <w:sz w:val="16"/>
                <w:szCs w:val="16"/>
                <w:lang w:eastAsia="en-US"/>
              </w:rPr>
              <w:t xml:space="preserve"> found</w:t>
            </w:r>
            <w:r>
              <w:rPr>
                <w:rFonts w:ascii="Arial" w:eastAsia="Arial" w:hAnsi="Arial" w:cs="Arial"/>
                <w:sz w:val="16"/>
                <w:szCs w:val="16"/>
                <w:lang w:eastAsia="en-US"/>
              </w:rPr>
              <w:t xml:space="preserve"> ‘positive’ or ‘very positive’ response rates of</w:t>
            </w:r>
            <w:r w:rsidRPr="004111A7">
              <w:rPr>
                <w:rFonts w:ascii="Arial" w:eastAsia="Arial" w:hAnsi="Arial" w:cs="Arial"/>
                <w:sz w:val="16"/>
                <w:szCs w:val="16"/>
                <w:lang w:eastAsia="en-US"/>
              </w:rPr>
              <w:t>:</w:t>
            </w:r>
          </w:p>
          <w:p w14:paraId="33C51922" w14:textId="77777777" w:rsidR="00FA025D" w:rsidRPr="004111A7" w:rsidRDefault="00FA025D" w:rsidP="00FA025D">
            <w:pPr>
              <w:numPr>
                <w:ilvl w:val="0"/>
                <w:numId w:val="50"/>
              </w:numPr>
              <w:tabs>
                <w:tab w:val="left" w:pos="401"/>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 xml:space="preserve">Quality – </w:t>
            </w:r>
            <w:r>
              <w:rPr>
                <w:rFonts w:ascii="Arial" w:hAnsi="Arial" w:cs="Arial"/>
                <w:sz w:val="16"/>
                <w:szCs w:val="16"/>
              </w:rPr>
              <w:t>52</w:t>
            </w:r>
            <w:r w:rsidRPr="004111A7">
              <w:rPr>
                <w:rFonts w:ascii="Arial" w:hAnsi="Arial" w:cs="Arial"/>
                <w:sz w:val="16"/>
                <w:szCs w:val="16"/>
              </w:rPr>
              <w:t xml:space="preserve">% </w:t>
            </w:r>
          </w:p>
          <w:p w14:paraId="2B61EC98" w14:textId="77777777" w:rsidR="00FA025D" w:rsidRPr="004111A7" w:rsidRDefault="00FA025D" w:rsidP="00FA025D">
            <w:pPr>
              <w:numPr>
                <w:ilvl w:val="0"/>
                <w:numId w:val="50"/>
              </w:numPr>
              <w:tabs>
                <w:tab w:val="left" w:pos="401"/>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 xml:space="preserve">Timeliness – </w:t>
            </w:r>
            <w:r>
              <w:rPr>
                <w:rFonts w:ascii="Arial" w:hAnsi="Arial" w:cs="Arial"/>
                <w:sz w:val="16"/>
                <w:szCs w:val="16"/>
              </w:rPr>
              <w:t>53</w:t>
            </w:r>
            <w:r w:rsidRPr="004111A7">
              <w:rPr>
                <w:rFonts w:ascii="Arial" w:hAnsi="Arial" w:cs="Arial"/>
                <w:sz w:val="16"/>
                <w:szCs w:val="16"/>
              </w:rPr>
              <w:t xml:space="preserve">% </w:t>
            </w:r>
          </w:p>
          <w:p w14:paraId="66BE4262" w14:textId="77777777" w:rsidR="00FA025D" w:rsidRPr="004111A7" w:rsidRDefault="00FA025D" w:rsidP="00FA025D">
            <w:pPr>
              <w:numPr>
                <w:ilvl w:val="0"/>
                <w:numId w:val="50"/>
              </w:numPr>
              <w:tabs>
                <w:tab w:val="left" w:pos="401"/>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 xml:space="preserve">Interaction – </w:t>
            </w:r>
            <w:r>
              <w:rPr>
                <w:rFonts w:ascii="Arial" w:hAnsi="Arial" w:cs="Arial"/>
                <w:sz w:val="16"/>
                <w:szCs w:val="16"/>
              </w:rPr>
              <w:t>53</w:t>
            </w:r>
            <w:r w:rsidRPr="004111A7">
              <w:rPr>
                <w:rFonts w:ascii="Arial" w:hAnsi="Arial" w:cs="Arial"/>
                <w:sz w:val="16"/>
                <w:szCs w:val="16"/>
              </w:rPr>
              <w:t xml:space="preserve">% </w:t>
            </w:r>
          </w:p>
          <w:p w14:paraId="2C05882A" w14:textId="77777777" w:rsidR="00FA025D" w:rsidRPr="004111A7" w:rsidRDefault="00FA025D" w:rsidP="00FA025D">
            <w:pPr>
              <w:numPr>
                <w:ilvl w:val="0"/>
                <w:numId w:val="50"/>
              </w:numPr>
              <w:tabs>
                <w:tab w:val="left" w:pos="401"/>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 xml:space="preserve">Overall Experience – </w:t>
            </w:r>
            <w:r>
              <w:rPr>
                <w:rFonts w:ascii="Arial" w:hAnsi="Arial" w:cs="Arial"/>
                <w:sz w:val="16"/>
                <w:szCs w:val="16"/>
              </w:rPr>
              <w:t>54</w:t>
            </w:r>
            <w:r w:rsidRPr="004111A7">
              <w:rPr>
                <w:rFonts w:ascii="Arial" w:hAnsi="Arial" w:cs="Arial"/>
                <w:sz w:val="16"/>
                <w:szCs w:val="16"/>
              </w:rPr>
              <w:t xml:space="preserve">% </w:t>
            </w:r>
          </w:p>
          <w:p w14:paraId="61BC3DAC" w14:textId="77777777" w:rsidR="003F3E41" w:rsidRPr="004111A7" w:rsidRDefault="003F3E41" w:rsidP="00B61B0A">
            <w:pPr>
              <w:tabs>
                <w:tab w:val="left" w:pos="709"/>
              </w:tabs>
              <w:suppressAutoHyphens/>
              <w:spacing w:before="40" w:after="20" w:line="240" w:lineRule="auto"/>
              <w:jc w:val="left"/>
              <w:rPr>
                <w:rFonts w:ascii="Arial" w:eastAsia="Arial" w:hAnsi="Arial" w:cs="Arial"/>
                <w:sz w:val="16"/>
                <w:szCs w:val="16"/>
                <w:lang w:eastAsia="en-US"/>
              </w:rPr>
            </w:pPr>
          </w:p>
        </w:tc>
      </w:tr>
    </w:tbl>
    <w:p w14:paraId="0CC2CEA6" w14:textId="632364A4" w:rsidR="003F3E41" w:rsidRPr="004111A7" w:rsidRDefault="003F3E41" w:rsidP="003F3E41">
      <w:pPr>
        <w:pStyle w:val="ChartandTableFootnoteAlpha"/>
        <w:numPr>
          <w:ilvl w:val="0"/>
          <w:numId w:val="0"/>
        </w:numPr>
        <w:ind w:left="284" w:hanging="284"/>
      </w:pPr>
      <w:r w:rsidRPr="004111A7">
        <w:t>Table continues on next page</w:t>
      </w:r>
      <w:r w:rsidRPr="004111A7">
        <w:br w:type="page"/>
      </w:r>
    </w:p>
    <w:p w14:paraId="5171F9E8" w14:textId="2E34CDCA" w:rsidR="003F3E41" w:rsidRPr="004111A7" w:rsidRDefault="003F3E41" w:rsidP="003F3E41">
      <w:pPr>
        <w:keepNext/>
        <w:spacing w:after="20" w:line="240" w:lineRule="auto"/>
        <w:jc w:val="left"/>
        <w:rPr>
          <w:rFonts w:ascii="Arial" w:hAnsi="Arial" w:cs="Arial"/>
          <w:b/>
        </w:rPr>
      </w:pPr>
      <w:r w:rsidRPr="004111A7">
        <w:rPr>
          <w:rFonts w:ascii="Arial" w:hAnsi="Arial" w:cs="Arial"/>
          <w:b/>
        </w:rPr>
        <w:lastRenderedPageBreak/>
        <w:t xml:space="preserve">Table 2.2.2: </w:t>
      </w:r>
      <w:r w:rsidR="00280FEA" w:rsidRPr="004111A7">
        <w:rPr>
          <w:rFonts w:ascii="Arial" w:hAnsi="Arial" w:cs="Arial"/>
          <w:b/>
        </w:rPr>
        <w:t>Performance measures</w:t>
      </w:r>
      <w:r w:rsidRPr="004111A7">
        <w:rPr>
          <w:rFonts w:ascii="Arial" w:hAnsi="Arial" w:cs="Arial"/>
          <w:b/>
        </w:rPr>
        <w:t xml:space="preserve"> for Outcome 2 (continued)</w:t>
      </w:r>
    </w:p>
    <w:tbl>
      <w:tblPr>
        <w:tblW w:w="76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142"/>
        <w:gridCol w:w="4115"/>
      </w:tblGrid>
      <w:tr w:rsidR="003F3E41" w:rsidRPr="004111A7" w14:paraId="3352E31F" w14:textId="77777777" w:rsidTr="003F3E41">
        <w:tc>
          <w:tcPr>
            <w:tcW w:w="7685" w:type="dxa"/>
            <w:gridSpan w:val="3"/>
            <w:tcBorders>
              <w:top w:val="double" w:sz="4" w:space="0" w:color="auto"/>
              <w:bottom w:val="double" w:sz="4" w:space="0" w:color="auto"/>
            </w:tcBorders>
          </w:tcPr>
          <w:p w14:paraId="1C59926B"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Performance information: Program 2.6 – Service Delivery Office</w:t>
            </w:r>
          </w:p>
        </w:tc>
      </w:tr>
      <w:tr w:rsidR="003F3E41" w:rsidRPr="004111A7" w14:paraId="03B13F75" w14:textId="77777777" w:rsidTr="00D75CC7">
        <w:tc>
          <w:tcPr>
            <w:tcW w:w="1428" w:type="dxa"/>
            <w:tcBorders>
              <w:top w:val="double" w:sz="4" w:space="0" w:color="auto"/>
              <w:bottom w:val="single" w:sz="4" w:space="0" w:color="auto"/>
              <w:right w:val="single" w:sz="4" w:space="0" w:color="auto"/>
            </w:tcBorders>
          </w:tcPr>
          <w:p w14:paraId="7BAD3FDE"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142" w:type="dxa"/>
            <w:tcBorders>
              <w:top w:val="double" w:sz="4" w:space="0" w:color="auto"/>
              <w:left w:val="single" w:sz="4" w:space="0" w:color="auto"/>
              <w:bottom w:val="single" w:sz="4" w:space="0" w:color="auto"/>
              <w:right w:val="single" w:sz="4" w:space="0" w:color="auto"/>
            </w:tcBorders>
          </w:tcPr>
          <w:p w14:paraId="40782CDF" w14:textId="0D61AC23"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00C50514" w:rsidRPr="004111A7">
              <w:rPr>
                <w:rFonts w:ascii="Arial" w:eastAsia="Arial" w:hAnsi="Arial" w:cs="Arial"/>
                <w:b/>
                <w:sz w:val="16"/>
                <w:szCs w:val="16"/>
                <w:lang w:eastAsia="en-US"/>
              </w:rPr>
              <w:t xml:space="preserve"> </w:t>
            </w:r>
            <w:r w:rsidR="00C50514" w:rsidRPr="004111A7">
              <w:rPr>
                <w:rFonts w:ascii="Arial" w:eastAsia="Arial" w:hAnsi="Arial" w:cs="Arial"/>
                <w:sz w:val="16"/>
                <w:szCs w:val="16"/>
                <w:lang w:eastAsia="en-US"/>
              </w:rPr>
              <w:t>(a)</w:t>
            </w:r>
          </w:p>
        </w:tc>
        <w:tc>
          <w:tcPr>
            <w:tcW w:w="4115" w:type="dxa"/>
            <w:tcBorders>
              <w:top w:val="double" w:sz="4" w:space="0" w:color="auto"/>
              <w:left w:val="single" w:sz="4" w:space="0" w:color="auto"/>
              <w:bottom w:val="single" w:sz="4" w:space="0" w:color="auto"/>
            </w:tcBorders>
          </w:tcPr>
          <w:p w14:paraId="5D5E3F5A"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3F3E41" w:rsidRPr="004111A7" w14:paraId="09C3FAD7" w14:textId="77777777" w:rsidTr="007235E0">
        <w:tc>
          <w:tcPr>
            <w:tcW w:w="1428" w:type="dxa"/>
            <w:tcBorders>
              <w:top w:val="single" w:sz="4" w:space="0" w:color="auto"/>
              <w:bottom w:val="dotted" w:sz="4" w:space="0" w:color="auto"/>
              <w:right w:val="single" w:sz="4" w:space="0" w:color="auto"/>
            </w:tcBorders>
          </w:tcPr>
          <w:p w14:paraId="41DC243A"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2020-21 continued</w:t>
            </w:r>
          </w:p>
        </w:tc>
        <w:tc>
          <w:tcPr>
            <w:tcW w:w="2142" w:type="dxa"/>
            <w:tcBorders>
              <w:top w:val="single" w:sz="4" w:space="0" w:color="auto"/>
              <w:left w:val="single" w:sz="4" w:space="0" w:color="auto"/>
              <w:bottom w:val="dotted" w:sz="4" w:space="0" w:color="auto"/>
              <w:right w:val="single" w:sz="4" w:space="0" w:color="auto"/>
            </w:tcBorders>
          </w:tcPr>
          <w:p w14:paraId="35668BCE" w14:textId="77777777" w:rsidR="003F3E41" w:rsidRPr="004111A7" w:rsidRDefault="003F3E41" w:rsidP="003C100E">
            <w:pPr>
              <w:tabs>
                <w:tab w:val="left" w:pos="709"/>
              </w:tabs>
              <w:suppressAutoHyphens/>
              <w:spacing w:before="60" w:after="60" w:line="240" w:lineRule="auto"/>
              <w:jc w:val="left"/>
              <w:rPr>
                <w:rFonts w:ascii="Arial" w:eastAsia="Arial" w:hAnsi="Arial" w:cs="Arial"/>
                <w:b/>
                <w:bCs/>
                <w:sz w:val="16"/>
                <w:szCs w:val="16"/>
                <w:lang w:eastAsia="en-US"/>
              </w:rPr>
            </w:pPr>
          </w:p>
        </w:tc>
        <w:tc>
          <w:tcPr>
            <w:tcW w:w="4115" w:type="dxa"/>
            <w:tcBorders>
              <w:top w:val="single" w:sz="4" w:space="0" w:color="auto"/>
              <w:left w:val="single" w:sz="4" w:space="0" w:color="auto"/>
              <w:bottom w:val="dotted" w:sz="4" w:space="0" w:color="auto"/>
            </w:tcBorders>
          </w:tcPr>
          <w:p w14:paraId="68404E59" w14:textId="77777777" w:rsidR="00FA025D" w:rsidRPr="004111A7" w:rsidRDefault="00FA025D" w:rsidP="00FA025D">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During </w:t>
            </w:r>
            <w:r>
              <w:rPr>
                <w:rFonts w:ascii="Arial" w:eastAsia="Arial" w:hAnsi="Arial" w:cs="Arial"/>
                <w:sz w:val="16"/>
                <w:szCs w:val="16"/>
                <w:lang w:eastAsia="en-US"/>
              </w:rPr>
              <w:t>2020–</w:t>
            </w:r>
            <w:r w:rsidRPr="004111A7">
              <w:rPr>
                <w:rFonts w:ascii="Arial" w:eastAsia="Arial" w:hAnsi="Arial" w:cs="Arial"/>
                <w:sz w:val="16"/>
                <w:szCs w:val="16"/>
                <w:lang w:eastAsia="en-US"/>
              </w:rPr>
              <w:t>21, the SDO increased its service offer by successfully on</w:t>
            </w:r>
            <w:r>
              <w:rPr>
                <w:rFonts w:ascii="Arial" w:eastAsia="Arial" w:hAnsi="Arial" w:cs="Arial"/>
                <w:sz w:val="16"/>
                <w:szCs w:val="16"/>
                <w:lang w:eastAsia="en-US"/>
              </w:rPr>
              <w:t>-</w:t>
            </w:r>
            <w:r w:rsidRPr="004111A7">
              <w:rPr>
                <w:rFonts w:ascii="Arial" w:eastAsia="Arial" w:hAnsi="Arial" w:cs="Arial"/>
                <w:sz w:val="16"/>
                <w:szCs w:val="16"/>
                <w:lang w:eastAsia="en-US"/>
              </w:rPr>
              <w:t xml:space="preserve">boarding </w:t>
            </w:r>
            <w:r>
              <w:rPr>
                <w:rFonts w:ascii="Arial" w:eastAsia="Arial" w:hAnsi="Arial" w:cs="Arial"/>
                <w:sz w:val="16"/>
                <w:szCs w:val="16"/>
                <w:lang w:eastAsia="en-US"/>
              </w:rPr>
              <w:t xml:space="preserve">seven </w:t>
            </w:r>
            <w:r w:rsidRPr="004111A7">
              <w:rPr>
                <w:rFonts w:ascii="Arial" w:eastAsia="Arial" w:hAnsi="Arial" w:cs="Arial"/>
                <w:sz w:val="16"/>
                <w:szCs w:val="16"/>
                <w:lang w:eastAsia="en-US"/>
              </w:rPr>
              <w:t>agencies to the end-to-end corporate process for travel and expense management</w:t>
            </w:r>
            <w:r>
              <w:rPr>
                <w:rFonts w:ascii="Arial" w:eastAsia="Arial" w:hAnsi="Arial" w:cs="Arial"/>
                <w:sz w:val="16"/>
                <w:szCs w:val="16"/>
                <w:lang w:eastAsia="en-US"/>
              </w:rPr>
              <w:t>.</w:t>
            </w:r>
          </w:p>
          <w:p w14:paraId="060AAC77" w14:textId="77777777" w:rsidR="00FA025D" w:rsidRPr="004111A7" w:rsidRDefault="00FA025D" w:rsidP="00FA025D">
            <w:pPr>
              <w:tabs>
                <w:tab w:val="left" w:pos="354"/>
              </w:tabs>
              <w:suppressAutoHyphens/>
              <w:spacing w:before="60" w:after="60" w:line="240" w:lineRule="auto"/>
              <w:ind w:left="360"/>
              <w:contextualSpacing/>
              <w:jc w:val="left"/>
              <w:rPr>
                <w:rFonts w:ascii="Arial" w:eastAsia="Cambria" w:hAnsi="Arial" w:cs="Arial"/>
                <w:sz w:val="16"/>
                <w:szCs w:val="16"/>
                <w:lang w:eastAsia="en-US"/>
              </w:rPr>
            </w:pPr>
          </w:p>
          <w:p w14:paraId="6286F592" w14:textId="77777777" w:rsidR="00FA025D" w:rsidRPr="004111A7" w:rsidRDefault="00FA025D" w:rsidP="00FA025D">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In December 2020, the SDO successfully on</w:t>
            </w:r>
            <w:r>
              <w:rPr>
                <w:rFonts w:ascii="Arial" w:eastAsia="Arial" w:hAnsi="Arial" w:cs="Arial"/>
                <w:sz w:val="16"/>
                <w:szCs w:val="16"/>
                <w:lang w:eastAsia="en-US"/>
              </w:rPr>
              <w:t>-</w:t>
            </w:r>
            <w:r w:rsidRPr="004111A7">
              <w:rPr>
                <w:rFonts w:ascii="Arial" w:eastAsia="Arial" w:hAnsi="Arial" w:cs="Arial"/>
                <w:sz w:val="16"/>
                <w:szCs w:val="16"/>
                <w:lang w:eastAsia="en-US"/>
              </w:rPr>
              <w:t>boarded the Department of Education, Skills and Employment to the e-invoicing</w:t>
            </w:r>
            <w:r>
              <w:rPr>
                <w:rFonts w:ascii="Arial" w:eastAsia="Arial" w:hAnsi="Arial" w:cs="Arial"/>
                <w:sz w:val="16"/>
                <w:szCs w:val="16"/>
                <w:lang w:eastAsia="en-US"/>
              </w:rPr>
              <w:t xml:space="preserve"> solution</w:t>
            </w:r>
            <w:r w:rsidRPr="004111A7">
              <w:rPr>
                <w:rFonts w:ascii="Arial" w:eastAsia="Arial" w:hAnsi="Arial" w:cs="Arial"/>
                <w:sz w:val="16"/>
                <w:szCs w:val="16"/>
                <w:lang w:eastAsia="en-US"/>
              </w:rPr>
              <w:t>.</w:t>
            </w:r>
          </w:p>
          <w:p w14:paraId="5B669737" w14:textId="260F59A4" w:rsidR="00B61B0A" w:rsidRPr="004111A7" w:rsidRDefault="00B61B0A" w:rsidP="00B61B0A">
            <w:pPr>
              <w:tabs>
                <w:tab w:val="left" w:pos="709"/>
              </w:tabs>
              <w:suppressAutoHyphens/>
              <w:spacing w:before="40" w:after="20" w:line="240" w:lineRule="auto"/>
              <w:jc w:val="left"/>
              <w:rPr>
                <w:rFonts w:ascii="Arial" w:eastAsia="Arial" w:hAnsi="Arial" w:cs="Arial"/>
                <w:sz w:val="16"/>
                <w:szCs w:val="16"/>
                <w:lang w:eastAsia="en-US"/>
              </w:rPr>
            </w:pPr>
          </w:p>
        </w:tc>
      </w:tr>
      <w:tr w:rsidR="003F3E41" w:rsidRPr="004111A7" w14:paraId="220A92EC" w14:textId="77777777" w:rsidTr="007235E0">
        <w:tc>
          <w:tcPr>
            <w:tcW w:w="1428" w:type="dxa"/>
            <w:tcBorders>
              <w:top w:val="dotted" w:sz="4" w:space="0" w:color="auto"/>
              <w:bottom w:val="dotted" w:sz="4" w:space="0" w:color="auto"/>
              <w:right w:val="single" w:sz="4" w:space="0" w:color="auto"/>
            </w:tcBorders>
          </w:tcPr>
          <w:p w14:paraId="3E7AC620"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2021-22</w:t>
            </w:r>
          </w:p>
        </w:tc>
        <w:tc>
          <w:tcPr>
            <w:tcW w:w="2142" w:type="dxa"/>
            <w:tcBorders>
              <w:top w:val="dotted" w:sz="4" w:space="0" w:color="auto"/>
              <w:left w:val="single" w:sz="4" w:space="0" w:color="auto"/>
              <w:bottom w:val="dotted" w:sz="4" w:space="0" w:color="auto"/>
              <w:right w:val="single" w:sz="4" w:space="0" w:color="auto"/>
            </w:tcBorders>
          </w:tcPr>
          <w:p w14:paraId="070F8010"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bCs/>
                <w:sz w:val="16"/>
                <w:szCs w:val="16"/>
                <w:lang w:eastAsia="en-US"/>
              </w:rPr>
              <w:t>Shared services hub meets clients’ needs</w:t>
            </w:r>
          </w:p>
          <w:p w14:paraId="78B08F65" w14:textId="22760884" w:rsidR="003F3E41" w:rsidRPr="004111A7" w:rsidRDefault="003F3E41" w:rsidP="007D79C7">
            <w:pPr>
              <w:tabs>
                <w:tab w:val="left" w:pos="709"/>
              </w:tabs>
              <w:suppressAutoHyphens/>
              <w:spacing w:before="60" w:after="60" w:line="240" w:lineRule="auto"/>
              <w:jc w:val="left"/>
              <w:rPr>
                <w:rFonts w:ascii="Arial" w:eastAsia="Arial" w:hAnsi="Arial" w:cs="Arial"/>
                <w:color w:val="FF0000"/>
                <w:sz w:val="16"/>
                <w:szCs w:val="16"/>
                <w:lang w:eastAsia="en-US"/>
              </w:rPr>
            </w:pPr>
            <w:r w:rsidRPr="004111A7">
              <w:rPr>
                <w:rFonts w:ascii="Arial" w:eastAsia="Arial" w:hAnsi="Arial" w:cs="Arial"/>
                <w:sz w:val="16"/>
                <w:szCs w:val="16"/>
                <w:lang w:eastAsia="en-US"/>
              </w:rPr>
              <w:t xml:space="preserve">As a Shared Services hub, the </w:t>
            </w:r>
            <w:r w:rsidR="00BD7329">
              <w:rPr>
                <w:rFonts w:ascii="Arial" w:eastAsia="Arial" w:hAnsi="Arial" w:cs="Arial"/>
                <w:sz w:val="16"/>
                <w:szCs w:val="16"/>
                <w:lang w:eastAsia="en-US"/>
              </w:rPr>
              <w:t>SDO</w:t>
            </w:r>
            <w:r w:rsidRPr="004111A7">
              <w:rPr>
                <w:rFonts w:ascii="Arial" w:eastAsia="Arial" w:hAnsi="Arial" w:cs="Arial"/>
                <w:sz w:val="16"/>
                <w:szCs w:val="16"/>
                <w:lang w:eastAsia="en-US"/>
              </w:rPr>
              <w:t xml:space="preserve"> provides quality and efficient services to client entities.</w:t>
            </w:r>
          </w:p>
        </w:tc>
        <w:tc>
          <w:tcPr>
            <w:tcW w:w="4115" w:type="dxa"/>
            <w:tcBorders>
              <w:top w:val="dotted" w:sz="4" w:space="0" w:color="auto"/>
              <w:left w:val="single" w:sz="4" w:space="0" w:color="auto"/>
              <w:bottom w:val="dotted" w:sz="4" w:space="0" w:color="auto"/>
            </w:tcBorders>
          </w:tcPr>
          <w:p w14:paraId="287A0EA1"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Service level agreements with client entities, including measurement of efficiency and effectiveness of services, are met, including:</w:t>
            </w:r>
          </w:p>
          <w:p w14:paraId="6D8FF08E" w14:textId="62BB4AD4" w:rsidR="003F3E41" w:rsidRPr="004111A7" w:rsidRDefault="003F3E41" w:rsidP="003C100E">
            <w:pPr>
              <w:numPr>
                <w:ilvl w:val="0"/>
                <w:numId w:val="51"/>
              </w:numPr>
              <w:tabs>
                <w:tab w:val="left" w:pos="354"/>
              </w:tabs>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Average resoluti</w:t>
            </w:r>
            <w:r w:rsidR="00AC61A4" w:rsidRPr="004111A7">
              <w:rPr>
                <w:rFonts w:ascii="Arial" w:eastAsia="Cambria" w:hAnsi="Arial" w:cs="Arial"/>
                <w:sz w:val="16"/>
                <w:szCs w:val="16"/>
                <w:lang w:eastAsia="en-US"/>
              </w:rPr>
              <w:t>on time of client request of 10 </w:t>
            </w:r>
            <w:r w:rsidRPr="004111A7">
              <w:rPr>
                <w:rFonts w:ascii="Arial" w:eastAsia="Cambria" w:hAnsi="Arial" w:cs="Arial"/>
                <w:sz w:val="16"/>
                <w:szCs w:val="16"/>
                <w:lang w:eastAsia="en-US"/>
              </w:rPr>
              <w:t>days.</w:t>
            </w:r>
          </w:p>
          <w:p w14:paraId="460C6F06" w14:textId="3B7E1E7B" w:rsidR="003F3E41" w:rsidRPr="004111A7" w:rsidRDefault="003F3E41" w:rsidP="003C100E">
            <w:pPr>
              <w:numPr>
                <w:ilvl w:val="0"/>
                <w:numId w:val="51"/>
              </w:numPr>
              <w:tabs>
                <w:tab w:val="left" w:pos="354"/>
              </w:tabs>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1% increase in client satisfaction surveys.</w:t>
            </w:r>
          </w:p>
          <w:p w14:paraId="70643903" w14:textId="77777777" w:rsidR="00C65092" w:rsidRPr="004111A7" w:rsidRDefault="00C65092" w:rsidP="00C65092">
            <w:pPr>
              <w:tabs>
                <w:tab w:val="left" w:pos="354"/>
              </w:tabs>
              <w:suppressAutoHyphens/>
              <w:spacing w:before="60" w:after="60" w:line="240" w:lineRule="auto"/>
              <w:ind w:left="360"/>
              <w:contextualSpacing/>
              <w:jc w:val="left"/>
              <w:rPr>
                <w:rFonts w:ascii="Arial" w:eastAsia="Cambria" w:hAnsi="Arial" w:cs="Arial"/>
                <w:sz w:val="16"/>
                <w:szCs w:val="16"/>
                <w:lang w:eastAsia="en-US"/>
              </w:rPr>
            </w:pPr>
          </w:p>
          <w:p w14:paraId="660C0155"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The benefits of shared, standard and sustainable technologies and processes are realised:</w:t>
            </w:r>
          </w:p>
          <w:p w14:paraId="759C1702" w14:textId="718E075B" w:rsidR="003F3E41" w:rsidRPr="004111A7" w:rsidRDefault="003F3E41" w:rsidP="003C100E">
            <w:pPr>
              <w:numPr>
                <w:ilvl w:val="0"/>
                <w:numId w:val="51"/>
              </w:numPr>
              <w:tabs>
                <w:tab w:val="left" w:pos="354"/>
              </w:tabs>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Increased client uptake of shared ERP technology solutions (year-on-year increase)</w:t>
            </w:r>
            <w:r w:rsidR="00ED19DF" w:rsidRPr="004111A7">
              <w:rPr>
                <w:rFonts w:ascii="Arial" w:eastAsia="Cambria" w:hAnsi="Arial" w:cs="Arial"/>
                <w:sz w:val="16"/>
                <w:szCs w:val="16"/>
                <w:lang w:eastAsia="en-US"/>
              </w:rPr>
              <w:t>.</w:t>
            </w:r>
          </w:p>
          <w:p w14:paraId="24468AD7" w14:textId="76245D93" w:rsidR="003F3E41" w:rsidRPr="004111A7" w:rsidRDefault="003F3E41" w:rsidP="003C100E">
            <w:pPr>
              <w:numPr>
                <w:ilvl w:val="0"/>
                <w:numId w:val="51"/>
              </w:numPr>
              <w:tabs>
                <w:tab w:val="left" w:pos="354"/>
              </w:tabs>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 xml:space="preserve">Increased client adoption of end-to-end </w:t>
            </w:r>
            <w:r w:rsidRPr="004111A7">
              <w:rPr>
                <w:rFonts w:ascii="Arial" w:eastAsia="Cambria" w:hAnsi="Arial" w:cs="Arial"/>
                <w:sz w:val="16"/>
                <w:szCs w:val="16"/>
                <w:lang w:eastAsia="en-US"/>
              </w:rPr>
              <w:br/>
            </w:r>
            <w:r w:rsidR="00BD7329">
              <w:rPr>
                <w:rFonts w:ascii="Arial" w:eastAsia="Cambria" w:hAnsi="Arial" w:cs="Arial"/>
                <w:sz w:val="16"/>
                <w:szCs w:val="16"/>
                <w:lang w:eastAsia="en-US"/>
              </w:rPr>
              <w:t>WoAG</w:t>
            </w:r>
            <w:r w:rsidR="00AC61A4" w:rsidRPr="004111A7">
              <w:rPr>
                <w:rFonts w:ascii="Arial" w:eastAsia="Cambria" w:hAnsi="Arial" w:cs="Arial"/>
                <w:sz w:val="16"/>
                <w:szCs w:val="16"/>
                <w:lang w:eastAsia="en-US"/>
              </w:rPr>
              <w:t xml:space="preserve"> business processes</w:t>
            </w:r>
            <w:r w:rsidR="00AC61A4" w:rsidRPr="004111A7">
              <w:rPr>
                <w:rFonts w:ascii="Arial" w:eastAsia="Cambria" w:hAnsi="Arial" w:cs="Arial"/>
                <w:sz w:val="16"/>
                <w:szCs w:val="16"/>
                <w:lang w:eastAsia="en-US"/>
              </w:rPr>
              <w:br/>
              <w:t>(year-on-</w:t>
            </w:r>
            <w:r w:rsidRPr="004111A7">
              <w:rPr>
                <w:rFonts w:ascii="Arial" w:eastAsia="Cambria" w:hAnsi="Arial" w:cs="Arial"/>
                <w:sz w:val="16"/>
                <w:szCs w:val="16"/>
                <w:lang w:eastAsia="en-US"/>
              </w:rPr>
              <w:t>year increase).</w:t>
            </w:r>
          </w:p>
          <w:p w14:paraId="002B8E9B" w14:textId="5348A09D" w:rsidR="00B61B0A" w:rsidRPr="004111A7" w:rsidRDefault="00B61B0A" w:rsidP="00B61B0A">
            <w:pPr>
              <w:tabs>
                <w:tab w:val="left" w:pos="709"/>
              </w:tabs>
              <w:suppressAutoHyphens/>
              <w:spacing w:before="40" w:after="20" w:line="240" w:lineRule="auto"/>
              <w:jc w:val="left"/>
              <w:rPr>
                <w:rFonts w:ascii="Arial" w:eastAsia="Cambria" w:hAnsi="Arial" w:cs="Arial"/>
                <w:sz w:val="16"/>
                <w:szCs w:val="16"/>
                <w:lang w:eastAsia="en-US"/>
              </w:rPr>
            </w:pPr>
          </w:p>
        </w:tc>
      </w:tr>
      <w:tr w:rsidR="003F3E41" w:rsidRPr="004111A7" w14:paraId="4B492057" w14:textId="77777777" w:rsidTr="007235E0">
        <w:tc>
          <w:tcPr>
            <w:tcW w:w="1428" w:type="dxa"/>
            <w:tcBorders>
              <w:top w:val="dotted" w:sz="4" w:space="0" w:color="auto"/>
              <w:bottom w:val="single" w:sz="4" w:space="0" w:color="auto"/>
              <w:right w:val="single" w:sz="4" w:space="0" w:color="auto"/>
            </w:tcBorders>
          </w:tcPr>
          <w:p w14:paraId="0AB32D93"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2022-23 and beyond</w:t>
            </w:r>
          </w:p>
        </w:tc>
        <w:tc>
          <w:tcPr>
            <w:tcW w:w="2142" w:type="dxa"/>
            <w:tcBorders>
              <w:top w:val="dotted" w:sz="4" w:space="0" w:color="auto"/>
              <w:left w:val="single" w:sz="4" w:space="0" w:color="auto"/>
              <w:bottom w:val="single" w:sz="4" w:space="0" w:color="auto"/>
              <w:right w:val="single" w:sz="4" w:space="0" w:color="auto"/>
            </w:tcBorders>
          </w:tcPr>
          <w:p w14:paraId="16E806FE" w14:textId="1944DADD" w:rsidR="003F3E41" w:rsidRPr="004111A7" w:rsidRDefault="003F3E41" w:rsidP="003C100E">
            <w:pPr>
              <w:tabs>
                <w:tab w:val="left" w:pos="709"/>
              </w:tabs>
              <w:suppressAutoHyphens/>
              <w:spacing w:before="60" w:after="60" w:line="240" w:lineRule="auto"/>
              <w:jc w:val="left"/>
              <w:rPr>
                <w:rFonts w:ascii="Arial" w:eastAsia="Arial" w:hAnsi="Arial" w:cs="Arial"/>
                <w:bCs/>
                <w:sz w:val="16"/>
                <w:szCs w:val="16"/>
                <w:lang w:eastAsia="en-US"/>
              </w:rPr>
            </w:pPr>
            <w:r w:rsidRPr="004111A7">
              <w:rPr>
                <w:rFonts w:ascii="Arial" w:eastAsia="Arial" w:hAnsi="Arial" w:cs="Arial"/>
                <w:bCs/>
                <w:sz w:val="16"/>
                <w:szCs w:val="16"/>
                <w:lang w:eastAsia="en-US"/>
              </w:rPr>
              <w:t>As per 2021-22</w:t>
            </w:r>
            <w:r w:rsidR="00ED19DF" w:rsidRPr="004111A7">
              <w:rPr>
                <w:rFonts w:ascii="Arial" w:eastAsia="Arial" w:hAnsi="Arial" w:cs="Arial"/>
                <w:bCs/>
                <w:sz w:val="16"/>
                <w:szCs w:val="16"/>
                <w:lang w:eastAsia="en-US"/>
              </w:rPr>
              <w:t>.</w:t>
            </w:r>
          </w:p>
        </w:tc>
        <w:tc>
          <w:tcPr>
            <w:tcW w:w="4115" w:type="dxa"/>
            <w:tcBorders>
              <w:top w:val="dotted" w:sz="4" w:space="0" w:color="auto"/>
              <w:left w:val="single" w:sz="4" w:space="0" w:color="auto"/>
              <w:bottom w:val="single" w:sz="4" w:space="0" w:color="auto"/>
            </w:tcBorders>
          </w:tcPr>
          <w:p w14:paraId="5E6106A7" w14:textId="659C07DF"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As per 2021-22</w:t>
            </w:r>
            <w:r w:rsidR="00ED19DF" w:rsidRPr="004111A7">
              <w:rPr>
                <w:rFonts w:ascii="Arial" w:eastAsia="Arial" w:hAnsi="Arial" w:cs="Arial"/>
                <w:sz w:val="16"/>
                <w:szCs w:val="16"/>
                <w:lang w:eastAsia="en-US"/>
              </w:rPr>
              <w:t>.</w:t>
            </w:r>
          </w:p>
        </w:tc>
      </w:tr>
      <w:tr w:rsidR="003F3E41" w:rsidRPr="004111A7" w14:paraId="0008A467" w14:textId="77777777" w:rsidTr="00D75CC7">
        <w:tc>
          <w:tcPr>
            <w:tcW w:w="1428" w:type="dxa"/>
          </w:tcPr>
          <w:p w14:paraId="4F6A841E"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Purpose</w:t>
            </w:r>
          </w:p>
        </w:tc>
        <w:tc>
          <w:tcPr>
            <w:tcW w:w="6257" w:type="dxa"/>
            <w:gridSpan w:val="2"/>
          </w:tcPr>
          <w:p w14:paraId="70986AC6"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To assist the Australian Government to achieve its fiscal and policy objectives by advising on expenditure, managing sustainable public sector resourcing, driving public sector transformation and delivering efficient, cost-effective services to, and for, government.</w:t>
            </w:r>
          </w:p>
          <w:p w14:paraId="445B5CEC" w14:textId="06AB318C" w:rsidR="00B61B0A" w:rsidRPr="004111A7" w:rsidRDefault="00B61B0A" w:rsidP="00B61B0A">
            <w:pPr>
              <w:tabs>
                <w:tab w:val="left" w:pos="709"/>
              </w:tabs>
              <w:suppressAutoHyphens/>
              <w:spacing w:before="40" w:after="20" w:line="240" w:lineRule="auto"/>
              <w:jc w:val="left"/>
              <w:rPr>
                <w:rFonts w:ascii="Arial" w:eastAsia="Arial" w:hAnsi="Arial" w:cs="Arial"/>
                <w:color w:val="FF0000"/>
                <w:sz w:val="16"/>
                <w:szCs w:val="16"/>
                <w:lang w:eastAsia="en-US"/>
              </w:rPr>
            </w:pPr>
          </w:p>
        </w:tc>
      </w:tr>
    </w:tbl>
    <w:p w14:paraId="6697AEA6" w14:textId="77777777" w:rsidR="003F3E41" w:rsidRPr="004111A7" w:rsidRDefault="003F3E41" w:rsidP="003F3E41">
      <w:pPr>
        <w:pStyle w:val="ChartandTableFootnoteAlpha"/>
        <w:numPr>
          <w:ilvl w:val="0"/>
          <w:numId w:val="0"/>
        </w:numPr>
        <w:ind w:left="284" w:hanging="284"/>
      </w:pPr>
      <w:r w:rsidRPr="004111A7">
        <w:t>Table continues on next page</w:t>
      </w:r>
    </w:p>
    <w:p w14:paraId="327704DF" w14:textId="77777777" w:rsidR="008D7FF6" w:rsidRPr="004111A7" w:rsidRDefault="008D7FF6" w:rsidP="008D7FF6">
      <w:pPr>
        <w:keepNext/>
        <w:spacing w:after="20" w:line="240" w:lineRule="auto"/>
        <w:jc w:val="left"/>
        <w:rPr>
          <w:rFonts w:ascii="Arial" w:hAnsi="Arial" w:cs="Arial"/>
          <w:b/>
        </w:rPr>
      </w:pPr>
      <w:r w:rsidRPr="004111A7">
        <w:rPr>
          <w:rFonts w:ascii="Arial" w:hAnsi="Arial" w:cs="Arial"/>
          <w:b/>
        </w:rPr>
        <w:br w:type="page"/>
      </w:r>
    </w:p>
    <w:p w14:paraId="0E045F01" w14:textId="3A39AA4E" w:rsidR="003F3E41" w:rsidRPr="004111A7" w:rsidRDefault="003F3E41" w:rsidP="003F3E41">
      <w:pPr>
        <w:keepNext/>
        <w:spacing w:after="20" w:line="240" w:lineRule="auto"/>
        <w:jc w:val="left"/>
        <w:rPr>
          <w:rFonts w:ascii="Arial" w:hAnsi="Arial" w:cs="Arial"/>
          <w:b/>
        </w:rPr>
      </w:pPr>
      <w:r w:rsidRPr="004111A7">
        <w:rPr>
          <w:rFonts w:ascii="Arial" w:hAnsi="Arial" w:cs="Arial"/>
          <w:b/>
        </w:rPr>
        <w:lastRenderedPageBreak/>
        <w:t xml:space="preserve">  Table 2.2.2: </w:t>
      </w:r>
      <w:r w:rsidR="00280FEA" w:rsidRPr="004111A7">
        <w:rPr>
          <w:rFonts w:ascii="Arial" w:hAnsi="Arial" w:cs="Arial"/>
          <w:b/>
        </w:rPr>
        <w:t>Performance measures</w:t>
      </w:r>
      <w:r w:rsidRPr="004111A7">
        <w:rPr>
          <w:rFonts w:ascii="Arial" w:hAnsi="Arial" w:cs="Arial"/>
          <w:b/>
        </w:rPr>
        <w:t xml:space="preserve"> for Outcome 2 (continued)</w:t>
      </w:r>
    </w:p>
    <w:tbl>
      <w:tblPr>
        <w:tblW w:w="76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142"/>
        <w:gridCol w:w="4115"/>
      </w:tblGrid>
      <w:tr w:rsidR="003F3E41" w:rsidRPr="004111A7" w14:paraId="2DC3AF00" w14:textId="77777777" w:rsidTr="000B5A31">
        <w:trPr>
          <w:tblHeader/>
        </w:trPr>
        <w:tc>
          <w:tcPr>
            <w:tcW w:w="7685" w:type="dxa"/>
            <w:gridSpan w:val="3"/>
            <w:shd w:val="clear" w:color="auto" w:fill="F2F2F2"/>
          </w:tcPr>
          <w:p w14:paraId="58BD60BC"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sz w:val="16"/>
                <w:szCs w:val="16"/>
                <w:lang w:eastAsia="en-US"/>
              </w:rPr>
              <w:t>Program 2.7</w:t>
            </w:r>
            <w:r w:rsidRPr="004111A7">
              <w:rPr>
                <w:rFonts w:ascii="Arial" w:eastAsia="Arial" w:hAnsi="Arial" w:cs="Arial"/>
                <w:sz w:val="16"/>
                <w:szCs w:val="16"/>
                <w:lang w:eastAsia="en-US"/>
              </w:rPr>
              <w:t xml:space="preserve"> – </w:t>
            </w:r>
            <w:r w:rsidRPr="004111A7">
              <w:rPr>
                <w:rFonts w:ascii="Arial" w:eastAsia="Arial" w:hAnsi="Arial" w:cs="Arial"/>
                <w:b/>
                <w:sz w:val="16"/>
                <w:szCs w:val="16"/>
                <w:lang w:eastAsia="en-US"/>
              </w:rPr>
              <w:t>Public Sector Superannuation</w:t>
            </w:r>
          </w:p>
          <w:p w14:paraId="7434EF0D"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This program contributes to the outcome through advising the Government on the stability of the Government’s unfunded superannuation liabilities and its associated administered expense items and superannuation arrangements for government employees. This includes the administration and management of superannuation arrangements for parliamentarians, as well as current and former governors-general, federal judges and Federal Circuit Court Judges.</w:t>
            </w:r>
          </w:p>
        </w:tc>
      </w:tr>
      <w:tr w:rsidR="003F3E41" w:rsidRPr="004111A7" w14:paraId="316F1B6A" w14:textId="77777777" w:rsidTr="00D75CC7">
        <w:tc>
          <w:tcPr>
            <w:tcW w:w="1428" w:type="dxa"/>
            <w:tcBorders>
              <w:bottom w:val="double" w:sz="4" w:space="0" w:color="auto"/>
            </w:tcBorders>
          </w:tcPr>
          <w:p w14:paraId="471D4E6B"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Delivery</w:t>
            </w:r>
          </w:p>
        </w:tc>
        <w:tc>
          <w:tcPr>
            <w:tcW w:w="6257" w:type="dxa"/>
            <w:gridSpan w:val="2"/>
            <w:tcBorders>
              <w:bottom w:val="double" w:sz="4" w:space="0" w:color="auto"/>
            </w:tcBorders>
          </w:tcPr>
          <w:p w14:paraId="4A563A49" w14:textId="77777777" w:rsidR="003F3E41" w:rsidRPr="004111A7" w:rsidRDefault="003F3E41" w:rsidP="003C100E">
            <w:pPr>
              <w:numPr>
                <w:ilvl w:val="0"/>
                <w:numId w:val="56"/>
              </w:numPr>
              <w:tabs>
                <w:tab w:val="left" w:pos="355"/>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Providing policy advice to the Government on its unfunded superannuation liability and associated administered expenses.</w:t>
            </w:r>
          </w:p>
          <w:p w14:paraId="6906CD12" w14:textId="77777777" w:rsidR="003F3E41" w:rsidRPr="004111A7" w:rsidRDefault="003F3E41" w:rsidP="003C100E">
            <w:pPr>
              <w:numPr>
                <w:ilvl w:val="0"/>
                <w:numId w:val="56"/>
              </w:numPr>
              <w:tabs>
                <w:tab w:val="left" w:pos="355"/>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Providing policy and legislation advice to the Government on the superannuation schemes for civilian employees and office holders, parliamentarians, governors-general and federal judges.</w:t>
            </w:r>
          </w:p>
          <w:p w14:paraId="44F6217A" w14:textId="77777777" w:rsidR="003F3E41" w:rsidRPr="004111A7" w:rsidRDefault="003F3E41" w:rsidP="003C100E">
            <w:pPr>
              <w:numPr>
                <w:ilvl w:val="0"/>
                <w:numId w:val="56"/>
              </w:numPr>
              <w:tabs>
                <w:tab w:val="left" w:pos="355"/>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Administer the pension schemes for former parliamentarians, governors-general, federal judges and certain Federal Circuit Court Judges.</w:t>
            </w:r>
          </w:p>
        </w:tc>
      </w:tr>
      <w:tr w:rsidR="003F3E41" w:rsidRPr="004111A7" w14:paraId="32EB9A88" w14:textId="77777777" w:rsidTr="000B5A31">
        <w:tc>
          <w:tcPr>
            <w:tcW w:w="7685" w:type="dxa"/>
            <w:gridSpan w:val="3"/>
            <w:tcBorders>
              <w:top w:val="double" w:sz="4" w:space="0" w:color="auto"/>
              <w:bottom w:val="double" w:sz="4" w:space="0" w:color="auto"/>
            </w:tcBorders>
          </w:tcPr>
          <w:p w14:paraId="0E7B8009"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Performance information: Program 2.7 – Public Sector Superannuation</w:t>
            </w:r>
          </w:p>
        </w:tc>
      </w:tr>
      <w:tr w:rsidR="003F3E41" w:rsidRPr="004111A7" w14:paraId="1B3DDB87" w14:textId="77777777" w:rsidTr="00D75CC7">
        <w:tc>
          <w:tcPr>
            <w:tcW w:w="1428" w:type="dxa"/>
            <w:tcBorders>
              <w:top w:val="double" w:sz="4" w:space="0" w:color="auto"/>
              <w:bottom w:val="single" w:sz="4" w:space="0" w:color="auto"/>
              <w:right w:val="single" w:sz="4" w:space="0" w:color="auto"/>
            </w:tcBorders>
          </w:tcPr>
          <w:p w14:paraId="13943544"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142" w:type="dxa"/>
            <w:tcBorders>
              <w:top w:val="double" w:sz="4" w:space="0" w:color="auto"/>
              <w:left w:val="single" w:sz="4" w:space="0" w:color="auto"/>
              <w:bottom w:val="single" w:sz="4" w:space="0" w:color="auto"/>
              <w:right w:val="single" w:sz="4" w:space="0" w:color="auto"/>
            </w:tcBorders>
          </w:tcPr>
          <w:p w14:paraId="37CC2DB9" w14:textId="4CA95423"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00C50514" w:rsidRPr="004111A7">
              <w:rPr>
                <w:rFonts w:ascii="Arial" w:eastAsia="Arial" w:hAnsi="Arial" w:cs="Arial"/>
                <w:b/>
                <w:sz w:val="16"/>
                <w:szCs w:val="16"/>
                <w:lang w:eastAsia="en-US"/>
              </w:rPr>
              <w:t xml:space="preserve"> </w:t>
            </w:r>
            <w:r w:rsidR="00C50514" w:rsidRPr="004111A7">
              <w:rPr>
                <w:rFonts w:ascii="Arial" w:eastAsia="Arial" w:hAnsi="Arial" w:cs="Arial"/>
                <w:sz w:val="16"/>
                <w:szCs w:val="16"/>
                <w:lang w:eastAsia="en-US"/>
              </w:rPr>
              <w:t>(a)</w:t>
            </w:r>
          </w:p>
        </w:tc>
        <w:tc>
          <w:tcPr>
            <w:tcW w:w="4115" w:type="dxa"/>
            <w:tcBorders>
              <w:top w:val="double" w:sz="4" w:space="0" w:color="auto"/>
              <w:left w:val="single" w:sz="4" w:space="0" w:color="auto"/>
              <w:bottom w:val="single" w:sz="4" w:space="0" w:color="auto"/>
            </w:tcBorders>
          </w:tcPr>
          <w:p w14:paraId="2F02D8A4"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3F3E41" w:rsidRPr="004111A7" w14:paraId="70D6D767" w14:textId="77777777" w:rsidTr="009502A7">
        <w:trPr>
          <w:trHeight w:val="60"/>
        </w:trPr>
        <w:tc>
          <w:tcPr>
            <w:tcW w:w="1428" w:type="dxa"/>
            <w:tcBorders>
              <w:top w:val="single" w:sz="4" w:space="0" w:color="auto"/>
              <w:bottom w:val="nil"/>
              <w:right w:val="single" w:sz="4" w:space="0" w:color="auto"/>
            </w:tcBorders>
          </w:tcPr>
          <w:p w14:paraId="2F1B9C9E"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2020-21</w:t>
            </w:r>
          </w:p>
        </w:tc>
        <w:tc>
          <w:tcPr>
            <w:tcW w:w="2142" w:type="dxa"/>
            <w:tcBorders>
              <w:top w:val="single" w:sz="4" w:space="0" w:color="auto"/>
              <w:left w:val="single" w:sz="4" w:space="0" w:color="auto"/>
              <w:bottom w:val="dotted" w:sz="4" w:space="0" w:color="auto"/>
              <w:right w:val="single" w:sz="4" w:space="0" w:color="auto"/>
            </w:tcBorders>
          </w:tcPr>
          <w:p w14:paraId="51541351"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bCs/>
                <w:sz w:val="16"/>
                <w:szCs w:val="16"/>
                <w:lang w:eastAsia="en-US"/>
              </w:rPr>
              <w:t>Public sector civilian superannuation schemes</w:t>
            </w:r>
          </w:p>
          <w:p w14:paraId="3E588A2D"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The legislative framework for the Commonwealth Government's civilian superannuation schemes enables the schemes to be administered in accordance with the applicable regulatory and legislative requirements.</w:t>
            </w:r>
          </w:p>
          <w:p w14:paraId="2175F3ED" w14:textId="2D9B6AAF" w:rsidR="00B61B0A" w:rsidRPr="004111A7" w:rsidRDefault="00B61B0A" w:rsidP="00B61B0A">
            <w:pPr>
              <w:tabs>
                <w:tab w:val="left" w:pos="709"/>
              </w:tabs>
              <w:suppressAutoHyphens/>
              <w:spacing w:before="40" w:after="20" w:line="240" w:lineRule="auto"/>
              <w:jc w:val="left"/>
              <w:rPr>
                <w:rFonts w:ascii="Arial" w:eastAsia="Arial" w:hAnsi="Arial" w:cs="Arial"/>
                <w:sz w:val="16"/>
                <w:szCs w:val="16"/>
                <w:lang w:eastAsia="en-US"/>
              </w:rPr>
            </w:pPr>
          </w:p>
        </w:tc>
        <w:tc>
          <w:tcPr>
            <w:tcW w:w="4115" w:type="dxa"/>
            <w:tcBorders>
              <w:top w:val="single" w:sz="4" w:space="0" w:color="auto"/>
              <w:left w:val="single" w:sz="4" w:space="0" w:color="auto"/>
              <w:bottom w:val="dotted" w:sz="4" w:space="0" w:color="auto"/>
            </w:tcBorders>
          </w:tcPr>
          <w:p w14:paraId="451B9B59"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On Track</w:t>
            </w:r>
          </w:p>
          <w:p w14:paraId="4F236D6A"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The legislation establishing the civilian superannuation schemes continues to comply with the broader regulatory and legislative requirements. </w:t>
            </w:r>
          </w:p>
          <w:p w14:paraId="1D294B4F" w14:textId="40C51CF1"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p>
          <w:p w14:paraId="543ADA55"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p>
        </w:tc>
      </w:tr>
      <w:tr w:rsidR="003F3E41" w:rsidRPr="004111A7" w14:paraId="4A6869D7" w14:textId="77777777" w:rsidTr="009502A7">
        <w:tc>
          <w:tcPr>
            <w:tcW w:w="1428" w:type="dxa"/>
            <w:tcBorders>
              <w:top w:val="nil"/>
              <w:bottom w:val="dotted" w:sz="4" w:space="0" w:color="auto"/>
              <w:right w:val="single" w:sz="4" w:space="0" w:color="auto"/>
            </w:tcBorders>
          </w:tcPr>
          <w:p w14:paraId="7D12732A" w14:textId="3833765F"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p>
        </w:tc>
        <w:tc>
          <w:tcPr>
            <w:tcW w:w="2142" w:type="dxa"/>
            <w:tcBorders>
              <w:top w:val="dotted" w:sz="4" w:space="0" w:color="auto"/>
              <w:left w:val="single" w:sz="4" w:space="0" w:color="auto"/>
              <w:bottom w:val="dotted" w:sz="4" w:space="0" w:color="auto"/>
              <w:right w:val="single" w:sz="4" w:space="0" w:color="auto"/>
            </w:tcBorders>
          </w:tcPr>
          <w:p w14:paraId="47D91010"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Administration of pension schemes for former parliamentarians, judges and governors-general</w:t>
            </w:r>
          </w:p>
          <w:p w14:paraId="12CFB49D" w14:textId="6C26BF38"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The pension schemes are administered </w:t>
            </w:r>
            <w:r w:rsidR="00CE4FEF">
              <w:rPr>
                <w:rFonts w:ascii="Arial" w:eastAsia="Arial" w:hAnsi="Arial" w:cs="Arial"/>
                <w:sz w:val="16"/>
                <w:szCs w:val="16"/>
                <w:lang w:eastAsia="en-US"/>
              </w:rPr>
              <w:t>by Finance</w:t>
            </w:r>
            <w:r w:rsidRPr="004111A7">
              <w:rPr>
                <w:rFonts w:ascii="Arial" w:eastAsia="Arial" w:hAnsi="Arial" w:cs="Arial"/>
                <w:sz w:val="16"/>
                <w:szCs w:val="16"/>
                <w:lang w:eastAsia="en-US"/>
              </w:rPr>
              <w:t xml:space="preserve"> effectively, in accordance with the applicable regulatory and legislative requirements.</w:t>
            </w:r>
          </w:p>
          <w:p w14:paraId="6D4A0EC0" w14:textId="43403F78" w:rsidR="00B61B0A" w:rsidRPr="004111A7" w:rsidRDefault="00B61B0A" w:rsidP="00B61B0A">
            <w:pPr>
              <w:tabs>
                <w:tab w:val="left" w:pos="709"/>
              </w:tabs>
              <w:suppressAutoHyphens/>
              <w:spacing w:before="40" w:after="20" w:line="240" w:lineRule="auto"/>
              <w:jc w:val="left"/>
              <w:rPr>
                <w:rFonts w:ascii="Arial" w:eastAsia="Arial" w:hAnsi="Arial" w:cs="Arial"/>
                <w:b/>
                <w:bCs/>
                <w:sz w:val="16"/>
                <w:szCs w:val="16"/>
                <w:lang w:eastAsia="en-US"/>
              </w:rPr>
            </w:pPr>
          </w:p>
        </w:tc>
        <w:tc>
          <w:tcPr>
            <w:tcW w:w="4115" w:type="dxa"/>
            <w:tcBorders>
              <w:top w:val="dotted" w:sz="4" w:space="0" w:color="auto"/>
              <w:left w:val="single" w:sz="4" w:space="0" w:color="auto"/>
              <w:bottom w:val="dotted" w:sz="4" w:space="0" w:color="auto"/>
            </w:tcBorders>
          </w:tcPr>
          <w:p w14:paraId="4D24CCE4"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On Track</w:t>
            </w:r>
          </w:p>
          <w:p w14:paraId="17D52B76"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The operations of the pension schemes administered by Finance continue to comply with the regulatory and legislative requirements:</w:t>
            </w:r>
          </w:p>
          <w:p w14:paraId="237A0265" w14:textId="1887F332" w:rsidR="003F3E41" w:rsidRPr="004111A7" w:rsidRDefault="003F3E41" w:rsidP="002F2EE5">
            <w:pPr>
              <w:numPr>
                <w:ilvl w:val="0"/>
                <w:numId w:val="51"/>
              </w:numPr>
              <w:tabs>
                <w:tab w:val="left" w:pos="354"/>
              </w:tabs>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No major IT system administration issues causing d</w:t>
            </w:r>
            <w:r w:rsidR="00936B6F" w:rsidRPr="004111A7">
              <w:rPr>
                <w:rFonts w:ascii="Arial" w:eastAsia="Cambria" w:hAnsi="Arial" w:cs="Arial"/>
                <w:sz w:val="16"/>
                <w:szCs w:val="16"/>
                <w:lang w:eastAsia="en-US"/>
              </w:rPr>
              <w:t>isruption to critical functions.</w:t>
            </w:r>
          </w:p>
          <w:p w14:paraId="1ABA9424" w14:textId="0E22ACF2" w:rsidR="003F3E41" w:rsidRPr="004111A7" w:rsidRDefault="003F3E41" w:rsidP="002F2EE5">
            <w:pPr>
              <w:numPr>
                <w:ilvl w:val="0"/>
                <w:numId w:val="51"/>
              </w:numPr>
              <w:tabs>
                <w:tab w:val="left" w:pos="354"/>
              </w:tabs>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Regular pension payments (every fortnight/monthly) processed on schedule</w:t>
            </w:r>
            <w:r w:rsidR="00936B6F" w:rsidRPr="004111A7">
              <w:rPr>
                <w:rFonts w:ascii="Arial" w:eastAsia="Cambria" w:hAnsi="Arial" w:cs="Arial"/>
                <w:sz w:val="16"/>
                <w:szCs w:val="16"/>
                <w:lang w:eastAsia="en-US"/>
              </w:rPr>
              <w:t>.</w:t>
            </w:r>
          </w:p>
          <w:p w14:paraId="02D1EC71" w14:textId="69F1C99A" w:rsidR="003F3E41" w:rsidRPr="004111A7" w:rsidRDefault="003F3E41" w:rsidP="007D79C7">
            <w:pPr>
              <w:numPr>
                <w:ilvl w:val="0"/>
                <w:numId w:val="51"/>
              </w:numPr>
              <w:tabs>
                <w:tab w:val="left" w:pos="354"/>
              </w:tabs>
              <w:suppressAutoHyphens/>
              <w:spacing w:before="60" w:after="60" w:line="240" w:lineRule="auto"/>
              <w:contextualSpacing/>
              <w:jc w:val="left"/>
              <w:rPr>
                <w:rFonts w:ascii="Arial" w:eastAsia="Arial" w:hAnsi="Arial" w:cs="Arial"/>
                <w:sz w:val="16"/>
                <w:szCs w:val="16"/>
                <w:lang w:eastAsia="en-US"/>
              </w:rPr>
            </w:pPr>
            <w:r w:rsidRPr="004111A7">
              <w:rPr>
                <w:rFonts w:ascii="Arial" w:eastAsia="Cambria" w:hAnsi="Arial" w:cs="Arial"/>
                <w:sz w:val="16"/>
                <w:szCs w:val="16"/>
                <w:lang w:eastAsia="en-US"/>
              </w:rPr>
              <w:t>Annual scheme reports have been submitted to regulatory agencies (A</w:t>
            </w:r>
            <w:r w:rsidR="00BD7329">
              <w:rPr>
                <w:rFonts w:ascii="Arial" w:eastAsia="Cambria" w:hAnsi="Arial" w:cs="Arial"/>
                <w:sz w:val="16"/>
                <w:szCs w:val="16"/>
                <w:lang w:eastAsia="en-US"/>
              </w:rPr>
              <w:t xml:space="preserve">ustralian </w:t>
            </w:r>
            <w:r w:rsidRPr="004111A7">
              <w:rPr>
                <w:rFonts w:ascii="Arial" w:eastAsia="Cambria" w:hAnsi="Arial" w:cs="Arial"/>
                <w:sz w:val="16"/>
                <w:szCs w:val="16"/>
                <w:lang w:eastAsia="en-US"/>
              </w:rPr>
              <w:t>T</w:t>
            </w:r>
            <w:r w:rsidR="00BD7329">
              <w:rPr>
                <w:rFonts w:ascii="Arial" w:eastAsia="Cambria" w:hAnsi="Arial" w:cs="Arial"/>
                <w:sz w:val="16"/>
                <w:szCs w:val="16"/>
                <w:lang w:eastAsia="en-US"/>
              </w:rPr>
              <w:t xml:space="preserve">axation </w:t>
            </w:r>
            <w:r w:rsidRPr="004111A7">
              <w:rPr>
                <w:rFonts w:ascii="Arial" w:eastAsia="Cambria" w:hAnsi="Arial" w:cs="Arial"/>
                <w:sz w:val="16"/>
                <w:szCs w:val="16"/>
                <w:lang w:eastAsia="en-US"/>
              </w:rPr>
              <w:t>O</w:t>
            </w:r>
            <w:r w:rsidR="00BD7329">
              <w:rPr>
                <w:rFonts w:ascii="Arial" w:eastAsia="Cambria" w:hAnsi="Arial" w:cs="Arial"/>
                <w:sz w:val="16"/>
                <w:szCs w:val="16"/>
                <w:lang w:eastAsia="en-US"/>
              </w:rPr>
              <w:t>ffice</w:t>
            </w:r>
            <w:r w:rsidRPr="004111A7">
              <w:rPr>
                <w:rFonts w:ascii="Arial" w:eastAsia="Cambria" w:hAnsi="Arial" w:cs="Arial"/>
                <w:sz w:val="16"/>
                <w:szCs w:val="16"/>
                <w:lang w:eastAsia="en-US"/>
              </w:rPr>
              <w:t xml:space="preserve"> and A</w:t>
            </w:r>
            <w:r w:rsidR="00BD7329">
              <w:rPr>
                <w:rFonts w:ascii="Arial" w:eastAsia="Cambria" w:hAnsi="Arial" w:cs="Arial"/>
                <w:sz w:val="16"/>
                <w:szCs w:val="16"/>
                <w:lang w:eastAsia="en-US"/>
              </w:rPr>
              <w:t xml:space="preserve">ustralian </w:t>
            </w:r>
            <w:r w:rsidRPr="004111A7">
              <w:rPr>
                <w:rFonts w:ascii="Arial" w:eastAsia="Cambria" w:hAnsi="Arial" w:cs="Arial"/>
                <w:sz w:val="16"/>
                <w:szCs w:val="16"/>
                <w:lang w:eastAsia="en-US"/>
              </w:rPr>
              <w:t>P</w:t>
            </w:r>
            <w:r w:rsidR="00BD7329">
              <w:rPr>
                <w:rFonts w:ascii="Arial" w:eastAsia="Cambria" w:hAnsi="Arial" w:cs="Arial"/>
                <w:sz w:val="16"/>
                <w:szCs w:val="16"/>
                <w:lang w:eastAsia="en-US"/>
              </w:rPr>
              <w:t xml:space="preserve">rudential </w:t>
            </w:r>
            <w:r w:rsidRPr="004111A7">
              <w:rPr>
                <w:rFonts w:ascii="Arial" w:eastAsia="Cambria" w:hAnsi="Arial" w:cs="Arial"/>
                <w:sz w:val="16"/>
                <w:szCs w:val="16"/>
                <w:lang w:eastAsia="en-US"/>
              </w:rPr>
              <w:t>R</w:t>
            </w:r>
            <w:r w:rsidR="00BD7329">
              <w:rPr>
                <w:rFonts w:ascii="Arial" w:eastAsia="Cambria" w:hAnsi="Arial" w:cs="Arial"/>
                <w:sz w:val="16"/>
                <w:szCs w:val="16"/>
                <w:lang w:eastAsia="en-US"/>
              </w:rPr>
              <w:t xml:space="preserve">egulation </w:t>
            </w:r>
            <w:r w:rsidRPr="004111A7">
              <w:rPr>
                <w:rFonts w:ascii="Arial" w:eastAsia="Cambria" w:hAnsi="Arial" w:cs="Arial"/>
                <w:sz w:val="16"/>
                <w:szCs w:val="16"/>
                <w:lang w:eastAsia="en-US"/>
              </w:rPr>
              <w:t>A</w:t>
            </w:r>
            <w:r w:rsidR="00BD7329">
              <w:rPr>
                <w:rFonts w:ascii="Arial" w:eastAsia="Cambria" w:hAnsi="Arial" w:cs="Arial"/>
                <w:sz w:val="16"/>
                <w:szCs w:val="16"/>
                <w:lang w:eastAsia="en-US"/>
              </w:rPr>
              <w:t>uthority</w:t>
            </w:r>
            <w:r w:rsidRPr="004111A7">
              <w:rPr>
                <w:rFonts w:ascii="Arial" w:eastAsia="Cambria" w:hAnsi="Arial" w:cs="Arial"/>
                <w:sz w:val="16"/>
                <w:szCs w:val="16"/>
                <w:lang w:eastAsia="en-US"/>
              </w:rPr>
              <w:t>) by the due dates.</w:t>
            </w:r>
          </w:p>
        </w:tc>
      </w:tr>
      <w:tr w:rsidR="003F3E41" w:rsidRPr="004111A7" w14:paraId="14FE411C" w14:textId="77777777" w:rsidTr="00236597">
        <w:tc>
          <w:tcPr>
            <w:tcW w:w="1428" w:type="dxa"/>
            <w:tcBorders>
              <w:top w:val="dotted" w:sz="4" w:space="0" w:color="auto"/>
              <w:bottom w:val="single" w:sz="4" w:space="0" w:color="auto"/>
              <w:right w:val="single" w:sz="4" w:space="0" w:color="auto"/>
            </w:tcBorders>
          </w:tcPr>
          <w:p w14:paraId="22B13F31"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2021-22</w:t>
            </w:r>
          </w:p>
        </w:tc>
        <w:tc>
          <w:tcPr>
            <w:tcW w:w="2142" w:type="dxa"/>
            <w:tcBorders>
              <w:top w:val="dotted" w:sz="4" w:space="0" w:color="auto"/>
              <w:left w:val="single" w:sz="4" w:space="0" w:color="auto"/>
              <w:bottom w:val="single" w:sz="4" w:space="0" w:color="auto"/>
              <w:right w:val="single" w:sz="4" w:space="0" w:color="auto"/>
            </w:tcBorders>
          </w:tcPr>
          <w:p w14:paraId="04D1FC5E"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bCs/>
                <w:sz w:val="16"/>
                <w:szCs w:val="16"/>
                <w:lang w:eastAsia="en-US"/>
              </w:rPr>
              <w:t>Public sector civilian superannuation schemes</w:t>
            </w:r>
          </w:p>
          <w:p w14:paraId="445BE4D0"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vertAlign w:val="superscript"/>
                <w:lang w:eastAsia="en-US"/>
              </w:rPr>
            </w:pPr>
            <w:r w:rsidRPr="004111A7">
              <w:rPr>
                <w:rFonts w:ascii="Arial" w:eastAsia="Arial" w:hAnsi="Arial" w:cs="Arial"/>
                <w:sz w:val="16"/>
                <w:szCs w:val="16"/>
                <w:lang w:eastAsia="en-US"/>
              </w:rPr>
              <w:t>The legislative framework for the Commonwealth Government's civilian superannuation schemes enables the schemes to be administered in accordance with the applicable regulatory and legislative requirements.</w:t>
            </w:r>
            <w:r w:rsidRPr="004111A7">
              <w:rPr>
                <w:rFonts w:ascii="Arial" w:eastAsia="Arial" w:hAnsi="Arial" w:cs="Arial"/>
                <w:sz w:val="16"/>
                <w:szCs w:val="16"/>
                <w:vertAlign w:val="superscript"/>
                <w:lang w:eastAsia="en-US"/>
              </w:rPr>
              <w:t xml:space="preserve"> </w:t>
            </w:r>
          </w:p>
          <w:p w14:paraId="06CB5328" w14:textId="2D1972F5" w:rsidR="00B61B0A" w:rsidRPr="004111A7" w:rsidRDefault="00B61B0A" w:rsidP="00B61B0A">
            <w:pPr>
              <w:tabs>
                <w:tab w:val="left" w:pos="709"/>
              </w:tabs>
              <w:suppressAutoHyphens/>
              <w:spacing w:before="40" w:after="20" w:line="240" w:lineRule="auto"/>
              <w:jc w:val="left"/>
              <w:rPr>
                <w:rFonts w:ascii="Arial" w:eastAsia="Arial" w:hAnsi="Arial" w:cs="Arial"/>
                <w:sz w:val="16"/>
                <w:szCs w:val="16"/>
                <w:lang w:eastAsia="en-US"/>
              </w:rPr>
            </w:pPr>
          </w:p>
        </w:tc>
        <w:tc>
          <w:tcPr>
            <w:tcW w:w="4115" w:type="dxa"/>
            <w:tcBorders>
              <w:top w:val="dotted" w:sz="4" w:space="0" w:color="auto"/>
              <w:left w:val="single" w:sz="4" w:space="0" w:color="auto"/>
              <w:bottom w:val="single" w:sz="4" w:space="0" w:color="auto"/>
            </w:tcBorders>
          </w:tcPr>
          <w:p w14:paraId="4141D111" w14:textId="77777777" w:rsidR="003F3E41" w:rsidRPr="004111A7" w:rsidRDefault="003F3E41" w:rsidP="003C100E">
            <w:pPr>
              <w:tabs>
                <w:tab w:val="left" w:pos="709"/>
              </w:tabs>
              <w:suppressAutoHyphens/>
              <w:spacing w:before="60" w:after="60" w:line="240" w:lineRule="auto"/>
              <w:jc w:val="left"/>
              <w:rPr>
                <w:rFonts w:ascii="Arial" w:eastAsia="Arial" w:hAnsi="Arial" w:cs="Arial"/>
                <w:color w:val="FF0000"/>
                <w:sz w:val="16"/>
                <w:szCs w:val="16"/>
                <w:lang w:eastAsia="en-US"/>
              </w:rPr>
            </w:pPr>
            <w:r w:rsidRPr="004111A7">
              <w:rPr>
                <w:rFonts w:ascii="Arial" w:eastAsia="Arial" w:hAnsi="Arial" w:cs="Arial"/>
                <w:sz w:val="16"/>
                <w:szCs w:val="16"/>
                <w:lang w:eastAsia="en-US"/>
              </w:rPr>
              <w:t>The legislation establishing the civilian superannuation schemes is reviewed as needed to ensure it complies with the broader regulatory and legislative requirements.</w:t>
            </w:r>
          </w:p>
        </w:tc>
      </w:tr>
    </w:tbl>
    <w:p w14:paraId="39D4D51E" w14:textId="4AE68A28" w:rsidR="000B5A31" w:rsidRPr="004111A7" w:rsidRDefault="003F3E41" w:rsidP="003F3E41">
      <w:pPr>
        <w:pStyle w:val="ChartandTableFootnoteAlpha"/>
        <w:numPr>
          <w:ilvl w:val="0"/>
          <w:numId w:val="0"/>
        </w:numPr>
        <w:ind w:left="284" w:hanging="284"/>
      </w:pPr>
      <w:r w:rsidRPr="004111A7">
        <w:t>Table continues on next page</w:t>
      </w:r>
      <w:r w:rsidR="000B5A31" w:rsidRPr="004111A7">
        <w:br w:type="page"/>
      </w:r>
    </w:p>
    <w:p w14:paraId="2E279077" w14:textId="544C1948" w:rsidR="003F3E41" w:rsidRPr="004111A7" w:rsidRDefault="003F3E41" w:rsidP="003F3E41">
      <w:pPr>
        <w:keepNext/>
        <w:spacing w:after="20" w:line="240" w:lineRule="auto"/>
        <w:jc w:val="left"/>
        <w:rPr>
          <w:rFonts w:ascii="Arial" w:hAnsi="Arial" w:cs="Arial"/>
          <w:b/>
        </w:rPr>
      </w:pPr>
      <w:r w:rsidRPr="004111A7">
        <w:rPr>
          <w:rFonts w:ascii="Arial" w:hAnsi="Arial" w:cs="Arial"/>
          <w:b/>
        </w:rPr>
        <w:lastRenderedPageBreak/>
        <w:t xml:space="preserve">Table 2.2.2: </w:t>
      </w:r>
      <w:r w:rsidR="00280FEA" w:rsidRPr="004111A7">
        <w:rPr>
          <w:rFonts w:ascii="Arial" w:hAnsi="Arial" w:cs="Arial"/>
          <w:b/>
        </w:rPr>
        <w:t>Performance measures</w:t>
      </w:r>
      <w:r w:rsidRPr="004111A7">
        <w:rPr>
          <w:rFonts w:ascii="Arial" w:hAnsi="Arial" w:cs="Arial"/>
          <w:b/>
        </w:rPr>
        <w:t xml:space="preserve"> for Outcome 2 (continued)</w:t>
      </w:r>
    </w:p>
    <w:tbl>
      <w:tblPr>
        <w:tblW w:w="76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142"/>
        <w:gridCol w:w="4115"/>
      </w:tblGrid>
      <w:tr w:rsidR="003F3E41" w:rsidRPr="004111A7" w14:paraId="246AF62F" w14:textId="77777777" w:rsidTr="000B5A31">
        <w:tc>
          <w:tcPr>
            <w:tcW w:w="7685" w:type="dxa"/>
            <w:gridSpan w:val="3"/>
            <w:tcBorders>
              <w:top w:val="double" w:sz="4" w:space="0" w:color="auto"/>
              <w:bottom w:val="double" w:sz="4" w:space="0" w:color="auto"/>
            </w:tcBorders>
          </w:tcPr>
          <w:p w14:paraId="6EED65E5"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Performance information: Program 2.7 – Public Sector Superannuation</w:t>
            </w:r>
          </w:p>
        </w:tc>
      </w:tr>
      <w:tr w:rsidR="003F3E41" w:rsidRPr="004111A7" w14:paraId="285EC516" w14:textId="77777777" w:rsidTr="00D75CC7">
        <w:tc>
          <w:tcPr>
            <w:tcW w:w="1428" w:type="dxa"/>
            <w:tcBorders>
              <w:top w:val="double" w:sz="4" w:space="0" w:color="auto"/>
              <w:bottom w:val="single" w:sz="4" w:space="0" w:color="auto"/>
              <w:right w:val="single" w:sz="4" w:space="0" w:color="auto"/>
            </w:tcBorders>
          </w:tcPr>
          <w:p w14:paraId="36732372"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142" w:type="dxa"/>
            <w:tcBorders>
              <w:top w:val="double" w:sz="4" w:space="0" w:color="auto"/>
              <w:left w:val="single" w:sz="4" w:space="0" w:color="auto"/>
              <w:bottom w:val="single" w:sz="4" w:space="0" w:color="auto"/>
              <w:right w:val="single" w:sz="4" w:space="0" w:color="auto"/>
            </w:tcBorders>
          </w:tcPr>
          <w:p w14:paraId="7A2392FE" w14:textId="2CB5C306"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00C50514" w:rsidRPr="004111A7">
              <w:rPr>
                <w:rFonts w:ascii="Arial" w:eastAsia="Arial" w:hAnsi="Arial" w:cs="Arial"/>
                <w:b/>
                <w:sz w:val="16"/>
                <w:szCs w:val="16"/>
                <w:lang w:eastAsia="en-US"/>
              </w:rPr>
              <w:t xml:space="preserve"> </w:t>
            </w:r>
            <w:r w:rsidR="00C50514" w:rsidRPr="004111A7">
              <w:rPr>
                <w:rFonts w:ascii="Arial" w:eastAsia="Arial" w:hAnsi="Arial" w:cs="Arial"/>
                <w:sz w:val="16"/>
                <w:szCs w:val="16"/>
                <w:lang w:eastAsia="en-US"/>
              </w:rPr>
              <w:t>(a)</w:t>
            </w:r>
          </w:p>
        </w:tc>
        <w:tc>
          <w:tcPr>
            <w:tcW w:w="4115" w:type="dxa"/>
            <w:tcBorders>
              <w:top w:val="double" w:sz="4" w:space="0" w:color="auto"/>
              <w:left w:val="single" w:sz="4" w:space="0" w:color="auto"/>
              <w:bottom w:val="single" w:sz="4" w:space="0" w:color="auto"/>
            </w:tcBorders>
          </w:tcPr>
          <w:p w14:paraId="41CB1E86"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3F3E41" w:rsidRPr="004111A7" w14:paraId="7BC05993" w14:textId="77777777" w:rsidTr="00D75CC7">
        <w:tc>
          <w:tcPr>
            <w:tcW w:w="1428" w:type="dxa"/>
            <w:tcBorders>
              <w:top w:val="dotted" w:sz="4" w:space="0" w:color="auto"/>
              <w:bottom w:val="dotted" w:sz="4" w:space="0" w:color="auto"/>
              <w:right w:val="single" w:sz="4" w:space="0" w:color="auto"/>
            </w:tcBorders>
          </w:tcPr>
          <w:p w14:paraId="0BB3633F" w14:textId="1AFAC8EE" w:rsidR="00744AA6"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2021-22</w:t>
            </w:r>
            <w:r w:rsidR="00744AA6" w:rsidRPr="004111A7">
              <w:rPr>
                <w:rFonts w:ascii="Arial" w:eastAsia="Arial" w:hAnsi="Arial" w:cs="Arial"/>
                <w:sz w:val="16"/>
                <w:szCs w:val="16"/>
                <w:lang w:eastAsia="en-US"/>
              </w:rPr>
              <w:t xml:space="preserve"> (continued)</w:t>
            </w:r>
          </w:p>
        </w:tc>
        <w:tc>
          <w:tcPr>
            <w:tcW w:w="2142" w:type="dxa"/>
            <w:tcBorders>
              <w:top w:val="dotted" w:sz="4" w:space="0" w:color="auto"/>
              <w:left w:val="single" w:sz="4" w:space="0" w:color="auto"/>
              <w:bottom w:val="dotted" w:sz="4" w:space="0" w:color="auto"/>
              <w:right w:val="single" w:sz="4" w:space="0" w:color="auto"/>
            </w:tcBorders>
          </w:tcPr>
          <w:p w14:paraId="7BF32C25"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Administration of pension schemes for former parliamentarians, judges and governors-general</w:t>
            </w:r>
          </w:p>
          <w:p w14:paraId="3D523FF4" w14:textId="2582BA10" w:rsidR="003F3E41" w:rsidRPr="004111A7" w:rsidRDefault="003F3E41" w:rsidP="00B61B0A">
            <w:pPr>
              <w:tabs>
                <w:tab w:val="left" w:pos="709"/>
              </w:tabs>
              <w:suppressAutoHyphens/>
              <w:spacing w:before="40" w:after="2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The pension schemes are administered by </w:t>
            </w:r>
            <w:r w:rsidR="00CE4FEF">
              <w:rPr>
                <w:rFonts w:ascii="Arial" w:eastAsia="Arial" w:hAnsi="Arial" w:cs="Arial"/>
                <w:sz w:val="16"/>
                <w:szCs w:val="16"/>
                <w:lang w:eastAsia="en-US"/>
              </w:rPr>
              <w:t>Finance</w:t>
            </w:r>
            <w:r w:rsidRPr="004111A7">
              <w:rPr>
                <w:rFonts w:ascii="Arial" w:eastAsia="Arial" w:hAnsi="Arial" w:cs="Arial"/>
                <w:sz w:val="16"/>
                <w:szCs w:val="16"/>
                <w:lang w:eastAsia="en-US"/>
              </w:rPr>
              <w:t xml:space="preserve"> effectively, in accordance with the applicable regulatory and legislative requirements.</w:t>
            </w:r>
          </w:p>
          <w:p w14:paraId="3AF1737D" w14:textId="37A12D43" w:rsidR="00B61B0A" w:rsidRPr="004111A7" w:rsidRDefault="00B61B0A" w:rsidP="00B61B0A">
            <w:pPr>
              <w:tabs>
                <w:tab w:val="left" w:pos="709"/>
              </w:tabs>
              <w:suppressAutoHyphens/>
              <w:spacing w:before="40" w:after="20" w:line="240" w:lineRule="auto"/>
              <w:jc w:val="left"/>
              <w:rPr>
                <w:rFonts w:ascii="Arial" w:eastAsia="Arial" w:hAnsi="Arial" w:cs="Arial"/>
                <w:sz w:val="16"/>
                <w:szCs w:val="16"/>
                <w:lang w:eastAsia="en-US"/>
              </w:rPr>
            </w:pPr>
          </w:p>
        </w:tc>
        <w:tc>
          <w:tcPr>
            <w:tcW w:w="4115" w:type="dxa"/>
            <w:tcBorders>
              <w:top w:val="dotted" w:sz="4" w:space="0" w:color="auto"/>
              <w:left w:val="single" w:sz="4" w:space="0" w:color="auto"/>
              <w:bottom w:val="dotted" w:sz="4" w:space="0" w:color="auto"/>
            </w:tcBorders>
          </w:tcPr>
          <w:p w14:paraId="5BE8598D"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The operations of the pension schemes administered by Finance continue to comply with the regulatory and legislative requirements.</w:t>
            </w:r>
          </w:p>
        </w:tc>
      </w:tr>
      <w:tr w:rsidR="003F3E41" w:rsidRPr="004111A7" w14:paraId="4A9D5D83" w14:textId="77777777" w:rsidTr="00D75CC7">
        <w:tc>
          <w:tcPr>
            <w:tcW w:w="1428" w:type="dxa"/>
            <w:tcBorders>
              <w:top w:val="dotted" w:sz="4" w:space="0" w:color="auto"/>
              <w:bottom w:val="dotted" w:sz="4" w:space="0" w:color="auto"/>
              <w:right w:val="single" w:sz="4" w:space="0" w:color="auto"/>
            </w:tcBorders>
          </w:tcPr>
          <w:p w14:paraId="1D395710"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2022-23 and beyond</w:t>
            </w:r>
          </w:p>
        </w:tc>
        <w:tc>
          <w:tcPr>
            <w:tcW w:w="2142" w:type="dxa"/>
            <w:tcBorders>
              <w:top w:val="dotted" w:sz="4" w:space="0" w:color="auto"/>
              <w:left w:val="single" w:sz="4" w:space="0" w:color="auto"/>
              <w:bottom w:val="dotted" w:sz="4" w:space="0" w:color="auto"/>
              <w:right w:val="single" w:sz="4" w:space="0" w:color="auto"/>
            </w:tcBorders>
          </w:tcPr>
          <w:p w14:paraId="3BCDC1A0" w14:textId="63892378"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As per 2021-22</w:t>
            </w:r>
            <w:r w:rsidR="00936B6F" w:rsidRPr="004111A7">
              <w:rPr>
                <w:rFonts w:ascii="Arial" w:eastAsia="Arial" w:hAnsi="Arial" w:cs="Arial"/>
                <w:sz w:val="16"/>
                <w:szCs w:val="16"/>
                <w:lang w:eastAsia="en-US"/>
              </w:rPr>
              <w:t>.</w:t>
            </w:r>
          </w:p>
        </w:tc>
        <w:tc>
          <w:tcPr>
            <w:tcW w:w="4115" w:type="dxa"/>
            <w:tcBorders>
              <w:top w:val="dotted" w:sz="4" w:space="0" w:color="auto"/>
              <w:left w:val="single" w:sz="4" w:space="0" w:color="auto"/>
              <w:bottom w:val="dotted" w:sz="4" w:space="0" w:color="auto"/>
            </w:tcBorders>
          </w:tcPr>
          <w:p w14:paraId="5F89F588" w14:textId="36CC33B5" w:rsidR="003F3E41" w:rsidRPr="004111A7" w:rsidRDefault="003F3E41" w:rsidP="003C100E">
            <w:pPr>
              <w:tabs>
                <w:tab w:val="left" w:pos="709"/>
              </w:tabs>
              <w:suppressAutoHyphens/>
              <w:spacing w:before="60" w:after="60" w:line="240" w:lineRule="auto"/>
              <w:jc w:val="left"/>
              <w:rPr>
                <w:rFonts w:ascii="Arial" w:eastAsia="Arial" w:hAnsi="Arial" w:cs="Arial"/>
                <w:color w:val="FF0000"/>
                <w:sz w:val="16"/>
                <w:szCs w:val="16"/>
                <w:lang w:eastAsia="en-US"/>
              </w:rPr>
            </w:pPr>
            <w:r w:rsidRPr="004111A7">
              <w:rPr>
                <w:rFonts w:ascii="Arial" w:eastAsia="Arial" w:hAnsi="Arial" w:cs="Arial"/>
                <w:sz w:val="16"/>
                <w:szCs w:val="16"/>
                <w:lang w:eastAsia="en-US"/>
              </w:rPr>
              <w:t>As per 2021-22</w:t>
            </w:r>
            <w:r w:rsidR="00936B6F" w:rsidRPr="004111A7">
              <w:rPr>
                <w:rFonts w:ascii="Arial" w:eastAsia="Arial" w:hAnsi="Arial" w:cs="Arial"/>
                <w:sz w:val="16"/>
                <w:szCs w:val="16"/>
                <w:lang w:eastAsia="en-US"/>
              </w:rPr>
              <w:t>.</w:t>
            </w:r>
          </w:p>
        </w:tc>
      </w:tr>
      <w:tr w:rsidR="003F3E41" w:rsidRPr="004111A7" w14:paraId="7698BADB" w14:textId="77777777" w:rsidTr="00D75CC7">
        <w:tc>
          <w:tcPr>
            <w:tcW w:w="1428" w:type="dxa"/>
          </w:tcPr>
          <w:p w14:paraId="12195524"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Purpose</w:t>
            </w:r>
          </w:p>
        </w:tc>
        <w:tc>
          <w:tcPr>
            <w:tcW w:w="6257" w:type="dxa"/>
            <w:gridSpan w:val="2"/>
          </w:tcPr>
          <w:p w14:paraId="504E0D7A" w14:textId="77777777" w:rsidR="003F3E41" w:rsidRPr="004111A7" w:rsidRDefault="003F3E41" w:rsidP="00B61B0A">
            <w:pPr>
              <w:tabs>
                <w:tab w:val="left" w:pos="709"/>
              </w:tabs>
              <w:suppressAutoHyphens/>
              <w:spacing w:before="40" w:after="2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To assist the Australian Government to achieve its fiscal and policy objectives by advising on expenditure, managing sustainable public sector resourcing, driving public sector transformation and delivering efficient, cost-effective services to, and for, government.</w:t>
            </w:r>
          </w:p>
          <w:p w14:paraId="70E404CA" w14:textId="4ACA5C91" w:rsidR="00B61B0A" w:rsidRPr="004111A7" w:rsidRDefault="00B61B0A" w:rsidP="00B61B0A">
            <w:pPr>
              <w:tabs>
                <w:tab w:val="left" w:pos="709"/>
              </w:tabs>
              <w:suppressAutoHyphens/>
              <w:spacing w:before="40" w:after="20" w:line="240" w:lineRule="auto"/>
              <w:jc w:val="left"/>
              <w:rPr>
                <w:rFonts w:ascii="Arial" w:eastAsia="Arial" w:hAnsi="Arial" w:cs="Arial"/>
                <w:color w:val="FF0000"/>
                <w:sz w:val="16"/>
                <w:szCs w:val="16"/>
                <w:lang w:eastAsia="en-US"/>
              </w:rPr>
            </w:pPr>
          </w:p>
        </w:tc>
      </w:tr>
    </w:tbl>
    <w:p w14:paraId="5C455EF7" w14:textId="773B25EF" w:rsidR="003F3E41" w:rsidRPr="004111A7" w:rsidRDefault="003F3E41" w:rsidP="003F3E41">
      <w:pPr>
        <w:pStyle w:val="ChartandTableFootnoteAlpha"/>
        <w:numPr>
          <w:ilvl w:val="0"/>
          <w:numId w:val="0"/>
        </w:numPr>
        <w:ind w:left="284" w:hanging="284"/>
      </w:pPr>
      <w:r w:rsidRPr="004111A7">
        <w:t>Table continues on next page</w:t>
      </w:r>
    </w:p>
    <w:p w14:paraId="3FD4AD54" w14:textId="77777777" w:rsidR="003F3E41" w:rsidRPr="004111A7" w:rsidRDefault="003F3E41" w:rsidP="003F3E41">
      <w:pPr>
        <w:keepNext/>
        <w:spacing w:after="20" w:line="240" w:lineRule="auto"/>
        <w:jc w:val="left"/>
        <w:rPr>
          <w:rFonts w:ascii="Arial" w:hAnsi="Arial" w:cs="Arial"/>
          <w:b/>
        </w:rPr>
      </w:pPr>
      <w:r w:rsidRPr="004111A7">
        <w:rPr>
          <w:rFonts w:ascii="Arial" w:hAnsi="Arial" w:cs="Arial"/>
          <w:b/>
        </w:rPr>
        <w:br w:type="page"/>
      </w:r>
    </w:p>
    <w:p w14:paraId="0924C4BE" w14:textId="4DA90B30" w:rsidR="006A0B7F" w:rsidRPr="004111A7" w:rsidRDefault="006A0B7F" w:rsidP="006A0B7F">
      <w:pPr>
        <w:keepNext/>
        <w:spacing w:after="20" w:line="240" w:lineRule="auto"/>
        <w:jc w:val="left"/>
        <w:rPr>
          <w:rFonts w:ascii="Arial" w:hAnsi="Arial" w:cs="Arial"/>
          <w:b/>
        </w:rPr>
      </w:pPr>
      <w:r w:rsidRPr="004111A7">
        <w:rPr>
          <w:rFonts w:ascii="Arial" w:hAnsi="Arial" w:cs="Arial"/>
          <w:b/>
        </w:rPr>
        <w:lastRenderedPageBreak/>
        <w:t xml:space="preserve">Table 2.2.2: </w:t>
      </w:r>
      <w:r w:rsidR="00280FEA" w:rsidRPr="004111A7">
        <w:rPr>
          <w:rFonts w:ascii="Arial" w:hAnsi="Arial" w:cs="Arial"/>
          <w:b/>
        </w:rPr>
        <w:t>Performance measures</w:t>
      </w:r>
      <w:r w:rsidRPr="004111A7">
        <w:rPr>
          <w:rFonts w:ascii="Arial" w:hAnsi="Arial" w:cs="Arial"/>
          <w:b/>
        </w:rPr>
        <w:t xml:space="preserve"> for Outcome 2 (continued)</w:t>
      </w:r>
    </w:p>
    <w:tbl>
      <w:tblPr>
        <w:tblpPr w:leftFromText="180" w:rightFromText="180" w:vertAnchor="text" w:tblpX="5" w:tblpY="1"/>
        <w:tblOverlap w:val="never"/>
        <w:tblW w:w="7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2142"/>
        <w:gridCol w:w="4120"/>
      </w:tblGrid>
      <w:tr w:rsidR="006A0B7F" w:rsidRPr="004111A7" w14:paraId="2F2FFDC3" w14:textId="77777777" w:rsidTr="000B5A31">
        <w:trPr>
          <w:tblHeader/>
        </w:trPr>
        <w:tc>
          <w:tcPr>
            <w:tcW w:w="7685" w:type="dxa"/>
            <w:gridSpan w:val="3"/>
            <w:shd w:val="clear" w:color="auto" w:fill="F2F2F2"/>
          </w:tcPr>
          <w:p w14:paraId="629C6631" w14:textId="77777777" w:rsidR="006A0B7F" w:rsidRPr="004111A7" w:rsidRDefault="006A0B7F" w:rsidP="000B5A31">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sz w:val="16"/>
                <w:szCs w:val="16"/>
                <w:lang w:eastAsia="en-US"/>
              </w:rPr>
              <w:t>Program 2.8</w:t>
            </w:r>
            <w:r w:rsidRPr="004111A7">
              <w:rPr>
                <w:rFonts w:ascii="Arial" w:eastAsia="Arial" w:hAnsi="Arial" w:cs="Arial"/>
                <w:sz w:val="16"/>
                <w:szCs w:val="16"/>
                <w:lang w:eastAsia="en-US"/>
              </w:rPr>
              <w:t xml:space="preserve"> – </w:t>
            </w:r>
            <w:r w:rsidRPr="004111A7">
              <w:rPr>
                <w:rFonts w:ascii="Arial" w:eastAsia="Arial" w:hAnsi="Arial" w:cs="Arial"/>
                <w:b/>
                <w:sz w:val="16"/>
                <w:szCs w:val="16"/>
                <w:lang w:eastAsia="en-US"/>
              </w:rPr>
              <w:t>Australian Government Investment Funds</w:t>
            </w:r>
          </w:p>
          <w:p w14:paraId="25095658" w14:textId="77777777" w:rsidR="006A0B7F" w:rsidRPr="004111A7" w:rsidRDefault="006A0B7F" w:rsidP="000B5A31">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This program contributes to the outcome through providing advice on investment mandates and governance arrangements for the Government’s Investment Funds, to maximise the value of the funds to the Government. This includes advice on credit of amounts to the Funds and debits for payments from the Funds. The Funds are:</w:t>
            </w:r>
          </w:p>
          <w:p w14:paraId="72424110" w14:textId="77777777" w:rsidR="006A0B7F" w:rsidRPr="004111A7" w:rsidRDefault="006A0B7F" w:rsidP="000B5A31">
            <w:pPr>
              <w:numPr>
                <w:ilvl w:val="0"/>
                <w:numId w:val="52"/>
              </w:numPr>
              <w:tabs>
                <w:tab w:val="left" w:pos="709"/>
              </w:tabs>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Future Fund</w:t>
            </w:r>
          </w:p>
          <w:p w14:paraId="72C6ED82" w14:textId="56F30E48" w:rsidR="006A0B7F" w:rsidRPr="004111A7" w:rsidRDefault="0083500D" w:rsidP="000B5A31">
            <w:pPr>
              <w:numPr>
                <w:ilvl w:val="0"/>
                <w:numId w:val="52"/>
              </w:numPr>
              <w:tabs>
                <w:tab w:val="left" w:pos="709"/>
              </w:tabs>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Disability</w:t>
            </w:r>
            <w:r w:rsidR="006A0B7F" w:rsidRPr="004111A7">
              <w:rPr>
                <w:rFonts w:ascii="Arial" w:eastAsia="Cambria" w:hAnsi="Arial" w:cs="Arial"/>
                <w:sz w:val="16"/>
                <w:szCs w:val="16"/>
                <w:lang w:eastAsia="en-US"/>
              </w:rPr>
              <w:t>Care Australia Fund</w:t>
            </w:r>
          </w:p>
          <w:p w14:paraId="5492873E" w14:textId="77777777" w:rsidR="006A0B7F" w:rsidRPr="004111A7" w:rsidRDefault="006A0B7F" w:rsidP="000B5A31">
            <w:pPr>
              <w:numPr>
                <w:ilvl w:val="0"/>
                <w:numId w:val="52"/>
              </w:numPr>
              <w:tabs>
                <w:tab w:val="left" w:pos="709"/>
              </w:tabs>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 xml:space="preserve">Medical Research Future Fund </w:t>
            </w:r>
          </w:p>
          <w:p w14:paraId="145B2879" w14:textId="434EB179" w:rsidR="006A0B7F" w:rsidRPr="004111A7" w:rsidRDefault="006A0B7F" w:rsidP="000B5A31">
            <w:pPr>
              <w:numPr>
                <w:ilvl w:val="0"/>
                <w:numId w:val="52"/>
              </w:numPr>
              <w:tabs>
                <w:tab w:val="left" w:pos="709"/>
              </w:tabs>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Aboriginal and Torres Strait Is</w:t>
            </w:r>
            <w:r w:rsidR="00936B6F" w:rsidRPr="004111A7">
              <w:rPr>
                <w:rFonts w:ascii="Arial" w:eastAsia="Cambria" w:hAnsi="Arial" w:cs="Arial"/>
                <w:sz w:val="16"/>
                <w:szCs w:val="16"/>
                <w:lang w:eastAsia="en-US"/>
              </w:rPr>
              <w:t>lander Land and Sea Future Fund</w:t>
            </w:r>
          </w:p>
          <w:p w14:paraId="082C605C" w14:textId="77777777" w:rsidR="006A0B7F" w:rsidRPr="004111A7" w:rsidRDefault="006A0B7F" w:rsidP="000B5A31">
            <w:pPr>
              <w:numPr>
                <w:ilvl w:val="0"/>
                <w:numId w:val="52"/>
              </w:numPr>
              <w:tabs>
                <w:tab w:val="left" w:pos="709"/>
              </w:tabs>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Future Drought Fund</w:t>
            </w:r>
          </w:p>
          <w:p w14:paraId="297957F4" w14:textId="271E8D95" w:rsidR="006A0B7F" w:rsidRPr="004111A7" w:rsidRDefault="006A0B7F" w:rsidP="000B5A31">
            <w:pPr>
              <w:numPr>
                <w:ilvl w:val="0"/>
                <w:numId w:val="52"/>
              </w:numPr>
              <w:tabs>
                <w:tab w:val="left" w:pos="709"/>
              </w:tabs>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Emergency Response Fund</w:t>
            </w:r>
            <w:r w:rsidR="00936B6F" w:rsidRPr="004111A7">
              <w:rPr>
                <w:rFonts w:ascii="Arial" w:eastAsia="Cambria" w:hAnsi="Arial" w:cs="Arial"/>
                <w:sz w:val="16"/>
                <w:szCs w:val="16"/>
                <w:lang w:eastAsia="en-US"/>
              </w:rPr>
              <w:t>.</w:t>
            </w:r>
          </w:p>
        </w:tc>
      </w:tr>
      <w:tr w:rsidR="006A0B7F" w:rsidRPr="004111A7" w14:paraId="3B122A1E" w14:textId="77777777" w:rsidTr="00D75CC7">
        <w:tc>
          <w:tcPr>
            <w:tcW w:w="1423" w:type="dxa"/>
            <w:tcBorders>
              <w:bottom w:val="double" w:sz="4" w:space="0" w:color="auto"/>
            </w:tcBorders>
          </w:tcPr>
          <w:p w14:paraId="5F26FEAD" w14:textId="77777777" w:rsidR="006A0B7F" w:rsidRPr="004111A7" w:rsidRDefault="006A0B7F" w:rsidP="000B5A31">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Delivery</w:t>
            </w:r>
          </w:p>
        </w:tc>
        <w:tc>
          <w:tcPr>
            <w:tcW w:w="6262" w:type="dxa"/>
            <w:gridSpan w:val="2"/>
            <w:tcBorders>
              <w:bottom w:val="double" w:sz="4" w:space="0" w:color="auto"/>
            </w:tcBorders>
          </w:tcPr>
          <w:p w14:paraId="76050EB5" w14:textId="77777777" w:rsidR="006A0B7F" w:rsidRPr="004111A7" w:rsidRDefault="006A0B7F" w:rsidP="000B5A31">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Providing advice to the government on the Australian Government Investment Funds, including investment mandates, governance matters, credits to, and payments from the Funds.</w:t>
            </w:r>
          </w:p>
        </w:tc>
      </w:tr>
      <w:tr w:rsidR="006A0B7F" w:rsidRPr="004111A7" w14:paraId="244F5063" w14:textId="77777777" w:rsidTr="000B5A31">
        <w:tc>
          <w:tcPr>
            <w:tcW w:w="7685" w:type="dxa"/>
            <w:gridSpan w:val="3"/>
            <w:tcBorders>
              <w:top w:val="double" w:sz="4" w:space="0" w:color="auto"/>
              <w:bottom w:val="double" w:sz="4" w:space="0" w:color="auto"/>
            </w:tcBorders>
          </w:tcPr>
          <w:p w14:paraId="42E69E2F" w14:textId="77777777" w:rsidR="006A0B7F" w:rsidRPr="004111A7" w:rsidRDefault="006A0B7F" w:rsidP="000B5A31">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Performance information: Program 2.8 – Australian Government Investment Funds</w:t>
            </w:r>
          </w:p>
        </w:tc>
      </w:tr>
      <w:tr w:rsidR="006A0B7F" w:rsidRPr="004111A7" w14:paraId="525207AC" w14:textId="77777777" w:rsidTr="00D75CC7">
        <w:tc>
          <w:tcPr>
            <w:tcW w:w="1423" w:type="dxa"/>
            <w:tcBorders>
              <w:top w:val="double" w:sz="4" w:space="0" w:color="auto"/>
              <w:bottom w:val="single" w:sz="4" w:space="0" w:color="auto"/>
              <w:right w:val="single" w:sz="4" w:space="0" w:color="auto"/>
            </w:tcBorders>
          </w:tcPr>
          <w:p w14:paraId="11CB9B3E" w14:textId="77777777" w:rsidR="006A0B7F" w:rsidRPr="004111A7" w:rsidRDefault="006A0B7F" w:rsidP="000B5A31">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142" w:type="dxa"/>
            <w:tcBorders>
              <w:top w:val="double" w:sz="4" w:space="0" w:color="auto"/>
              <w:left w:val="single" w:sz="4" w:space="0" w:color="auto"/>
              <w:bottom w:val="single" w:sz="4" w:space="0" w:color="auto"/>
              <w:right w:val="single" w:sz="4" w:space="0" w:color="auto"/>
            </w:tcBorders>
          </w:tcPr>
          <w:p w14:paraId="4B0F529E" w14:textId="5B83955E" w:rsidR="006A0B7F" w:rsidRPr="004111A7" w:rsidRDefault="006A0B7F" w:rsidP="000B5A31">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Pr="004111A7">
              <w:rPr>
                <w:rFonts w:ascii="Arial" w:eastAsia="Arial" w:hAnsi="Arial" w:cs="Arial"/>
                <w:b/>
                <w:sz w:val="16"/>
                <w:szCs w:val="16"/>
                <w:lang w:eastAsia="en-US"/>
              </w:rPr>
              <w:t xml:space="preserve"> </w:t>
            </w:r>
            <w:r w:rsidRPr="004111A7">
              <w:rPr>
                <w:rFonts w:ascii="Arial" w:eastAsia="Arial" w:hAnsi="Arial" w:cs="Arial"/>
                <w:sz w:val="16"/>
                <w:szCs w:val="16"/>
                <w:lang w:eastAsia="en-US"/>
              </w:rPr>
              <w:t>(a)</w:t>
            </w:r>
          </w:p>
        </w:tc>
        <w:tc>
          <w:tcPr>
            <w:tcW w:w="4120" w:type="dxa"/>
            <w:tcBorders>
              <w:top w:val="double" w:sz="4" w:space="0" w:color="auto"/>
              <w:left w:val="single" w:sz="4" w:space="0" w:color="auto"/>
              <w:bottom w:val="single" w:sz="4" w:space="0" w:color="auto"/>
            </w:tcBorders>
          </w:tcPr>
          <w:p w14:paraId="25E160F9" w14:textId="77777777" w:rsidR="006A0B7F" w:rsidRPr="004111A7" w:rsidRDefault="006A0B7F" w:rsidP="000B5A31">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6A0B7F" w:rsidRPr="004111A7" w14:paraId="4E525D56" w14:textId="77777777" w:rsidTr="00D75CC7">
        <w:trPr>
          <w:trHeight w:val="60"/>
        </w:trPr>
        <w:tc>
          <w:tcPr>
            <w:tcW w:w="1423" w:type="dxa"/>
            <w:tcBorders>
              <w:top w:val="single" w:sz="4" w:space="0" w:color="auto"/>
              <w:bottom w:val="dotted" w:sz="4" w:space="0" w:color="auto"/>
              <w:right w:val="single" w:sz="4" w:space="0" w:color="auto"/>
            </w:tcBorders>
          </w:tcPr>
          <w:p w14:paraId="2FFD3BCF" w14:textId="77777777" w:rsidR="006A0B7F" w:rsidRPr="004111A7" w:rsidRDefault="006A0B7F" w:rsidP="000B5A31">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2020-21</w:t>
            </w:r>
          </w:p>
        </w:tc>
        <w:tc>
          <w:tcPr>
            <w:tcW w:w="2142" w:type="dxa"/>
            <w:tcBorders>
              <w:top w:val="single" w:sz="4" w:space="0" w:color="auto"/>
              <w:left w:val="single" w:sz="4" w:space="0" w:color="auto"/>
              <w:bottom w:val="dotted" w:sz="4" w:space="0" w:color="auto"/>
              <w:right w:val="single" w:sz="4" w:space="0" w:color="auto"/>
            </w:tcBorders>
          </w:tcPr>
          <w:p w14:paraId="20EC4460" w14:textId="77777777" w:rsidR="006A0B7F" w:rsidRPr="004111A7" w:rsidRDefault="006A0B7F" w:rsidP="000B5A31">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Investment mandates for each Australian Government Investment Fund </w:t>
            </w:r>
          </w:p>
          <w:p w14:paraId="46F349D5" w14:textId="77777777" w:rsidR="006A0B7F" w:rsidRPr="004111A7" w:rsidRDefault="006A0B7F" w:rsidP="000B5A31">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Investment mandates are set for each Australian Government Investment Fund which assist in achieving the financial and risk objectives and are consistent with the policy, regulatory and legislative framework.</w:t>
            </w:r>
          </w:p>
          <w:p w14:paraId="2307D7FD" w14:textId="4A01ED24" w:rsidR="006706BC" w:rsidRPr="004111A7" w:rsidRDefault="006706BC" w:rsidP="006706BC">
            <w:pPr>
              <w:tabs>
                <w:tab w:val="left" w:pos="709"/>
              </w:tabs>
              <w:suppressAutoHyphens/>
              <w:spacing w:before="40" w:after="20" w:line="240" w:lineRule="auto"/>
              <w:jc w:val="left"/>
              <w:rPr>
                <w:rFonts w:ascii="Arial" w:eastAsia="Arial" w:hAnsi="Arial" w:cs="Arial"/>
                <w:sz w:val="16"/>
                <w:szCs w:val="16"/>
                <w:lang w:eastAsia="en-US"/>
              </w:rPr>
            </w:pPr>
          </w:p>
        </w:tc>
        <w:tc>
          <w:tcPr>
            <w:tcW w:w="4120" w:type="dxa"/>
            <w:tcBorders>
              <w:top w:val="single" w:sz="4" w:space="0" w:color="auto"/>
              <w:left w:val="single" w:sz="4" w:space="0" w:color="auto"/>
              <w:bottom w:val="dotted" w:sz="4" w:space="0" w:color="auto"/>
            </w:tcBorders>
          </w:tcPr>
          <w:p w14:paraId="7EF5D8D4" w14:textId="77777777" w:rsidR="006A0B7F" w:rsidRPr="004111A7" w:rsidRDefault="006A0B7F" w:rsidP="000B5A31">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On Track</w:t>
            </w:r>
          </w:p>
          <w:p w14:paraId="388C27A4" w14:textId="41318465" w:rsidR="006A0B7F" w:rsidRPr="004111A7" w:rsidRDefault="006A0B7F" w:rsidP="000B5A31">
            <w:pPr>
              <w:tabs>
                <w:tab w:val="left" w:pos="709"/>
              </w:tabs>
              <w:suppressAutoHyphens/>
              <w:spacing w:before="60" w:after="60" w:line="240" w:lineRule="auto"/>
              <w:jc w:val="left"/>
              <w:rPr>
                <w:rFonts w:ascii="Arial" w:eastAsia="Arial" w:hAnsi="Arial" w:cs="Arial"/>
                <w:bCs/>
                <w:sz w:val="16"/>
                <w:szCs w:val="16"/>
                <w:lang w:eastAsia="en-US"/>
              </w:rPr>
            </w:pPr>
            <w:r w:rsidRPr="004111A7">
              <w:rPr>
                <w:rFonts w:ascii="Arial" w:eastAsia="Arial" w:hAnsi="Arial" w:cs="Arial"/>
                <w:bCs/>
                <w:sz w:val="16"/>
                <w:szCs w:val="16"/>
                <w:lang w:eastAsia="en-US"/>
              </w:rPr>
              <w:t>The Future Fund</w:t>
            </w:r>
            <w:r w:rsidR="00146E8B" w:rsidRPr="004111A7">
              <w:rPr>
                <w:rFonts w:ascii="Arial" w:eastAsia="Arial" w:hAnsi="Arial" w:cs="Arial"/>
                <w:bCs/>
                <w:sz w:val="16"/>
                <w:szCs w:val="16"/>
                <w:lang w:eastAsia="en-US"/>
              </w:rPr>
              <w:t xml:space="preserve"> Board of Guardians</w:t>
            </w:r>
            <w:r w:rsidRPr="004111A7">
              <w:rPr>
                <w:rFonts w:ascii="Arial" w:eastAsia="Arial" w:hAnsi="Arial" w:cs="Arial"/>
                <w:bCs/>
                <w:sz w:val="16"/>
                <w:szCs w:val="16"/>
                <w:lang w:eastAsia="en-US"/>
              </w:rPr>
              <w:t xml:space="preserve"> advises that the Future Fund, the Medical Research Future Fund, the Aboriginal and Torres Strait Islander Land and Sea Future Fund, the Future Drought Fund, the Emergency R</w:t>
            </w:r>
            <w:r w:rsidR="00146E8B" w:rsidRPr="004111A7">
              <w:rPr>
                <w:rFonts w:ascii="Arial" w:eastAsia="Arial" w:hAnsi="Arial" w:cs="Arial"/>
                <w:bCs/>
                <w:sz w:val="16"/>
                <w:szCs w:val="16"/>
                <w:lang w:eastAsia="en-US"/>
              </w:rPr>
              <w:t>esponse Fund and the Disability</w:t>
            </w:r>
            <w:r w:rsidRPr="004111A7">
              <w:rPr>
                <w:rFonts w:ascii="Arial" w:eastAsia="Arial" w:hAnsi="Arial" w:cs="Arial"/>
                <w:bCs/>
                <w:sz w:val="16"/>
                <w:szCs w:val="16"/>
                <w:lang w:eastAsia="en-US"/>
              </w:rPr>
              <w:t xml:space="preserve">Care Australia Fund all met their target returns. </w:t>
            </w:r>
          </w:p>
          <w:p w14:paraId="73D98455" w14:textId="77777777" w:rsidR="006A0B7F" w:rsidRPr="004111A7" w:rsidRDefault="006A0B7F" w:rsidP="000B5A31">
            <w:pPr>
              <w:tabs>
                <w:tab w:val="left" w:pos="709"/>
              </w:tabs>
              <w:suppressAutoHyphens/>
              <w:spacing w:before="60" w:after="60" w:line="240" w:lineRule="auto"/>
              <w:jc w:val="left"/>
              <w:rPr>
                <w:rFonts w:ascii="Arial" w:eastAsia="Arial" w:hAnsi="Arial" w:cs="Arial"/>
                <w:bCs/>
                <w:sz w:val="16"/>
                <w:szCs w:val="16"/>
                <w:lang w:eastAsia="en-US"/>
              </w:rPr>
            </w:pPr>
            <w:r w:rsidRPr="004111A7">
              <w:rPr>
                <w:rFonts w:ascii="Arial" w:eastAsia="Arial" w:hAnsi="Arial" w:cs="Arial"/>
                <w:bCs/>
                <w:sz w:val="16"/>
                <w:szCs w:val="16"/>
                <w:lang w:eastAsia="en-US"/>
              </w:rPr>
              <w:t xml:space="preserve">No changes to investment mandates have been made. </w:t>
            </w:r>
          </w:p>
          <w:p w14:paraId="7AB6B533" w14:textId="77777777" w:rsidR="006A0B7F" w:rsidRPr="004111A7" w:rsidRDefault="006A0B7F" w:rsidP="000B5A31">
            <w:pPr>
              <w:tabs>
                <w:tab w:val="left" w:pos="709"/>
              </w:tabs>
              <w:suppressAutoHyphens/>
              <w:spacing w:before="60" w:after="60" w:line="240" w:lineRule="auto"/>
              <w:jc w:val="left"/>
              <w:rPr>
                <w:rFonts w:ascii="Arial" w:eastAsia="Arial" w:hAnsi="Arial" w:cs="Arial"/>
                <w:sz w:val="16"/>
                <w:szCs w:val="16"/>
                <w:lang w:eastAsia="en-US"/>
              </w:rPr>
            </w:pPr>
          </w:p>
        </w:tc>
      </w:tr>
      <w:tr w:rsidR="006A0B7F" w:rsidRPr="004111A7" w14:paraId="5C59E8D8" w14:textId="77777777" w:rsidTr="00D75CC7">
        <w:trPr>
          <w:trHeight w:val="60"/>
        </w:trPr>
        <w:tc>
          <w:tcPr>
            <w:tcW w:w="1423" w:type="dxa"/>
            <w:tcBorders>
              <w:top w:val="dotted" w:sz="4" w:space="0" w:color="auto"/>
              <w:bottom w:val="dotted" w:sz="4" w:space="0" w:color="auto"/>
              <w:right w:val="single" w:sz="4" w:space="0" w:color="auto"/>
            </w:tcBorders>
          </w:tcPr>
          <w:p w14:paraId="48D3972A" w14:textId="77777777" w:rsidR="006A0B7F" w:rsidRPr="004111A7" w:rsidRDefault="006A0B7F" w:rsidP="000B5A31">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2021-22</w:t>
            </w:r>
          </w:p>
        </w:tc>
        <w:tc>
          <w:tcPr>
            <w:tcW w:w="2142" w:type="dxa"/>
            <w:tcBorders>
              <w:top w:val="dotted" w:sz="4" w:space="0" w:color="auto"/>
              <w:left w:val="single" w:sz="4" w:space="0" w:color="auto"/>
              <w:bottom w:val="dotted" w:sz="4" w:space="0" w:color="auto"/>
              <w:right w:val="single" w:sz="4" w:space="0" w:color="auto"/>
            </w:tcBorders>
          </w:tcPr>
          <w:p w14:paraId="785B07D0" w14:textId="77777777" w:rsidR="006A0B7F" w:rsidRPr="004111A7" w:rsidRDefault="006A0B7F" w:rsidP="000B5A31">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Investment mandates for each Australian Government Investment Fund </w:t>
            </w:r>
          </w:p>
          <w:p w14:paraId="4AEC02C5" w14:textId="77777777" w:rsidR="006A0B7F" w:rsidRPr="004111A7" w:rsidRDefault="006A0B7F" w:rsidP="000B5A31">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Investment mandates are set for each Australian Government Investment Fund which assist in achieving the financial and risk objectives and are consistent with the policy, regulatory and legislative framework.</w:t>
            </w:r>
          </w:p>
          <w:p w14:paraId="5747A36F" w14:textId="08FF7303" w:rsidR="006706BC" w:rsidRPr="004111A7" w:rsidRDefault="006706BC" w:rsidP="006706BC">
            <w:pPr>
              <w:tabs>
                <w:tab w:val="left" w:pos="709"/>
              </w:tabs>
              <w:suppressAutoHyphens/>
              <w:spacing w:before="40" w:after="20" w:line="240" w:lineRule="auto"/>
              <w:jc w:val="left"/>
              <w:rPr>
                <w:rFonts w:ascii="Arial" w:eastAsia="Arial" w:hAnsi="Arial" w:cs="Arial"/>
                <w:sz w:val="16"/>
                <w:szCs w:val="16"/>
                <w:lang w:eastAsia="en-US"/>
              </w:rPr>
            </w:pPr>
          </w:p>
        </w:tc>
        <w:tc>
          <w:tcPr>
            <w:tcW w:w="4120" w:type="dxa"/>
            <w:tcBorders>
              <w:top w:val="dotted" w:sz="4" w:space="0" w:color="auto"/>
              <w:left w:val="single" w:sz="4" w:space="0" w:color="auto"/>
              <w:bottom w:val="dotted" w:sz="4" w:space="0" w:color="auto"/>
            </w:tcBorders>
          </w:tcPr>
          <w:p w14:paraId="7255B050" w14:textId="77777777" w:rsidR="006A0B7F" w:rsidRPr="004111A7" w:rsidRDefault="006A0B7F" w:rsidP="000B5A31">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Investment mandates for the managed funds issued by the Australian Government are set and appropriately monitored.</w:t>
            </w:r>
          </w:p>
        </w:tc>
      </w:tr>
      <w:tr w:rsidR="006A0B7F" w:rsidRPr="004111A7" w14:paraId="57A3CAD4" w14:textId="77777777" w:rsidTr="00D75CC7">
        <w:tc>
          <w:tcPr>
            <w:tcW w:w="1423" w:type="dxa"/>
            <w:tcBorders>
              <w:top w:val="dotted" w:sz="4" w:space="0" w:color="auto"/>
              <w:bottom w:val="dotted" w:sz="4" w:space="0" w:color="auto"/>
              <w:right w:val="single" w:sz="4" w:space="0" w:color="auto"/>
            </w:tcBorders>
          </w:tcPr>
          <w:p w14:paraId="00468302" w14:textId="77777777" w:rsidR="006A0B7F" w:rsidRPr="004111A7" w:rsidRDefault="006A0B7F" w:rsidP="000B5A31">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2022-23 and beyond</w:t>
            </w:r>
          </w:p>
        </w:tc>
        <w:tc>
          <w:tcPr>
            <w:tcW w:w="2142" w:type="dxa"/>
            <w:tcBorders>
              <w:top w:val="dotted" w:sz="4" w:space="0" w:color="auto"/>
              <w:left w:val="single" w:sz="4" w:space="0" w:color="auto"/>
              <w:bottom w:val="dotted" w:sz="4" w:space="0" w:color="auto"/>
              <w:right w:val="single" w:sz="4" w:space="0" w:color="auto"/>
            </w:tcBorders>
          </w:tcPr>
          <w:p w14:paraId="2C1CA3B8" w14:textId="4D33CE7E" w:rsidR="006A0B7F" w:rsidRPr="004111A7" w:rsidRDefault="006A0B7F" w:rsidP="000B5A31">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As per 2021-22</w:t>
            </w:r>
            <w:r w:rsidR="00936B6F" w:rsidRPr="004111A7">
              <w:rPr>
                <w:rFonts w:ascii="Arial" w:eastAsia="Arial" w:hAnsi="Arial" w:cs="Arial"/>
                <w:sz w:val="16"/>
                <w:szCs w:val="16"/>
                <w:lang w:eastAsia="en-US"/>
              </w:rPr>
              <w:t>.</w:t>
            </w:r>
          </w:p>
        </w:tc>
        <w:tc>
          <w:tcPr>
            <w:tcW w:w="4120" w:type="dxa"/>
            <w:tcBorders>
              <w:top w:val="dotted" w:sz="4" w:space="0" w:color="auto"/>
              <w:left w:val="single" w:sz="4" w:space="0" w:color="auto"/>
              <w:bottom w:val="dotted" w:sz="4" w:space="0" w:color="auto"/>
            </w:tcBorders>
          </w:tcPr>
          <w:p w14:paraId="61C181F7" w14:textId="2535CC7A" w:rsidR="006A0B7F" w:rsidRPr="004111A7" w:rsidRDefault="006A0B7F" w:rsidP="000B5A31">
            <w:pPr>
              <w:tabs>
                <w:tab w:val="left" w:pos="709"/>
              </w:tabs>
              <w:suppressAutoHyphens/>
              <w:spacing w:before="60" w:after="60" w:line="240" w:lineRule="auto"/>
              <w:jc w:val="left"/>
              <w:rPr>
                <w:rFonts w:ascii="Arial" w:eastAsia="Arial" w:hAnsi="Arial" w:cs="Arial"/>
                <w:color w:val="FF0000"/>
                <w:sz w:val="16"/>
                <w:szCs w:val="16"/>
                <w:lang w:eastAsia="en-US"/>
              </w:rPr>
            </w:pPr>
            <w:r w:rsidRPr="004111A7">
              <w:rPr>
                <w:rFonts w:ascii="Arial" w:eastAsia="Arial" w:hAnsi="Arial" w:cs="Arial"/>
                <w:sz w:val="16"/>
                <w:szCs w:val="16"/>
                <w:lang w:eastAsia="en-US"/>
              </w:rPr>
              <w:t>As per 2021-22</w:t>
            </w:r>
            <w:r w:rsidR="00936B6F" w:rsidRPr="004111A7">
              <w:rPr>
                <w:rFonts w:ascii="Arial" w:eastAsia="Arial" w:hAnsi="Arial" w:cs="Arial"/>
                <w:sz w:val="16"/>
                <w:szCs w:val="16"/>
                <w:lang w:eastAsia="en-US"/>
              </w:rPr>
              <w:t>.</w:t>
            </w:r>
          </w:p>
        </w:tc>
      </w:tr>
      <w:tr w:rsidR="006A0B7F" w:rsidRPr="004111A7" w14:paraId="6027EC73" w14:textId="77777777" w:rsidTr="00D75CC7">
        <w:tc>
          <w:tcPr>
            <w:tcW w:w="1423" w:type="dxa"/>
          </w:tcPr>
          <w:p w14:paraId="41A908A6" w14:textId="77777777" w:rsidR="006A0B7F" w:rsidRPr="004111A7" w:rsidRDefault="006A0B7F" w:rsidP="000B5A31">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Purpose</w:t>
            </w:r>
          </w:p>
        </w:tc>
        <w:tc>
          <w:tcPr>
            <w:tcW w:w="6262" w:type="dxa"/>
            <w:gridSpan w:val="2"/>
          </w:tcPr>
          <w:p w14:paraId="56A88058" w14:textId="77777777" w:rsidR="006706BC" w:rsidRDefault="006A0B7F" w:rsidP="006706BC">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To assist the Australian Government to achieve its fiscal and policy objectives by advising on expenditure, managing sustainable public sector resourcing, driving public sector transformation and delivering efficient, cost-effective services to, and for, government.</w:t>
            </w:r>
          </w:p>
          <w:p w14:paraId="0CBD95C9" w14:textId="60D496C2" w:rsidR="00D15632" w:rsidRPr="004111A7" w:rsidRDefault="00D15632" w:rsidP="006706BC">
            <w:pPr>
              <w:tabs>
                <w:tab w:val="left" w:pos="709"/>
              </w:tabs>
              <w:suppressAutoHyphens/>
              <w:spacing w:before="60" w:after="60" w:line="240" w:lineRule="auto"/>
              <w:jc w:val="left"/>
              <w:rPr>
                <w:rFonts w:ascii="Arial" w:eastAsia="Arial" w:hAnsi="Arial" w:cs="Arial"/>
                <w:sz w:val="16"/>
                <w:szCs w:val="16"/>
                <w:lang w:eastAsia="en-US"/>
              </w:rPr>
            </w:pPr>
          </w:p>
        </w:tc>
      </w:tr>
    </w:tbl>
    <w:p w14:paraId="65B1B8A0" w14:textId="2B764EFB" w:rsidR="00EC4236" w:rsidRPr="007A2DE1" w:rsidRDefault="005A6AC5" w:rsidP="00456B4A">
      <w:pPr>
        <w:numPr>
          <w:ilvl w:val="0"/>
          <w:numId w:val="48"/>
        </w:numPr>
        <w:suppressAutoHyphens/>
        <w:spacing w:before="180" w:after="0" w:line="240" w:lineRule="auto"/>
        <w:ind w:left="400" w:hanging="400"/>
        <w:contextualSpacing/>
        <w:jc w:val="left"/>
        <w:rPr>
          <w:rFonts w:ascii="Arial" w:eastAsia="Arial" w:hAnsi="Arial" w:cs="Arial"/>
          <w:sz w:val="16"/>
          <w:szCs w:val="22"/>
          <w:lang w:eastAsia="en-US"/>
        </w:rPr>
      </w:pPr>
      <w:r>
        <w:rPr>
          <w:rFonts w:ascii="Arial" w:eastAsia="Arial" w:hAnsi="Arial" w:cs="Arial"/>
          <w:sz w:val="16"/>
          <w:szCs w:val="22"/>
          <w:lang w:eastAsia="en-US"/>
        </w:rPr>
        <w:t xml:space="preserve">The complete suite of </w:t>
      </w:r>
      <w:r w:rsidR="00280FEA" w:rsidRPr="007A2DE1">
        <w:rPr>
          <w:rFonts w:ascii="Arial" w:eastAsia="Arial" w:hAnsi="Arial" w:cs="Arial"/>
          <w:sz w:val="16"/>
          <w:szCs w:val="22"/>
          <w:lang w:eastAsia="en-US"/>
        </w:rPr>
        <w:t>performance measures</w:t>
      </w:r>
      <w:r w:rsidR="006A0B7F" w:rsidRPr="007A2DE1">
        <w:rPr>
          <w:rFonts w:ascii="Arial" w:eastAsia="Arial" w:hAnsi="Arial" w:cs="Arial"/>
          <w:sz w:val="16"/>
          <w:szCs w:val="22"/>
          <w:lang w:eastAsia="en-US"/>
        </w:rPr>
        <w:t xml:space="preserve"> are detailed in Finance’s Corporate Plan</w:t>
      </w:r>
      <w:r>
        <w:rPr>
          <w:rFonts w:ascii="Arial" w:eastAsia="Arial" w:hAnsi="Arial" w:cs="Arial"/>
          <w:sz w:val="16"/>
          <w:szCs w:val="22"/>
          <w:lang w:eastAsia="en-US"/>
        </w:rPr>
        <w:t xml:space="preserve"> 2020-21</w:t>
      </w:r>
      <w:r w:rsidR="006A0B7F" w:rsidRPr="007A2DE1">
        <w:rPr>
          <w:rFonts w:ascii="Arial" w:eastAsia="Arial" w:hAnsi="Arial" w:cs="Arial"/>
          <w:sz w:val="16"/>
          <w:szCs w:val="22"/>
          <w:lang w:eastAsia="en-US"/>
        </w:rPr>
        <w:t xml:space="preserve"> and </w:t>
      </w:r>
      <w:r>
        <w:rPr>
          <w:rFonts w:ascii="Arial" w:eastAsia="Arial" w:hAnsi="Arial" w:cs="Arial"/>
          <w:sz w:val="16"/>
          <w:szCs w:val="22"/>
          <w:lang w:eastAsia="en-US"/>
        </w:rPr>
        <w:t>are</w:t>
      </w:r>
      <w:r w:rsidR="006A0B7F" w:rsidRPr="007A2DE1">
        <w:rPr>
          <w:rFonts w:ascii="Arial" w:eastAsia="Arial" w:hAnsi="Arial" w:cs="Arial"/>
          <w:sz w:val="16"/>
          <w:szCs w:val="22"/>
          <w:lang w:eastAsia="en-US"/>
        </w:rPr>
        <w:t xml:space="preserve"> reported in the Annual Performance Statement</w:t>
      </w:r>
      <w:r>
        <w:rPr>
          <w:rFonts w:ascii="Arial" w:eastAsia="Arial" w:hAnsi="Arial" w:cs="Arial"/>
          <w:sz w:val="16"/>
          <w:szCs w:val="22"/>
          <w:lang w:eastAsia="en-US"/>
        </w:rPr>
        <w:t>s</w:t>
      </w:r>
      <w:r w:rsidR="006A0B7F" w:rsidRPr="007A2DE1">
        <w:rPr>
          <w:rFonts w:ascii="Arial" w:eastAsia="Arial" w:hAnsi="Arial" w:cs="Arial"/>
          <w:sz w:val="16"/>
          <w:szCs w:val="22"/>
          <w:lang w:eastAsia="en-US"/>
        </w:rPr>
        <w:t>.</w:t>
      </w:r>
    </w:p>
    <w:p w14:paraId="44ACFCB4" w14:textId="324A4123" w:rsidR="00775793" w:rsidRPr="004111A7" w:rsidRDefault="00775793" w:rsidP="000B5A31">
      <w:pPr>
        <w:suppressAutoHyphens/>
        <w:spacing w:before="180" w:after="0" w:line="240" w:lineRule="auto"/>
        <w:ind w:left="360"/>
        <w:contextualSpacing/>
        <w:jc w:val="left"/>
      </w:pPr>
      <w:r w:rsidRPr="004111A7">
        <w:br w:type="page"/>
      </w:r>
    </w:p>
    <w:p w14:paraId="332EA5A8" w14:textId="61936D87" w:rsidR="006C1CAB" w:rsidRPr="004111A7" w:rsidRDefault="00443FF1" w:rsidP="006C1CAB">
      <w:pPr>
        <w:pStyle w:val="Heading3"/>
      </w:pPr>
      <w:bookmarkStart w:id="59" w:name="_Toc69382430"/>
      <w:bookmarkStart w:id="60" w:name="_Toc69385030"/>
      <w:bookmarkStart w:id="61" w:name="_Toc69385104"/>
      <w:bookmarkStart w:id="62" w:name="_Toc69735831"/>
      <w:bookmarkStart w:id="63" w:name="_Toc70603476"/>
      <w:r w:rsidRPr="004111A7">
        <w:lastRenderedPageBreak/>
        <w:t>2.3</w:t>
      </w:r>
      <w:r w:rsidR="006C1CAB" w:rsidRPr="004111A7">
        <w:t xml:space="preserve"> </w:t>
      </w:r>
      <w:r w:rsidR="006C1CAB" w:rsidRPr="004111A7">
        <w:tab/>
        <w:t>Budgeted expens</w:t>
      </w:r>
      <w:r w:rsidR="00320EB0" w:rsidRPr="004111A7">
        <w:t>es and performance for Outcome 3</w:t>
      </w:r>
      <w:bookmarkEnd w:id="59"/>
      <w:bookmarkEnd w:id="60"/>
      <w:bookmarkEnd w:id="61"/>
      <w:bookmarkEnd w:id="62"/>
      <w:bookmarkEnd w:id="63"/>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1"/>
      </w:tblGrid>
      <w:tr w:rsidR="006C1CAB" w:rsidRPr="004111A7" w14:paraId="0A072C0E" w14:textId="77777777" w:rsidTr="00320EB0">
        <w:tc>
          <w:tcPr>
            <w:tcW w:w="7704" w:type="dxa"/>
            <w:shd w:val="clear" w:color="auto" w:fill="E6E6E6"/>
          </w:tcPr>
          <w:p w14:paraId="3C364BD0" w14:textId="60C2606A" w:rsidR="006C1CAB" w:rsidRPr="004111A7" w:rsidRDefault="00320EB0" w:rsidP="00320EB0">
            <w:pPr>
              <w:pStyle w:val="TableColumnHeadingLeft"/>
            </w:pPr>
            <w:r w:rsidRPr="004111A7">
              <w:rPr>
                <w:rFonts w:cs="Arial"/>
              </w:rPr>
              <w:t>Outcome 3: Support for parliamentarians and others as required by the Australian Government through the delivery of</w:t>
            </w:r>
            <w:r w:rsidR="00FA135D">
              <w:rPr>
                <w:rFonts w:cs="Arial"/>
              </w:rPr>
              <w:t>,</w:t>
            </w:r>
            <w:r w:rsidRPr="004111A7">
              <w:rPr>
                <w:rFonts w:cs="Arial"/>
              </w:rPr>
              <w:t xml:space="preserve"> and advice on, work expenses and allowances, entitlements and targeted programs.</w:t>
            </w:r>
          </w:p>
        </w:tc>
      </w:tr>
    </w:tbl>
    <w:p w14:paraId="5031BF1F" w14:textId="77777777" w:rsidR="006C1CAB" w:rsidRPr="004111A7" w:rsidRDefault="006C1CAB" w:rsidP="006C1CAB">
      <w:pPr>
        <w:pStyle w:val="NoSpacing"/>
      </w:pPr>
    </w:p>
    <w:p w14:paraId="382CEE7E" w14:textId="7440E7AE" w:rsidR="006C1CAB" w:rsidRPr="004111A7" w:rsidRDefault="006C1CAB" w:rsidP="006C1CAB">
      <w:pPr>
        <w:pStyle w:val="Heading5"/>
      </w:pPr>
      <w:r w:rsidRPr="004111A7">
        <w:t xml:space="preserve">Budgeted expenses for Outcome </w:t>
      </w:r>
      <w:r w:rsidR="00320EB0" w:rsidRPr="004111A7">
        <w:t>3</w:t>
      </w:r>
    </w:p>
    <w:p w14:paraId="2EC628C6" w14:textId="77777777" w:rsidR="006C1CAB" w:rsidRPr="004111A7" w:rsidRDefault="006C1CAB" w:rsidP="006C1CAB">
      <w:r w:rsidRPr="004111A7">
        <w:t>This table shows how much the entity intends to spend (on an accrual basis) on achieving the outcome, broken down by program, as well as by Administered and Departmental funding sources.</w:t>
      </w:r>
    </w:p>
    <w:p w14:paraId="22C09B0C" w14:textId="685C08D3" w:rsidR="006C1CAB" w:rsidRPr="004111A7" w:rsidRDefault="00C8047A" w:rsidP="00C8047A">
      <w:pPr>
        <w:pStyle w:val="TableHeading"/>
      </w:pPr>
      <w:r w:rsidRPr="004111A7">
        <w:t>Table 2.3</w:t>
      </w:r>
      <w:r w:rsidR="006C1CAB" w:rsidRPr="004111A7">
        <w:t>.1:</w:t>
      </w:r>
      <w:r w:rsidR="00320EB0" w:rsidRPr="004111A7">
        <w:t xml:space="preserve"> Budgeted expenses for Outcome 3</w:t>
      </w:r>
    </w:p>
    <w:p w14:paraId="5208E3BE" w14:textId="38666F33" w:rsidR="006C1CAB" w:rsidRPr="004111A7" w:rsidRDefault="00440BB3" w:rsidP="006C1CAB">
      <w:pPr>
        <w:pStyle w:val="TableGraphic"/>
      </w:pPr>
      <w:r w:rsidRPr="00440BB3">
        <w:rPr>
          <w:noProof/>
        </w:rPr>
        <w:drawing>
          <wp:inline distT="0" distB="0" distL="0" distR="0" wp14:anchorId="2BB39E32" wp14:editId="0C231196">
            <wp:extent cx="4835525" cy="5003800"/>
            <wp:effectExtent l="0" t="0" r="3175" b="635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35525" cy="5003800"/>
                    </a:xfrm>
                    <a:prstGeom prst="rect">
                      <a:avLst/>
                    </a:prstGeom>
                    <a:noFill/>
                    <a:ln>
                      <a:noFill/>
                    </a:ln>
                  </pic:spPr>
                </pic:pic>
              </a:graphicData>
            </a:graphic>
          </wp:inline>
        </w:drawing>
      </w:r>
    </w:p>
    <w:p w14:paraId="69EB2115" w14:textId="77777777" w:rsidR="00EE1FE9" w:rsidRPr="004111A7" w:rsidRDefault="00EE1FE9" w:rsidP="00EE1FE9">
      <w:pPr>
        <w:pStyle w:val="ChartandTableFootnoteAlpha"/>
        <w:numPr>
          <w:ilvl w:val="0"/>
          <w:numId w:val="0"/>
        </w:numPr>
        <w:ind w:left="284" w:hanging="284"/>
      </w:pPr>
      <w:r w:rsidRPr="004111A7">
        <w:t>Table continues on next page</w:t>
      </w:r>
    </w:p>
    <w:p w14:paraId="714CD0B0" w14:textId="07EE5C08" w:rsidR="006C1CAB" w:rsidRPr="004111A7" w:rsidRDefault="006C1CAB" w:rsidP="006C1CAB">
      <w:pPr>
        <w:pStyle w:val="TableHeading"/>
        <w:rPr>
          <w:lang w:val="en-AU"/>
        </w:rPr>
      </w:pPr>
      <w:r w:rsidRPr="004111A7">
        <w:br w:type="page"/>
      </w:r>
      <w:r w:rsidR="00C8047A" w:rsidRPr="004111A7">
        <w:lastRenderedPageBreak/>
        <w:t>Table 2.3</w:t>
      </w:r>
      <w:r w:rsidRPr="004111A7">
        <w:t xml:space="preserve">.1: Budgeted expenses for Outcome </w:t>
      </w:r>
      <w:r w:rsidR="00C8047A" w:rsidRPr="004111A7">
        <w:rPr>
          <w:lang w:val="en-AU"/>
        </w:rPr>
        <w:t>3</w:t>
      </w:r>
      <w:r w:rsidRPr="004111A7">
        <w:rPr>
          <w:lang w:val="en-AU"/>
        </w:rPr>
        <w:t xml:space="preserve"> (continued)</w:t>
      </w:r>
    </w:p>
    <w:p w14:paraId="2AEEDAC9" w14:textId="70157B68" w:rsidR="006C1CAB" w:rsidRPr="004111A7" w:rsidRDefault="00440BB3" w:rsidP="006C1CAB">
      <w:pPr>
        <w:pStyle w:val="TableGraphic"/>
      </w:pPr>
      <w:r w:rsidRPr="00440BB3">
        <w:rPr>
          <w:noProof/>
        </w:rPr>
        <w:drawing>
          <wp:inline distT="0" distB="0" distL="0" distR="0" wp14:anchorId="166DEE3B" wp14:editId="0D256EBA">
            <wp:extent cx="4835525" cy="3416300"/>
            <wp:effectExtent l="0" t="0" r="3175"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35525" cy="3416300"/>
                    </a:xfrm>
                    <a:prstGeom prst="rect">
                      <a:avLst/>
                    </a:prstGeom>
                    <a:noFill/>
                    <a:ln>
                      <a:noFill/>
                    </a:ln>
                  </pic:spPr>
                </pic:pic>
              </a:graphicData>
            </a:graphic>
          </wp:inline>
        </w:drawing>
      </w:r>
    </w:p>
    <w:p w14:paraId="38E0687A" w14:textId="77777777" w:rsidR="00C8047A" w:rsidRPr="004111A7" w:rsidRDefault="00C8047A" w:rsidP="00DF4D2A">
      <w:pPr>
        <w:pStyle w:val="ListParagraph"/>
        <w:numPr>
          <w:ilvl w:val="0"/>
          <w:numId w:val="20"/>
        </w:numPr>
        <w:spacing w:after="0" w:line="240" w:lineRule="auto"/>
        <w:ind w:left="284" w:hanging="284"/>
        <w:jc w:val="both"/>
        <w:rPr>
          <w:rFonts w:ascii="Arial" w:hAnsi="Arial" w:cs="Arial"/>
          <w:sz w:val="16"/>
          <w:szCs w:val="16"/>
        </w:rPr>
      </w:pPr>
      <w:r w:rsidRPr="004111A7">
        <w:rPr>
          <w:rFonts w:ascii="Arial" w:hAnsi="Arial" w:cs="Arial"/>
          <w:sz w:val="16"/>
          <w:szCs w:val="16"/>
        </w:rPr>
        <w:t xml:space="preserve">Estimates for this item are subject to the </w:t>
      </w:r>
      <w:r w:rsidRPr="004111A7">
        <w:rPr>
          <w:rFonts w:ascii="Arial" w:hAnsi="Arial" w:cs="Arial"/>
          <w:i/>
          <w:sz w:val="16"/>
          <w:szCs w:val="16"/>
        </w:rPr>
        <w:t>Ministers of State Regulation 2012</w:t>
      </w:r>
      <w:r w:rsidRPr="004111A7">
        <w:rPr>
          <w:rFonts w:ascii="Arial" w:hAnsi="Arial" w:cs="Arial"/>
          <w:sz w:val="16"/>
          <w:szCs w:val="16"/>
        </w:rPr>
        <w:t>.</w:t>
      </w:r>
    </w:p>
    <w:p w14:paraId="1414DC73" w14:textId="4E3ADDFE" w:rsidR="00C8047A" w:rsidRPr="004111A7" w:rsidRDefault="00C8047A" w:rsidP="00DF4D2A">
      <w:pPr>
        <w:pStyle w:val="ListParagraph"/>
        <w:numPr>
          <w:ilvl w:val="0"/>
          <w:numId w:val="20"/>
        </w:numPr>
        <w:spacing w:after="0" w:line="240" w:lineRule="auto"/>
        <w:ind w:left="284" w:hanging="284"/>
        <w:jc w:val="both"/>
        <w:rPr>
          <w:rFonts w:ascii="Arial" w:hAnsi="Arial" w:cs="Arial"/>
          <w:sz w:val="16"/>
          <w:szCs w:val="16"/>
        </w:rPr>
      </w:pPr>
      <w:r w:rsidRPr="004111A7">
        <w:rPr>
          <w:rFonts w:ascii="Arial" w:hAnsi="Arial" w:cs="Arial"/>
          <w:sz w:val="16"/>
          <w:szCs w:val="16"/>
        </w:rPr>
        <w:t xml:space="preserve">‘Expenses </w:t>
      </w:r>
      <w:r w:rsidRPr="004111A7">
        <w:rPr>
          <w:rFonts w:ascii="Arial" w:eastAsia="Times New Roman" w:hAnsi="Arial" w:cs="Arial"/>
          <w:sz w:val="16"/>
          <w:szCs w:val="16"/>
          <w:lang w:val="en-AU" w:eastAsia="en-AU"/>
        </w:rPr>
        <w:t>not</w:t>
      </w:r>
      <w:r w:rsidRPr="004111A7">
        <w:rPr>
          <w:rFonts w:ascii="Arial" w:hAnsi="Arial" w:cs="Arial"/>
          <w:sz w:val="16"/>
          <w:szCs w:val="16"/>
        </w:rPr>
        <w:t xml:space="preserve"> </w:t>
      </w:r>
      <w:r w:rsidR="00D15632">
        <w:rPr>
          <w:rFonts w:ascii="Arial" w:hAnsi="Arial" w:cs="Arial"/>
          <w:sz w:val="16"/>
          <w:szCs w:val="16"/>
        </w:rPr>
        <w:t>requiring appropriation in the B</w:t>
      </w:r>
      <w:r w:rsidRPr="004111A7">
        <w:rPr>
          <w:rFonts w:ascii="Arial" w:hAnsi="Arial" w:cs="Arial"/>
          <w:sz w:val="16"/>
          <w:szCs w:val="16"/>
        </w:rPr>
        <w:t>udget year’ is made up of depreciation expenses, amortisation expenses and resources received free of charge.</w:t>
      </w:r>
    </w:p>
    <w:p w14:paraId="7F59F03B" w14:textId="74C0B258" w:rsidR="00C8047A" w:rsidRPr="004111A7" w:rsidRDefault="00C8047A" w:rsidP="00DF4D2A">
      <w:pPr>
        <w:pStyle w:val="ListParagraph"/>
        <w:numPr>
          <w:ilvl w:val="0"/>
          <w:numId w:val="20"/>
        </w:numPr>
        <w:spacing w:after="0" w:line="240" w:lineRule="auto"/>
        <w:ind w:left="284" w:hanging="284"/>
        <w:jc w:val="both"/>
        <w:rPr>
          <w:rFonts w:ascii="Book Antiqua" w:hAnsi="Book Antiqua"/>
          <w:sz w:val="16"/>
          <w:szCs w:val="16"/>
        </w:rPr>
      </w:pPr>
      <w:r w:rsidRPr="004111A7">
        <w:rPr>
          <w:rFonts w:ascii="Arial" w:eastAsia="Times New Roman" w:hAnsi="Arial" w:cs="Arial"/>
          <w:sz w:val="16"/>
          <w:szCs w:val="16"/>
          <w:lang w:val="en-AU" w:eastAsia="en-AU"/>
        </w:rPr>
        <w:t>Departmental</w:t>
      </w:r>
      <w:r w:rsidRPr="004111A7">
        <w:rPr>
          <w:rFonts w:ascii="Arial" w:hAnsi="Arial" w:cs="Arial"/>
          <w:sz w:val="16"/>
          <w:szCs w:val="16"/>
        </w:rPr>
        <w:t xml:space="preserve"> appropriation combines ordinary annual services (Appropriation Bill No. 1) and </w:t>
      </w:r>
      <w:r w:rsidRPr="004111A7">
        <w:rPr>
          <w:rFonts w:ascii="Arial" w:hAnsi="Arial" w:cs="Arial"/>
          <w:sz w:val="16"/>
          <w:szCs w:val="16"/>
        </w:rPr>
        <w:br/>
        <w:t>estimated receipts retained under s</w:t>
      </w:r>
      <w:r w:rsidR="00BD7329">
        <w:rPr>
          <w:rFonts w:ascii="Arial" w:hAnsi="Arial" w:cs="Arial"/>
          <w:sz w:val="16"/>
          <w:szCs w:val="16"/>
        </w:rPr>
        <w:t xml:space="preserve">ection </w:t>
      </w:r>
      <w:r w:rsidRPr="004111A7">
        <w:rPr>
          <w:rFonts w:ascii="Arial" w:hAnsi="Arial" w:cs="Arial"/>
          <w:sz w:val="16"/>
          <w:szCs w:val="16"/>
        </w:rPr>
        <w:t xml:space="preserve">74 of the PGPA Act. </w:t>
      </w:r>
    </w:p>
    <w:p w14:paraId="3861FA13" w14:textId="77777777" w:rsidR="00C8047A" w:rsidRPr="004111A7" w:rsidRDefault="00C8047A" w:rsidP="00C8047A">
      <w:pPr>
        <w:pStyle w:val="ListParagraph"/>
        <w:spacing w:after="0" w:line="240" w:lineRule="auto"/>
        <w:ind w:left="284"/>
        <w:jc w:val="both"/>
        <w:rPr>
          <w:rFonts w:ascii="Book Antiqua" w:hAnsi="Book Antiqua"/>
          <w:sz w:val="16"/>
          <w:szCs w:val="16"/>
        </w:rPr>
      </w:pPr>
    </w:p>
    <w:p w14:paraId="21C38172" w14:textId="77777777" w:rsidR="00C8047A" w:rsidRPr="004111A7" w:rsidRDefault="00C8047A" w:rsidP="00C8047A">
      <w:pPr>
        <w:spacing w:after="0" w:line="240" w:lineRule="auto"/>
        <w:rPr>
          <w:rFonts w:ascii="Arial" w:eastAsia="Calibri" w:hAnsi="Arial" w:cs="Arial"/>
          <w:sz w:val="16"/>
          <w:szCs w:val="16"/>
          <w:lang w:val="en-US" w:eastAsia="en-US"/>
        </w:rPr>
      </w:pPr>
      <w:r w:rsidRPr="004111A7">
        <w:rPr>
          <w:rFonts w:ascii="Arial" w:eastAsia="Calibri" w:hAnsi="Arial" w:cs="Arial"/>
          <w:sz w:val="16"/>
          <w:szCs w:val="16"/>
          <w:lang w:val="en-US" w:eastAsia="en-US"/>
        </w:rPr>
        <w:t>Note: Departmental appropriation splits and totals are indicative estimates and may change in the course of the Budget year as government priorities change.</w:t>
      </w:r>
    </w:p>
    <w:p w14:paraId="2F10E070" w14:textId="77777777" w:rsidR="00C8047A" w:rsidRPr="004111A7" w:rsidRDefault="00C8047A" w:rsidP="00C8047A"/>
    <w:p w14:paraId="3AF3B487" w14:textId="12F8E04E" w:rsidR="006C1CAB" w:rsidRPr="004111A7" w:rsidRDefault="006C1CAB" w:rsidP="00C8047A">
      <w:pPr>
        <w:pStyle w:val="TableHeadingcontinued"/>
      </w:pPr>
      <w:r w:rsidRPr="004111A7">
        <w:br w:type="page"/>
      </w:r>
      <w:r w:rsidR="00C8047A" w:rsidRPr="004111A7">
        <w:lastRenderedPageBreak/>
        <w:t>Table 2.3</w:t>
      </w:r>
      <w:r w:rsidRPr="004111A7">
        <w:t>.</w:t>
      </w:r>
      <w:r w:rsidR="00C8047A" w:rsidRPr="004111A7">
        <w:t>2</w:t>
      </w:r>
      <w:r w:rsidRPr="004111A7">
        <w:t xml:space="preserve">: </w:t>
      </w:r>
      <w:r w:rsidR="00280FEA" w:rsidRPr="004111A7">
        <w:t>Performance measures</w:t>
      </w:r>
      <w:r w:rsidR="00C8047A" w:rsidRPr="004111A7">
        <w:t xml:space="preserve"> for Outcome 3</w:t>
      </w:r>
    </w:p>
    <w:p w14:paraId="32617D27" w14:textId="1B3D5563" w:rsidR="006C1CAB" w:rsidRPr="004111A7" w:rsidRDefault="006C1CAB" w:rsidP="006C1CAB">
      <w:r w:rsidRPr="004111A7">
        <w:t>Table 2.</w:t>
      </w:r>
      <w:r w:rsidR="00A546BE" w:rsidRPr="004111A7">
        <w:t>3</w:t>
      </w:r>
      <w:r w:rsidRPr="004111A7">
        <w:t>.</w:t>
      </w:r>
      <w:r w:rsidR="00A546BE" w:rsidRPr="004111A7">
        <w:t>2</w:t>
      </w:r>
      <w:r w:rsidRPr="004111A7">
        <w:t xml:space="preserve"> below details the </w:t>
      </w:r>
      <w:r w:rsidR="00280FEA" w:rsidRPr="004111A7">
        <w:t>performance measures</w:t>
      </w:r>
      <w:r w:rsidRPr="004111A7">
        <w:t xml:space="preserve"> for each program associated with Outcome </w:t>
      </w:r>
      <w:r w:rsidR="00A546BE" w:rsidRPr="004111A7">
        <w:t>3</w:t>
      </w:r>
      <w:r w:rsidRPr="004111A7">
        <w:t xml:space="preserve">. It also summarises how each program is delivered and where </w:t>
      </w:r>
      <w:r w:rsidR="00F75376" w:rsidRPr="004111A7">
        <w:t>2021</w:t>
      </w:r>
      <w:r w:rsidR="00F75376" w:rsidRPr="004111A7">
        <w:noBreakHyphen/>
        <w:t>22 </w:t>
      </w:r>
      <w:r w:rsidRPr="004111A7">
        <w:t>Budget measures have created new programs or materially changed existing programs.</w:t>
      </w:r>
    </w:p>
    <w:tbl>
      <w:tblPr>
        <w:tblW w:w="76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2050"/>
        <w:gridCol w:w="4199"/>
      </w:tblGrid>
      <w:tr w:rsidR="00DF4D2A" w:rsidRPr="004111A7" w14:paraId="0A213E18" w14:textId="77777777" w:rsidTr="00705CEC">
        <w:trPr>
          <w:tblHeader/>
        </w:trPr>
        <w:tc>
          <w:tcPr>
            <w:tcW w:w="7685" w:type="dxa"/>
            <w:gridSpan w:val="3"/>
            <w:shd w:val="clear" w:color="auto" w:fill="F2F2F2"/>
          </w:tcPr>
          <w:p w14:paraId="110F118E" w14:textId="711B82DD" w:rsidR="00DF4D2A" w:rsidRPr="004111A7" w:rsidRDefault="00DF4D2A" w:rsidP="002627FE">
            <w:pPr>
              <w:suppressAutoHyphens/>
              <w:spacing w:before="60" w:after="60" w:line="240" w:lineRule="auto"/>
              <w:jc w:val="left"/>
              <w:rPr>
                <w:rFonts w:ascii="Arial" w:hAnsi="Arial"/>
                <w:b/>
              </w:rPr>
            </w:pPr>
            <w:r w:rsidRPr="004111A7">
              <w:rPr>
                <w:rFonts w:ascii="Arial" w:hAnsi="Arial"/>
                <w:b/>
              </w:rPr>
              <w:t xml:space="preserve">Outcome 3 – </w:t>
            </w:r>
            <w:r w:rsidRPr="004111A7">
              <w:rPr>
                <w:rFonts w:ascii="Arial" w:hAnsi="Arial"/>
              </w:rPr>
              <w:t xml:space="preserve">Support for </w:t>
            </w:r>
            <w:r w:rsidR="002627FE" w:rsidRPr="004111A7">
              <w:rPr>
                <w:rFonts w:ascii="Arial" w:hAnsi="Arial"/>
              </w:rPr>
              <w:t>p</w:t>
            </w:r>
            <w:r w:rsidRPr="004111A7">
              <w:rPr>
                <w:rFonts w:ascii="Arial" w:hAnsi="Arial"/>
              </w:rPr>
              <w:t>arliamentarians and others as required by the Australian Government through the delivery of, and advice on, work expenses and allowances, entitlements and targeted programs.</w:t>
            </w:r>
          </w:p>
        </w:tc>
      </w:tr>
      <w:tr w:rsidR="00DF4D2A" w:rsidRPr="004111A7" w14:paraId="7EF39F86" w14:textId="77777777" w:rsidTr="00705CEC">
        <w:trPr>
          <w:tblHeader/>
        </w:trPr>
        <w:tc>
          <w:tcPr>
            <w:tcW w:w="7685" w:type="dxa"/>
            <w:gridSpan w:val="3"/>
            <w:shd w:val="clear" w:color="auto" w:fill="F2F2F2"/>
          </w:tcPr>
          <w:p w14:paraId="3857D977" w14:textId="77777777" w:rsidR="00DF4D2A" w:rsidRPr="004111A7" w:rsidRDefault="00DF4D2A" w:rsidP="00DF4D2A">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sz w:val="16"/>
                <w:szCs w:val="16"/>
                <w:lang w:eastAsia="en-US"/>
              </w:rPr>
              <w:t>Program 3.1</w:t>
            </w:r>
            <w:r w:rsidRPr="004111A7">
              <w:rPr>
                <w:rFonts w:ascii="Arial" w:eastAsia="Arial" w:hAnsi="Arial" w:cs="Arial"/>
                <w:sz w:val="16"/>
                <w:szCs w:val="16"/>
                <w:lang w:eastAsia="en-US"/>
              </w:rPr>
              <w:t xml:space="preserve"> – </w:t>
            </w:r>
            <w:r w:rsidRPr="004111A7">
              <w:rPr>
                <w:rFonts w:ascii="Arial" w:eastAsia="Arial" w:hAnsi="Arial" w:cs="Arial"/>
                <w:b/>
                <w:sz w:val="16"/>
                <w:szCs w:val="16"/>
                <w:lang w:eastAsia="en-US"/>
              </w:rPr>
              <w:t>Ministerial and Parliamentary Services</w:t>
            </w:r>
          </w:p>
          <w:p w14:paraId="1D3E6D4B" w14:textId="77777777" w:rsidR="00DF4D2A" w:rsidRPr="004111A7" w:rsidRDefault="00DF4D2A" w:rsidP="00DF4D2A">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This program contributes to the outcome through the provision of advice on, access to, and payment of Parliamentary and post-Parliamentary, work expenses, allowances and entitlements and targeted programs.</w:t>
            </w:r>
          </w:p>
        </w:tc>
      </w:tr>
      <w:tr w:rsidR="00DF4D2A" w:rsidRPr="004111A7" w14:paraId="396A8747" w14:textId="77777777" w:rsidTr="00705CEC">
        <w:tc>
          <w:tcPr>
            <w:tcW w:w="1436" w:type="dxa"/>
            <w:tcBorders>
              <w:bottom w:val="double" w:sz="4" w:space="0" w:color="auto"/>
            </w:tcBorders>
          </w:tcPr>
          <w:p w14:paraId="633BCA3E" w14:textId="77777777" w:rsidR="00DF4D2A" w:rsidRPr="004111A7" w:rsidRDefault="00DF4D2A" w:rsidP="00DF4D2A">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Delivery</w:t>
            </w:r>
          </w:p>
        </w:tc>
        <w:tc>
          <w:tcPr>
            <w:tcW w:w="6249" w:type="dxa"/>
            <w:gridSpan w:val="2"/>
            <w:tcBorders>
              <w:bottom w:val="double" w:sz="4" w:space="0" w:color="auto"/>
            </w:tcBorders>
          </w:tcPr>
          <w:p w14:paraId="07CAA264" w14:textId="77777777" w:rsidR="00DF4D2A" w:rsidRPr="004111A7" w:rsidRDefault="00DF4D2A" w:rsidP="00DF4D2A">
            <w:pPr>
              <w:numPr>
                <w:ilvl w:val="0"/>
                <w:numId w:val="46"/>
              </w:numPr>
              <w:tabs>
                <w:tab w:val="left" w:pos="355"/>
              </w:tabs>
              <w:suppressAutoHyphens/>
              <w:spacing w:before="60" w:after="60" w:line="240" w:lineRule="auto"/>
              <w:contextualSpacing/>
              <w:jc w:val="left"/>
              <w:rPr>
                <w:rFonts w:ascii="Arial" w:eastAsia="Cambria" w:hAnsi="Arial" w:cs="Arial"/>
                <w:i/>
                <w:sz w:val="16"/>
                <w:szCs w:val="16"/>
                <w:lang w:eastAsia="en-US"/>
              </w:rPr>
            </w:pPr>
            <w:r w:rsidRPr="004111A7">
              <w:rPr>
                <w:rFonts w:ascii="Arial" w:hAnsi="Arial" w:cs="Arial"/>
                <w:sz w:val="16"/>
                <w:szCs w:val="16"/>
              </w:rPr>
              <w:t>Providing advice and support to clients and stakeholders.</w:t>
            </w:r>
          </w:p>
          <w:p w14:paraId="03C47F18" w14:textId="77777777" w:rsidR="00DF4D2A" w:rsidRPr="004111A7" w:rsidRDefault="00DF4D2A" w:rsidP="00DF4D2A">
            <w:pPr>
              <w:numPr>
                <w:ilvl w:val="0"/>
                <w:numId w:val="46"/>
              </w:numPr>
              <w:tabs>
                <w:tab w:val="left" w:pos="355"/>
              </w:tabs>
              <w:suppressAutoHyphens/>
              <w:spacing w:before="60" w:after="60" w:line="240" w:lineRule="auto"/>
              <w:contextualSpacing/>
              <w:jc w:val="left"/>
              <w:rPr>
                <w:rFonts w:ascii="Arial" w:eastAsia="Cambria" w:hAnsi="Arial" w:cs="Arial"/>
                <w:i/>
                <w:sz w:val="16"/>
                <w:szCs w:val="16"/>
                <w:lang w:eastAsia="en-US"/>
              </w:rPr>
            </w:pPr>
            <w:r w:rsidRPr="004111A7">
              <w:rPr>
                <w:rFonts w:ascii="Arial" w:hAnsi="Arial" w:cs="Arial"/>
                <w:sz w:val="16"/>
                <w:szCs w:val="16"/>
              </w:rPr>
              <w:t>Paying accounts relating to work expenses, allowances and entitlements.</w:t>
            </w:r>
          </w:p>
          <w:p w14:paraId="244C6801" w14:textId="77777777" w:rsidR="00DF4D2A" w:rsidRPr="004111A7" w:rsidRDefault="00DF4D2A" w:rsidP="00DF4D2A">
            <w:pPr>
              <w:numPr>
                <w:ilvl w:val="0"/>
                <w:numId w:val="46"/>
              </w:numPr>
              <w:tabs>
                <w:tab w:val="left" w:pos="355"/>
              </w:tabs>
              <w:suppressAutoHyphens/>
              <w:spacing w:before="60" w:after="60" w:line="240" w:lineRule="auto"/>
              <w:contextualSpacing/>
              <w:jc w:val="left"/>
              <w:rPr>
                <w:rFonts w:ascii="Arial" w:eastAsia="Cambria" w:hAnsi="Arial" w:cs="Arial"/>
                <w:i/>
                <w:sz w:val="16"/>
                <w:szCs w:val="16"/>
                <w:lang w:eastAsia="en-US"/>
              </w:rPr>
            </w:pPr>
            <w:r w:rsidRPr="004111A7">
              <w:rPr>
                <w:rFonts w:ascii="Arial" w:hAnsi="Arial" w:cs="Arial"/>
                <w:sz w:val="16"/>
                <w:szCs w:val="16"/>
              </w:rPr>
              <w:t xml:space="preserve">Managing and maintaining the </w:t>
            </w:r>
            <w:r w:rsidRPr="004111A7">
              <w:rPr>
                <w:rFonts w:ascii="Arial" w:hAnsi="Arial" w:cs="Arial"/>
                <w:i/>
                <w:sz w:val="16"/>
                <w:szCs w:val="16"/>
              </w:rPr>
              <w:t>Members of Parliament (Staff) Act 1984</w:t>
            </w:r>
            <w:r w:rsidRPr="004111A7">
              <w:rPr>
                <w:rFonts w:ascii="Arial" w:hAnsi="Arial" w:cs="Arial"/>
                <w:sz w:val="16"/>
                <w:szCs w:val="16"/>
              </w:rPr>
              <w:t xml:space="preserve"> employment framework.</w:t>
            </w:r>
          </w:p>
          <w:p w14:paraId="223EAF41" w14:textId="77777777" w:rsidR="00DF4D2A" w:rsidRPr="004111A7" w:rsidRDefault="00DF4D2A" w:rsidP="00DF4D2A">
            <w:pPr>
              <w:numPr>
                <w:ilvl w:val="0"/>
                <w:numId w:val="46"/>
              </w:numPr>
              <w:tabs>
                <w:tab w:val="left" w:pos="355"/>
              </w:tabs>
              <w:suppressAutoHyphens/>
              <w:spacing w:before="60" w:after="60" w:line="240" w:lineRule="auto"/>
              <w:contextualSpacing/>
              <w:jc w:val="left"/>
              <w:rPr>
                <w:rFonts w:ascii="Arial" w:eastAsia="Cambria" w:hAnsi="Arial" w:cs="Arial"/>
                <w:i/>
                <w:sz w:val="16"/>
                <w:szCs w:val="16"/>
                <w:lang w:eastAsia="en-US"/>
              </w:rPr>
            </w:pPr>
            <w:r w:rsidRPr="004111A7">
              <w:rPr>
                <w:rFonts w:ascii="Arial" w:hAnsi="Arial" w:cs="Arial"/>
                <w:sz w:val="16"/>
                <w:szCs w:val="16"/>
              </w:rPr>
              <w:t>Providing client and event transport (car-with-driver) and associated ground transport services to eligible recipients.</w:t>
            </w:r>
          </w:p>
          <w:p w14:paraId="59D60FA0" w14:textId="77777777" w:rsidR="00DF4D2A" w:rsidRPr="004111A7" w:rsidRDefault="00DF4D2A" w:rsidP="00DF4D2A">
            <w:pPr>
              <w:numPr>
                <w:ilvl w:val="0"/>
                <w:numId w:val="46"/>
              </w:numPr>
              <w:tabs>
                <w:tab w:val="left" w:pos="355"/>
              </w:tabs>
              <w:suppressAutoHyphens/>
              <w:spacing w:before="60" w:after="60" w:line="240" w:lineRule="auto"/>
              <w:contextualSpacing/>
              <w:jc w:val="left"/>
              <w:rPr>
                <w:rFonts w:ascii="Arial" w:eastAsia="Cambria" w:hAnsi="Arial" w:cs="Arial"/>
                <w:i/>
                <w:sz w:val="16"/>
                <w:szCs w:val="16"/>
                <w:lang w:eastAsia="en-US"/>
              </w:rPr>
            </w:pPr>
            <w:r w:rsidRPr="004111A7">
              <w:rPr>
                <w:rFonts w:ascii="Arial" w:hAnsi="Arial" w:cs="Arial"/>
                <w:sz w:val="16"/>
                <w:szCs w:val="16"/>
              </w:rPr>
              <w:t>Managing Commonwealth Parliament Offices and the ministerial wing of Parliament House.</w:t>
            </w:r>
          </w:p>
          <w:p w14:paraId="0422641D" w14:textId="77777777" w:rsidR="00DF4D2A" w:rsidRPr="004111A7" w:rsidRDefault="00DF4D2A" w:rsidP="00DF4D2A">
            <w:pPr>
              <w:numPr>
                <w:ilvl w:val="0"/>
                <w:numId w:val="46"/>
              </w:numPr>
              <w:tabs>
                <w:tab w:val="left" w:pos="355"/>
              </w:tabs>
              <w:suppressAutoHyphens/>
              <w:spacing w:before="60" w:after="60" w:line="240" w:lineRule="auto"/>
              <w:contextualSpacing/>
              <w:jc w:val="left"/>
              <w:rPr>
                <w:rFonts w:ascii="Arial" w:eastAsia="Cambria" w:hAnsi="Arial" w:cs="Arial"/>
                <w:i/>
                <w:sz w:val="16"/>
                <w:szCs w:val="16"/>
                <w:lang w:eastAsia="en-US"/>
              </w:rPr>
            </w:pPr>
            <w:r w:rsidRPr="004111A7">
              <w:rPr>
                <w:rFonts w:ascii="Arial" w:hAnsi="Arial" w:cs="Arial"/>
                <w:sz w:val="16"/>
                <w:szCs w:val="16"/>
              </w:rPr>
              <w:t>Managing the Australian Political Exchange Program and the Australian Political Parties for Democracy Program.</w:t>
            </w:r>
          </w:p>
          <w:p w14:paraId="36677118" w14:textId="77777777" w:rsidR="00DF4D2A" w:rsidRPr="004111A7" w:rsidRDefault="00DF4D2A" w:rsidP="00DF4D2A">
            <w:pPr>
              <w:numPr>
                <w:ilvl w:val="0"/>
                <w:numId w:val="46"/>
              </w:numPr>
              <w:tabs>
                <w:tab w:val="left" w:pos="355"/>
              </w:tabs>
              <w:suppressAutoHyphens/>
              <w:spacing w:before="60" w:after="60" w:line="240" w:lineRule="auto"/>
              <w:contextualSpacing/>
              <w:jc w:val="left"/>
              <w:rPr>
                <w:rFonts w:ascii="Arial" w:eastAsia="Cambria" w:hAnsi="Arial" w:cs="Arial"/>
                <w:i/>
                <w:sz w:val="16"/>
                <w:szCs w:val="16"/>
                <w:lang w:eastAsia="en-US"/>
              </w:rPr>
            </w:pPr>
            <w:r w:rsidRPr="004111A7">
              <w:rPr>
                <w:rFonts w:ascii="Arial" w:hAnsi="Arial" w:cs="Arial"/>
                <w:sz w:val="16"/>
                <w:szCs w:val="16"/>
              </w:rPr>
              <w:t>Providing property and office facilities management.</w:t>
            </w:r>
          </w:p>
        </w:tc>
      </w:tr>
      <w:tr w:rsidR="00DF4D2A" w:rsidRPr="004111A7" w14:paraId="5FA4E1E3" w14:textId="77777777" w:rsidTr="00705CEC">
        <w:tc>
          <w:tcPr>
            <w:tcW w:w="7685" w:type="dxa"/>
            <w:gridSpan w:val="3"/>
            <w:tcBorders>
              <w:top w:val="double" w:sz="4" w:space="0" w:color="auto"/>
              <w:bottom w:val="double" w:sz="4" w:space="0" w:color="auto"/>
            </w:tcBorders>
          </w:tcPr>
          <w:p w14:paraId="46D4754D" w14:textId="77777777" w:rsidR="00DF4D2A" w:rsidRPr="004111A7" w:rsidRDefault="00DF4D2A" w:rsidP="00DF4D2A">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Performance information: Program 3.1 – Ministerial and Parliamentary Services</w:t>
            </w:r>
          </w:p>
        </w:tc>
      </w:tr>
      <w:tr w:rsidR="00DF4D2A" w:rsidRPr="004111A7" w14:paraId="0D81FD1F" w14:textId="77777777" w:rsidTr="00705CEC">
        <w:tc>
          <w:tcPr>
            <w:tcW w:w="1436" w:type="dxa"/>
            <w:tcBorders>
              <w:top w:val="double" w:sz="4" w:space="0" w:color="auto"/>
              <w:bottom w:val="single" w:sz="4" w:space="0" w:color="auto"/>
              <w:right w:val="single" w:sz="4" w:space="0" w:color="auto"/>
            </w:tcBorders>
          </w:tcPr>
          <w:p w14:paraId="537AB647" w14:textId="77777777" w:rsidR="00DF4D2A" w:rsidRPr="004111A7" w:rsidRDefault="00DF4D2A" w:rsidP="00DF4D2A">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050" w:type="dxa"/>
            <w:tcBorders>
              <w:top w:val="double" w:sz="4" w:space="0" w:color="auto"/>
              <w:left w:val="single" w:sz="4" w:space="0" w:color="auto"/>
              <w:bottom w:val="single" w:sz="4" w:space="0" w:color="auto"/>
              <w:right w:val="single" w:sz="4" w:space="0" w:color="auto"/>
            </w:tcBorders>
          </w:tcPr>
          <w:p w14:paraId="25AFA274" w14:textId="59EBED87" w:rsidR="00DF4D2A" w:rsidRPr="004111A7" w:rsidRDefault="00DF4D2A" w:rsidP="00DF4D2A">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007A2DE1">
              <w:rPr>
                <w:rFonts w:ascii="Arial" w:eastAsia="Arial" w:hAnsi="Arial" w:cs="Arial"/>
                <w:b/>
                <w:sz w:val="16"/>
                <w:szCs w:val="16"/>
                <w:lang w:eastAsia="en-US"/>
              </w:rPr>
              <w:t xml:space="preserve"> </w:t>
            </w:r>
            <w:r w:rsidR="007A2DE1" w:rsidRPr="004111A7">
              <w:rPr>
                <w:rFonts w:ascii="Arial" w:eastAsia="Arial" w:hAnsi="Arial" w:cs="Arial"/>
                <w:sz w:val="16"/>
                <w:szCs w:val="16"/>
                <w:lang w:eastAsia="en-US"/>
              </w:rPr>
              <w:t>(a)</w:t>
            </w:r>
          </w:p>
        </w:tc>
        <w:tc>
          <w:tcPr>
            <w:tcW w:w="4199" w:type="dxa"/>
            <w:tcBorders>
              <w:top w:val="double" w:sz="4" w:space="0" w:color="auto"/>
              <w:left w:val="single" w:sz="4" w:space="0" w:color="auto"/>
              <w:bottom w:val="single" w:sz="4" w:space="0" w:color="auto"/>
            </w:tcBorders>
          </w:tcPr>
          <w:p w14:paraId="5DF7FBC1" w14:textId="77777777" w:rsidR="00DF4D2A" w:rsidRPr="004111A7" w:rsidRDefault="00DF4D2A" w:rsidP="00DF4D2A">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DF4D2A" w:rsidRPr="004111A7" w14:paraId="50314495" w14:textId="77777777" w:rsidTr="00705CEC">
        <w:trPr>
          <w:trHeight w:val="60"/>
        </w:trPr>
        <w:tc>
          <w:tcPr>
            <w:tcW w:w="1436" w:type="dxa"/>
            <w:tcBorders>
              <w:top w:val="single" w:sz="4" w:space="0" w:color="auto"/>
              <w:bottom w:val="single" w:sz="4" w:space="0" w:color="auto"/>
              <w:right w:val="single" w:sz="4" w:space="0" w:color="auto"/>
            </w:tcBorders>
          </w:tcPr>
          <w:p w14:paraId="4ED85837" w14:textId="77777777" w:rsidR="00DF4D2A" w:rsidRPr="004111A7" w:rsidRDefault="00DF4D2A" w:rsidP="00DF4D2A">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2020-21</w:t>
            </w:r>
          </w:p>
        </w:tc>
        <w:tc>
          <w:tcPr>
            <w:tcW w:w="2050" w:type="dxa"/>
            <w:tcBorders>
              <w:top w:val="single" w:sz="4" w:space="0" w:color="auto"/>
              <w:left w:val="single" w:sz="4" w:space="0" w:color="auto"/>
              <w:bottom w:val="single" w:sz="4" w:space="0" w:color="auto"/>
              <w:right w:val="single" w:sz="4" w:space="0" w:color="auto"/>
            </w:tcBorders>
          </w:tcPr>
          <w:p w14:paraId="5CBD1A88" w14:textId="1F86DEE5" w:rsidR="00DF4D2A" w:rsidRPr="004111A7" w:rsidRDefault="00DF4D2A" w:rsidP="00DF4D2A">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bCs/>
                <w:sz w:val="16"/>
                <w:szCs w:val="16"/>
                <w:lang w:eastAsia="en-US"/>
              </w:rPr>
              <w:t>Services meet clients’ needs</w:t>
            </w:r>
          </w:p>
          <w:p w14:paraId="5DAFCA77" w14:textId="77777777" w:rsidR="00DF4D2A" w:rsidRPr="004111A7" w:rsidRDefault="00DF4D2A" w:rsidP="00DF4D2A">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Services meet the needs of parliamentarians, their employees and others as required by the Australian Government.</w:t>
            </w:r>
          </w:p>
        </w:tc>
        <w:tc>
          <w:tcPr>
            <w:tcW w:w="4199" w:type="dxa"/>
            <w:tcBorders>
              <w:top w:val="single" w:sz="4" w:space="0" w:color="auto"/>
              <w:left w:val="single" w:sz="4" w:space="0" w:color="auto"/>
              <w:bottom w:val="single" w:sz="4" w:space="0" w:color="auto"/>
            </w:tcBorders>
          </w:tcPr>
          <w:p w14:paraId="3BF7291F" w14:textId="77777777" w:rsidR="00DF4D2A" w:rsidRPr="004111A7" w:rsidRDefault="00DF4D2A" w:rsidP="003F5522">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On Track</w:t>
            </w:r>
          </w:p>
          <w:p w14:paraId="2F2404E9" w14:textId="245AD383" w:rsidR="00DF4D2A" w:rsidRPr="004111A7" w:rsidRDefault="00DF4D2A" w:rsidP="0022133C">
            <w:pPr>
              <w:numPr>
                <w:ilvl w:val="0"/>
                <w:numId w:val="46"/>
              </w:numPr>
              <w:tabs>
                <w:tab w:val="left" w:pos="355"/>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O</w:t>
            </w:r>
            <w:r w:rsidR="00443FF1" w:rsidRPr="004111A7">
              <w:rPr>
                <w:rFonts w:ascii="Arial" w:hAnsi="Arial" w:cs="Arial"/>
                <w:sz w:val="16"/>
                <w:szCs w:val="16"/>
              </w:rPr>
              <w:t>ur help desks acknowledged 97.0</w:t>
            </w:r>
            <w:r w:rsidRPr="004111A7">
              <w:rPr>
                <w:rFonts w:ascii="Arial" w:hAnsi="Arial" w:cs="Arial"/>
                <w:sz w:val="16"/>
                <w:szCs w:val="16"/>
              </w:rPr>
              <w:t>% of client contacts or queries within 24 hours and responded to them within agreed timeframes.</w:t>
            </w:r>
          </w:p>
          <w:p w14:paraId="13DD320B" w14:textId="77777777" w:rsidR="00DF4D2A" w:rsidRPr="004111A7" w:rsidRDefault="00DF4D2A" w:rsidP="0022133C">
            <w:pPr>
              <w:numPr>
                <w:ilvl w:val="0"/>
                <w:numId w:val="46"/>
              </w:numPr>
              <w:tabs>
                <w:tab w:val="left" w:pos="355"/>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99.9% of payments (including payroll) were made within agreed timeframes.</w:t>
            </w:r>
          </w:p>
          <w:p w14:paraId="27D589D8" w14:textId="77777777" w:rsidR="00DF4D2A" w:rsidRPr="004111A7" w:rsidRDefault="00DF4D2A" w:rsidP="0022133C">
            <w:pPr>
              <w:numPr>
                <w:ilvl w:val="0"/>
                <w:numId w:val="46"/>
              </w:numPr>
              <w:tabs>
                <w:tab w:val="left" w:pos="355"/>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100% of office establishment and relocation projects have been delivered in accordance with the National Fitout Standards.</w:t>
            </w:r>
          </w:p>
          <w:p w14:paraId="67E4F99E" w14:textId="5731830C" w:rsidR="00DF4D2A" w:rsidRPr="004111A7" w:rsidRDefault="00A30067" w:rsidP="0022133C">
            <w:pPr>
              <w:numPr>
                <w:ilvl w:val="0"/>
                <w:numId w:val="46"/>
              </w:numPr>
              <w:tabs>
                <w:tab w:val="left" w:pos="355"/>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COMCAR completed 99.6</w:t>
            </w:r>
            <w:r w:rsidR="00DF4D2A" w:rsidRPr="004111A7">
              <w:rPr>
                <w:rFonts w:ascii="Arial" w:hAnsi="Arial" w:cs="Arial"/>
                <w:sz w:val="16"/>
                <w:szCs w:val="16"/>
              </w:rPr>
              <w:t>% of reservations without service failure.</w:t>
            </w:r>
          </w:p>
          <w:p w14:paraId="4615DFA3" w14:textId="1AC08CC4" w:rsidR="00705CEC" w:rsidRPr="004111A7" w:rsidRDefault="00705CEC" w:rsidP="00705CEC">
            <w:pPr>
              <w:suppressAutoHyphens/>
              <w:spacing w:before="60" w:after="60" w:line="240" w:lineRule="auto"/>
              <w:ind w:left="720"/>
              <w:contextualSpacing/>
              <w:jc w:val="left"/>
              <w:rPr>
                <w:rFonts w:ascii="Arial" w:eastAsia="Cambria" w:hAnsi="Arial" w:cs="Arial"/>
                <w:sz w:val="16"/>
                <w:szCs w:val="16"/>
                <w:lang w:eastAsia="en-US"/>
              </w:rPr>
            </w:pPr>
          </w:p>
        </w:tc>
      </w:tr>
    </w:tbl>
    <w:p w14:paraId="23D72D7C" w14:textId="77777777" w:rsidR="00705CEC" w:rsidRPr="004111A7" w:rsidRDefault="00705CEC" w:rsidP="00705CEC">
      <w:pPr>
        <w:pStyle w:val="ChartandTableFootnoteAlpha"/>
        <w:numPr>
          <w:ilvl w:val="0"/>
          <w:numId w:val="0"/>
        </w:numPr>
        <w:ind w:left="284" w:hanging="284"/>
      </w:pPr>
      <w:r w:rsidRPr="004111A7">
        <w:t>Table continues on next page</w:t>
      </w:r>
    </w:p>
    <w:p w14:paraId="10F8ADF7" w14:textId="77777777" w:rsidR="00705CEC" w:rsidRPr="004111A7" w:rsidRDefault="00705CEC" w:rsidP="00705CEC">
      <w:pPr>
        <w:keepNext/>
        <w:spacing w:after="20" w:line="240" w:lineRule="auto"/>
        <w:jc w:val="left"/>
        <w:rPr>
          <w:rFonts w:ascii="Arial" w:hAnsi="Arial" w:cs="Arial"/>
          <w:b/>
        </w:rPr>
      </w:pPr>
      <w:r w:rsidRPr="004111A7">
        <w:rPr>
          <w:rFonts w:ascii="Arial" w:hAnsi="Arial" w:cs="Arial"/>
          <w:b/>
        </w:rPr>
        <w:br w:type="page"/>
      </w:r>
    </w:p>
    <w:p w14:paraId="09D8F7AF" w14:textId="1DA76159" w:rsidR="003C3F98" w:rsidRPr="004111A7" w:rsidRDefault="003C3F98" w:rsidP="003C3F98">
      <w:pPr>
        <w:keepNext/>
        <w:spacing w:after="20" w:line="240" w:lineRule="auto"/>
        <w:jc w:val="left"/>
        <w:rPr>
          <w:rFonts w:ascii="Arial Bold" w:hAnsi="Arial Bold" w:cs="Arial"/>
          <w:b/>
        </w:rPr>
      </w:pPr>
      <w:r w:rsidRPr="004111A7">
        <w:rPr>
          <w:rFonts w:ascii="Arial Bold" w:hAnsi="Arial Bold"/>
          <w:b/>
        </w:rPr>
        <w:lastRenderedPageBreak/>
        <w:t xml:space="preserve">Table 2.3.2: </w:t>
      </w:r>
      <w:r w:rsidR="00280FEA" w:rsidRPr="004111A7">
        <w:rPr>
          <w:rFonts w:ascii="Arial Bold" w:hAnsi="Arial Bold"/>
          <w:b/>
        </w:rPr>
        <w:t>Performance measures</w:t>
      </w:r>
      <w:r w:rsidRPr="004111A7">
        <w:rPr>
          <w:rFonts w:ascii="Arial Bold" w:hAnsi="Arial Bold"/>
          <w:b/>
        </w:rPr>
        <w:t xml:space="preserve"> for Outcome 3 (continued)</w:t>
      </w:r>
    </w:p>
    <w:tbl>
      <w:tblPr>
        <w:tblW w:w="76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2014"/>
        <w:gridCol w:w="4409"/>
      </w:tblGrid>
      <w:tr w:rsidR="003C3F98" w:rsidRPr="004111A7" w14:paraId="7468D19F" w14:textId="77777777" w:rsidTr="00FF0BAF">
        <w:tc>
          <w:tcPr>
            <w:tcW w:w="7685" w:type="dxa"/>
            <w:gridSpan w:val="3"/>
            <w:tcBorders>
              <w:top w:val="double" w:sz="4" w:space="0" w:color="auto"/>
              <w:bottom w:val="double" w:sz="4" w:space="0" w:color="auto"/>
            </w:tcBorders>
          </w:tcPr>
          <w:p w14:paraId="63A2B78F" w14:textId="77777777" w:rsidR="003C3F98" w:rsidRPr="004111A7" w:rsidRDefault="003C3F98"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Performance information: Program 3.1 – Ministerial and Parliamentary Services</w:t>
            </w:r>
          </w:p>
        </w:tc>
      </w:tr>
      <w:tr w:rsidR="003C3F98" w:rsidRPr="004111A7" w14:paraId="1EE40E8C" w14:textId="77777777" w:rsidTr="00FF0BAF">
        <w:tc>
          <w:tcPr>
            <w:tcW w:w="1262" w:type="dxa"/>
            <w:tcBorders>
              <w:top w:val="double" w:sz="4" w:space="0" w:color="auto"/>
              <w:bottom w:val="single" w:sz="4" w:space="0" w:color="auto"/>
              <w:right w:val="single" w:sz="4" w:space="0" w:color="auto"/>
            </w:tcBorders>
          </w:tcPr>
          <w:p w14:paraId="743EB772" w14:textId="77777777" w:rsidR="003C3F98" w:rsidRPr="004111A7" w:rsidRDefault="003C3F98"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014" w:type="dxa"/>
            <w:tcBorders>
              <w:top w:val="double" w:sz="4" w:space="0" w:color="auto"/>
              <w:left w:val="single" w:sz="4" w:space="0" w:color="auto"/>
              <w:bottom w:val="single" w:sz="4" w:space="0" w:color="auto"/>
              <w:right w:val="single" w:sz="4" w:space="0" w:color="auto"/>
            </w:tcBorders>
          </w:tcPr>
          <w:p w14:paraId="251085D4" w14:textId="01996C7C" w:rsidR="003C3F98" w:rsidRPr="004111A7" w:rsidRDefault="003C3F98"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007A2DE1">
              <w:rPr>
                <w:rFonts w:ascii="Arial" w:eastAsia="Arial" w:hAnsi="Arial" w:cs="Arial"/>
                <w:b/>
                <w:sz w:val="16"/>
                <w:szCs w:val="16"/>
                <w:lang w:eastAsia="en-US"/>
              </w:rPr>
              <w:t xml:space="preserve"> </w:t>
            </w:r>
            <w:r w:rsidR="007A2DE1" w:rsidRPr="004111A7">
              <w:rPr>
                <w:rFonts w:ascii="Arial" w:eastAsia="Arial" w:hAnsi="Arial" w:cs="Arial"/>
                <w:sz w:val="16"/>
                <w:szCs w:val="16"/>
                <w:lang w:eastAsia="en-US"/>
              </w:rPr>
              <w:t>(a)</w:t>
            </w:r>
          </w:p>
        </w:tc>
        <w:tc>
          <w:tcPr>
            <w:tcW w:w="4409" w:type="dxa"/>
            <w:tcBorders>
              <w:top w:val="double" w:sz="4" w:space="0" w:color="auto"/>
              <w:left w:val="single" w:sz="4" w:space="0" w:color="auto"/>
              <w:bottom w:val="single" w:sz="4" w:space="0" w:color="auto"/>
            </w:tcBorders>
          </w:tcPr>
          <w:p w14:paraId="05EAE1C6" w14:textId="77777777" w:rsidR="003C3F98" w:rsidRPr="004111A7" w:rsidRDefault="003C3F98"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3C3F98" w:rsidRPr="004111A7" w14:paraId="144907B1" w14:textId="77777777" w:rsidTr="00B77FCF">
        <w:trPr>
          <w:trHeight w:val="2542"/>
        </w:trPr>
        <w:tc>
          <w:tcPr>
            <w:tcW w:w="1262" w:type="dxa"/>
            <w:tcBorders>
              <w:top w:val="single" w:sz="4" w:space="0" w:color="auto"/>
              <w:bottom w:val="single" w:sz="4" w:space="0" w:color="auto"/>
              <w:right w:val="single" w:sz="4" w:space="0" w:color="auto"/>
            </w:tcBorders>
          </w:tcPr>
          <w:p w14:paraId="2E0ECB61" w14:textId="5BA61A99" w:rsidR="003C3F98" w:rsidRPr="004111A7" w:rsidRDefault="003C3F98"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2020-21</w:t>
            </w:r>
            <w:r w:rsidR="00BC4A13" w:rsidRPr="004111A7">
              <w:rPr>
                <w:rFonts w:ascii="Arial" w:eastAsia="Arial" w:hAnsi="Arial" w:cs="Arial"/>
                <w:sz w:val="16"/>
                <w:szCs w:val="16"/>
                <w:lang w:eastAsia="en-US"/>
              </w:rPr>
              <w:t xml:space="preserve"> (continued)</w:t>
            </w:r>
          </w:p>
          <w:p w14:paraId="089D1CC3" w14:textId="77777777" w:rsidR="003C3F98" w:rsidRPr="004111A7" w:rsidRDefault="003C3F98" w:rsidP="003C100E">
            <w:pPr>
              <w:tabs>
                <w:tab w:val="left" w:pos="709"/>
              </w:tabs>
              <w:suppressAutoHyphens/>
              <w:spacing w:before="60" w:after="60" w:line="240" w:lineRule="auto"/>
              <w:jc w:val="left"/>
              <w:rPr>
                <w:rFonts w:ascii="Arial" w:eastAsia="Arial" w:hAnsi="Arial" w:cs="Arial"/>
                <w:sz w:val="16"/>
                <w:szCs w:val="16"/>
                <w:lang w:eastAsia="en-US"/>
              </w:rPr>
            </w:pPr>
          </w:p>
        </w:tc>
        <w:tc>
          <w:tcPr>
            <w:tcW w:w="2014" w:type="dxa"/>
            <w:tcBorders>
              <w:top w:val="single" w:sz="4" w:space="0" w:color="auto"/>
              <w:left w:val="single" w:sz="4" w:space="0" w:color="auto"/>
              <w:bottom w:val="single" w:sz="4" w:space="0" w:color="auto"/>
              <w:right w:val="single" w:sz="4" w:space="0" w:color="auto"/>
            </w:tcBorders>
          </w:tcPr>
          <w:p w14:paraId="0E65141F" w14:textId="77777777" w:rsidR="003C3F98" w:rsidRPr="004111A7" w:rsidRDefault="003C3F98"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bCs/>
                <w:sz w:val="16"/>
                <w:szCs w:val="16"/>
                <w:lang w:eastAsia="en-US"/>
              </w:rPr>
              <w:t>Improve administration of parliamentary work expenses</w:t>
            </w:r>
          </w:p>
          <w:p w14:paraId="56C1B457" w14:textId="1421B3A9" w:rsidR="003C3F98" w:rsidRPr="004111A7" w:rsidRDefault="003C3F98">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The timeliness, efficiency, clarity and transpa</w:t>
            </w:r>
            <w:r w:rsidR="002457E3" w:rsidRPr="004111A7">
              <w:rPr>
                <w:rFonts w:ascii="Arial" w:eastAsia="Arial" w:hAnsi="Arial" w:cs="Arial"/>
                <w:sz w:val="16"/>
                <w:szCs w:val="16"/>
                <w:lang w:eastAsia="en-US"/>
              </w:rPr>
              <w:t>rency of the administration of p</w:t>
            </w:r>
            <w:r w:rsidRPr="004111A7">
              <w:rPr>
                <w:rFonts w:ascii="Arial" w:eastAsia="Arial" w:hAnsi="Arial" w:cs="Arial"/>
                <w:sz w:val="16"/>
                <w:szCs w:val="16"/>
                <w:lang w:eastAsia="en-US"/>
              </w:rPr>
              <w:t>arliamentary work expenses is improved.</w:t>
            </w:r>
            <w:r w:rsidRPr="004111A7">
              <w:rPr>
                <w:rFonts w:ascii="Arial" w:eastAsia="Arial" w:hAnsi="Arial" w:cs="Arial"/>
                <w:sz w:val="16"/>
                <w:szCs w:val="16"/>
                <w:vertAlign w:val="superscript"/>
                <w:lang w:eastAsia="en-US"/>
              </w:rPr>
              <w:t xml:space="preserve"> </w:t>
            </w:r>
          </w:p>
        </w:tc>
        <w:tc>
          <w:tcPr>
            <w:tcW w:w="4409" w:type="dxa"/>
            <w:tcBorders>
              <w:top w:val="single" w:sz="4" w:space="0" w:color="auto"/>
              <w:left w:val="single" w:sz="4" w:space="0" w:color="auto"/>
              <w:bottom w:val="single" w:sz="4" w:space="0" w:color="auto"/>
            </w:tcBorders>
          </w:tcPr>
          <w:p w14:paraId="215F71E9" w14:textId="77777777" w:rsidR="0069417E" w:rsidRPr="004111A7" w:rsidRDefault="0069417E" w:rsidP="0069417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On Track </w:t>
            </w:r>
          </w:p>
          <w:p w14:paraId="65A1BC34" w14:textId="6BF62445" w:rsidR="0069417E" w:rsidRPr="004111A7" w:rsidRDefault="00202458" w:rsidP="0069417E">
            <w:pPr>
              <w:spacing w:before="60" w:after="60" w:line="240" w:lineRule="auto"/>
              <w:contextualSpacing/>
              <w:jc w:val="left"/>
              <w:rPr>
                <w:rFonts w:ascii="Arial" w:eastAsia="Cambria" w:hAnsi="Arial" w:cs="Arial"/>
                <w:sz w:val="16"/>
                <w:szCs w:val="16"/>
                <w:lang w:eastAsia="en-US"/>
              </w:rPr>
            </w:pPr>
            <w:r w:rsidRPr="004111A7">
              <w:rPr>
                <w:rFonts w:ascii="Arial" w:eastAsia="Arial" w:hAnsi="Arial" w:cs="Arial"/>
                <w:sz w:val="16"/>
                <w:szCs w:val="16"/>
                <w:lang w:eastAsia="en-US"/>
              </w:rPr>
              <w:t>Parliamentary Expense</w:t>
            </w:r>
            <w:r>
              <w:rPr>
                <w:rFonts w:ascii="Arial" w:eastAsia="Arial" w:hAnsi="Arial" w:cs="Arial"/>
                <w:sz w:val="16"/>
                <w:szCs w:val="16"/>
                <w:lang w:eastAsia="en-US"/>
              </w:rPr>
              <w:t>s</w:t>
            </w:r>
            <w:r w:rsidRPr="004111A7">
              <w:rPr>
                <w:rFonts w:ascii="Arial" w:eastAsia="Arial" w:hAnsi="Arial" w:cs="Arial"/>
                <w:sz w:val="16"/>
                <w:szCs w:val="16"/>
                <w:lang w:eastAsia="en-US"/>
              </w:rPr>
              <w:t xml:space="preserve"> Management System (PEMS)</w:t>
            </w:r>
            <w:r w:rsidR="0069417E" w:rsidRPr="004111A7">
              <w:rPr>
                <w:rFonts w:ascii="Arial" w:eastAsia="Cambria" w:hAnsi="Arial" w:cs="Arial"/>
                <w:sz w:val="16"/>
                <w:szCs w:val="16"/>
                <w:lang w:eastAsia="en-US"/>
              </w:rPr>
              <w:t xml:space="preserve"> portal (web-based application) access was delivered in 2018, allowing parliamentarians and their staff to access PEMS from any computer or mobile device, to lodge, monitor and certify work expense claims. This provides increased efficiencies and reduces the administrative burden on parliamentarians’ offices.</w:t>
            </w:r>
          </w:p>
          <w:p w14:paraId="08BDF873" w14:textId="77777777" w:rsidR="0069417E" w:rsidRPr="004111A7" w:rsidRDefault="0069417E" w:rsidP="0069417E">
            <w:pPr>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A number of targeted PEMS adoption strategies have been implemented, resulting in increased usage of the PEMS portal by parliamentarians and their staff for office expense claims and travel expense claims:</w:t>
            </w:r>
            <w:r w:rsidRPr="004111A7">
              <w:rPr>
                <w:rFonts w:ascii="Arial" w:eastAsia="Cambria" w:hAnsi="Arial" w:cs="Arial"/>
                <w:sz w:val="16"/>
                <w:szCs w:val="16"/>
                <w:lang w:eastAsia="en-US"/>
              </w:rPr>
              <w:br/>
            </w:r>
          </w:p>
          <w:p w14:paraId="7AF11A48" w14:textId="217C3831" w:rsidR="0069417E" w:rsidRPr="004111A7" w:rsidRDefault="0069417E" w:rsidP="0069417E">
            <w:pPr>
              <w:numPr>
                <w:ilvl w:val="0"/>
                <w:numId w:val="60"/>
              </w:numPr>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62% of parliamentarians have personally used PEMS to certify claims (office or travel</w:t>
            </w:r>
            <w:r w:rsidR="00672DB4">
              <w:rPr>
                <w:rFonts w:ascii="Arial" w:eastAsia="Cambria" w:hAnsi="Arial" w:cs="Arial"/>
                <w:sz w:val="16"/>
                <w:szCs w:val="16"/>
                <w:lang w:eastAsia="en-US"/>
              </w:rPr>
              <w:t>)</w:t>
            </w:r>
            <w:r w:rsidRPr="004111A7">
              <w:rPr>
                <w:rFonts w:ascii="Arial" w:eastAsia="Cambria" w:hAnsi="Arial" w:cs="Arial"/>
                <w:sz w:val="16"/>
                <w:szCs w:val="16"/>
                <w:lang w:eastAsia="en-US"/>
              </w:rPr>
              <w:t>.</w:t>
            </w:r>
          </w:p>
          <w:p w14:paraId="7DA26F26" w14:textId="1B2EECF5" w:rsidR="00EA47F8" w:rsidRPr="00606E2D" w:rsidRDefault="0069417E" w:rsidP="00704619">
            <w:pPr>
              <w:numPr>
                <w:ilvl w:val="0"/>
                <w:numId w:val="60"/>
              </w:numPr>
              <w:tabs>
                <w:tab w:val="left" w:pos="709"/>
              </w:tabs>
              <w:suppressAutoHyphens/>
              <w:spacing w:before="60" w:after="60" w:line="240" w:lineRule="auto"/>
              <w:contextualSpacing/>
              <w:jc w:val="left"/>
              <w:rPr>
                <w:rFonts w:ascii="Arial" w:eastAsia="Cambria" w:hAnsi="Arial" w:cs="Arial"/>
                <w:sz w:val="16"/>
                <w:szCs w:val="16"/>
                <w:lang w:eastAsia="en-US"/>
              </w:rPr>
            </w:pPr>
            <w:r w:rsidRPr="00EA47F8">
              <w:rPr>
                <w:rFonts w:ascii="Arial" w:eastAsia="Cambria" w:hAnsi="Arial" w:cs="Arial"/>
                <w:sz w:val="16"/>
                <w:szCs w:val="16"/>
                <w:lang w:eastAsia="en-US"/>
              </w:rPr>
              <w:t>91% of parliamentary offices have used PEMS to certify at least one claim (office or travel</w:t>
            </w:r>
            <w:r w:rsidR="004D76A1">
              <w:rPr>
                <w:rFonts w:ascii="Arial" w:eastAsia="Cambria" w:hAnsi="Arial" w:cs="Arial"/>
                <w:sz w:val="16"/>
                <w:szCs w:val="16"/>
                <w:lang w:eastAsia="en-US"/>
              </w:rPr>
              <w:t>)</w:t>
            </w:r>
            <w:r w:rsidRPr="00EA47F8">
              <w:rPr>
                <w:rFonts w:ascii="Arial" w:eastAsia="Cambria" w:hAnsi="Arial" w:cs="Arial"/>
                <w:sz w:val="16"/>
                <w:szCs w:val="16"/>
                <w:lang w:eastAsia="en-US"/>
              </w:rPr>
              <w:t>.</w:t>
            </w:r>
          </w:p>
          <w:p w14:paraId="53646903" w14:textId="7F486EAD" w:rsidR="0069417E" w:rsidRDefault="0069417E" w:rsidP="00704619">
            <w:pPr>
              <w:numPr>
                <w:ilvl w:val="0"/>
                <w:numId w:val="60"/>
              </w:numPr>
              <w:tabs>
                <w:tab w:val="left" w:pos="709"/>
              </w:tabs>
              <w:suppressAutoHyphens/>
              <w:spacing w:before="60" w:after="60" w:line="240" w:lineRule="auto"/>
              <w:contextualSpacing/>
              <w:jc w:val="left"/>
              <w:rPr>
                <w:rFonts w:ascii="Arial" w:eastAsia="Cambria" w:hAnsi="Arial" w:cs="Arial"/>
                <w:sz w:val="16"/>
                <w:szCs w:val="16"/>
                <w:lang w:eastAsia="en-US"/>
              </w:rPr>
            </w:pPr>
            <w:r w:rsidRPr="00EA47F8">
              <w:rPr>
                <w:rFonts w:ascii="Arial" w:eastAsia="Cambria" w:hAnsi="Arial" w:cs="Arial"/>
                <w:bCs/>
                <w:sz w:val="16"/>
                <w:szCs w:val="16"/>
                <w:lang w:eastAsia="en-US"/>
              </w:rPr>
              <w:t>85%</w:t>
            </w:r>
            <w:r w:rsidRPr="00EA47F8">
              <w:rPr>
                <w:rFonts w:ascii="Arial" w:eastAsia="Cambria" w:hAnsi="Arial" w:cs="Arial"/>
                <w:sz w:val="16"/>
                <w:szCs w:val="16"/>
                <w:lang w:eastAsia="en-US"/>
              </w:rPr>
              <w:t xml:space="preserve"> of office expense claims have been processed through PEMS (where PEMS functionality is available).</w:t>
            </w:r>
          </w:p>
          <w:p w14:paraId="18CAE873" w14:textId="77777777" w:rsidR="00EA47F8" w:rsidRPr="00EA47F8" w:rsidRDefault="00EA47F8" w:rsidP="00704619">
            <w:pPr>
              <w:tabs>
                <w:tab w:val="left" w:pos="709"/>
              </w:tabs>
              <w:suppressAutoHyphens/>
              <w:spacing w:before="60" w:after="60" w:line="240" w:lineRule="auto"/>
              <w:contextualSpacing/>
              <w:jc w:val="left"/>
              <w:rPr>
                <w:rFonts w:ascii="Arial" w:eastAsia="Cambria" w:hAnsi="Arial" w:cs="Arial"/>
                <w:sz w:val="16"/>
                <w:szCs w:val="16"/>
                <w:lang w:eastAsia="en-US"/>
              </w:rPr>
            </w:pPr>
          </w:p>
          <w:p w14:paraId="36641633" w14:textId="41AAE01C" w:rsidR="00BF2E1E" w:rsidRPr="004111A7" w:rsidRDefault="003C3F98" w:rsidP="0069417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On Track</w:t>
            </w:r>
          </w:p>
          <w:p w14:paraId="78FF2F81" w14:textId="34664D42" w:rsidR="003C3F98" w:rsidRPr="0069417E" w:rsidRDefault="003C3F98" w:rsidP="00704619">
            <w:pPr>
              <w:suppressAutoHyphens/>
              <w:spacing w:before="60" w:after="60" w:line="240" w:lineRule="auto"/>
              <w:contextualSpacing/>
              <w:jc w:val="left"/>
              <w:rPr>
                <w:rFonts w:ascii="Arial" w:eastAsia="Cambria" w:hAnsi="Arial" w:cs="Arial"/>
                <w:sz w:val="16"/>
                <w:szCs w:val="16"/>
                <w:lang w:eastAsia="en-US"/>
              </w:rPr>
            </w:pPr>
            <w:r w:rsidRPr="00704619">
              <w:rPr>
                <w:rFonts w:ascii="Arial" w:eastAsia="Cambria" w:hAnsi="Arial" w:cs="Arial"/>
                <w:bCs/>
                <w:sz w:val="16"/>
                <w:szCs w:val="16"/>
                <w:lang w:eastAsia="en-US"/>
              </w:rPr>
              <w:t xml:space="preserve">PEMS </w:t>
            </w:r>
            <w:r w:rsidR="0069417E" w:rsidRPr="00704619">
              <w:rPr>
                <w:rFonts w:ascii="Arial" w:eastAsia="Cambria" w:hAnsi="Arial" w:cs="Arial"/>
                <w:bCs/>
                <w:sz w:val="16"/>
                <w:szCs w:val="16"/>
                <w:lang w:eastAsia="en-US"/>
              </w:rPr>
              <w:t xml:space="preserve">is on track to </w:t>
            </w:r>
            <w:r w:rsidRPr="00704619">
              <w:rPr>
                <w:rFonts w:ascii="Arial" w:eastAsia="Cambria" w:hAnsi="Arial" w:cs="Arial"/>
                <w:bCs/>
                <w:sz w:val="16"/>
                <w:szCs w:val="16"/>
                <w:lang w:eastAsia="en-US"/>
              </w:rPr>
              <w:t>deliver increased HR functionality by mid-2021</w:t>
            </w:r>
            <w:r w:rsidR="0069417E" w:rsidRPr="00704619">
              <w:rPr>
                <w:rFonts w:ascii="Arial" w:eastAsia="Cambria" w:hAnsi="Arial" w:cs="Arial"/>
                <w:bCs/>
                <w:sz w:val="16"/>
                <w:szCs w:val="16"/>
                <w:lang w:eastAsia="en-US"/>
              </w:rPr>
              <w:t xml:space="preserve"> through </w:t>
            </w:r>
            <w:r w:rsidRPr="0069417E">
              <w:rPr>
                <w:rFonts w:ascii="Arial" w:eastAsia="Cambria" w:hAnsi="Arial" w:cs="Arial"/>
                <w:sz w:val="16"/>
                <w:szCs w:val="16"/>
                <w:lang w:eastAsia="en-US"/>
              </w:rPr>
              <w:t>the release of the HR and Payroll Administration functio</w:t>
            </w:r>
            <w:r w:rsidR="002457E3" w:rsidRPr="0069417E">
              <w:rPr>
                <w:rFonts w:ascii="Arial" w:eastAsia="Cambria" w:hAnsi="Arial" w:cs="Arial"/>
                <w:sz w:val="16"/>
                <w:szCs w:val="16"/>
                <w:lang w:eastAsia="en-US"/>
              </w:rPr>
              <w:t>ns. When released, p</w:t>
            </w:r>
            <w:r w:rsidRPr="0069417E">
              <w:rPr>
                <w:rFonts w:ascii="Arial" w:eastAsia="Cambria" w:hAnsi="Arial" w:cs="Arial"/>
                <w:sz w:val="16"/>
                <w:szCs w:val="16"/>
                <w:lang w:eastAsia="en-US"/>
              </w:rPr>
              <w:t>arliamentarians and their staff will have access to increased self-service HR management functions enabling access to payslips, to apply for additional leave types, to maintain personal information and to apply for authorisations in the one system.</w:t>
            </w:r>
          </w:p>
          <w:p w14:paraId="70CE575B" w14:textId="77777777" w:rsidR="003C3F98" w:rsidRPr="004111A7" w:rsidRDefault="003C3F98" w:rsidP="003C100E">
            <w:pPr>
              <w:spacing w:before="60" w:after="60" w:line="240" w:lineRule="auto"/>
              <w:contextualSpacing/>
              <w:jc w:val="left"/>
              <w:rPr>
                <w:rFonts w:ascii="Arial" w:eastAsia="Cambria" w:hAnsi="Arial" w:cs="Arial"/>
                <w:b/>
                <w:bCs/>
                <w:sz w:val="16"/>
                <w:szCs w:val="16"/>
                <w:lang w:eastAsia="en-US"/>
              </w:rPr>
            </w:pPr>
          </w:p>
          <w:p w14:paraId="36FA22B0" w14:textId="34956836" w:rsidR="003C3F98" w:rsidRPr="004111A7" w:rsidRDefault="00737532" w:rsidP="003F5522">
            <w:pPr>
              <w:tabs>
                <w:tab w:val="left" w:pos="709"/>
              </w:tabs>
              <w:suppressAutoHyphens/>
              <w:spacing w:before="60" w:after="60" w:line="240" w:lineRule="auto"/>
              <w:jc w:val="left"/>
              <w:rPr>
                <w:rFonts w:ascii="Arial" w:eastAsia="Arial" w:hAnsi="Arial" w:cs="Arial"/>
                <w:b/>
                <w:sz w:val="16"/>
                <w:szCs w:val="16"/>
                <w:lang w:eastAsia="en-US"/>
              </w:rPr>
            </w:pPr>
            <w:r>
              <w:rPr>
                <w:rFonts w:ascii="Arial" w:eastAsia="Arial" w:hAnsi="Arial" w:cs="Arial"/>
                <w:b/>
                <w:sz w:val="16"/>
                <w:szCs w:val="16"/>
                <w:lang w:eastAsia="en-US"/>
              </w:rPr>
              <w:t>Not achieved</w:t>
            </w:r>
            <w:r w:rsidR="003C3F98" w:rsidRPr="004111A7">
              <w:rPr>
                <w:rFonts w:ascii="Arial" w:eastAsia="Arial" w:hAnsi="Arial" w:cs="Arial"/>
                <w:b/>
                <w:sz w:val="16"/>
                <w:szCs w:val="16"/>
                <w:lang w:eastAsia="en-US"/>
              </w:rPr>
              <w:t xml:space="preserve"> and under active management</w:t>
            </w:r>
          </w:p>
          <w:p w14:paraId="7E0E8E95" w14:textId="60147C44" w:rsidR="003C3F98" w:rsidRPr="004111A7" w:rsidRDefault="0069417E" w:rsidP="00704619">
            <w:pPr>
              <w:spacing w:before="60" w:after="60" w:line="240" w:lineRule="auto"/>
              <w:contextualSpacing/>
              <w:jc w:val="left"/>
              <w:rPr>
                <w:rFonts w:ascii="Arial" w:eastAsia="Cambria" w:hAnsi="Arial" w:cs="Arial"/>
                <w:sz w:val="16"/>
                <w:szCs w:val="16"/>
                <w:lang w:eastAsia="en-US"/>
              </w:rPr>
            </w:pPr>
            <w:r w:rsidRPr="00704619">
              <w:rPr>
                <w:rFonts w:ascii="Arial" w:eastAsia="Cambria" w:hAnsi="Arial" w:cs="Arial"/>
                <w:bCs/>
                <w:sz w:val="16"/>
                <w:szCs w:val="16"/>
                <w:lang w:eastAsia="en-US"/>
              </w:rPr>
              <w:t xml:space="preserve">The delivery of </w:t>
            </w:r>
            <w:r w:rsidR="003C3F98" w:rsidRPr="00704619">
              <w:rPr>
                <w:rFonts w:ascii="Arial" w:eastAsia="Cambria" w:hAnsi="Arial" w:cs="Arial"/>
                <w:bCs/>
                <w:sz w:val="16"/>
                <w:szCs w:val="16"/>
                <w:lang w:eastAsia="en-US"/>
              </w:rPr>
              <w:t>increased work expenses functionality by mid-</w:t>
            </w:r>
            <w:r w:rsidR="00F679CB" w:rsidRPr="00704619">
              <w:rPr>
                <w:rFonts w:ascii="Arial" w:eastAsia="Cambria" w:hAnsi="Arial" w:cs="Arial"/>
                <w:bCs/>
                <w:sz w:val="16"/>
                <w:szCs w:val="16"/>
                <w:lang w:eastAsia="en-US"/>
              </w:rPr>
              <w:t>202</w:t>
            </w:r>
            <w:r w:rsidR="00F679CB">
              <w:rPr>
                <w:rFonts w:ascii="Arial" w:eastAsia="Cambria" w:hAnsi="Arial" w:cs="Arial"/>
                <w:bCs/>
                <w:sz w:val="16"/>
                <w:szCs w:val="16"/>
                <w:lang w:eastAsia="en-US"/>
              </w:rPr>
              <w:t>1</w:t>
            </w:r>
            <w:r w:rsidR="00F679CB" w:rsidRPr="00704619">
              <w:rPr>
                <w:rFonts w:ascii="Arial" w:eastAsia="Cambria" w:hAnsi="Arial" w:cs="Arial"/>
                <w:bCs/>
                <w:sz w:val="16"/>
                <w:szCs w:val="16"/>
                <w:lang w:eastAsia="en-US"/>
              </w:rPr>
              <w:t xml:space="preserve"> </w:t>
            </w:r>
            <w:r w:rsidRPr="00704619">
              <w:rPr>
                <w:rFonts w:ascii="Arial" w:eastAsia="Cambria" w:hAnsi="Arial" w:cs="Arial"/>
                <w:bCs/>
                <w:sz w:val="16"/>
                <w:szCs w:val="16"/>
                <w:lang w:eastAsia="en-US"/>
              </w:rPr>
              <w:t xml:space="preserve">is at risk and under active management, with </w:t>
            </w:r>
            <w:r w:rsidR="003C3F98" w:rsidRPr="00EA47F8">
              <w:rPr>
                <w:rFonts w:ascii="Arial" w:eastAsia="Cambria" w:hAnsi="Arial" w:cs="Arial"/>
                <w:sz w:val="16"/>
                <w:szCs w:val="16"/>
                <w:lang w:eastAsia="en-US"/>
              </w:rPr>
              <w:t xml:space="preserve">the release of the work expenses functionality </w:t>
            </w:r>
            <w:r w:rsidR="00F679CB">
              <w:rPr>
                <w:rFonts w:ascii="Arial" w:eastAsia="Cambria" w:hAnsi="Arial" w:cs="Arial"/>
                <w:sz w:val="16"/>
                <w:szCs w:val="16"/>
                <w:lang w:eastAsia="en-US"/>
              </w:rPr>
              <w:t xml:space="preserve">now </w:t>
            </w:r>
            <w:r w:rsidRPr="00EA47F8">
              <w:rPr>
                <w:rFonts w:ascii="Arial" w:eastAsia="Cambria" w:hAnsi="Arial" w:cs="Arial"/>
                <w:sz w:val="16"/>
                <w:szCs w:val="16"/>
                <w:lang w:eastAsia="en-US"/>
              </w:rPr>
              <w:t xml:space="preserve">expected </w:t>
            </w:r>
            <w:r w:rsidR="00E42D80" w:rsidRPr="00EA47F8">
              <w:rPr>
                <w:rFonts w:ascii="Arial" w:eastAsia="Cambria" w:hAnsi="Arial" w:cs="Arial"/>
                <w:sz w:val="16"/>
                <w:szCs w:val="16"/>
                <w:lang w:eastAsia="en-US"/>
              </w:rPr>
              <w:t>no</w:t>
            </w:r>
            <w:r w:rsidR="00E42D80" w:rsidRPr="004111A7">
              <w:rPr>
                <w:rFonts w:ascii="Arial" w:eastAsia="Cambria" w:hAnsi="Arial" w:cs="Arial"/>
                <w:sz w:val="16"/>
                <w:szCs w:val="16"/>
                <w:lang w:eastAsia="en-US"/>
              </w:rPr>
              <w:t xml:space="preserve"> later than mid-2022.</w:t>
            </w:r>
          </w:p>
          <w:p w14:paraId="3A34BD25" w14:textId="0093D3D6" w:rsidR="003C3F98" w:rsidRPr="004111A7" w:rsidRDefault="003C3F98" w:rsidP="00704619">
            <w:pPr>
              <w:suppressAutoHyphens/>
              <w:spacing w:before="60" w:after="60" w:line="240" w:lineRule="auto"/>
              <w:contextualSpacing/>
              <w:jc w:val="left"/>
              <w:rPr>
                <w:rFonts w:ascii="Arial" w:eastAsia="Cambria" w:hAnsi="Arial" w:cs="Arial"/>
                <w:sz w:val="16"/>
                <w:szCs w:val="16"/>
                <w:lang w:eastAsia="en-US"/>
              </w:rPr>
            </w:pPr>
          </w:p>
        </w:tc>
      </w:tr>
    </w:tbl>
    <w:p w14:paraId="6A13484A" w14:textId="4283BEB9" w:rsidR="00936B6F" w:rsidRPr="004111A7" w:rsidRDefault="003C3F98" w:rsidP="003C3F98">
      <w:pPr>
        <w:pStyle w:val="ChartandTableFootnoteAlpha"/>
        <w:numPr>
          <w:ilvl w:val="0"/>
          <w:numId w:val="0"/>
        </w:numPr>
        <w:ind w:left="284" w:hanging="284"/>
      </w:pPr>
      <w:r w:rsidRPr="004111A7">
        <w:t>Table continues on next page</w:t>
      </w:r>
      <w:r w:rsidR="00936B6F" w:rsidRPr="004111A7">
        <w:br w:type="page"/>
      </w:r>
    </w:p>
    <w:p w14:paraId="7022A465" w14:textId="1322AA28" w:rsidR="00DF4D2A" w:rsidRPr="004111A7" w:rsidRDefault="00DF4D2A" w:rsidP="00DF4D2A">
      <w:pPr>
        <w:keepNext/>
        <w:spacing w:after="20" w:line="240" w:lineRule="auto"/>
        <w:jc w:val="left"/>
        <w:rPr>
          <w:rFonts w:ascii="Arial Bold" w:hAnsi="Arial Bold" w:cs="Arial"/>
          <w:b/>
        </w:rPr>
      </w:pPr>
      <w:r w:rsidRPr="004111A7">
        <w:rPr>
          <w:rFonts w:ascii="Arial Bold" w:hAnsi="Arial Bold"/>
          <w:b/>
        </w:rPr>
        <w:lastRenderedPageBreak/>
        <w:t xml:space="preserve">Table 2.3.2: </w:t>
      </w:r>
      <w:r w:rsidR="00280FEA" w:rsidRPr="004111A7">
        <w:rPr>
          <w:rFonts w:ascii="Arial Bold" w:hAnsi="Arial Bold"/>
          <w:b/>
        </w:rPr>
        <w:t>Performance measures</w:t>
      </w:r>
      <w:r w:rsidRPr="004111A7">
        <w:rPr>
          <w:rFonts w:ascii="Arial Bold" w:hAnsi="Arial Bold"/>
          <w:b/>
        </w:rPr>
        <w:t xml:space="preserve"> for Outcome 3 (continued)</w:t>
      </w:r>
    </w:p>
    <w:tbl>
      <w:tblPr>
        <w:tblW w:w="767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2067"/>
        <w:gridCol w:w="4087"/>
      </w:tblGrid>
      <w:tr w:rsidR="00DF4D2A" w:rsidRPr="004111A7" w14:paraId="183F2908" w14:textId="77777777" w:rsidTr="00FF0BAF">
        <w:tc>
          <w:tcPr>
            <w:tcW w:w="7671" w:type="dxa"/>
            <w:gridSpan w:val="3"/>
            <w:tcBorders>
              <w:top w:val="double" w:sz="4" w:space="0" w:color="auto"/>
              <w:bottom w:val="double" w:sz="4" w:space="0" w:color="auto"/>
            </w:tcBorders>
          </w:tcPr>
          <w:p w14:paraId="7C099FAA" w14:textId="77777777" w:rsidR="00DF4D2A" w:rsidRPr="004111A7" w:rsidRDefault="00DF4D2A" w:rsidP="00DF4D2A">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Performance information: Program 3.1 – Ministerial and Parliamentary Services</w:t>
            </w:r>
          </w:p>
        </w:tc>
      </w:tr>
      <w:tr w:rsidR="00DF4D2A" w:rsidRPr="004111A7" w14:paraId="27689596" w14:textId="77777777" w:rsidTr="00FF0BAF">
        <w:tc>
          <w:tcPr>
            <w:tcW w:w="1517" w:type="dxa"/>
            <w:tcBorders>
              <w:top w:val="double" w:sz="4" w:space="0" w:color="auto"/>
              <w:bottom w:val="single" w:sz="4" w:space="0" w:color="auto"/>
              <w:right w:val="single" w:sz="4" w:space="0" w:color="auto"/>
            </w:tcBorders>
          </w:tcPr>
          <w:p w14:paraId="4A15DD84" w14:textId="77777777" w:rsidR="00DF4D2A" w:rsidRPr="004111A7" w:rsidRDefault="00DF4D2A" w:rsidP="00DF4D2A">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067" w:type="dxa"/>
            <w:tcBorders>
              <w:top w:val="double" w:sz="4" w:space="0" w:color="auto"/>
              <w:left w:val="single" w:sz="4" w:space="0" w:color="auto"/>
              <w:bottom w:val="single" w:sz="4" w:space="0" w:color="auto"/>
              <w:right w:val="single" w:sz="4" w:space="0" w:color="auto"/>
            </w:tcBorders>
          </w:tcPr>
          <w:p w14:paraId="43DFE0FA" w14:textId="22D23A9A" w:rsidR="00DF4D2A" w:rsidRPr="004111A7" w:rsidRDefault="00DF4D2A" w:rsidP="00DF4D2A">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007A2DE1">
              <w:rPr>
                <w:rFonts w:ascii="Arial" w:eastAsia="Arial" w:hAnsi="Arial" w:cs="Arial"/>
                <w:b/>
                <w:sz w:val="16"/>
                <w:szCs w:val="16"/>
                <w:lang w:eastAsia="en-US"/>
              </w:rPr>
              <w:t xml:space="preserve"> </w:t>
            </w:r>
            <w:r w:rsidR="007A2DE1" w:rsidRPr="004111A7">
              <w:rPr>
                <w:rFonts w:ascii="Arial" w:eastAsia="Arial" w:hAnsi="Arial" w:cs="Arial"/>
                <w:sz w:val="16"/>
                <w:szCs w:val="16"/>
                <w:lang w:eastAsia="en-US"/>
              </w:rPr>
              <w:t>(a)</w:t>
            </w:r>
          </w:p>
        </w:tc>
        <w:tc>
          <w:tcPr>
            <w:tcW w:w="4087" w:type="dxa"/>
            <w:tcBorders>
              <w:top w:val="double" w:sz="4" w:space="0" w:color="auto"/>
              <w:left w:val="single" w:sz="4" w:space="0" w:color="auto"/>
              <w:bottom w:val="single" w:sz="4" w:space="0" w:color="auto"/>
            </w:tcBorders>
          </w:tcPr>
          <w:p w14:paraId="7EC6B05B" w14:textId="77777777" w:rsidR="00DF4D2A" w:rsidRPr="004111A7" w:rsidRDefault="00DF4D2A" w:rsidP="00DF4D2A">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7711C8" w:rsidRPr="004111A7" w14:paraId="2CA7B4DB" w14:textId="77777777" w:rsidTr="00BC4A13">
        <w:tc>
          <w:tcPr>
            <w:tcW w:w="1517" w:type="dxa"/>
            <w:tcBorders>
              <w:top w:val="dotted" w:sz="4" w:space="0" w:color="auto"/>
              <w:bottom w:val="nil"/>
              <w:right w:val="single" w:sz="4" w:space="0" w:color="auto"/>
            </w:tcBorders>
          </w:tcPr>
          <w:p w14:paraId="23382433" w14:textId="0464E8BD" w:rsidR="007711C8" w:rsidRPr="004111A7" w:rsidRDefault="007711C8" w:rsidP="007711C8">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2021-22</w:t>
            </w:r>
          </w:p>
        </w:tc>
        <w:tc>
          <w:tcPr>
            <w:tcW w:w="2067" w:type="dxa"/>
            <w:tcBorders>
              <w:top w:val="dotted" w:sz="4" w:space="0" w:color="auto"/>
              <w:left w:val="single" w:sz="4" w:space="0" w:color="auto"/>
              <w:bottom w:val="dotted" w:sz="4" w:space="0" w:color="auto"/>
              <w:right w:val="single" w:sz="4" w:space="0" w:color="auto"/>
            </w:tcBorders>
          </w:tcPr>
          <w:p w14:paraId="50439D37" w14:textId="5CDA6F04" w:rsidR="007711C8" w:rsidRPr="004111A7" w:rsidRDefault="007711C8" w:rsidP="007711C8">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bCs/>
                <w:sz w:val="16"/>
                <w:szCs w:val="16"/>
                <w:lang w:eastAsia="en-US"/>
              </w:rPr>
              <w:t>Services meet clients’ needs</w:t>
            </w:r>
          </w:p>
          <w:p w14:paraId="3BD17DB0" w14:textId="4CF32251" w:rsidR="007711C8" w:rsidRPr="004111A7" w:rsidRDefault="007711C8" w:rsidP="007711C8">
            <w:pPr>
              <w:tabs>
                <w:tab w:val="left" w:pos="709"/>
              </w:tabs>
              <w:suppressAutoHyphens/>
              <w:spacing w:before="60" w:after="60" w:line="240" w:lineRule="auto"/>
              <w:jc w:val="left"/>
              <w:rPr>
                <w:rFonts w:ascii="Arial" w:eastAsia="Arial" w:hAnsi="Arial" w:cs="Arial"/>
                <w:b/>
                <w:bCs/>
                <w:sz w:val="16"/>
                <w:szCs w:val="16"/>
                <w:lang w:eastAsia="en-US"/>
              </w:rPr>
            </w:pPr>
            <w:r w:rsidRPr="004111A7">
              <w:rPr>
                <w:rFonts w:ascii="Arial" w:eastAsia="Arial" w:hAnsi="Arial" w:cs="Arial"/>
                <w:sz w:val="16"/>
                <w:szCs w:val="16"/>
                <w:lang w:eastAsia="en-US"/>
              </w:rPr>
              <w:t>Services meet the needs of parliamentarians, their employees and others as required by the Australian Government.</w:t>
            </w:r>
          </w:p>
        </w:tc>
        <w:tc>
          <w:tcPr>
            <w:tcW w:w="4087" w:type="dxa"/>
            <w:tcBorders>
              <w:top w:val="dotted" w:sz="4" w:space="0" w:color="auto"/>
              <w:left w:val="single" w:sz="4" w:space="0" w:color="auto"/>
              <w:bottom w:val="dotted" w:sz="4" w:space="0" w:color="auto"/>
            </w:tcBorders>
          </w:tcPr>
          <w:p w14:paraId="7422A191" w14:textId="77777777" w:rsidR="007711C8" w:rsidRPr="004111A7" w:rsidRDefault="007711C8" w:rsidP="007711C8">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The following service standards are met or exceeded.</w:t>
            </w:r>
          </w:p>
          <w:p w14:paraId="6F9D33C1" w14:textId="77777777" w:rsidR="007711C8" w:rsidRPr="004111A7" w:rsidRDefault="007711C8" w:rsidP="00CA0E8B">
            <w:pPr>
              <w:numPr>
                <w:ilvl w:val="0"/>
                <w:numId w:val="60"/>
              </w:numPr>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Client contacts acknowledged within 24 hours and responded to within agreed timeframes 95% of the time.</w:t>
            </w:r>
          </w:p>
          <w:p w14:paraId="7CD76B85" w14:textId="77777777" w:rsidR="007711C8" w:rsidRPr="004111A7" w:rsidRDefault="007711C8" w:rsidP="00CA0E8B">
            <w:pPr>
              <w:numPr>
                <w:ilvl w:val="0"/>
                <w:numId w:val="60"/>
              </w:numPr>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Payments (including payroll) will be made within agreed timeframes 95% of the time.</w:t>
            </w:r>
          </w:p>
          <w:p w14:paraId="6F44C99F" w14:textId="77777777" w:rsidR="007711C8" w:rsidRPr="004111A7" w:rsidRDefault="007711C8" w:rsidP="00CA0E8B">
            <w:pPr>
              <w:numPr>
                <w:ilvl w:val="0"/>
                <w:numId w:val="60"/>
              </w:numPr>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Office establishment and relocation projects will be delivered in accordance with the National Fitout Standards 100% of the time.</w:t>
            </w:r>
          </w:p>
          <w:p w14:paraId="6ECF9583" w14:textId="3CF7BFCA" w:rsidR="007711C8" w:rsidRPr="004111A7" w:rsidRDefault="007711C8" w:rsidP="00BC4A13">
            <w:pPr>
              <w:numPr>
                <w:ilvl w:val="0"/>
                <w:numId w:val="60"/>
              </w:numPr>
              <w:suppressAutoHyphens/>
              <w:spacing w:before="60" w:after="60" w:line="240" w:lineRule="auto"/>
              <w:contextualSpacing/>
              <w:jc w:val="left"/>
              <w:rPr>
                <w:rFonts w:ascii="Arial" w:eastAsia="Arial" w:hAnsi="Arial" w:cs="Arial"/>
                <w:sz w:val="16"/>
                <w:szCs w:val="16"/>
                <w:lang w:eastAsia="en-US"/>
              </w:rPr>
            </w:pPr>
            <w:r w:rsidRPr="004111A7">
              <w:rPr>
                <w:rFonts w:ascii="Arial" w:eastAsia="Cambria" w:hAnsi="Arial" w:cs="Arial"/>
                <w:sz w:val="16"/>
                <w:szCs w:val="16"/>
                <w:lang w:eastAsia="en-US"/>
              </w:rPr>
              <w:t>COMCAR reservations will be completed without service failure 99% of the time.</w:t>
            </w:r>
          </w:p>
        </w:tc>
      </w:tr>
      <w:tr w:rsidR="00DF4D2A" w:rsidRPr="004111A7" w14:paraId="51C70E90" w14:textId="77777777" w:rsidTr="00BC4A13">
        <w:tc>
          <w:tcPr>
            <w:tcW w:w="1517" w:type="dxa"/>
            <w:tcBorders>
              <w:top w:val="nil"/>
              <w:bottom w:val="dotted" w:sz="4" w:space="0" w:color="auto"/>
              <w:right w:val="single" w:sz="4" w:space="0" w:color="auto"/>
            </w:tcBorders>
          </w:tcPr>
          <w:p w14:paraId="043235D6" w14:textId="77777777" w:rsidR="00DF4D2A" w:rsidRPr="004111A7" w:rsidRDefault="00DF4D2A" w:rsidP="00BC4A13">
            <w:pPr>
              <w:tabs>
                <w:tab w:val="left" w:pos="709"/>
              </w:tabs>
              <w:suppressAutoHyphens/>
              <w:spacing w:before="60" w:after="60" w:line="240" w:lineRule="auto"/>
              <w:jc w:val="left"/>
              <w:rPr>
                <w:rFonts w:ascii="Arial" w:eastAsia="Arial" w:hAnsi="Arial" w:cs="Arial"/>
                <w:sz w:val="16"/>
                <w:szCs w:val="16"/>
                <w:lang w:eastAsia="en-US"/>
              </w:rPr>
            </w:pPr>
          </w:p>
        </w:tc>
        <w:tc>
          <w:tcPr>
            <w:tcW w:w="2067" w:type="dxa"/>
            <w:tcBorders>
              <w:top w:val="dotted" w:sz="4" w:space="0" w:color="auto"/>
              <w:left w:val="single" w:sz="4" w:space="0" w:color="auto"/>
              <w:bottom w:val="dotted" w:sz="4" w:space="0" w:color="auto"/>
              <w:right w:val="single" w:sz="4" w:space="0" w:color="auto"/>
            </w:tcBorders>
          </w:tcPr>
          <w:p w14:paraId="1547FE21" w14:textId="77777777" w:rsidR="00DF4D2A" w:rsidRPr="004111A7" w:rsidRDefault="00DF4D2A" w:rsidP="00DF4D2A">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bCs/>
                <w:sz w:val="16"/>
                <w:szCs w:val="16"/>
                <w:lang w:eastAsia="en-US"/>
              </w:rPr>
              <w:t>Improve administration of parliamentary work expenses</w:t>
            </w:r>
          </w:p>
          <w:p w14:paraId="65E2127C" w14:textId="42E1C159" w:rsidR="00DF4D2A" w:rsidRPr="004111A7" w:rsidRDefault="00DF4D2A" w:rsidP="00DF4D2A">
            <w:pPr>
              <w:tabs>
                <w:tab w:val="left" w:pos="709"/>
              </w:tabs>
              <w:suppressAutoHyphens/>
              <w:spacing w:before="60" w:after="0" w:line="240" w:lineRule="auto"/>
              <w:jc w:val="left"/>
              <w:rPr>
                <w:rFonts w:ascii="Arial" w:eastAsia="Arial" w:hAnsi="Arial" w:cs="Arial"/>
                <w:sz w:val="16"/>
                <w:szCs w:val="16"/>
                <w:vertAlign w:val="superscript"/>
                <w:lang w:eastAsia="en-US"/>
              </w:rPr>
            </w:pPr>
            <w:r w:rsidRPr="004111A7">
              <w:rPr>
                <w:rFonts w:ascii="Arial" w:eastAsia="Arial" w:hAnsi="Arial" w:cs="Arial"/>
                <w:sz w:val="16"/>
                <w:szCs w:val="16"/>
                <w:lang w:eastAsia="en-US"/>
              </w:rPr>
              <w:t>The timeliness, efficiency, clarity and transpa</w:t>
            </w:r>
            <w:r w:rsidR="002457E3" w:rsidRPr="004111A7">
              <w:rPr>
                <w:rFonts w:ascii="Arial" w:eastAsia="Arial" w:hAnsi="Arial" w:cs="Arial"/>
                <w:sz w:val="16"/>
                <w:szCs w:val="16"/>
                <w:lang w:eastAsia="en-US"/>
              </w:rPr>
              <w:t>rency of the administration of p</w:t>
            </w:r>
            <w:r w:rsidRPr="004111A7">
              <w:rPr>
                <w:rFonts w:ascii="Arial" w:eastAsia="Arial" w:hAnsi="Arial" w:cs="Arial"/>
                <w:sz w:val="16"/>
                <w:szCs w:val="16"/>
                <w:lang w:eastAsia="en-US"/>
              </w:rPr>
              <w:t>arliamentary work expenses is improved.</w:t>
            </w:r>
            <w:r w:rsidRPr="004111A7">
              <w:rPr>
                <w:rFonts w:ascii="Arial" w:eastAsia="Arial" w:hAnsi="Arial" w:cs="Arial"/>
                <w:sz w:val="16"/>
                <w:szCs w:val="16"/>
                <w:vertAlign w:val="superscript"/>
                <w:lang w:eastAsia="en-US"/>
              </w:rPr>
              <w:t xml:space="preserve"> </w:t>
            </w:r>
          </w:p>
          <w:p w14:paraId="05ECF1FD" w14:textId="32EA699A" w:rsidR="002457E3" w:rsidRPr="004111A7" w:rsidRDefault="002457E3" w:rsidP="00DF4D2A">
            <w:pPr>
              <w:tabs>
                <w:tab w:val="left" w:pos="709"/>
              </w:tabs>
              <w:suppressAutoHyphens/>
              <w:spacing w:before="60" w:after="0" w:line="240" w:lineRule="auto"/>
              <w:jc w:val="left"/>
              <w:rPr>
                <w:rFonts w:ascii="Arial" w:eastAsia="Arial" w:hAnsi="Arial" w:cs="Arial"/>
                <w:sz w:val="16"/>
                <w:szCs w:val="16"/>
                <w:lang w:eastAsia="en-US"/>
              </w:rPr>
            </w:pPr>
          </w:p>
        </w:tc>
        <w:tc>
          <w:tcPr>
            <w:tcW w:w="4087" w:type="dxa"/>
            <w:tcBorders>
              <w:top w:val="dotted" w:sz="4" w:space="0" w:color="auto"/>
              <w:left w:val="single" w:sz="4" w:space="0" w:color="auto"/>
              <w:bottom w:val="dotted" w:sz="4" w:space="0" w:color="auto"/>
            </w:tcBorders>
          </w:tcPr>
          <w:p w14:paraId="6E0C1AA6" w14:textId="21A505AF" w:rsidR="00DF4D2A" w:rsidRPr="004111A7" w:rsidRDefault="00DF4D2A" w:rsidP="00DF4D2A">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The PEMS delivers increased work expenses functionality by </w:t>
            </w:r>
            <w:r w:rsidRPr="004111A7">
              <w:rPr>
                <w:rFonts w:ascii="Arial" w:eastAsia="Arial" w:hAnsi="Arial" w:cs="Arial"/>
                <w:iCs/>
                <w:sz w:val="16"/>
                <w:szCs w:val="16"/>
                <w:lang w:eastAsia="en-US"/>
              </w:rPr>
              <w:t>mid-2022</w:t>
            </w:r>
            <w:r w:rsidRPr="004111A7">
              <w:rPr>
                <w:rFonts w:ascii="Arial" w:eastAsia="Arial" w:hAnsi="Arial" w:cs="Arial"/>
                <w:i/>
                <w:iCs/>
                <w:sz w:val="16"/>
                <w:szCs w:val="16"/>
                <w:lang w:eastAsia="en-US"/>
              </w:rPr>
              <w:t>.</w:t>
            </w:r>
          </w:p>
          <w:p w14:paraId="616744CB" w14:textId="77777777" w:rsidR="00DF4D2A" w:rsidRPr="004111A7" w:rsidRDefault="00DF4D2A" w:rsidP="00DF4D2A">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Increased usage of PEMS by parliamentarians and their staff.</w:t>
            </w:r>
          </w:p>
        </w:tc>
      </w:tr>
      <w:tr w:rsidR="00DF4D2A" w:rsidRPr="004111A7" w14:paraId="3FDCFB7A" w14:textId="77777777" w:rsidTr="00FF0BAF">
        <w:tc>
          <w:tcPr>
            <w:tcW w:w="1517" w:type="dxa"/>
            <w:tcBorders>
              <w:top w:val="dotted" w:sz="4" w:space="0" w:color="auto"/>
              <w:right w:val="single" w:sz="4" w:space="0" w:color="auto"/>
            </w:tcBorders>
          </w:tcPr>
          <w:p w14:paraId="5C869CF4" w14:textId="77777777" w:rsidR="00DF4D2A" w:rsidRPr="004111A7" w:rsidRDefault="00DF4D2A" w:rsidP="00DF4D2A">
            <w:pPr>
              <w:tabs>
                <w:tab w:val="left" w:pos="709"/>
              </w:tabs>
              <w:suppressAutoHyphens/>
              <w:spacing w:before="60" w:after="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2022-23 and beyond</w:t>
            </w:r>
          </w:p>
        </w:tc>
        <w:tc>
          <w:tcPr>
            <w:tcW w:w="2067" w:type="dxa"/>
            <w:tcBorders>
              <w:top w:val="dotted" w:sz="4" w:space="0" w:color="auto"/>
              <w:left w:val="single" w:sz="4" w:space="0" w:color="auto"/>
              <w:right w:val="single" w:sz="4" w:space="0" w:color="auto"/>
            </w:tcBorders>
          </w:tcPr>
          <w:p w14:paraId="33401309" w14:textId="3A99ECD1" w:rsidR="00DF4D2A" w:rsidRPr="004111A7" w:rsidRDefault="00DF4D2A" w:rsidP="00DF4D2A">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As per 2021-22</w:t>
            </w:r>
            <w:r w:rsidR="00936B6F" w:rsidRPr="004111A7">
              <w:rPr>
                <w:rFonts w:ascii="Arial" w:eastAsia="Arial" w:hAnsi="Arial" w:cs="Arial"/>
                <w:sz w:val="16"/>
                <w:szCs w:val="16"/>
                <w:lang w:eastAsia="en-US"/>
              </w:rPr>
              <w:t>.</w:t>
            </w:r>
          </w:p>
        </w:tc>
        <w:tc>
          <w:tcPr>
            <w:tcW w:w="4087" w:type="dxa"/>
            <w:tcBorders>
              <w:top w:val="dotted" w:sz="4" w:space="0" w:color="auto"/>
              <w:left w:val="single" w:sz="4" w:space="0" w:color="auto"/>
            </w:tcBorders>
          </w:tcPr>
          <w:p w14:paraId="3C27044E" w14:textId="0D3C69CB" w:rsidR="00DF4D2A" w:rsidRPr="004111A7" w:rsidRDefault="00DF4D2A" w:rsidP="00DF4D2A">
            <w:pPr>
              <w:tabs>
                <w:tab w:val="left" w:pos="709"/>
              </w:tabs>
              <w:suppressAutoHyphens/>
              <w:spacing w:before="60" w:after="0" w:line="240" w:lineRule="auto"/>
              <w:jc w:val="left"/>
              <w:rPr>
                <w:rFonts w:ascii="Arial" w:eastAsia="Arial" w:hAnsi="Arial" w:cs="Arial"/>
                <w:i/>
                <w:sz w:val="16"/>
                <w:szCs w:val="16"/>
                <w:lang w:eastAsia="en-US"/>
              </w:rPr>
            </w:pPr>
            <w:r w:rsidRPr="004111A7">
              <w:rPr>
                <w:rFonts w:ascii="Arial" w:eastAsia="Arial" w:hAnsi="Arial" w:cs="Arial"/>
                <w:sz w:val="16"/>
                <w:szCs w:val="16"/>
                <w:lang w:eastAsia="en-US"/>
              </w:rPr>
              <w:t>As per 2021-22</w:t>
            </w:r>
            <w:r w:rsidR="00936B6F" w:rsidRPr="004111A7">
              <w:rPr>
                <w:rFonts w:ascii="Arial" w:eastAsia="Arial" w:hAnsi="Arial" w:cs="Arial"/>
                <w:sz w:val="16"/>
                <w:szCs w:val="16"/>
                <w:lang w:eastAsia="en-US"/>
              </w:rPr>
              <w:t>.</w:t>
            </w:r>
          </w:p>
        </w:tc>
      </w:tr>
      <w:tr w:rsidR="00DF4D2A" w:rsidRPr="004111A7" w14:paraId="606D132E" w14:textId="77777777" w:rsidTr="00FF0BAF">
        <w:tc>
          <w:tcPr>
            <w:tcW w:w="1517" w:type="dxa"/>
          </w:tcPr>
          <w:p w14:paraId="1BA85AAE" w14:textId="77777777" w:rsidR="00DF4D2A" w:rsidRPr="004111A7" w:rsidRDefault="00DF4D2A" w:rsidP="00DF4D2A">
            <w:pPr>
              <w:tabs>
                <w:tab w:val="left" w:pos="709"/>
              </w:tabs>
              <w:suppressAutoHyphens/>
              <w:spacing w:before="60" w:afterLines="60" w:after="144"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Purpose</w:t>
            </w:r>
          </w:p>
        </w:tc>
        <w:tc>
          <w:tcPr>
            <w:tcW w:w="6154" w:type="dxa"/>
            <w:gridSpan w:val="2"/>
          </w:tcPr>
          <w:p w14:paraId="24AB7325" w14:textId="77777777" w:rsidR="00DF4D2A" w:rsidRPr="004111A7" w:rsidRDefault="00DF4D2A" w:rsidP="00DF4D2A">
            <w:pPr>
              <w:tabs>
                <w:tab w:val="left" w:pos="709"/>
              </w:tabs>
              <w:suppressAutoHyphens/>
              <w:spacing w:before="60" w:afterLines="60" w:after="144"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To assist the Australian Government to achieve its fiscal and policy objectives by advising on expenditure, managing sustainable public sector resourcing, driving public sector transformation and delivering efficient, cost-effective services to, and for, government.</w:t>
            </w:r>
          </w:p>
        </w:tc>
      </w:tr>
    </w:tbl>
    <w:p w14:paraId="07436BA1" w14:textId="77777777" w:rsidR="00552488" w:rsidRDefault="00552488" w:rsidP="00456B4A">
      <w:pPr>
        <w:keepNext/>
        <w:keepLines/>
        <w:suppressAutoHyphens/>
        <w:spacing w:after="0" w:line="240" w:lineRule="auto"/>
        <w:ind w:left="400" w:hanging="400"/>
        <w:contextualSpacing/>
        <w:jc w:val="left"/>
        <w:outlineLvl w:val="1"/>
        <w:rPr>
          <w:rFonts w:ascii="Arial" w:hAnsi="Arial"/>
          <w:color w:val="1C1C1C"/>
          <w:sz w:val="16"/>
          <w:szCs w:val="16"/>
          <w:lang w:eastAsia="en-US"/>
        </w:rPr>
      </w:pPr>
      <w:r w:rsidRPr="00456B4A">
        <w:rPr>
          <w:rFonts w:ascii="Arial" w:hAnsi="Arial"/>
          <w:color w:val="1C1C1C"/>
          <w:sz w:val="16"/>
          <w:szCs w:val="16"/>
          <w:lang w:eastAsia="en-US"/>
        </w:rPr>
        <w:t>(a)</w:t>
      </w:r>
      <w:r w:rsidRPr="00456B4A">
        <w:rPr>
          <w:rFonts w:ascii="Arial" w:hAnsi="Arial"/>
          <w:color w:val="1C1C1C"/>
          <w:sz w:val="16"/>
          <w:szCs w:val="16"/>
          <w:lang w:eastAsia="en-US"/>
        </w:rPr>
        <w:tab/>
        <w:t>The complete suite of performance measures are detailed in Finance’s Corporate Plan 2020-21 and are reported in the Annual Performance Statements.</w:t>
      </w:r>
    </w:p>
    <w:p w14:paraId="48D0E808" w14:textId="6508376E" w:rsidR="00DF4D2A" w:rsidRPr="00456B4A" w:rsidRDefault="00DF4D2A" w:rsidP="00456B4A">
      <w:pPr>
        <w:keepNext/>
        <w:keepLines/>
        <w:suppressAutoHyphens/>
        <w:spacing w:after="0" w:line="240" w:lineRule="auto"/>
        <w:contextualSpacing/>
        <w:jc w:val="left"/>
        <w:outlineLvl w:val="1"/>
        <w:rPr>
          <w:rFonts w:ascii="Arial" w:hAnsi="Arial"/>
          <w:color w:val="1C1C1C"/>
          <w:sz w:val="16"/>
          <w:szCs w:val="16"/>
          <w:lang w:eastAsia="en-US"/>
        </w:rPr>
      </w:pPr>
      <w:r w:rsidRPr="00456B4A">
        <w:rPr>
          <w:rFonts w:ascii="Arial" w:hAnsi="Arial"/>
          <w:color w:val="1C1C1C"/>
          <w:sz w:val="16"/>
          <w:szCs w:val="16"/>
          <w:lang w:eastAsia="en-US"/>
        </w:rPr>
        <w:br w:type="page"/>
      </w:r>
    </w:p>
    <w:p w14:paraId="2CCE6976" w14:textId="31352081" w:rsidR="002F530C" w:rsidRPr="004111A7" w:rsidRDefault="002F530C" w:rsidP="00AD42E2">
      <w:pPr>
        <w:pStyle w:val="Heading2"/>
      </w:pPr>
      <w:bookmarkStart w:id="64" w:name="_Toc444523516"/>
      <w:bookmarkStart w:id="65" w:name="_Toc69382431"/>
      <w:bookmarkStart w:id="66" w:name="_Toc69385031"/>
      <w:bookmarkStart w:id="67" w:name="_Toc69385105"/>
      <w:bookmarkStart w:id="68" w:name="_Toc69735832"/>
      <w:bookmarkStart w:id="69" w:name="_Toc70603477"/>
      <w:r w:rsidRPr="004111A7">
        <w:lastRenderedPageBreak/>
        <w:t>Section 3: Budgeted financial statements</w:t>
      </w:r>
      <w:bookmarkEnd w:id="64"/>
      <w:bookmarkEnd w:id="65"/>
      <w:bookmarkEnd w:id="66"/>
      <w:bookmarkEnd w:id="67"/>
      <w:bookmarkEnd w:id="68"/>
      <w:bookmarkEnd w:id="69"/>
    </w:p>
    <w:p w14:paraId="05B0A338" w14:textId="1F287DF6" w:rsidR="00A6388E" w:rsidRPr="004111A7" w:rsidRDefault="00CF5085" w:rsidP="005328A9">
      <w:r w:rsidRPr="004111A7">
        <w:t>Section 3</w:t>
      </w:r>
      <w:r w:rsidR="0027614D" w:rsidRPr="004111A7">
        <w:t xml:space="preserve"> presents budgeted financial statements which provide a comprehensive snapshot of</w:t>
      </w:r>
      <w:r w:rsidR="001B03CC" w:rsidRPr="004111A7">
        <w:t xml:space="preserve"> entity </w:t>
      </w:r>
      <w:r w:rsidR="0027614D" w:rsidRPr="004111A7">
        <w:t xml:space="preserve">finances for the </w:t>
      </w:r>
      <w:r w:rsidR="002A1CC2" w:rsidRPr="004111A7">
        <w:t>2021-22</w:t>
      </w:r>
      <w:r w:rsidR="00294E5F" w:rsidRPr="004111A7">
        <w:rPr>
          <w:color w:val="00B050"/>
        </w:rPr>
        <w:t xml:space="preserve"> </w:t>
      </w:r>
      <w:r w:rsidR="00202458">
        <w:t>B</w:t>
      </w:r>
      <w:r w:rsidR="0027614D" w:rsidRPr="004111A7">
        <w:t>udget year</w:t>
      </w:r>
      <w:r w:rsidR="007118AC" w:rsidRPr="004111A7">
        <w:t xml:space="preserve">, including the impact of </w:t>
      </w:r>
      <w:r w:rsidR="00202458">
        <w:t>B</w:t>
      </w:r>
      <w:r w:rsidR="007118AC" w:rsidRPr="004111A7">
        <w:t>udget measures and resourcing on financial statements</w:t>
      </w:r>
      <w:r w:rsidR="00B04964" w:rsidRPr="004111A7">
        <w:t>.</w:t>
      </w:r>
    </w:p>
    <w:p w14:paraId="64725C88" w14:textId="77777777" w:rsidR="00E4582E" w:rsidRPr="004111A7" w:rsidRDefault="007118AC" w:rsidP="005328A9">
      <w:pPr>
        <w:pStyle w:val="Heading3"/>
      </w:pPr>
      <w:bookmarkStart w:id="70" w:name="_Toc190682317"/>
      <w:bookmarkStart w:id="71" w:name="_Toc444523517"/>
      <w:bookmarkStart w:id="72" w:name="_Toc69382432"/>
      <w:bookmarkStart w:id="73" w:name="_Toc69385032"/>
      <w:bookmarkStart w:id="74" w:name="_Toc69385106"/>
      <w:bookmarkStart w:id="75" w:name="_Toc69735833"/>
      <w:bookmarkStart w:id="76" w:name="_Toc70603478"/>
      <w:r w:rsidRPr="004111A7">
        <w:t>3.1</w:t>
      </w:r>
      <w:r w:rsidR="00E4582E" w:rsidRPr="004111A7">
        <w:tab/>
        <w:t>Budgeted financial statements</w:t>
      </w:r>
      <w:bookmarkEnd w:id="70"/>
      <w:bookmarkEnd w:id="71"/>
      <w:bookmarkEnd w:id="72"/>
      <w:bookmarkEnd w:id="73"/>
      <w:bookmarkEnd w:id="74"/>
      <w:bookmarkEnd w:id="75"/>
      <w:bookmarkEnd w:id="76"/>
    </w:p>
    <w:p w14:paraId="1254A84C" w14:textId="77777777" w:rsidR="00E4582E" w:rsidRPr="004111A7" w:rsidRDefault="00A23BC2" w:rsidP="00E4582E">
      <w:pPr>
        <w:pStyle w:val="Heading4"/>
      </w:pPr>
      <w:r w:rsidRPr="004111A7">
        <w:t>3.</w:t>
      </w:r>
      <w:r w:rsidR="007118AC" w:rsidRPr="004111A7">
        <w:t>1</w:t>
      </w:r>
      <w:r w:rsidRPr="004111A7">
        <w:t>.1</w:t>
      </w:r>
      <w:r w:rsidR="005F29CD" w:rsidRPr="004111A7">
        <w:tab/>
      </w:r>
      <w:r w:rsidR="00E4582E" w:rsidRPr="004111A7">
        <w:t xml:space="preserve">Differences </w:t>
      </w:r>
      <w:r w:rsidR="007118AC" w:rsidRPr="004111A7">
        <w:t>between</w:t>
      </w:r>
      <w:r w:rsidR="00E4582E" w:rsidRPr="004111A7">
        <w:t xml:space="preserve"> </w:t>
      </w:r>
      <w:r w:rsidR="000216BF" w:rsidRPr="004111A7">
        <w:t>entity resourcing and financial statements</w:t>
      </w:r>
    </w:p>
    <w:p w14:paraId="4F971AAB" w14:textId="0A247CF2" w:rsidR="00E4582E" w:rsidRPr="004111A7" w:rsidRDefault="00A546BE" w:rsidP="00A546BE">
      <w:pPr>
        <w:pStyle w:val="ExampleText0"/>
        <w:spacing w:after="160"/>
        <w:rPr>
          <w:i w:val="0"/>
          <w:color w:val="auto"/>
        </w:rPr>
      </w:pPr>
      <w:r w:rsidRPr="004111A7">
        <w:rPr>
          <w:i w:val="0"/>
          <w:color w:val="auto"/>
        </w:rPr>
        <w:t xml:space="preserve">No material differences exist between entity resourcing and the financial statements. </w:t>
      </w:r>
    </w:p>
    <w:p w14:paraId="72E6F94B" w14:textId="77777777" w:rsidR="00E4582E" w:rsidRPr="004111A7" w:rsidRDefault="00A23BC2" w:rsidP="00E4582E">
      <w:pPr>
        <w:pStyle w:val="Heading4"/>
      </w:pPr>
      <w:r w:rsidRPr="004111A7">
        <w:t>3.</w:t>
      </w:r>
      <w:r w:rsidR="007118AC" w:rsidRPr="004111A7">
        <w:t>1</w:t>
      </w:r>
      <w:r w:rsidRPr="004111A7">
        <w:t>.2</w:t>
      </w:r>
      <w:r w:rsidR="005F29CD" w:rsidRPr="004111A7">
        <w:tab/>
      </w:r>
      <w:r w:rsidR="003B7C64" w:rsidRPr="004111A7">
        <w:t xml:space="preserve">Explanatory notes and analysis </w:t>
      </w:r>
      <w:r w:rsidR="00E4582E" w:rsidRPr="004111A7">
        <w:t xml:space="preserve">of </w:t>
      </w:r>
      <w:r w:rsidR="000216BF" w:rsidRPr="004111A7">
        <w:t>budgeted financial statements</w:t>
      </w:r>
    </w:p>
    <w:p w14:paraId="123C557F" w14:textId="4EF8F1D1" w:rsidR="00A546BE" w:rsidRPr="004111A7" w:rsidRDefault="00A2539B" w:rsidP="00A546BE">
      <w:pPr>
        <w:pStyle w:val="ExampleText0"/>
        <w:rPr>
          <w:rFonts w:ascii="Arial" w:hAnsi="Arial" w:cs="Arial"/>
          <w:b/>
          <w:i w:val="0"/>
          <w:color w:val="auto"/>
        </w:rPr>
      </w:pPr>
      <w:r>
        <w:rPr>
          <w:rFonts w:ascii="Arial" w:hAnsi="Arial" w:cs="Arial"/>
          <w:b/>
          <w:i w:val="0"/>
          <w:color w:val="auto"/>
        </w:rPr>
        <w:t>C</w:t>
      </w:r>
      <w:r w:rsidR="00A546BE" w:rsidRPr="004111A7">
        <w:rPr>
          <w:rFonts w:ascii="Arial" w:hAnsi="Arial" w:cs="Arial"/>
          <w:b/>
          <w:i w:val="0"/>
          <w:color w:val="auto"/>
        </w:rPr>
        <w:t xml:space="preserve">omprehensive </w:t>
      </w:r>
      <w:r w:rsidR="00202458">
        <w:rPr>
          <w:rFonts w:ascii="Arial" w:hAnsi="Arial" w:cs="Arial"/>
          <w:b/>
          <w:i w:val="0"/>
          <w:color w:val="auto"/>
        </w:rPr>
        <w:t>i</w:t>
      </w:r>
      <w:r w:rsidR="00A546BE" w:rsidRPr="004111A7">
        <w:rPr>
          <w:rFonts w:ascii="Arial" w:hAnsi="Arial" w:cs="Arial"/>
          <w:b/>
          <w:i w:val="0"/>
          <w:color w:val="auto"/>
        </w:rPr>
        <w:t xml:space="preserve">ncome </w:t>
      </w:r>
      <w:r w:rsidR="00202458">
        <w:rPr>
          <w:rFonts w:ascii="Arial" w:hAnsi="Arial" w:cs="Arial"/>
          <w:b/>
          <w:i w:val="0"/>
          <w:color w:val="auto"/>
        </w:rPr>
        <w:t xml:space="preserve">statement </w:t>
      </w:r>
      <w:r w:rsidR="00A546BE" w:rsidRPr="004111A7">
        <w:rPr>
          <w:rFonts w:ascii="Arial" w:hAnsi="Arial" w:cs="Arial"/>
          <w:b/>
          <w:i w:val="0"/>
          <w:color w:val="auto"/>
        </w:rPr>
        <w:t xml:space="preserve">– Departmental </w:t>
      </w:r>
    </w:p>
    <w:p w14:paraId="2FA8AF6C" w14:textId="24F97771" w:rsidR="00A546BE" w:rsidRPr="004111A7" w:rsidRDefault="00A546BE" w:rsidP="00A546BE">
      <w:pPr>
        <w:pStyle w:val="ExampleText0"/>
        <w:rPr>
          <w:rFonts w:ascii="Arial" w:hAnsi="Arial" w:cs="Arial"/>
          <w:b/>
          <w:i w:val="0"/>
          <w:color w:val="auto"/>
        </w:rPr>
      </w:pPr>
      <w:r w:rsidRPr="004111A7">
        <w:rPr>
          <w:rFonts w:ascii="Arial" w:hAnsi="Arial" w:cs="Arial"/>
          <w:b/>
          <w:i w:val="0"/>
          <w:color w:val="auto"/>
        </w:rPr>
        <w:t>2021-22</w:t>
      </w:r>
    </w:p>
    <w:p w14:paraId="755E843E" w14:textId="62CBA898" w:rsidR="00A546BE" w:rsidRPr="004111A7" w:rsidRDefault="00A546BE" w:rsidP="00A546BE">
      <w:pPr>
        <w:pStyle w:val="ExampleText0"/>
        <w:jc w:val="both"/>
        <w:rPr>
          <w:rFonts w:ascii="Arial" w:hAnsi="Arial" w:cs="Arial"/>
          <w:b/>
          <w:i w:val="0"/>
          <w:color w:val="auto"/>
        </w:rPr>
      </w:pPr>
      <w:r w:rsidRPr="004111A7">
        <w:rPr>
          <w:i w:val="0"/>
          <w:iCs/>
          <w:color w:val="auto"/>
        </w:rPr>
        <w:t>Finance is forecasting expe</w:t>
      </w:r>
      <w:r w:rsidR="002E663F" w:rsidRPr="004111A7">
        <w:rPr>
          <w:i w:val="0"/>
          <w:iCs/>
          <w:color w:val="auto"/>
        </w:rPr>
        <w:t xml:space="preserve">nses of </w:t>
      </w:r>
      <w:r w:rsidR="00FE4C0F">
        <w:rPr>
          <w:i w:val="0"/>
          <w:iCs/>
          <w:color w:val="auto"/>
        </w:rPr>
        <w:t>$579</w:t>
      </w:r>
      <w:r w:rsidR="002E663F" w:rsidRPr="004111A7">
        <w:rPr>
          <w:i w:val="0"/>
          <w:iCs/>
          <w:color w:val="auto"/>
        </w:rPr>
        <w:t>.</w:t>
      </w:r>
      <w:r w:rsidR="00A35C7C">
        <w:rPr>
          <w:i w:val="0"/>
          <w:iCs/>
          <w:color w:val="auto"/>
        </w:rPr>
        <w:t>8</w:t>
      </w:r>
      <w:r w:rsidR="002E663F" w:rsidRPr="004111A7">
        <w:rPr>
          <w:i w:val="0"/>
          <w:iCs/>
          <w:color w:val="auto"/>
        </w:rPr>
        <w:t xml:space="preserve"> million in 2021</w:t>
      </w:r>
      <w:r w:rsidRPr="004111A7">
        <w:rPr>
          <w:i w:val="0"/>
          <w:iCs/>
          <w:color w:val="auto"/>
        </w:rPr>
        <w:t>-2</w:t>
      </w:r>
      <w:r w:rsidR="002E663F" w:rsidRPr="004111A7">
        <w:rPr>
          <w:i w:val="0"/>
          <w:iCs/>
          <w:color w:val="auto"/>
        </w:rPr>
        <w:t>2, an increase from the $546.7 million forecast in the 2020</w:t>
      </w:r>
      <w:r w:rsidRPr="004111A7">
        <w:rPr>
          <w:i w:val="0"/>
          <w:iCs/>
          <w:color w:val="auto"/>
        </w:rPr>
        <w:t>-2</w:t>
      </w:r>
      <w:r w:rsidR="002E663F" w:rsidRPr="004111A7">
        <w:rPr>
          <w:i w:val="0"/>
          <w:iCs/>
          <w:color w:val="auto"/>
        </w:rPr>
        <w:t>1</w:t>
      </w:r>
      <w:r w:rsidRPr="004111A7">
        <w:rPr>
          <w:i w:val="0"/>
          <w:iCs/>
          <w:color w:val="auto"/>
        </w:rPr>
        <w:t xml:space="preserve"> Portfolio Additional Estimates Statements (PAES). This is primarily due to</w:t>
      </w:r>
      <w:r w:rsidR="0031297D" w:rsidRPr="004111A7">
        <w:rPr>
          <w:i w:val="0"/>
          <w:iCs/>
          <w:color w:val="auto"/>
        </w:rPr>
        <w:t xml:space="preserve"> an increase in budgeted supplier expenses.</w:t>
      </w:r>
    </w:p>
    <w:p w14:paraId="46043FB3" w14:textId="67AA4742" w:rsidR="00A546BE" w:rsidRPr="004111A7" w:rsidRDefault="00A546BE" w:rsidP="00A546BE">
      <w:pPr>
        <w:pStyle w:val="ExampleText0"/>
        <w:jc w:val="both"/>
        <w:rPr>
          <w:i w:val="0"/>
          <w:iCs/>
          <w:color w:val="auto"/>
        </w:rPr>
      </w:pPr>
      <w:r w:rsidRPr="004111A7">
        <w:rPr>
          <w:i w:val="0"/>
          <w:iCs/>
          <w:color w:val="auto"/>
        </w:rPr>
        <w:t>Finance is forecasting</w:t>
      </w:r>
      <w:r w:rsidR="002E663F" w:rsidRPr="004111A7">
        <w:rPr>
          <w:i w:val="0"/>
          <w:iCs/>
          <w:color w:val="auto"/>
        </w:rPr>
        <w:t xml:space="preserve"> total own source income of </w:t>
      </w:r>
      <w:r w:rsidR="002E663F" w:rsidRPr="002D0E22">
        <w:rPr>
          <w:i w:val="0"/>
          <w:iCs/>
          <w:color w:val="auto"/>
        </w:rPr>
        <w:t>$3</w:t>
      </w:r>
      <w:r w:rsidR="002D0E22" w:rsidRPr="0051600C">
        <w:rPr>
          <w:i w:val="0"/>
          <w:iCs/>
          <w:color w:val="auto"/>
        </w:rPr>
        <w:t>49.4</w:t>
      </w:r>
      <w:r w:rsidRPr="002D0E22">
        <w:rPr>
          <w:i w:val="0"/>
          <w:iCs/>
          <w:color w:val="auto"/>
        </w:rPr>
        <w:t xml:space="preserve"> mi</w:t>
      </w:r>
      <w:r w:rsidR="002E663F" w:rsidRPr="002D0E22">
        <w:rPr>
          <w:i w:val="0"/>
          <w:iCs/>
          <w:color w:val="auto"/>
        </w:rPr>
        <w:t>llion, a</w:t>
      </w:r>
      <w:r w:rsidR="002D0E22" w:rsidRPr="0051600C">
        <w:rPr>
          <w:i w:val="0"/>
          <w:iCs/>
          <w:color w:val="auto"/>
        </w:rPr>
        <w:t>n</w:t>
      </w:r>
      <w:r w:rsidR="002E663F" w:rsidRPr="002D0E22">
        <w:rPr>
          <w:i w:val="0"/>
          <w:iCs/>
          <w:color w:val="auto"/>
        </w:rPr>
        <w:t xml:space="preserve"> </w:t>
      </w:r>
      <w:r w:rsidR="002D0E22" w:rsidRPr="0051600C">
        <w:rPr>
          <w:i w:val="0"/>
          <w:iCs/>
          <w:color w:val="auto"/>
        </w:rPr>
        <w:t xml:space="preserve">increase </w:t>
      </w:r>
      <w:r w:rsidR="002E663F" w:rsidRPr="002D0E22">
        <w:rPr>
          <w:i w:val="0"/>
          <w:iCs/>
          <w:color w:val="auto"/>
        </w:rPr>
        <w:t>from the $33</w:t>
      </w:r>
      <w:r w:rsidR="002D0E22" w:rsidRPr="002D0E22">
        <w:rPr>
          <w:i w:val="0"/>
          <w:iCs/>
          <w:color w:val="auto"/>
        </w:rPr>
        <w:t>3.0</w:t>
      </w:r>
      <w:r w:rsidR="002E663F" w:rsidRPr="002D0E22">
        <w:rPr>
          <w:i w:val="0"/>
          <w:iCs/>
          <w:color w:val="auto"/>
        </w:rPr>
        <w:t> million forecast in the 2020</w:t>
      </w:r>
      <w:r w:rsidRPr="002D0E22">
        <w:rPr>
          <w:i w:val="0"/>
          <w:iCs/>
          <w:color w:val="auto"/>
        </w:rPr>
        <w:t>-2</w:t>
      </w:r>
      <w:r w:rsidR="002E663F" w:rsidRPr="002D0E22">
        <w:rPr>
          <w:i w:val="0"/>
          <w:iCs/>
          <w:color w:val="auto"/>
        </w:rPr>
        <w:t>1</w:t>
      </w:r>
      <w:r w:rsidRPr="002D0E22">
        <w:rPr>
          <w:i w:val="0"/>
          <w:iCs/>
          <w:color w:val="auto"/>
        </w:rPr>
        <w:t xml:space="preserve"> PAES. This is </w:t>
      </w:r>
      <w:r w:rsidR="00470E41" w:rsidRPr="002D0E22">
        <w:rPr>
          <w:i w:val="0"/>
          <w:iCs/>
          <w:color w:val="auto"/>
        </w:rPr>
        <w:t xml:space="preserve">mainly </w:t>
      </w:r>
      <w:r w:rsidRPr="002D0E22">
        <w:rPr>
          <w:i w:val="0"/>
          <w:iCs/>
          <w:color w:val="auto"/>
        </w:rPr>
        <w:t xml:space="preserve">due </w:t>
      </w:r>
      <w:r w:rsidR="00202458">
        <w:rPr>
          <w:i w:val="0"/>
          <w:iCs/>
          <w:color w:val="auto"/>
        </w:rPr>
        <w:t xml:space="preserve">to </w:t>
      </w:r>
      <w:r w:rsidR="002D0E22" w:rsidRPr="0051600C">
        <w:rPr>
          <w:i w:val="0"/>
          <w:iCs/>
          <w:color w:val="auto"/>
        </w:rPr>
        <w:t>an</w:t>
      </w:r>
      <w:r w:rsidR="002D0E22" w:rsidRPr="002D0E22">
        <w:rPr>
          <w:i w:val="0"/>
          <w:iCs/>
          <w:color w:val="auto"/>
        </w:rPr>
        <w:t xml:space="preserve"> </w:t>
      </w:r>
      <w:r w:rsidR="002D0E22" w:rsidRPr="0051600C">
        <w:rPr>
          <w:i w:val="0"/>
          <w:iCs/>
          <w:color w:val="auto"/>
        </w:rPr>
        <w:t>increase</w:t>
      </w:r>
      <w:r w:rsidR="002D0E22" w:rsidRPr="002D0E22">
        <w:rPr>
          <w:i w:val="0"/>
          <w:iCs/>
          <w:color w:val="auto"/>
        </w:rPr>
        <w:t xml:space="preserve"> </w:t>
      </w:r>
      <w:r w:rsidR="00470E41" w:rsidRPr="002D0E22">
        <w:rPr>
          <w:i w:val="0"/>
          <w:iCs/>
          <w:color w:val="auto"/>
        </w:rPr>
        <w:t xml:space="preserve">in </w:t>
      </w:r>
      <w:r w:rsidR="002D0E22" w:rsidRPr="002D0E22">
        <w:rPr>
          <w:i w:val="0"/>
          <w:iCs/>
          <w:color w:val="auto"/>
        </w:rPr>
        <w:t>gains from sale of assets</w:t>
      </w:r>
      <w:r w:rsidRPr="002D0E22">
        <w:rPr>
          <w:i w:val="0"/>
          <w:iCs/>
          <w:color w:val="auto"/>
        </w:rPr>
        <w:t>.</w:t>
      </w:r>
    </w:p>
    <w:p w14:paraId="2C0C9590" w14:textId="4054ED97" w:rsidR="00A546BE" w:rsidRPr="004111A7" w:rsidRDefault="00A546BE" w:rsidP="00A546BE">
      <w:pPr>
        <w:pStyle w:val="ExampleText0"/>
        <w:jc w:val="both"/>
        <w:rPr>
          <w:i w:val="0"/>
          <w:iCs/>
          <w:color w:val="auto"/>
        </w:rPr>
      </w:pPr>
      <w:r w:rsidRPr="004111A7">
        <w:rPr>
          <w:i w:val="0"/>
          <w:iCs/>
          <w:color w:val="auto"/>
        </w:rPr>
        <w:t>Finance is budgeting for a surplus of $</w:t>
      </w:r>
      <w:r w:rsidR="002E663F" w:rsidRPr="004111A7">
        <w:rPr>
          <w:i w:val="0"/>
          <w:iCs/>
          <w:color w:val="auto"/>
        </w:rPr>
        <w:t>29.3</w:t>
      </w:r>
      <w:r w:rsidRPr="004111A7">
        <w:rPr>
          <w:i w:val="0"/>
          <w:iCs/>
          <w:color w:val="auto"/>
        </w:rPr>
        <w:t xml:space="preserve"> </w:t>
      </w:r>
      <w:r w:rsidR="002E663F" w:rsidRPr="004111A7">
        <w:rPr>
          <w:i w:val="0"/>
          <w:iCs/>
          <w:color w:val="auto"/>
        </w:rPr>
        <w:t>million, a</w:t>
      </w:r>
      <w:r w:rsidR="00E725E4" w:rsidRPr="004111A7">
        <w:rPr>
          <w:i w:val="0"/>
          <w:iCs/>
          <w:color w:val="auto"/>
        </w:rPr>
        <w:t>n</w:t>
      </w:r>
      <w:r w:rsidR="002E663F" w:rsidRPr="004111A7">
        <w:rPr>
          <w:i w:val="0"/>
          <w:iCs/>
          <w:color w:val="auto"/>
        </w:rPr>
        <w:t xml:space="preserve"> </w:t>
      </w:r>
      <w:r w:rsidR="00E725E4" w:rsidRPr="004111A7">
        <w:rPr>
          <w:i w:val="0"/>
          <w:iCs/>
          <w:color w:val="auto"/>
        </w:rPr>
        <w:t xml:space="preserve">increase </w:t>
      </w:r>
      <w:r w:rsidR="002E663F" w:rsidRPr="004111A7">
        <w:rPr>
          <w:i w:val="0"/>
          <w:iCs/>
          <w:color w:val="auto"/>
        </w:rPr>
        <w:t>from the $23.4</w:t>
      </w:r>
      <w:r w:rsidRPr="004111A7">
        <w:rPr>
          <w:i w:val="0"/>
          <w:iCs/>
          <w:color w:val="auto"/>
        </w:rPr>
        <w:t xml:space="preserve"> million forecast in the </w:t>
      </w:r>
      <w:r w:rsidR="002E663F" w:rsidRPr="004111A7">
        <w:rPr>
          <w:i w:val="0"/>
          <w:iCs/>
          <w:color w:val="auto"/>
        </w:rPr>
        <w:t xml:space="preserve">2020-21 </w:t>
      </w:r>
      <w:r w:rsidRPr="004111A7">
        <w:rPr>
          <w:i w:val="0"/>
          <w:iCs/>
          <w:color w:val="auto"/>
        </w:rPr>
        <w:t>PAES</w:t>
      </w:r>
      <w:r w:rsidR="00470E41" w:rsidRPr="004111A7">
        <w:rPr>
          <w:i w:val="0"/>
          <w:iCs/>
          <w:color w:val="auto"/>
        </w:rPr>
        <w:t>. This is</w:t>
      </w:r>
      <w:r w:rsidR="00E77613" w:rsidRPr="004111A7">
        <w:rPr>
          <w:i w:val="0"/>
          <w:iCs/>
          <w:color w:val="auto"/>
        </w:rPr>
        <w:t xml:space="preserve"> mainly </w:t>
      </w:r>
      <w:r w:rsidR="00470E41" w:rsidRPr="004111A7">
        <w:rPr>
          <w:i w:val="0"/>
          <w:iCs/>
          <w:color w:val="auto"/>
        </w:rPr>
        <w:t xml:space="preserve">due </w:t>
      </w:r>
      <w:r w:rsidR="00E77613" w:rsidRPr="004111A7">
        <w:rPr>
          <w:i w:val="0"/>
          <w:iCs/>
          <w:color w:val="auto"/>
        </w:rPr>
        <w:t xml:space="preserve">to </w:t>
      </w:r>
      <w:r w:rsidR="00470E41" w:rsidRPr="004111A7">
        <w:rPr>
          <w:i w:val="0"/>
          <w:iCs/>
          <w:color w:val="auto"/>
        </w:rPr>
        <w:t>an</w:t>
      </w:r>
      <w:r w:rsidR="00E77613" w:rsidRPr="004111A7">
        <w:rPr>
          <w:i w:val="0"/>
          <w:iCs/>
          <w:color w:val="auto"/>
        </w:rPr>
        <w:t xml:space="preserve"> increase in </w:t>
      </w:r>
      <w:r w:rsidR="00470E41" w:rsidRPr="004111A7">
        <w:rPr>
          <w:i w:val="0"/>
          <w:iCs/>
          <w:color w:val="auto"/>
        </w:rPr>
        <w:t>gains from sale of assets</w:t>
      </w:r>
      <w:r w:rsidR="00E77613" w:rsidRPr="004111A7">
        <w:rPr>
          <w:i w:val="0"/>
          <w:iCs/>
          <w:color w:val="auto"/>
        </w:rPr>
        <w:t>.</w:t>
      </w:r>
    </w:p>
    <w:p w14:paraId="79D27F7D" w14:textId="22FA08E1" w:rsidR="00A546BE" w:rsidRPr="004111A7" w:rsidRDefault="00A2539B" w:rsidP="00A546BE">
      <w:pPr>
        <w:pStyle w:val="ExampleText0"/>
        <w:rPr>
          <w:rFonts w:ascii="Arial" w:hAnsi="Arial" w:cs="Arial"/>
          <w:b/>
          <w:i w:val="0"/>
          <w:color w:val="auto"/>
        </w:rPr>
      </w:pPr>
      <w:r>
        <w:rPr>
          <w:rFonts w:ascii="Arial" w:hAnsi="Arial" w:cs="Arial"/>
          <w:b/>
          <w:i w:val="0"/>
          <w:color w:val="auto"/>
        </w:rPr>
        <w:t>B</w:t>
      </w:r>
      <w:r w:rsidR="00A546BE" w:rsidRPr="004111A7">
        <w:rPr>
          <w:rFonts w:ascii="Arial" w:hAnsi="Arial" w:cs="Arial"/>
          <w:b/>
          <w:i w:val="0"/>
          <w:color w:val="auto"/>
        </w:rPr>
        <w:t xml:space="preserve">alance </w:t>
      </w:r>
      <w:r>
        <w:rPr>
          <w:rFonts w:ascii="Arial" w:hAnsi="Arial" w:cs="Arial"/>
          <w:b/>
          <w:i w:val="0"/>
          <w:color w:val="auto"/>
        </w:rPr>
        <w:t>s</w:t>
      </w:r>
      <w:r w:rsidR="00A546BE" w:rsidRPr="004111A7">
        <w:rPr>
          <w:rFonts w:ascii="Arial" w:hAnsi="Arial" w:cs="Arial"/>
          <w:b/>
          <w:i w:val="0"/>
          <w:color w:val="auto"/>
        </w:rPr>
        <w:t xml:space="preserve">heet – Departmental </w:t>
      </w:r>
    </w:p>
    <w:p w14:paraId="1B71D7DF" w14:textId="68E656A9" w:rsidR="00A546BE" w:rsidRPr="004111A7" w:rsidRDefault="00A546BE" w:rsidP="00A546BE">
      <w:pPr>
        <w:pStyle w:val="ExampleText0"/>
        <w:jc w:val="both"/>
        <w:rPr>
          <w:i w:val="0"/>
          <w:iCs/>
          <w:color w:val="auto"/>
        </w:rPr>
      </w:pPr>
      <w:r w:rsidRPr="004111A7">
        <w:rPr>
          <w:i w:val="0"/>
          <w:iCs/>
          <w:color w:val="auto"/>
        </w:rPr>
        <w:t>The budgeted net asset position as at 30 June 202</w:t>
      </w:r>
      <w:r w:rsidR="002E663F" w:rsidRPr="004111A7">
        <w:rPr>
          <w:i w:val="0"/>
          <w:iCs/>
          <w:color w:val="auto"/>
        </w:rPr>
        <w:t>2</w:t>
      </w:r>
      <w:r w:rsidRPr="004111A7">
        <w:rPr>
          <w:i w:val="0"/>
          <w:iCs/>
          <w:color w:val="auto"/>
        </w:rPr>
        <w:t xml:space="preserve"> of $</w:t>
      </w:r>
      <w:r w:rsidR="002E663F" w:rsidRPr="004111A7">
        <w:rPr>
          <w:i w:val="0"/>
          <w:iCs/>
          <w:color w:val="auto"/>
        </w:rPr>
        <w:t>2,298.7</w:t>
      </w:r>
      <w:r w:rsidRPr="004111A7">
        <w:rPr>
          <w:i w:val="0"/>
          <w:iCs/>
          <w:color w:val="auto"/>
        </w:rPr>
        <w:t xml:space="preserve"> million repre</w:t>
      </w:r>
      <w:r w:rsidR="00E725E4" w:rsidRPr="004111A7">
        <w:rPr>
          <w:i w:val="0"/>
          <w:iCs/>
          <w:color w:val="auto"/>
        </w:rPr>
        <w:t>sents a</w:t>
      </w:r>
      <w:r w:rsidR="002E663F" w:rsidRPr="004111A7">
        <w:rPr>
          <w:i w:val="0"/>
          <w:iCs/>
          <w:color w:val="auto"/>
        </w:rPr>
        <w:t xml:space="preserve"> </w:t>
      </w:r>
      <w:r w:rsidR="00E725E4" w:rsidRPr="004111A7">
        <w:rPr>
          <w:i w:val="0"/>
          <w:iCs/>
          <w:color w:val="auto"/>
        </w:rPr>
        <w:t>decrease</w:t>
      </w:r>
      <w:r w:rsidR="002E663F" w:rsidRPr="004111A7">
        <w:rPr>
          <w:i w:val="0"/>
          <w:iCs/>
          <w:color w:val="auto"/>
        </w:rPr>
        <w:t xml:space="preserve"> from the $2,327.0</w:t>
      </w:r>
      <w:r w:rsidRPr="004111A7">
        <w:rPr>
          <w:i w:val="0"/>
          <w:iCs/>
          <w:color w:val="auto"/>
        </w:rPr>
        <w:t xml:space="preserve"> million forecast in the </w:t>
      </w:r>
      <w:r w:rsidR="002E663F" w:rsidRPr="004111A7">
        <w:rPr>
          <w:i w:val="0"/>
          <w:iCs/>
          <w:color w:val="auto"/>
        </w:rPr>
        <w:t xml:space="preserve">2020-21 </w:t>
      </w:r>
      <w:r w:rsidRPr="004111A7">
        <w:rPr>
          <w:i w:val="0"/>
          <w:iCs/>
          <w:color w:val="auto"/>
        </w:rPr>
        <w:t xml:space="preserve">PAES. This is primarily due to </w:t>
      </w:r>
      <w:r w:rsidR="00F070BD" w:rsidRPr="004111A7">
        <w:rPr>
          <w:i w:val="0"/>
          <w:iCs/>
          <w:color w:val="auto"/>
        </w:rPr>
        <w:t>revised estimates for cash and cash equivalents and non-financial asset balances</w:t>
      </w:r>
      <w:r w:rsidRPr="004111A7">
        <w:rPr>
          <w:i w:val="0"/>
          <w:iCs/>
          <w:color w:val="auto"/>
        </w:rPr>
        <w:t>.</w:t>
      </w:r>
    </w:p>
    <w:p w14:paraId="79734A6B" w14:textId="64FAF76D" w:rsidR="00A546BE" w:rsidRPr="004111A7" w:rsidRDefault="00A2539B" w:rsidP="00A546BE">
      <w:pPr>
        <w:pStyle w:val="ExampleText0"/>
        <w:rPr>
          <w:rFonts w:ascii="Arial" w:hAnsi="Arial" w:cs="Arial"/>
          <w:b/>
          <w:i w:val="0"/>
          <w:color w:val="auto"/>
        </w:rPr>
      </w:pPr>
      <w:r>
        <w:rPr>
          <w:rFonts w:ascii="Arial" w:hAnsi="Arial" w:cs="Arial"/>
          <w:b/>
          <w:i w:val="0"/>
          <w:color w:val="auto"/>
        </w:rPr>
        <w:t>S</w:t>
      </w:r>
      <w:r w:rsidR="00A546BE" w:rsidRPr="004111A7">
        <w:rPr>
          <w:rFonts w:ascii="Arial" w:hAnsi="Arial" w:cs="Arial"/>
          <w:b/>
          <w:i w:val="0"/>
          <w:color w:val="auto"/>
        </w:rPr>
        <w:t xml:space="preserve">chedule of </w:t>
      </w:r>
      <w:r>
        <w:rPr>
          <w:rFonts w:ascii="Arial" w:hAnsi="Arial" w:cs="Arial"/>
          <w:b/>
          <w:i w:val="0"/>
          <w:color w:val="auto"/>
        </w:rPr>
        <w:t xml:space="preserve">budgeted income and expenses </w:t>
      </w:r>
      <w:r w:rsidR="00A546BE" w:rsidRPr="004111A7">
        <w:rPr>
          <w:rFonts w:ascii="Arial" w:hAnsi="Arial" w:cs="Arial"/>
          <w:b/>
          <w:i w:val="0"/>
          <w:color w:val="auto"/>
        </w:rPr>
        <w:t>– Administered</w:t>
      </w:r>
    </w:p>
    <w:p w14:paraId="56FAE4DA" w14:textId="79344B55" w:rsidR="00A546BE" w:rsidRPr="004111A7" w:rsidRDefault="00A546BE" w:rsidP="00A546BE">
      <w:pPr>
        <w:pStyle w:val="ExampleText0"/>
        <w:rPr>
          <w:rFonts w:ascii="Arial" w:hAnsi="Arial" w:cs="Arial"/>
          <w:b/>
          <w:i w:val="0"/>
          <w:color w:val="auto"/>
        </w:rPr>
      </w:pPr>
      <w:r w:rsidRPr="004111A7">
        <w:rPr>
          <w:rFonts w:ascii="Arial" w:hAnsi="Arial" w:cs="Arial"/>
          <w:b/>
          <w:i w:val="0"/>
          <w:color w:val="auto"/>
        </w:rPr>
        <w:t>2021-22</w:t>
      </w:r>
    </w:p>
    <w:p w14:paraId="722A744E" w14:textId="1CB647E1" w:rsidR="00A546BE" w:rsidRPr="002D0E22" w:rsidRDefault="006D3647" w:rsidP="00A546BE">
      <w:pPr>
        <w:pStyle w:val="ExampleText0"/>
        <w:jc w:val="both"/>
        <w:rPr>
          <w:i w:val="0"/>
          <w:iCs/>
          <w:color w:val="auto"/>
        </w:rPr>
      </w:pPr>
      <w:r w:rsidRPr="002D0E22">
        <w:rPr>
          <w:i w:val="0"/>
          <w:iCs/>
          <w:color w:val="auto"/>
        </w:rPr>
        <w:t>Total A</w:t>
      </w:r>
      <w:r w:rsidR="00A546BE" w:rsidRPr="002D0E22">
        <w:rPr>
          <w:i w:val="0"/>
          <w:iCs/>
          <w:color w:val="auto"/>
        </w:rPr>
        <w:t xml:space="preserve">dministered income </w:t>
      </w:r>
      <w:r w:rsidRPr="002D0E22">
        <w:rPr>
          <w:i w:val="0"/>
          <w:iCs/>
          <w:color w:val="auto"/>
        </w:rPr>
        <w:t>is</w:t>
      </w:r>
      <w:r w:rsidR="001B2459" w:rsidRPr="002D0E22">
        <w:rPr>
          <w:i w:val="0"/>
          <w:iCs/>
          <w:color w:val="auto"/>
        </w:rPr>
        <w:t xml:space="preserve"> </w:t>
      </w:r>
      <w:r w:rsidR="00170665" w:rsidRPr="002D0E22">
        <w:rPr>
          <w:i w:val="0"/>
          <w:iCs/>
          <w:color w:val="auto"/>
        </w:rPr>
        <w:t>$2,42</w:t>
      </w:r>
      <w:r w:rsidR="00A35C7C" w:rsidRPr="002D0E22">
        <w:rPr>
          <w:i w:val="0"/>
          <w:iCs/>
          <w:color w:val="auto"/>
        </w:rPr>
        <w:t>3</w:t>
      </w:r>
      <w:r w:rsidR="00170665" w:rsidRPr="002D0E22">
        <w:rPr>
          <w:i w:val="0"/>
          <w:iCs/>
          <w:color w:val="auto"/>
        </w:rPr>
        <w:t>.</w:t>
      </w:r>
      <w:r w:rsidR="00A35C7C" w:rsidRPr="002D0E22">
        <w:rPr>
          <w:i w:val="0"/>
          <w:iCs/>
          <w:color w:val="auto"/>
        </w:rPr>
        <w:t>5</w:t>
      </w:r>
      <w:r w:rsidR="00A546BE" w:rsidRPr="002D0E22">
        <w:rPr>
          <w:i w:val="0"/>
          <w:iCs/>
          <w:color w:val="auto"/>
        </w:rPr>
        <w:t xml:space="preserve"> million </w:t>
      </w:r>
      <w:r w:rsidRPr="002D0E22">
        <w:rPr>
          <w:i w:val="0"/>
          <w:iCs/>
          <w:color w:val="auto"/>
        </w:rPr>
        <w:t xml:space="preserve">in 2021-22, a decrease </w:t>
      </w:r>
      <w:r w:rsidR="00A546BE" w:rsidRPr="002D0E22">
        <w:rPr>
          <w:i w:val="0"/>
          <w:iCs/>
          <w:color w:val="auto"/>
        </w:rPr>
        <w:t>from $2,</w:t>
      </w:r>
      <w:r w:rsidR="001A135E" w:rsidRPr="002D0E22">
        <w:rPr>
          <w:i w:val="0"/>
          <w:iCs/>
          <w:color w:val="auto"/>
        </w:rPr>
        <w:t>686.2</w:t>
      </w:r>
      <w:r w:rsidRPr="002D0E22">
        <w:rPr>
          <w:i w:val="0"/>
          <w:iCs/>
          <w:color w:val="auto"/>
        </w:rPr>
        <w:t> </w:t>
      </w:r>
      <w:r w:rsidR="00A546BE" w:rsidRPr="002D0E22">
        <w:rPr>
          <w:i w:val="0"/>
          <w:iCs/>
          <w:color w:val="auto"/>
        </w:rPr>
        <w:t xml:space="preserve">million reported in the </w:t>
      </w:r>
      <w:r w:rsidR="002E663F" w:rsidRPr="002D0E22">
        <w:rPr>
          <w:i w:val="0"/>
          <w:iCs/>
          <w:color w:val="auto"/>
        </w:rPr>
        <w:t xml:space="preserve">2020-21 </w:t>
      </w:r>
      <w:r w:rsidR="00A546BE" w:rsidRPr="002D0E22">
        <w:rPr>
          <w:i w:val="0"/>
          <w:iCs/>
          <w:color w:val="auto"/>
        </w:rPr>
        <w:t xml:space="preserve">PAES. This is primarily due to </w:t>
      </w:r>
      <w:r w:rsidRPr="002D0E22">
        <w:rPr>
          <w:i w:val="0"/>
          <w:iCs/>
          <w:color w:val="auto"/>
        </w:rPr>
        <w:t xml:space="preserve">interest and dividends </w:t>
      </w:r>
      <w:r w:rsidR="00A546BE" w:rsidRPr="002D0E22">
        <w:rPr>
          <w:i w:val="0"/>
          <w:iCs/>
          <w:color w:val="auto"/>
        </w:rPr>
        <w:t xml:space="preserve">for the Australian Government Investments Funds. </w:t>
      </w:r>
    </w:p>
    <w:p w14:paraId="61BCD0DD" w14:textId="76064605" w:rsidR="00A546BE" w:rsidRPr="002D0E22" w:rsidRDefault="006D3647" w:rsidP="00A546BE">
      <w:pPr>
        <w:pStyle w:val="ExampleText0"/>
        <w:jc w:val="both"/>
        <w:rPr>
          <w:i w:val="0"/>
          <w:iCs/>
          <w:color w:val="auto"/>
        </w:rPr>
      </w:pPr>
      <w:r w:rsidRPr="002D0E22">
        <w:rPr>
          <w:i w:val="0"/>
          <w:iCs/>
          <w:color w:val="auto"/>
        </w:rPr>
        <w:t>Finance is budgeting for A</w:t>
      </w:r>
      <w:r w:rsidR="00A546BE" w:rsidRPr="002D0E22">
        <w:rPr>
          <w:i w:val="0"/>
          <w:iCs/>
          <w:color w:val="auto"/>
        </w:rPr>
        <w:t>dministered expenses</w:t>
      </w:r>
      <w:r w:rsidR="001B2459" w:rsidRPr="002D0E22">
        <w:rPr>
          <w:i w:val="0"/>
          <w:iCs/>
          <w:color w:val="auto"/>
        </w:rPr>
        <w:t xml:space="preserve"> of $10</w:t>
      </w:r>
      <w:r w:rsidR="002E663F" w:rsidRPr="002D0E22">
        <w:rPr>
          <w:i w:val="0"/>
          <w:iCs/>
          <w:color w:val="auto"/>
        </w:rPr>
        <w:t>,</w:t>
      </w:r>
      <w:r w:rsidR="00737B34" w:rsidRPr="002D0E22">
        <w:rPr>
          <w:i w:val="0"/>
          <w:iCs/>
          <w:color w:val="auto"/>
        </w:rPr>
        <w:t>7</w:t>
      </w:r>
      <w:r w:rsidR="00A35C7C" w:rsidRPr="002D0E22">
        <w:rPr>
          <w:i w:val="0"/>
          <w:iCs/>
          <w:color w:val="auto"/>
        </w:rPr>
        <w:t>0</w:t>
      </w:r>
      <w:r w:rsidR="00737B34" w:rsidRPr="002D0E22">
        <w:rPr>
          <w:i w:val="0"/>
          <w:iCs/>
          <w:color w:val="auto"/>
        </w:rPr>
        <w:t>3</w:t>
      </w:r>
      <w:r w:rsidR="002E663F" w:rsidRPr="002D0E22">
        <w:rPr>
          <w:i w:val="0"/>
          <w:iCs/>
          <w:color w:val="auto"/>
        </w:rPr>
        <w:t>.</w:t>
      </w:r>
      <w:r w:rsidR="00A35C7C" w:rsidRPr="002D0E22">
        <w:rPr>
          <w:i w:val="0"/>
          <w:iCs/>
          <w:color w:val="auto"/>
        </w:rPr>
        <w:t>1</w:t>
      </w:r>
      <w:r w:rsidR="002E663F" w:rsidRPr="002D0E22">
        <w:rPr>
          <w:i w:val="0"/>
          <w:iCs/>
          <w:color w:val="auto"/>
        </w:rPr>
        <w:t xml:space="preserve"> million</w:t>
      </w:r>
      <w:r w:rsidR="00A546BE" w:rsidRPr="002D0E22">
        <w:rPr>
          <w:i w:val="0"/>
          <w:iCs/>
          <w:color w:val="auto"/>
        </w:rPr>
        <w:t>, a decrease from the $1</w:t>
      </w:r>
      <w:r w:rsidR="001B2459" w:rsidRPr="002D0E22">
        <w:rPr>
          <w:i w:val="0"/>
          <w:iCs/>
          <w:color w:val="auto"/>
        </w:rPr>
        <w:t>1</w:t>
      </w:r>
      <w:r w:rsidR="00A546BE" w:rsidRPr="002D0E22">
        <w:rPr>
          <w:i w:val="0"/>
          <w:iCs/>
          <w:color w:val="auto"/>
        </w:rPr>
        <w:t>,</w:t>
      </w:r>
      <w:r w:rsidR="001B2459" w:rsidRPr="002D0E22">
        <w:rPr>
          <w:i w:val="0"/>
          <w:iCs/>
          <w:color w:val="auto"/>
        </w:rPr>
        <w:t>173.6</w:t>
      </w:r>
      <w:r w:rsidR="00A546BE" w:rsidRPr="002D0E22">
        <w:rPr>
          <w:i w:val="0"/>
          <w:iCs/>
          <w:color w:val="auto"/>
        </w:rPr>
        <w:t xml:space="preserve"> million budgeted for in the </w:t>
      </w:r>
      <w:r w:rsidR="002E663F" w:rsidRPr="002D0E22">
        <w:rPr>
          <w:i w:val="0"/>
          <w:iCs/>
          <w:color w:val="auto"/>
        </w:rPr>
        <w:t xml:space="preserve">2020-21 </w:t>
      </w:r>
      <w:r w:rsidR="00A546BE" w:rsidRPr="002D0E22">
        <w:rPr>
          <w:i w:val="0"/>
          <w:iCs/>
          <w:color w:val="auto"/>
        </w:rPr>
        <w:t xml:space="preserve">PAES. This is primarily due to revisions in estimates for superannuation. </w:t>
      </w:r>
    </w:p>
    <w:p w14:paraId="23A5AA4B" w14:textId="70515362" w:rsidR="00A546BE" w:rsidRPr="002D0E22" w:rsidRDefault="00A546BE" w:rsidP="00A546BE">
      <w:pPr>
        <w:pStyle w:val="ExampleText0"/>
        <w:rPr>
          <w:rFonts w:ascii="Arial" w:hAnsi="Arial" w:cs="Arial"/>
          <w:b/>
          <w:i w:val="0"/>
          <w:color w:val="auto"/>
        </w:rPr>
      </w:pPr>
      <w:r w:rsidRPr="002D0E22">
        <w:rPr>
          <w:rFonts w:ascii="Arial" w:hAnsi="Arial" w:cs="Arial"/>
          <w:b/>
          <w:i w:val="0"/>
          <w:color w:val="auto"/>
        </w:rPr>
        <w:lastRenderedPageBreak/>
        <w:t xml:space="preserve">Schedule of </w:t>
      </w:r>
      <w:r w:rsidR="00A2539B">
        <w:rPr>
          <w:rFonts w:ascii="Arial" w:hAnsi="Arial" w:cs="Arial"/>
          <w:b/>
          <w:i w:val="0"/>
          <w:color w:val="auto"/>
        </w:rPr>
        <w:t>budgted a</w:t>
      </w:r>
      <w:r w:rsidRPr="002D0E22">
        <w:rPr>
          <w:rFonts w:ascii="Arial" w:hAnsi="Arial" w:cs="Arial"/>
          <w:b/>
          <w:i w:val="0"/>
          <w:color w:val="auto"/>
        </w:rPr>
        <w:t xml:space="preserve">ssets and </w:t>
      </w:r>
      <w:r w:rsidR="00A2539B">
        <w:rPr>
          <w:rFonts w:ascii="Arial" w:hAnsi="Arial" w:cs="Arial"/>
          <w:b/>
          <w:i w:val="0"/>
          <w:color w:val="auto"/>
        </w:rPr>
        <w:t>l</w:t>
      </w:r>
      <w:r w:rsidRPr="002D0E22">
        <w:rPr>
          <w:rFonts w:ascii="Arial" w:hAnsi="Arial" w:cs="Arial"/>
          <w:b/>
          <w:i w:val="0"/>
          <w:color w:val="auto"/>
        </w:rPr>
        <w:t>iabilities – Administered</w:t>
      </w:r>
    </w:p>
    <w:p w14:paraId="2582CA54" w14:textId="69B9209B" w:rsidR="00A546BE" w:rsidRPr="004111A7" w:rsidRDefault="00A546BE" w:rsidP="00A546BE">
      <w:pPr>
        <w:pStyle w:val="ExampleText0"/>
        <w:jc w:val="both"/>
        <w:rPr>
          <w:i w:val="0"/>
          <w:iCs/>
          <w:color w:val="auto"/>
        </w:rPr>
      </w:pPr>
      <w:r w:rsidRPr="002D0E22">
        <w:rPr>
          <w:i w:val="0"/>
          <w:iCs/>
          <w:color w:val="auto"/>
        </w:rPr>
        <w:t>Administered assets are budgeted to total $</w:t>
      </w:r>
      <w:r w:rsidR="00737B34" w:rsidRPr="002D0E22">
        <w:rPr>
          <w:i w:val="0"/>
          <w:iCs/>
          <w:color w:val="auto"/>
        </w:rPr>
        <w:t>50,1</w:t>
      </w:r>
      <w:r w:rsidR="00CA664C" w:rsidRPr="002D0E22">
        <w:rPr>
          <w:i w:val="0"/>
          <w:iCs/>
          <w:color w:val="auto"/>
        </w:rPr>
        <w:t>65</w:t>
      </w:r>
      <w:r w:rsidR="00737B34" w:rsidRPr="002D0E22">
        <w:rPr>
          <w:i w:val="0"/>
          <w:iCs/>
          <w:color w:val="auto"/>
        </w:rPr>
        <w:t>.6</w:t>
      </w:r>
      <w:r w:rsidRPr="002D0E22">
        <w:rPr>
          <w:i w:val="0"/>
          <w:iCs/>
          <w:color w:val="auto"/>
        </w:rPr>
        <w:t xml:space="preserve"> million by 30 June 202</w:t>
      </w:r>
      <w:r w:rsidR="002E663F" w:rsidRPr="002D0E22">
        <w:rPr>
          <w:i w:val="0"/>
          <w:iCs/>
          <w:color w:val="auto"/>
        </w:rPr>
        <w:t>2</w:t>
      </w:r>
      <w:r w:rsidR="00E725E4" w:rsidRPr="002D0E22">
        <w:rPr>
          <w:i w:val="0"/>
          <w:iCs/>
          <w:color w:val="auto"/>
        </w:rPr>
        <w:t>, a</w:t>
      </w:r>
      <w:r w:rsidR="00CD5C8D" w:rsidRPr="002D0E22">
        <w:rPr>
          <w:i w:val="0"/>
          <w:iCs/>
          <w:color w:val="auto"/>
        </w:rPr>
        <w:t>n</w:t>
      </w:r>
      <w:r w:rsidR="00D138C7" w:rsidRPr="002D0E22">
        <w:rPr>
          <w:i w:val="0"/>
          <w:iCs/>
          <w:color w:val="auto"/>
        </w:rPr>
        <w:t xml:space="preserve"> </w:t>
      </w:r>
      <w:r w:rsidR="00CD5C8D" w:rsidRPr="002D0E22">
        <w:rPr>
          <w:i w:val="0"/>
          <w:iCs/>
          <w:color w:val="auto"/>
        </w:rPr>
        <w:t>increase</w:t>
      </w:r>
      <w:r w:rsidR="00E725E4" w:rsidRPr="002D0E22">
        <w:rPr>
          <w:i w:val="0"/>
          <w:iCs/>
          <w:color w:val="auto"/>
        </w:rPr>
        <w:t xml:space="preserve"> </w:t>
      </w:r>
      <w:r w:rsidR="00D138C7" w:rsidRPr="002D0E22">
        <w:rPr>
          <w:i w:val="0"/>
          <w:iCs/>
          <w:color w:val="auto"/>
        </w:rPr>
        <w:t>from the $49</w:t>
      </w:r>
      <w:r w:rsidRPr="002D0E22">
        <w:rPr>
          <w:i w:val="0"/>
          <w:iCs/>
          <w:color w:val="auto"/>
        </w:rPr>
        <w:t>,</w:t>
      </w:r>
      <w:r w:rsidR="00D138C7" w:rsidRPr="002D0E22">
        <w:rPr>
          <w:i w:val="0"/>
          <w:iCs/>
          <w:color w:val="auto"/>
        </w:rPr>
        <w:t>983.3</w:t>
      </w:r>
      <w:r w:rsidRPr="002D0E22">
        <w:rPr>
          <w:i w:val="0"/>
          <w:iCs/>
          <w:color w:val="auto"/>
        </w:rPr>
        <w:t xml:space="preserve"> million estimated in the </w:t>
      </w:r>
      <w:r w:rsidR="002E663F" w:rsidRPr="002D0E22">
        <w:rPr>
          <w:i w:val="0"/>
          <w:iCs/>
          <w:color w:val="auto"/>
        </w:rPr>
        <w:t xml:space="preserve">2020-21 </w:t>
      </w:r>
      <w:r w:rsidR="0099086C" w:rsidRPr="002D0E22">
        <w:rPr>
          <w:i w:val="0"/>
          <w:iCs/>
          <w:color w:val="auto"/>
        </w:rPr>
        <w:t>PAES.</w:t>
      </w:r>
      <w:r w:rsidRPr="002D0E22">
        <w:rPr>
          <w:i w:val="0"/>
          <w:iCs/>
          <w:color w:val="auto"/>
        </w:rPr>
        <w:t xml:space="preserve"> </w:t>
      </w:r>
      <w:r w:rsidR="0099086C" w:rsidRPr="002D0E22">
        <w:rPr>
          <w:i w:val="0"/>
          <w:iCs/>
          <w:color w:val="auto"/>
        </w:rPr>
        <w:t xml:space="preserve">This is </w:t>
      </w:r>
      <w:r w:rsidRPr="002D0E22">
        <w:rPr>
          <w:i w:val="0"/>
          <w:iCs/>
          <w:color w:val="auto"/>
        </w:rPr>
        <w:t>primari</w:t>
      </w:r>
      <w:r w:rsidR="0099086C" w:rsidRPr="002D0E22">
        <w:rPr>
          <w:i w:val="0"/>
          <w:iCs/>
          <w:color w:val="auto"/>
        </w:rPr>
        <w:t>ly due to investments</w:t>
      </w:r>
      <w:r w:rsidRPr="002D0E22">
        <w:rPr>
          <w:i w:val="0"/>
          <w:iCs/>
          <w:color w:val="auto"/>
        </w:rPr>
        <w:t xml:space="preserve"> for the Australian Government Investment Funds</w:t>
      </w:r>
      <w:r w:rsidRPr="004111A7">
        <w:rPr>
          <w:i w:val="0"/>
          <w:iCs/>
          <w:color w:val="auto"/>
        </w:rPr>
        <w:t>.</w:t>
      </w:r>
    </w:p>
    <w:p w14:paraId="2598AC25" w14:textId="68C5EEDD" w:rsidR="00A546BE" w:rsidRPr="004111A7" w:rsidRDefault="00A546BE" w:rsidP="00A546BE">
      <w:pPr>
        <w:pStyle w:val="ExampleText0"/>
        <w:jc w:val="both"/>
        <w:rPr>
          <w:rFonts w:ascii="Arial" w:hAnsi="Arial" w:cs="Arial"/>
          <w:b/>
          <w:bCs/>
          <w:i w:val="0"/>
          <w:iCs/>
          <w:color w:val="auto"/>
        </w:rPr>
      </w:pPr>
      <w:r w:rsidRPr="004111A7">
        <w:rPr>
          <w:i w:val="0"/>
          <w:iCs/>
          <w:color w:val="auto"/>
        </w:rPr>
        <w:t>Administered liabili</w:t>
      </w:r>
      <w:r w:rsidR="00D138C7" w:rsidRPr="004111A7">
        <w:rPr>
          <w:i w:val="0"/>
          <w:iCs/>
          <w:color w:val="auto"/>
        </w:rPr>
        <w:t>ties are estimated to total $14</w:t>
      </w:r>
      <w:r w:rsidR="00737B34">
        <w:rPr>
          <w:i w:val="0"/>
          <w:iCs/>
          <w:color w:val="auto"/>
        </w:rPr>
        <w:t>5</w:t>
      </w:r>
      <w:r w:rsidRPr="004111A7">
        <w:rPr>
          <w:i w:val="0"/>
          <w:iCs/>
          <w:color w:val="auto"/>
        </w:rPr>
        <w:t>,</w:t>
      </w:r>
      <w:r w:rsidR="00737B34">
        <w:rPr>
          <w:i w:val="0"/>
          <w:iCs/>
          <w:color w:val="auto"/>
        </w:rPr>
        <w:t>594.4</w:t>
      </w:r>
      <w:r w:rsidRPr="004111A7">
        <w:rPr>
          <w:i w:val="0"/>
          <w:iCs/>
          <w:color w:val="auto"/>
        </w:rPr>
        <w:t xml:space="preserve"> million by 30 June 202</w:t>
      </w:r>
      <w:r w:rsidR="002E663F" w:rsidRPr="004111A7">
        <w:rPr>
          <w:i w:val="0"/>
          <w:iCs/>
          <w:color w:val="auto"/>
        </w:rPr>
        <w:t>2</w:t>
      </w:r>
      <w:r w:rsidRPr="004111A7">
        <w:rPr>
          <w:i w:val="0"/>
          <w:iCs/>
          <w:color w:val="auto"/>
        </w:rPr>
        <w:t>, a</w:t>
      </w:r>
      <w:r w:rsidR="00CD5C8D">
        <w:rPr>
          <w:i w:val="0"/>
          <w:iCs/>
          <w:color w:val="auto"/>
        </w:rPr>
        <w:t>n</w:t>
      </w:r>
      <w:r w:rsidRPr="004111A7">
        <w:rPr>
          <w:i w:val="0"/>
          <w:iCs/>
          <w:color w:val="auto"/>
        </w:rPr>
        <w:t xml:space="preserve"> </w:t>
      </w:r>
      <w:r w:rsidR="00CD5C8D">
        <w:rPr>
          <w:i w:val="0"/>
          <w:iCs/>
          <w:color w:val="auto"/>
        </w:rPr>
        <w:t>increase</w:t>
      </w:r>
      <w:r w:rsidR="00B6413B" w:rsidRPr="004111A7">
        <w:rPr>
          <w:i w:val="0"/>
          <w:iCs/>
          <w:color w:val="auto"/>
        </w:rPr>
        <w:t xml:space="preserve"> from the $145</w:t>
      </w:r>
      <w:r w:rsidRPr="004111A7">
        <w:rPr>
          <w:i w:val="0"/>
          <w:iCs/>
          <w:color w:val="auto"/>
        </w:rPr>
        <w:t>,</w:t>
      </w:r>
      <w:r w:rsidR="00B6413B" w:rsidRPr="004111A7">
        <w:rPr>
          <w:i w:val="0"/>
          <w:iCs/>
          <w:color w:val="auto"/>
        </w:rPr>
        <w:t>071</w:t>
      </w:r>
      <w:r w:rsidR="00D138C7" w:rsidRPr="004111A7">
        <w:rPr>
          <w:i w:val="0"/>
          <w:iCs/>
          <w:color w:val="auto"/>
        </w:rPr>
        <w:t>.</w:t>
      </w:r>
      <w:r w:rsidR="00B6413B" w:rsidRPr="004111A7">
        <w:rPr>
          <w:i w:val="0"/>
          <w:iCs/>
          <w:color w:val="auto"/>
        </w:rPr>
        <w:t>8</w:t>
      </w:r>
      <w:r w:rsidRPr="004111A7">
        <w:rPr>
          <w:i w:val="0"/>
          <w:iCs/>
          <w:color w:val="auto"/>
        </w:rPr>
        <w:t xml:space="preserve"> million estimated in the </w:t>
      </w:r>
      <w:r w:rsidR="002E663F" w:rsidRPr="004111A7">
        <w:rPr>
          <w:i w:val="0"/>
          <w:iCs/>
          <w:color w:val="auto"/>
        </w:rPr>
        <w:t xml:space="preserve">2020-21 </w:t>
      </w:r>
      <w:r w:rsidR="0099086C" w:rsidRPr="004111A7">
        <w:rPr>
          <w:i w:val="0"/>
          <w:iCs/>
          <w:color w:val="auto"/>
        </w:rPr>
        <w:t>PAES. This is mainly</w:t>
      </w:r>
      <w:r w:rsidRPr="004111A7">
        <w:rPr>
          <w:i w:val="0"/>
          <w:iCs/>
          <w:color w:val="auto"/>
        </w:rPr>
        <w:t xml:space="preserve"> due to</w:t>
      </w:r>
      <w:r w:rsidR="0099086C" w:rsidRPr="004111A7">
        <w:rPr>
          <w:i w:val="0"/>
          <w:iCs/>
          <w:color w:val="auto"/>
        </w:rPr>
        <w:t xml:space="preserve"> superannuation liabilities</w:t>
      </w:r>
      <w:r w:rsidR="00751BA0" w:rsidRPr="004111A7">
        <w:rPr>
          <w:i w:val="0"/>
          <w:iCs/>
          <w:color w:val="auto"/>
        </w:rPr>
        <w:t>.</w:t>
      </w:r>
    </w:p>
    <w:p w14:paraId="7D60AC36" w14:textId="77777777" w:rsidR="00E4582E" w:rsidRPr="004111A7" w:rsidRDefault="000A6897" w:rsidP="007F7E83">
      <w:pPr>
        <w:jc w:val="left"/>
      </w:pPr>
      <w:r w:rsidRPr="004111A7">
        <w:br w:type="page"/>
      </w:r>
      <w:bookmarkStart w:id="77" w:name="_Toc444523518"/>
      <w:r w:rsidR="00E4582E" w:rsidRPr="004111A7">
        <w:rPr>
          <w:rStyle w:val="TableHeadingChar"/>
        </w:rPr>
        <w:lastRenderedPageBreak/>
        <w:t>3.2.</w:t>
      </w:r>
      <w:r w:rsidR="005F29CD" w:rsidRPr="004111A7">
        <w:rPr>
          <w:rStyle w:val="TableHeadingChar"/>
        </w:rPr>
        <w:tab/>
      </w:r>
      <w:r w:rsidR="00E4582E" w:rsidRPr="004111A7">
        <w:rPr>
          <w:rStyle w:val="TableHeadingChar"/>
        </w:rPr>
        <w:t xml:space="preserve">Budgeted </w:t>
      </w:r>
      <w:r w:rsidR="00F626C2" w:rsidRPr="004111A7">
        <w:rPr>
          <w:rStyle w:val="TableHeadingChar"/>
        </w:rPr>
        <w:t>financial statements tables</w:t>
      </w:r>
      <w:bookmarkEnd w:id="77"/>
    </w:p>
    <w:p w14:paraId="00BB9519" w14:textId="77777777" w:rsidR="00E4582E" w:rsidRPr="004111A7" w:rsidRDefault="00E855E0" w:rsidP="00146B5E">
      <w:pPr>
        <w:pStyle w:val="TableHeading"/>
        <w:rPr>
          <w:snapToGrid w:val="0"/>
        </w:rPr>
      </w:pPr>
      <w:r w:rsidRPr="004111A7">
        <w:t>Table</w:t>
      </w:r>
      <w:r w:rsidR="00971CBF" w:rsidRPr="004111A7">
        <w:t xml:space="preserve"> 3.</w:t>
      </w:r>
      <w:r w:rsidRPr="004111A7">
        <w:t>1</w:t>
      </w:r>
      <w:r w:rsidR="001352EE" w:rsidRPr="004111A7">
        <w:t>:</w:t>
      </w:r>
      <w:r w:rsidRPr="004111A7">
        <w:t xml:space="preserve"> Comprehensive </w:t>
      </w:r>
      <w:r w:rsidR="00F626C2" w:rsidRPr="004111A7">
        <w:t>income statement (showing net cost of services</w:t>
      </w:r>
      <w:r w:rsidRPr="004111A7">
        <w:t>)</w:t>
      </w:r>
      <w:r w:rsidR="004A1224" w:rsidRPr="004111A7">
        <w:t xml:space="preserve"> </w:t>
      </w:r>
      <w:r w:rsidR="00E4582E" w:rsidRPr="004111A7">
        <w:rPr>
          <w:snapToGrid w:val="0"/>
        </w:rPr>
        <w:t>for the period ended 30 June</w:t>
      </w:r>
    </w:p>
    <w:p w14:paraId="37538EC3" w14:textId="3E552B27" w:rsidR="007742FF" w:rsidRPr="004111A7" w:rsidRDefault="00B564C0" w:rsidP="00392DD1">
      <w:pPr>
        <w:pStyle w:val="TableGraphic"/>
        <w:rPr>
          <w:noProof/>
        </w:rPr>
      </w:pPr>
      <w:r w:rsidRPr="00B564C0">
        <w:rPr>
          <w:noProof/>
        </w:rPr>
        <w:drawing>
          <wp:inline distT="0" distB="0" distL="0" distR="0" wp14:anchorId="146F181E" wp14:editId="6A04E304">
            <wp:extent cx="4895850" cy="5634013"/>
            <wp:effectExtent l="0" t="0" r="0" b="508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895850" cy="5634013"/>
                    </a:xfrm>
                    <a:prstGeom prst="rect">
                      <a:avLst/>
                    </a:prstGeom>
                    <a:noFill/>
                    <a:ln>
                      <a:noFill/>
                    </a:ln>
                  </pic:spPr>
                </pic:pic>
              </a:graphicData>
            </a:graphic>
          </wp:inline>
        </w:drawing>
      </w:r>
    </w:p>
    <w:p w14:paraId="66A8213D" w14:textId="750C0264" w:rsidR="00A546BE" w:rsidRPr="004111A7" w:rsidRDefault="00A546BE" w:rsidP="00A546BE">
      <w:pPr>
        <w:rPr>
          <w:rFonts w:ascii="Arial" w:hAnsi="Arial" w:cs="Arial"/>
          <w:sz w:val="16"/>
        </w:rPr>
      </w:pPr>
      <w:r w:rsidRPr="004111A7">
        <w:rPr>
          <w:rFonts w:ascii="Arial" w:hAnsi="Arial" w:cs="Arial"/>
          <w:sz w:val="16"/>
        </w:rPr>
        <w:t>Table continues on next page</w:t>
      </w:r>
    </w:p>
    <w:p w14:paraId="1B98AEE7" w14:textId="77777777" w:rsidR="00146B5E" w:rsidRPr="004111A7" w:rsidRDefault="007742FF" w:rsidP="00146B5E">
      <w:pPr>
        <w:pStyle w:val="TableHeadingcontinued"/>
        <w:rPr>
          <w:snapToGrid w:val="0"/>
        </w:rPr>
      </w:pPr>
      <w:r w:rsidRPr="004111A7">
        <w:br w:type="page"/>
      </w:r>
      <w:r w:rsidR="00146B5E" w:rsidRPr="004111A7">
        <w:lastRenderedPageBreak/>
        <w:t xml:space="preserve">Table 3.1: Comprehensive income statement (showing net cost of services) </w:t>
      </w:r>
      <w:r w:rsidR="00146B5E" w:rsidRPr="004111A7">
        <w:rPr>
          <w:snapToGrid w:val="0"/>
        </w:rPr>
        <w:t>for the period ended 30 June</w:t>
      </w:r>
      <w:r w:rsidR="00765A82" w:rsidRPr="004111A7">
        <w:rPr>
          <w:snapToGrid w:val="0"/>
        </w:rPr>
        <w:t xml:space="preserve"> (continued)</w:t>
      </w:r>
    </w:p>
    <w:p w14:paraId="4B7A8D9D" w14:textId="77777777" w:rsidR="00A965CD" w:rsidRPr="004111A7" w:rsidRDefault="00A965CD" w:rsidP="002C1D11">
      <w:pPr>
        <w:pStyle w:val="TableGraphic"/>
        <w:rPr>
          <w:rFonts w:ascii="Arial" w:hAnsi="Arial" w:cs="Arial"/>
        </w:rPr>
      </w:pPr>
    </w:p>
    <w:p w14:paraId="379794A1" w14:textId="77777777" w:rsidR="007742FF" w:rsidRPr="004111A7" w:rsidRDefault="007742FF" w:rsidP="00CD6D33">
      <w:pPr>
        <w:pStyle w:val="TableHeadingNoTable"/>
        <w:spacing w:after="0"/>
      </w:pPr>
      <w:r w:rsidRPr="004111A7">
        <w:t>Note: Impact of net cash appropriation arrangements</w:t>
      </w:r>
    </w:p>
    <w:p w14:paraId="4D2DC119" w14:textId="2234E6A9" w:rsidR="007742FF" w:rsidRPr="004111A7" w:rsidRDefault="00B564C0" w:rsidP="00392DD1">
      <w:pPr>
        <w:pStyle w:val="TableGraphic"/>
        <w:rPr>
          <w:noProof/>
        </w:rPr>
      </w:pPr>
      <w:r w:rsidRPr="00B564C0">
        <w:rPr>
          <w:noProof/>
        </w:rPr>
        <w:drawing>
          <wp:inline distT="0" distB="0" distL="0" distR="0" wp14:anchorId="15CCA7C2" wp14:editId="14E72277">
            <wp:extent cx="4895850" cy="2662434"/>
            <wp:effectExtent l="0" t="0" r="0"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95850" cy="2662434"/>
                    </a:xfrm>
                    <a:prstGeom prst="rect">
                      <a:avLst/>
                    </a:prstGeom>
                    <a:noFill/>
                    <a:ln>
                      <a:noFill/>
                    </a:ln>
                  </pic:spPr>
                </pic:pic>
              </a:graphicData>
            </a:graphic>
          </wp:inline>
        </w:drawing>
      </w:r>
    </w:p>
    <w:p w14:paraId="5D35B3EE" w14:textId="63594BBF" w:rsidR="00A546BE" w:rsidRPr="004111A7" w:rsidRDefault="00A546BE" w:rsidP="00A546BE">
      <w:pPr>
        <w:pStyle w:val="Source"/>
        <w:rPr>
          <w:rFonts w:cs="Arial"/>
        </w:rPr>
      </w:pPr>
      <w:r w:rsidRPr="004111A7">
        <w:rPr>
          <w:rFonts w:cs="Arial"/>
        </w:rPr>
        <w:t>Prepared on Australian Accounting Standards basis.</w:t>
      </w:r>
    </w:p>
    <w:p w14:paraId="73BBBB98" w14:textId="77777777" w:rsidR="00A546BE" w:rsidRPr="004111A7" w:rsidRDefault="00A546BE" w:rsidP="00A546BE">
      <w:pPr>
        <w:pStyle w:val="Source"/>
        <w:rPr>
          <w:rFonts w:cs="Arial"/>
        </w:rPr>
      </w:pPr>
    </w:p>
    <w:p w14:paraId="4BFBEF64" w14:textId="77777777" w:rsidR="00A546BE" w:rsidRPr="004111A7" w:rsidRDefault="00A546BE" w:rsidP="001864C9">
      <w:pPr>
        <w:pStyle w:val="ChartandTableFootnoteAlpha"/>
        <w:numPr>
          <w:ilvl w:val="0"/>
          <w:numId w:val="9"/>
        </w:numPr>
        <w:rPr>
          <w:rFonts w:cs="Arial"/>
          <w:szCs w:val="16"/>
        </w:rPr>
      </w:pPr>
      <w:bookmarkStart w:id="78" w:name="OLE_LINK3"/>
      <w:r w:rsidRPr="004111A7">
        <w:rPr>
          <w:rFonts w:cs="Arial"/>
          <w:szCs w:val="16"/>
        </w:rPr>
        <w:t xml:space="preserve">From 2010-11, the Government introduced net cash appropriation arrangements where </w:t>
      </w:r>
    </w:p>
    <w:p w14:paraId="1B1BB1C9" w14:textId="368957B1" w:rsidR="00A546BE" w:rsidRPr="004111A7" w:rsidRDefault="00A546BE" w:rsidP="00A546BE">
      <w:pPr>
        <w:pStyle w:val="ListParagraph"/>
        <w:spacing w:after="0" w:line="240" w:lineRule="auto"/>
        <w:ind w:left="284"/>
        <w:jc w:val="both"/>
        <w:rPr>
          <w:rFonts w:ascii="Arial" w:eastAsia="Times New Roman" w:hAnsi="Arial" w:cs="Arial"/>
          <w:sz w:val="16"/>
          <w:szCs w:val="16"/>
          <w:lang w:val="en-AU" w:eastAsia="en-AU"/>
        </w:rPr>
      </w:pPr>
      <w:r w:rsidRPr="004111A7">
        <w:rPr>
          <w:rFonts w:ascii="Arial" w:eastAsia="Times New Roman" w:hAnsi="Arial" w:cs="Arial"/>
          <w:sz w:val="16"/>
          <w:szCs w:val="16"/>
          <w:lang w:val="en-AU" w:eastAsia="en-AU"/>
        </w:rPr>
        <w:t>Appropriation Bill (No. 1) revenue appropriations for the depreciation/amortisation expenses of</w:t>
      </w:r>
      <w:r w:rsidRPr="004111A7">
        <w:rPr>
          <w:rFonts w:ascii="Arial" w:eastAsia="Times New Roman" w:hAnsi="Arial" w:cs="Arial"/>
          <w:sz w:val="16"/>
          <w:szCs w:val="16"/>
          <w:lang w:val="en-AU" w:eastAsia="en-AU"/>
        </w:rPr>
        <w:br/>
      </w:r>
      <w:r w:rsidR="00A2539B">
        <w:rPr>
          <w:rFonts w:ascii="Arial" w:eastAsia="Times New Roman" w:hAnsi="Arial" w:cs="Arial"/>
          <w:sz w:val="16"/>
          <w:szCs w:val="16"/>
          <w:lang w:val="en-AU" w:eastAsia="en-AU"/>
        </w:rPr>
        <w:t>non-corporate Commonweath entities (and select corporate Commonwealth entities)</w:t>
      </w:r>
      <w:r w:rsidR="00A24B81" w:rsidRPr="004111A7">
        <w:rPr>
          <w:rFonts w:ascii="Arial" w:eastAsia="Times New Roman" w:hAnsi="Arial" w:cs="Arial"/>
          <w:sz w:val="16"/>
          <w:szCs w:val="16"/>
          <w:lang w:val="en-AU" w:eastAsia="en-AU"/>
        </w:rPr>
        <w:t xml:space="preserve"> </w:t>
      </w:r>
      <w:r w:rsidRPr="004111A7">
        <w:rPr>
          <w:rFonts w:ascii="Arial" w:eastAsia="Times New Roman" w:hAnsi="Arial" w:cs="Arial"/>
          <w:sz w:val="16"/>
          <w:szCs w:val="16"/>
          <w:lang w:val="en-AU" w:eastAsia="en-AU"/>
        </w:rPr>
        <w:t>were replaced with a separate capital budget (the DCB) provided through Appropriation Bill (No. 1) equity appropriations. For information regarding DCBs, please refer to Table 3.5 Departmental Capital Budget Statement.</w:t>
      </w:r>
    </w:p>
    <w:p w14:paraId="1080396C" w14:textId="77777777" w:rsidR="00A546BE" w:rsidRPr="004111A7" w:rsidRDefault="00A546BE" w:rsidP="001864C9">
      <w:pPr>
        <w:pStyle w:val="ChartandTableFootnoteAlpha"/>
        <w:numPr>
          <w:ilvl w:val="0"/>
          <w:numId w:val="9"/>
        </w:numPr>
        <w:rPr>
          <w:rFonts w:cs="Arial"/>
          <w:szCs w:val="16"/>
        </w:rPr>
      </w:pPr>
      <w:r w:rsidRPr="004111A7">
        <w:rPr>
          <w:rFonts w:cs="Arial"/>
          <w:szCs w:val="16"/>
        </w:rPr>
        <w:t>Represents the net gain/loss from the government’s non-Defence Property Divestment Program within Australia.</w:t>
      </w:r>
    </w:p>
    <w:p w14:paraId="2227B010" w14:textId="77777777" w:rsidR="00A546BE" w:rsidRPr="004111A7" w:rsidRDefault="00A546BE" w:rsidP="001864C9">
      <w:pPr>
        <w:pStyle w:val="ChartandTableFootnoteAlpha"/>
        <w:numPr>
          <w:ilvl w:val="0"/>
          <w:numId w:val="9"/>
        </w:numPr>
        <w:rPr>
          <w:rFonts w:cs="Arial"/>
          <w:szCs w:val="16"/>
        </w:rPr>
      </w:pPr>
      <w:r w:rsidRPr="004111A7">
        <w:rPr>
          <w:rFonts w:cs="Arial"/>
          <w:szCs w:val="16"/>
        </w:rPr>
        <w:t xml:space="preserve">Other gains includes resources received free of charge for financial statement audit services from the Australian National Audit Office. </w:t>
      </w:r>
    </w:p>
    <w:p w14:paraId="679A28C2" w14:textId="4DF5EC74" w:rsidR="00A546BE" w:rsidRPr="004111A7" w:rsidRDefault="00AD329D" w:rsidP="001864C9">
      <w:pPr>
        <w:pStyle w:val="ChartandTableFootnoteAlpha"/>
        <w:numPr>
          <w:ilvl w:val="0"/>
          <w:numId w:val="9"/>
        </w:numPr>
        <w:rPr>
          <w:rFonts w:cs="Arial"/>
          <w:szCs w:val="16"/>
        </w:rPr>
      </w:pPr>
      <w:r w:rsidRPr="004111A7">
        <w:rPr>
          <w:rFonts w:cs="Arial"/>
          <w:szCs w:val="16"/>
        </w:rPr>
        <w:t>Applies</w:t>
      </w:r>
      <w:r w:rsidR="00A546BE" w:rsidRPr="004111A7">
        <w:rPr>
          <w:rFonts w:cs="Arial"/>
          <w:szCs w:val="16"/>
        </w:rPr>
        <w:t xml:space="preserve"> </w:t>
      </w:r>
      <w:r w:rsidR="00584C69">
        <w:rPr>
          <w:rFonts w:cs="Arial"/>
          <w:szCs w:val="16"/>
        </w:rPr>
        <w:t>to Right-of-Use (ROU) assets</w:t>
      </w:r>
      <w:r w:rsidR="00A546BE" w:rsidRPr="004111A7">
        <w:rPr>
          <w:rFonts w:cs="Arial"/>
          <w:szCs w:val="16"/>
        </w:rPr>
        <w:t xml:space="preserve"> under AASB 16 Leases.</w:t>
      </w:r>
    </w:p>
    <w:bookmarkEnd w:id="78"/>
    <w:p w14:paraId="50F26330" w14:textId="77777777" w:rsidR="00E4582E" w:rsidRPr="004111A7" w:rsidRDefault="000A24C4" w:rsidP="00146B5E">
      <w:pPr>
        <w:pStyle w:val="TableHeading"/>
      </w:pPr>
      <w:r w:rsidRPr="004111A7">
        <w:br w:type="page"/>
      </w:r>
      <w:r w:rsidR="00525AB1" w:rsidRPr="004111A7">
        <w:lastRenderedPageBreak/>
        <w:t>Table</w:t>
      </w:r>
      <w:r w:rsidR="00971CBF" w:rsidRPr="004111A7">
        <w:t xml:space="preserve"> 3.</w:t>
      </w:r>
      <w:r w:rsidR="00525AB1" w:rsidRPr="004111A7">
        <w:t xml:space="preserve">2: Budgeted </w:t>
      </w:r>
      <w:r w:rsidR="00F626C2" w:rsidRPr="004111A7">
        <w:t xml:space="preserve">departmental balance sheet </w:t>
      </w:r>
      <w:r w:rsidR="00525AB1" w:rsidRPr="004111A7">
        <w:t>(as at 30 June)</w:t>
      </w:r>
    </w:p>
    <w:p w14:paraId="7DD41395" w14:textId="64FD4508" w:rsidR="00F626C2" w:rsidRPr="004111A7" w:rsidRDefault="00470A07" w:rsidP="00392DD1">
      <w:pPr>
        <w:pStyle w:val="TableGraphic"/>
      </w:pPr>
      <w:r w:rsidRPr="00470A07">
        <w:rPr>
          <w:noProof/>
        </w:rPr>
        <w:drawing>
          <wp:inline distT="0" distB="0" distL="0" distR="0" wp14:anchorId="441D09AE" wp14:editId="57255FED">
            <wp:extent cx="4895850" cy="5229342"/>
            <wp:effectExtent l="0" t="0" r="0" b="9525"/>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95850" cy="5229342"/>
                    </a:xfrm>
                    <a:prstGeom prst="rect">
                      <a:avLst/>
                    </a:prstGeom>
                    <a:noFill/>
                    <a:ln>
                      <a:noFill/>
                    </a:ln>
                  </pic:spPr>
                </pic:pic>
              </a:graphicData>
            </a:graphic>
          </wp:inline>
        </w:drawing>
      </w:r>
    </w:p>
    <w:p w14:paraId="2ED13738" w14:textId="77777777" w:rsidR="00A546BE" w:rsidRPr="004111A7" w:rsidRDefault="00A546BE" w:rsidP="00A546BE">
      <w:pPr>
        <w:pStyle w:val="ChartandTableFootnoteAlpha"/>
        <w:numPr>
          <w:ilvl w:val="0"/>
          <w:numId w:val="0"/>
        </w:numPr>
        <w:ind w:left="284" w:hanging="284"/>
        <w:rPr>
          <w:rFonts w:cs="Arial"/>
        </w:rPr>
      </w:pPr>
      <w:r w:rsidRPr="004111A7">
        <w:rPr>
          <w:rFonts w:cs="Arial"/>
        </w:rPr>
        <w:t>Prepared on Australian Accounting Standards basis.</w:t>
      </w:r>
    </w:p>
    <w:p w14:paraId="2B4018E4" w14:textId="77777777" w:rsidR="00A546BE" w:rsidRPr="004111A7" w:rsidRDefault="00A546BE" w:rsidP="00A546BE">
      <w:pPr>
        <w:pStyle w:val="TableGraphic"/>
        <w:rPr>
          <w:rFonts w:ascii="Arial" w:hAnsi="Arial" w:cs="Arial"/>
          <w:sz w:val="16"/>
        </w:rPr>
      </w:pPr>
      <w:r w:rsidRPr="004111A7">
        <w:rPr>
          <w:rFonts w:ascii="Arial" w:hAnsi="Arial" w:cs="Arial"/>
          <w:sz w:val="16"/>
        </w:rPr>
        <w:t>*Equity is the residual interest in assets after the deduction of liabilities.</w:t>
      </w:r>
    </w:p>
    <w:p w14:paraId="37E8EF06" w14:textId="77777777" w:rsidR="00747725" w:rsidRPr="004111A7" w:rsidRDefault="00747725" w:rsidP="00747725">
      <w:pPr>
        <w:pStyle w:val="ChartandTableFootnoteAlpha"/>
        <w:numPr>
          <w:ilvl w:val="0"/>
          <w:numId w:val="0"/>
        </w:numPr>
        <w:ind w:left="284" w:hanging="284"/>
        <w:rPr>
          <w:rFonts w:cs="Arial"/>
        </w:rPr>
      </w:pPr>
    </w:p>
    <w:p w14:paraId="21FDDEE7" w14:textId="42B514BA" w:rsidR="00A546BE" w:rsidRPr="004111A7" w:rsidRDefault="00A546BE" w:rsidP="00DF4D2A">
      <w:pPr>
        <w:pStyle w:val="ChartandTableFootnoteAlpha"/>
        <w:numPr>
          <w:ilvl w:val="0"/>
          <w:numId w:val="22"/>
        </w:numPr>
        <w:tabs>
          <w:tab w:val="clear" w:pos="284"/>
        </w:tabs>
        <w:rPr>
          <w:rFonts w:cs="Arial"/>
        </w:rPr>
      </w:pPr>
      <w:r w:rsidRPr="004111A7">
        <w:rPr>
          <w:rFonts w:cs="Arial"/>
        </w:rPr>
        <w:t>Primarily represents appropriation receivable (including capital appropriation) and the special accounts.</w:t>
      </w:r>
    </w:p>
    <w:p w14:paraId="510BF29F" w14:textId="51F84B88" w:rsidR="00A546BE" w:rsidRPr="004111A7" w:rsidRDefault="00A546BE" w:rsidP="001864C9">
      <w:pPr>
        <w:pStyle w:val="ChartandTableFootnoteAlpha"/>
        <w:numPr>
          <w:ilvl w:val="0"/>
          <w:numId w:val="7"/>
        </w:numPr>
        <w:tabs>
          <w:tab w:val="clear" w:pos="284"/>
        </w:tabs>
      </w:pPr>
      <w:r w:rsidRPr="004111A7">
        <w:rPr>
          <w:rFonts w:cs="Arial"/>
        </w:rPr>
        <w:t>Primarily</w:t>
      </w:r>
      <w:r w:rsidRPr="004111A7">
        <w:rPr>
          <w:rFonts w:cs="Arial"/>
          <w:color w:val="000000"/>
          <w:szCs w:val="16"/>
        </w:rPr>
        <w:t xml:space="preserve"> represents properties in the </w:t>
      </w:r>
      <w:r w:rsidR="00584C69">
        <w:rPr>
          <w:rFonts w:cs="Arial"/>
          <w:color w:val="000000"/>
          <w:szCs w:val="16"/>
        </w:rPr>
        <w:t>g</w:t>
      </w:r>
      <w:r w:rsidRPr="004111A7">
        <w:rPr>
          <w:rFonts w:cs="Arial"/>
          <w:color w:val="000000"/>
          <w:szCs w:val="16"/>
        </w:rPr>
        <w:t>overnment’s non-Defence property portfolio.</w:t>
      </w:r>
    </w:p>
    <w:p w14:paraId="4C004898" w14:textId="6F89251D" w:rsidR="00A546BE" w:rsidRPr="004111A7" w:rsidRDefault="00132F9E" w:rsidP="00A546BE">
      <w:pPr>
        <w:pStyle w:val="TableHeadingcontinued"/>
      </w:pPr>
      <w:r w:rsidRPr="004111A7">
        <w:br w:type="page"/>
      </w:r>
      <w:r w:rsidR="00A546BE" w:rsidRPr="004111A7">
        <w:lastRenderedPageBreak/>
        <w:t xml:space="preserve"> </w:t>
      </w:r>
    </w:p>
    <w:p w14:paraId="763F9516" w14:textId="4FDFD438" w:rsidR="002376AD" w:rsidRPr="004111A7" w:rsidRDefault="00A80C87" w:rsidP="009763C1">
      <w:pPr>
        <w:pStyle w:val="TableHeading"/>
        <w:rPr>
          <w:rFonts w:ascii="Times New Roman" w:hAnsi="Times New Roman"/>
        </w:rPr>
      </w:pPr>
      <w:r w:rsidRPr="004111A7">
        <w:t>Table</w:t>
      </w:r>
      <w:r w:rsidR="00971CBF" w:rsidRPr="004111A7">
        <w:t xml:space="preserve"> 3.</w:t>
      </w:r>
      <w:r w:rsidRPr="004111A7">
        <w:t>3</w:t>
      </w:r>
      <w:r w:rsidR="00345CCD" w:rsidRPr="004111A7">
        <w:t xml:space="preserve">: Departmental </w:t>
      </w:r>
      <w:r w:rsidR="00F626C2" w:rsidRPr="004111A7">
        <w:t xml:space="preserve">statement of changes in equity </w:t>
      </w:r>
      <w:r w:rsidR="00345CCD" w:rsidRPr="004111A7">
        <w:t xml:space="preserve">— </w:t>
      </w:r>
      <w:r w:rsidR="00F626C2" w:rsidRPr="004111A7">
        <w:t>summary of movement (</w:t>
      </w:r>
      <w:r w:rsidR="008A1DDE" w:rsidRPr="004111A7">
        <w:t xml:space="preserve">Budget </w:t>
      </w:r>
      <w:r w:rsidR="00F626C2" w:rsidRPr="004111A7">
        <w:t>y</w:t>
      </w:r>
      <w:r w:rsidR="008A1DDE" w:rsidRPr="004111A7">
        <w:t xml:space="preserve">ear </w:t>
      </w:r>
      <w:r w:rsidR="007E3AC7" w:rsidRPr="004111A7">
        <w:rPr>
          <w:lang w:val="en-AU"/>
        </w:rPr>
        <w:t>2021-22</w:t>
      </w:r>
      <w:r w:rsidR="00345CCD" w:rsidRPr="004111A7">
        <w:t>)</w:t>
      </w:r>
      <w:r w:rsidR="002376AD" w:rsidRPr="004111A7">
        <w:fldChar w:fldCharType="begin" w:fldLock="1"/>
      </w:r>
      <w:r w:rsidR="002376AD" w:rsidRPr="004111A7">
        <w:instrText xml:space="preserve"> LINK Excel.Sheet.12 "\\\\romulus\\csg_h$\\MCD\\Publishing\\Graphic Design Services Team\\Projects\\2021\\Budget 2021\\03 PBS\\PBS templates\\Attachment B - 2021-22 PBS Excel Tables.xlsx" "Table 3.3!R3C1:R34C6" \a \f 4 \h </w:instrText>
      </w:r>
      <w:r w:rsidR="004111A7">
        <w:instrText xml:space="preserve"> \* MERGEFORMAT </w:instrText>
      </w:r>
      <w:r w:rsidR="002376AD" w:rsidRPr="004111A7">
        <w:fldChar w:fldCharType="separate"/>
      </w:r>
    </w:p>
    <w:p w14:paraId="559AD5C4" w14:textId="37759DB8" w:rsidR="00152B2B" w:rsidRPr="004111A7" w:rsidRDefault="002376AD" w:rsidP="00392DD1">
      <w:pPr>
        <w:pStyle w:val="TableGraphic"/>
      </w:pPr>
      <w:r w:rsidRPr="004111A7">
        <w:fldChar w:fldCharType="end"/>
      </w:r>
      <w:r w:rsidR="00470A07" w:rsidRPr="00470A07">
        <w:t xml:space="preserve"> </w:t>
      </w:r>
      <w:r w:rsidR="00470A07" w:rsidRPr="00470A07">
        <w:rPr>
          <w:noProof/>
        </w:rPr>
        <w:drawing>
          <wp:inline distT="0" distB="0" distL="0" distR="0" wp14:anchorId="4DC73DE6" wp14:editId="28253BD8">
            <wp:extent cx="4169410" cy="3803650"/>
            <wp:effectExtent l="0" t="0" r="2540" b="635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169410" cy="3803650"/>
                    </a:xfrm>
                    <a:prstGeom prst="rect">
                      <a:avLst/>
                    </a:prstGeom>
                    <a:noFill/>
                    <a:ln>
                      <a:noFill/>
                    </a:ln>
                  </pic:spPr>
                </pic:pic>
              </a:graphicData>
            </a:graphic>
          </wp:inline>
        </w:drawing>
      </w:r>
    </w:p>
    <w:p w14:paraId="56C7C6CC" w14:textId="77777777" w:rsidR="000361F0" w:rsidRPr="004111A7" w:rsidRDefault="000361F0" w:rsidP="000361F0">
      <w:pPr>
        <w:pStyle w:val="ChartandTableFootnoteAlpha"/>
        <w:numPr>
          <w:ilvl w:val="0"/>
          <w:numId w:val="0"/>
        </w:numPr>
        <w:ind w:left="284" w:hanging="284"/>
      </w:pPr>
      <w:r w:rsidRPr="004111A7">
        <w:t xml:space="preserve">Prepared on Australian </w:t>
      </w:r>
      <w:r w:rsidRPr="004111A7">
        <w:rPr>
          <w:rFonts w:cs="Arial"/>
        </w:rPr>
        <w:t>Accounting</w:t>
      </w:r>
      <w:r w:rsidRPr="004111A7">
        <w:t xml:space="preserve"> Standards basis.</w:t>
      </w:r>
    </w:p>
    <w:p w14:paraId="63AA6174" w14:textId="77777777" w:rsidR="00747725" w:rsidRPr="004111A7" w:rsidRDefault="00747725" w:rsidP="00747725">
      <w:pPr>
        <w:pStyle w:val="ChartandTableFootnoteAlpha"/>
        <w:numPr>
          <w:ilvl w:val="0"/>
          <w:numId w:val="0"/>
        </w:numPr>
        <w:ind w:left="284" w:hanging="284"/>
        <w:rPr>
          <w:rFonts w:cs="Arial"/>
        </w:rPr>
      </w:pPr>
    </w:p>
    <w:p w14:paraId="46E4454F" w14:textId="1E20996B" w:rsidR="000361F0" w:rsidRPr="004111A7" w:rsidRDefault="000361F0" w:rsidP="00DF4D2A">
      <w:pPr>
        <w:pStyle w:val="ChartandTableFootnoteAlpha"/>
        <w:numPr>
          <w:ilvl w:val="0"/>
          <w:numId w:val="23"/>
        </w:numPr>
        <w:tabs>
          <w:tab w:val="clear" w:pos="284"/>
        </w:tabs>
        <w:rPr>
          <w:rFonts w:cs="Arial"/>
        </w:rPr>
      </w:pPr>
      <w:r w:rsidRPr="004111A7">
        <w:rPr>
          <w:rFonts w:cs="Arial"/>
        </w:rPr>
        <w:t>Equity injections for construction and ICT projects.</w:t>
      </w:r>
    </w:p>
    <w:p w14:paraId="474C43AD" w14:textId="77777777" w:rsidR="00C038D0" w:rsidRPr="004111A7" w:rsidRDefault="00C038D0" w:rsidP="00152B2B"/>
    <w:p w14:paraId="53CD2EFF" w14:textId="309F03EB" w:rsidR="00775793" w:rsidRPr="004111A7" w:rsidRDefault="000A24C4">
      <w:pPr>
        <w:pStyle w:val="TableHeading"/>
      </w:pPr>
      <w:r w:rsidRPr="004111A7">
        <w:br w:type="page"/>
      </w:r>
      <w:r w:rsidR="00345CCD" w:rsidRPr="004111A7">
        <w:lastRenderedPageBreak/>
        <w:t>Table</w:t>
      </w:r>
      <w:r w:rsidR="00971CBF" w:rsidRPr="004111A7">
        <w:t xml:space="preserve"> 3.</w:t>
      </w:r>
      <w:r w:rsidR="00345CCD" w:rsidRPr="004111A7">
        <w:t xml:space="preserve">4: Budgeted </w:t>
      </w:r>
      <w:r w:rsidR="00F10305" w:rsidRPr="004111A7">
        <w:t xml:space="preserve">departmental statement of cash flows </w:t>
      </w:r>
      <w:r w:rsidR="00345CCD" w:rsidRPr="004111A7">
        <w:t>(</w:t>
      </w:r>
      <w:r w:rsidR="00F10305" w:rsidRPr="004111A7">
        <w:t>for </w:t>
      </w:r>
      <w:r w:rsidR="00345CCD" w:rsidRPr="004111A7">
        <w:t>the period ended 30 June)</w:t>
      </w:r>
    </w:p>
    <w:p w14:paraId="2404DDF6" w14:textId="3FC3EF2D" w:rsidR="00754905" w:rsidRPr="004111A7" w:rsidRDefault="00470A07" w:rsidP="00775793">
      <w:pPr>
        <w:pStyle w:val="TableGraphic"/>
        <w:tabs>
          <w:tab w:val="left" w:pos="6237"/>
        </w:tabs>
        <w:rPr>
          <w:rFonts w:ascii="Arial" w:hAnsi="Arial" w:cs="Arial"/>
          <w:b/>
          <w:sz w:val="16"/>
        </w:rPr>
      </w:pPr>
      <w:r w:rsidRPr="00470A07">
        <w:rPr>
          <w:noProof/>
        </w:rPr>
        <w:drawing>
          <wp:inline distT="0" distB="0" distL="0" distR="0" wp14:anchorId="3A82D3B6" wp14:editId="734F2ED1">
            <wp:extent cx="4623435" cy="5647055"/>
            <wp:effectExtent l="0" t="0" r="5715"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23435" cy="5647055"/>
                    </a:xfrm>
                    <a:prstGeom prst="rect">
                      <a:avLst/>
                    </a:prstGeom>
                    <a:noFill/>
                    <a:ln>
                      <a:noFill/>
                    </a:ln>
                  </pic:spPr>
                </pic:pic>
              </a:graphicData>
            </a:graphic>
          </wp:inline>
        </w:drawing>
      </w:r>
    </w:p>
    <w:p w14:paraId="30172D9D" w14:textId="5366A641" w:rsidR="000361F0" w:rsidRPr="004111A7" w:rsidRDefault="000361F0" w:rsidP="00775793">
      <w:pPr>
        <w:pStyle w:val="TableGraphic"/>
        <w:tabs>
          <w:tab w:val="left" w:pos="6237"/>
        </w:tabs>
        <w:rPr>
          <w:rFonts w:ascii="Arial" w:hAnsi="Arial" w:cs="Arial"/>
          <w:b/>
          <w:sz w:val="16"/>
        </w:rPr>
      </w:pPr>
      <w:r w:rsidRPr="004111A7">
        <w:rPr>
          <w:rFonts w:ascii="Arial" w:hAnsi="Arial" w:cs="Arial"/>
          <w:sz w:val="16"/>
        </w:rPr>
        <w:t>Table continues on next page</w:t>
      </w:r>
    </w:p>
    <w:p w14:paraId="28A558CE" w14:textId="77777777" w:rsidR="00A00283" w:rsidRPr="004111A7" w:rsidRDefault="00132F9E">
      <w:pPr>
        <w:pStyle w:val="TableHeadingcontinued"/>
      </w:pPr>
      <w:r w:rsidRPr="004111A7">
        <w:br w:type="page"/>
      </w:r>
      <w:r w:rsidR="00345CCD" w:rsidRPr="004111A7">
        <w:lastRenderedPageBreak/>
        <w:t>Table</w:t>
      </w:r>
      <w:r w:rsidR="00971CBF" w:rsidRPr="004111A7">
        <w:t xml:space="preserve"> 3.</w:t>
      </w:r>
      <w:r w:rsidR="00345CCD" w:rsidRPr="004111A7">
        <w:t xml:space="preserve">4: Budgeted </w:t>
      </w:r>
      <w:r w:rsidR="00F10305" w:rsidRPr="004111A7">
        <w:t xml:space="preserve">departmental statement of cash flows </w:t>
      </w:r>
      <w:r w:rsidR="00345CCD" w:rsidRPr="004111A7">
        <w:t>(for the period ended 30 June) (continued)</w:t>
      </w:r>
    </w:p>
    <w:p w14:paraId="6A4CAEE0" w14:textId="363AAB89" w:rsidR="00132F9E" w:rsidRPr="004111A7" w:rsidRDefault="00470A07" w:rsidP="00392DD1">
      <w:pPr>
        <w:pStyle w:val="TableGraphic"/>
      </w:pPr>
      <w:r w:rsidRPr="00470A07">
        <w:rPr>
          <w:noProof/>
        </w:rPr>
        <w:drawing>
          <wp:inline distT="0" distB="0" distL="0" distR="0" wp14:anchorId="5333A2A2" wp14:editId="47377970">
            <wp:extent cx="4623435" cy="3211195"/>
            <wp:effectExtent l="0" t="0" r="5715" b="825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23435" cy="3211195"/>
                    </a:xfrm>
                    <a:prstGeom prst="rect">
                      <a:avLst/>
                    </a:prstGeom>
                    <a:noFill/>
                    <a:ln>
                      <a:noFill/>
                    </a:ln>
                  </pic:spPr>
                </pic:pic>
              </a:graphicData>
            </a:graphic>
          </wp:inline>
        </w:drawing>
      </w:r>
    </w:p>
    <w:p w14:paraId="1ADDBD21" w14:textId="77777777" w:rsidR="00345CCD" w:rsidRPr="004111A7" w:rsidRDefault="00345CCD" w:rsidP="00A9401F">
      <w:pPr>
        <w:pStyle w:val="TableGraphic"/>
        <w:rPr>
          <w:rFonts w:ascii="Arial" w:hAnsi="Arial" w:cs="Arial"/>
          <w:sz w:val="16"/>
          <w:szCs w:val="16"/>
        </w:rPr>
      </w:pPr>
      <w:r w:rsidRPr="004111A7">
        <w:rPr>
          <w:rFonts w:ascii="Arial" w:hAnsi="Arial" w:cs="Arial"/>
          <w:sz w:val="16"/>
          <w:szCs w:val="16"/>
        </w:rPr>
        <w:t>Prepared on Australian Accounting Standards basis.</w:t>
      </w:r>
    </w:p>
    <w:p w14:paraId="47AD4C71" w14:textId="77777777" w:rsidR="0061675B" w:rsidRPr="004111A7" w:rsidRDefault="0061675B" w:rsidP="00601A28">
      <w:pPr>
        <w:pStyle w:val="NoSpacing"/>
        <w:rPr>
          <w:rFonts w:ascii="Arial" w:hAnsi="Arial" w:cs="Arial"/>
          <w:sz w:val="16"/>
          <w:szCs w:val="16"/>
        </w:rPr>
      </w:pPr>
    </w:p>
    <w:p w14:paraId="5E5A6065" w14:textId="77777777" w:rsidR="00A00283" w:rsidRPr="004111A7" w:rsidRDefault="000A24C4">
      <w:pPr>
        <w:pStyle w:val="TableHeading"/>
      </w:pPr>
      <w:r w:rsidRPr="004111A7">
        <w:br w:type="page"/>
      </w:r>
      <w:r w:rsidR="008B4464" w:rsidRPr="004111A7">
        <w:lastRenderedPageBreak/>
        <w:t>Table</w:t>
      </w:r>
      <w:r w:rsidR="00971CBF" w:rsidRPr="004111A7">
        <w:t xml:space="preserve"> 3.</w:t>
      </w:r>
      <w:r w:rsidR="008B4464" w:rsidRPr="004111A7">
        <w:t xml:space="preserve">5: </w:t>
      </w:r>
      <w:r w:rsidR="00F54947" w:rsidRPr="004111A7">
        <w:t xml:space="preserve">Departmental </w:t>
      </w:r>
      <w:r w:rsidR="00F10305" w:rsidRPr="004111A7">
        <w:t>capital budget statement</w:t>
      </w:r>
      <w:r w:rsidR="005067C7" w:rsidRPr="004111A7">
        <w:t xml:space="preserve"> (for the period ended 30 June)</w:t>
      </w:r>
    </w:p>
    <w:p w14:paraId="4C30D842" w14:textId="2C4C60D6" w:rsidR="00F10305" w:rsidRPr="004111A7" w:rsidRDefault="00470A07" w:rsidP="00392DD1">
      <w:pPr>
        <w:pStyle w:val="TableGraphic"/>
      </w:pPr>
      <w:r w:rsidRPr="00470A07">
        <w:rPr>
          <w:noProof/>
        </w:rPr>
        <w:drawing>
          <wp:inline distT="0" distB="0" distL="0" distR="0" wp14:anchorId="26E7C2EA" wp14:editId="432472A8">
            <wp:extent cx="4895850" cy="3263691"/>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895850" cy="3263691"/>
                    </a:xfrm>
                    <a:prstGeom prst="rect">
                      <a:avLst/>
                    </a:prstGeom>
                    <a:noFill/>
                    <a:ln>
                      <a:noFill/>
                    </a:ln>
                  </pic:spPr>
                </pic:pic>
              </a:graphicData>
            </a:graphic>
          </wp:inline>
        </w:drawing>
      </w:r>
    </w:p>
    <w:p w14:paraId="08E54674" w14:textId="77777777" w:rsidR="00D606C2" w:rsidRPr="004111A7" w:rsidRDefault="00D606C2" w:rsidP="00D606C2">
      <w:pPr>
        <w:pStyle w:val="TableGraphic"/>
        <w:rPr>
          <w:rFonts w:ascii="Arial" w:hAnsi="Arial" w:cs="Arial"/>
          <w:sz w:val="16"/>
          <w:szCs w:val="16"/>
        </w:rPr>
      </w:pPr>
      <w:r w:rsidRPr="004111A7">
        <w:rPr>
          <w:rFonts w:ascii="Arial" w:hAnsi="Arial" w:cs="Arial"/>
          <w:sz w:val="16"/>
          <w:szCs w:val="16"/>
        </w:rPr>
        <w:t>Prepared on Australian Accounting Standards basis.</w:t>
      </w:r>
    </w:p>
    <w:p w14:paraId="30AA3F19" w14:textId="77777777" w:rsidR="000361F0" w:rsidRPr="004111A7" w:rsidRDefault="000361F0" w:rsidP="000361F0">
      <w:pPr>
        <w:tabs>
          <w:tab w:val="left" w:pos="0"/>
          <w:tab w:val="left" w:pos="426"/>
        </w:tabs>
        <w:spacing w:after="0" w:line="240" w:lineRule="auto"/>
        <w:jc w:val="left"/>
        <w:rPr>
          <w:rFonts w:ascii="Arial" w:hAnsi="Arial" w:cs="Arial"/>
          <w:sz w:val="16"/>
          <w:szCs w:val="16"/>
        </w:rPr>
      </w:pPr>
    </w:p>
    <w:p w14:paraId="0E435F14" w14:textId="77777777" w:rsidR="000361F0" w:rsidRPr="004111A7" w:rsidRDefault="000361F0" w:rsidP="00DF4D2A">
      <w:pPr>
        <w:pStyle w:val="ChartandTableFootnoteAlpha"/>
        <w:numPr>
          <w:ilvl w:val="0"/>
          <w:numId w:val="25"/>
        </w:numPr>
        <w:tabs>
          <w:tab w:val="clear" w:pos="397"/>
          <w:tab w:val="num" w:pos="284"/>
        </w:tabs>
        <w:spacing w:after="20"/>
        <w:jc w:val="left"/>
        <w:rPr>
          <w:rFonts w:cs="Arial"/>
          <w:color w:val="000000"/>
          <w:szCs w:val="16"/>
        </w:rPr>
      </w:pPr>
      <w:r w:rsidRPr="004111A7">
        <w:rPr>
          <w:rFonts w:cs="Arial"/>
          <w:color w:val="000000"/>
          <w:szCs w:val="16"/>
        </w:rPr>
        <w:t>Does not include annual finance lease costs.</w:t>
      </w:r>
    </w:p>
    <w:p w14:paraId="49A33032" w14:textId="77777777" w:rsidR="000361F0" w:rsidRPr="004111A7" w:rsidRDefault="000361F0" w:rsidP="00DF4D2A">
      <w:pPr>
        <w:pStyle w:val="ChartandTableFootnoteAlpha"/>
        <w:numPr>
          <w:ilvl w:val="0"/>
          <w:numId w:val="25"/>
        </w:numPr>
        <w:tabs>
          <w:tab w:val="clear" w:pos="397"/>
          <w:tab w:val="num" w:pos="284"/>
        </w:tabs>
        <w:spacing w:after="20"/>
        <w:jc w:val="left"/>
        <w:rPr>
          <w:rFonts w:cs="Arial"/>
          <w:color w:val="000000"/>
          <w:szCs w:val="16"/>
        </w:rPr>
      </w:pPr>
      <w:r w:rsidRPr="004111A7">
        <w:rPr>
          <w:rFonts w:cs="Arial"/>
          <w:color w:val="000000"/>
          <w:szCs w:val="16"/>
        </w:rPr>
        <w:t>Includes the following sources of funding:</w:t>
      </w:r>
    </w:p>
    <w:p w14:paraId="147CD545" w14:textId="77777777" w:rsidR="000361F0" w:rsidRPr="004111A7" w:rsidRDefault="000361F0" w:rsidP="00DF4D2A">
      <w:pPr>
        <w:pStyle w:val="ListParagraph"/>
        <w:numPr>
          <w:ilvl w:val="0"/>
          <w:numId w:val="24"/>
        </w:numPr>
        <w:spacing w:after="0" w:line="240" w:lineRule="auto"/>
        <w:ind w:left="567" w:hanging="141"/>
        <w:rPr>
          <w:rFonts w:ascii="Arial" w:hAnsi="Arial" w:cs="Arial"/>
          <w:color w:val="000000"/>
          <w:sz w:val="16"/>
          <w:szCs w:val="16"/>
        </w:rPr>
      </w:pPr>
      <w:r w:rsidRPr="004111A7">
        <w:rPr>
          <w:rFonts w:ascii="Arial" w:hAnsi="Arial" w:cs="Arial"/>
          <w:color w:val="000000"/>
          <w:sz w:val="16"/>
          <w:szCs w:val="16"/>
        </w:rPr>
        <w:t>Current and prior year annual appropriation.</w:t>
      </w:r>
    </w:p>
    <w:p w14:paraId="140E6926" w14:textId="77777777" w:rsidR="000361F0" w:rsidRPr="004111A7" w:rsidRDefault="000361F0" w:rsidP="00DF4D2A">
      <w:pPr>
        <w:pStyle w:val="ListParagraph"/>
        <w:numPr>
          <w:ilvl w:val="0"/>
          <w:numId w:val="24"/>
        </w:numPr>
        <w:spacing w:after="0" w:line="240" w:lineRule="auto"/>
        <w:ind w:left="567" w:hanging="141"/>
        <w:rPr>
          <w:rFonts w:ascii="Arial" w:hAnsi="Arial" w:cs="Arial"/>
          <w:color w:val="000000"/>
          <w:sz w:val="16"/>
          <w:szCs w:val="16"/>
        </w:rPr>
      </w:pPr>
      <w:r w:rsidRPr="004111A7">
        <w:rPr>
          <w:rFonts w:ascii="Arial" w:hAnsi="Arial" w:cs="Arial"/>
          <w:color w:val="000000"/>
          <w:sz w:val="16"/>
          <w:szCs w:val="16"/>
        </w:rPr>
        <w:t>Funds held in special accounts.</w:t>
      </w:r>
    </w:p>
    <w:p w14:paraId="6E5AEFEC" w14:textId="77777777" w:rsidR="00132F9E" w:rsidRPr="004111A7" w:rsidRDefault="00132F9E" w:rsidP="00152B2B"/>
    <w:p w14:paraId="59010BEA" w14:textId="77777777" w:rsidR="00775793" w:rsidRPr="004111A7" w:rsidRDefault="00775793" w:rsidP="00146B5E">
      <w:pPr>
        <w:pStyle w:val="TableHeading"/>
      </w:pPr>
      <w:r w:rsidRPr="004111A7">
        <w:br w:type="page"/>
      </w:r>
    </w:p>
    <w:p w14:paraId="60679E3A" w14:textId="13FFD7A8" w:rsidR="0041404E" w:rsidRPr="004111A7" w:rsidRDefault="00CC4867" w:rsidP="00146B5E">
      <w:pPr>
        <w:pStyle w:val="TableHeading"/>
      </w:pPr>
      <w:r w:rsidRPr="004111A7">
        <w:lastRenderedPageBreak/>
        <w:t>Table</w:t>
      </w:r>
      <w:r w:rsidR="00971CBF" w:rsidRPr="004111A7">
        <w:t xml:space="preserve"> 3.</w:t>
      </w:r>
      <w:r w:rsidRPr="004111A7">
        <w:t xml:space="preserve">6: Statement of </w:t>
      </w:r>
      <w:r w:rsidR="00F87522" w:rsidRPr="004111A7">
        <w:rPr>
          <w:lang w:val="en-AU"/>
        </w:rPr>
        <w:t xml:space="preserve">departmental </w:t>
      </w:r>
      <w:r w:rsidR="00F10305" w:rsidRPr="004111A7">
        <w:t xml:space="preserve">asset movements </w:t>
      </w:r>
      <w:r w:rsidR="008A1DDE" w:rsidRPr="004111A7">
        <w:t>(</w:t>
      </w:r>
      <w:r w:rsidR="00B70C9E" w:rsidRPr="004111A7">
        <w:t xml:space="preserve">Budget year </w:t>
      </w:r>
      <w:r w:rsidR="007E3AC7" w:rsidRPr="004111A7">
        <w:rPr>
          <w:lang w:val="en-AU"/>
        </w:rPr>
        <w:t>2021-22</w:t>
      </w:r>
      <w:r w:rsidR="00E855E0" w:rsidRPr="004111A7">
        <w:t>)</w:t>
      </w:r>
    </w:p>
    <w:p w14:paraId="022E06A5" w14:textId="69E39474" w:rsidR="005C348A" w:rsidRPr="004111A7" w:rsidRDefault="00470A07" w:rsidP="005C348A">
      <w:pPr>
        <w:pStyle w:val="TableGraphic"/>
      </w:pPr>
      <w:r w:rsidRPr="00470A07">
        <w:rPr>
          <w:noProof/>
        </w:rPr>
        <w:drawing>
          <wp:inline distT="0" distB="0" distL="0" distR="0" wp14:anchorId="597719C6" wp14:editId="0DFB0022">
            <wp:extent cx="4895850" cy="558303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895850" cy="5583035"/>
                    </a:xfrm>
                    <a:prstGeom prst="rect">
                      <a:avLst/>
                    </a:prstGeom>
                    <a:noFill/>
                    <a:ln>
                      <a:noFill/>
                    </a:ln>
                  </pic:spPr>
                </pic:pic>
              </a:graphicData>
            </a:graphic>
          </wp:inline>
        </w:drawing>
      </w:r>
    </w:p>
    <w:p w14:paraId="6E271A6D" w14:textId="77777777" w:rsidR="000361F0" w:rsidRPr="004111A7" w:rsidRDefault="000361F0" w:rsidP="000361F0">
      <w:pPr>
        <w:pStyle w:val="Source"/>
        <w:spacing w:before="40"/>
        <w:jc w:val="left"/>
        <w:rPr>
          <w:rFonts w:cs="Arial"/>
          <w:szCs w:val="16"/>
        </w:rPr>
      </w:pPr>
      <w:r w:rsidRPr="004111A7">
        <w:rPr>
          <w:rFonts w:cs="Arial"/>
          <w:szCs w:val="16"/>
        </w:rPr>
        <w:t>Prepared on Australian Accounting Standards basis.</w:t>
      </w:r>
    </w:p>
    <w:p w14:paraId="6D2DC001" w14:textId="77777777" w:rsidR="000361F0" w:rsidRPr="004111A7" w:rsidRDefault="000361F0" w:rsidP="000361F0">
      <w:pPr>
        <w:pStyle w:val="Source"/>
        <w:jc w:val="left"/>
        <w:rPr>
          <w:rFonts w:cs="Arial"/>
          <w:szCs w:val="16"/>
        </w:rPr>
      </w:pPr>
    </w:p>
    <w:p w14:paraId="21A3A126" w14:textId="1631D098" w:rsidR="000361F0" w:rsidRPr="004111A7" w:rsidRDefault="000361F0" w:rsidP="00DF4D2A">
      <w:pPr>
        <w:pStyle w:val="ChartandTableFootnoteAlpha"/>
        <w:numPr>
          <w:ilvl w:val="0"/>
          <w:numId w:val="26"/>
        </w:numPr>
        <w:tabs>
          <w:tab w:val="clear" w:pos="284"/>
        </w:tabs>
        <w:jc w:val="left"/>
        <w:rPr>
          <w:rFonts w:cs="Arial"/>
          <w:szCs w:val="16"/>
        </w:rPr>
      </w:pPr>
      <w:r w:rsidRPr="004111A7">
        <w:rPr>
          <w:rFonts w:cs="Arial"/>
          <w:szCs w:val="16"/>
        </w:rPr>
        <w:t>‘Appropriation equ</w:t>
      </w:r>
      <w:r w:rsidR="00124589" w:rsidRPr="004111A7">
        <w:rPr>
          <w:rFonts w:cs="Arial"/>
          <w:szCs w:val="16"/>
        </w:rPr>
        <w:t>ity’ refers to equity injection</w:t>
      </w:r>
      <w:r w:rsidRPr="004111A7">
        <w:rPr>
          <w:rFonts w:cs="Arial"/>
          <w:szCs w:val="16"/>
        </w:rPr>
        <w:t xml:space="preserve"> appropriations provided through Appropriation Bill (No. 2) 202</w:t>
      </w:r>
      <w:r w:rsidR="00101F60" w:rsidRPr="004111A7">
        <w:rPr>
          <w:rFonts w:cs="Arial"/>
          <w:szCs w:val="16"/>
        </w:rPr>
        <w:t>1-22</w:t>
      </w:r>
      <w:r w:rsidRPr="004111A7">
        <w:rPr>
          <w:rFonts w:cs="Arial"/>
          <w:szCs w:val="16"/>
        </w:rPr>
        <w:t xml:space="preserve">. </w:t>
      </w:r>
    </w:p>
    <w:p w14:paraId="1D69FF48" w14:textId="0C01A227" w:rsidR="000361F0" w:rsidRPr="004111A7" w:rsidRDefault="000361F0" w:rsidP="001864C9">
      <w:pPr>
        <w:pStyle w:val="ChartandTableFootnoteAlpha"/>
        <w:numPr>
          <w:ilvl w:val="0"/>
          <w:numId w:val="7"/>
        </w:numPr>
        <w:tabs>
          <w:tab w:val="clear" w:pos="284"/>
        </w:tabs>
        <w:jc w:val="left"/>
        <w:rPr>
          <w:rFonts w:cs="Arial"/>
          <w:szCs w:val="16"/>
        </w:rPr>
      </w:pPr>
      <w:r w:rsidRPr="004111A7">
        <w:rPr>
          <w:rFonts w:cs="Arial"/>
          <w:szCs w:val="16"/>
        </w:rPr>
        <w:t>‘Appropriation ordinary annual services’ refers to funding provided through</w:t>
      </w:r>
      <w:r w:rsidR="00101F60" w:rsidRPr="004111A7">
        <w:rPr>
          <w:rFonts w:cs="Arial"/>
          <w:szCs w:val="16"/>
        </w:rPr>
        <w:t xml:space="preserve"> Appropriation Bill (No. 1) 2021</w:t>
      </w:r>
      <w:r w:rsidRPr="004111A7">
        <w:rPr>
          <w:rFonts w:cs="Arial"/>
          <w:szCs w:val="16"/>
        </w:rPr>
        <w:t>-2</w:t>
      </w:r>
      <w:r w:rsidR="00101F60" w:rsidRPr="004111A7">
        <w:rPr>
          <w:rFonts w:cs="Arial"/>
          <w:szCs w:val="16"/>
        </w:rPr>
        <w:t>2</w:t>
      </w:r>
      <w:r w:rsidRPr="004111A7">
        <w:rPr>
          <w:rFonts w:cs="Arial"/>
          <w:szCs w:val="16"/>
        </w:rPr>
        <w:t xml:space="preserve"> for depreciation/amortisation expenses, DCBs or other operational expenses.</w:t>
      </w:r>
    </w:p>
    <w:p w14:paraId="067323C8" w14:textId="3D769093" w:rsidR="00E4135B" w:rsidRPr="004111A7" w:rsidRDefault="000361F0" w:rsidP="001864C9">
      <w:pPr>
        <w:pStyle w:val="ChartandTableFootnoteAlpha"/>
        <w:numPr>
          <w:ilvl w:val="0"/>
          <w:numId w:val="7"/>
        </w:numPr>
        <w:tabs>
          <w:tab w:val="clear" w:pos="284"/>
        </w:tabs>
        <w:jc w:val="left"/>
        <w:rPr>
          <w:rFonts w:cs="Arial"/>
          <w:szCs w:val="16"/>
        </w:rPr>
      </w:pPr>
      <w:r w:rsidRPr="004111A7">
        <w:rPr>
          <w:rFonts w:cs="Arial"/>
          <w:szCs w:val="16"/>
        </w:rPr>
        <w:t>Net proceeds may be returned to the Official Public Account.</w:t>
      </w:r>
      <w:r w:rsidR="00E4135B" w:rsidRPr="004111A7">
        <w:rPr>
          <w:rFonts w:cs="Arial"/>
          <w:szCs w:val="16"/>
        </w:rPr>
        <w:br w:type="page"/>
      </w:r>
    </w:p>
    <w:p w14:paraId="50C0C26A" w14:textId="77777777" w:rsidR="004F5573" w:rsidRPr="004111A7" w:rsidRDefault="00D30CBA" w:rsidP="00146B5E">
      <w:pPr>
        <w:pStyle w:val="TableHeading"/>
      </w:pPr>
      <w:r w:rsidRPr="004111A7">
        <w:lastRenderedPageBreak/>
        <w:t>Table</w:t>
      </w:r>
      <w:r w:rsidR="00971CBF" w:rsidRPr="004111A7">
        <w:t xml:space="preserve"> 3.</w:t>
      </w:r>
      <w:r w:rsidR="00B93884" w:rsidRPr="004111A7">
        <w:t>7</w:t>
      </w:r>
      <w:r w:rsidRPr="004111A7">
        <w:t xml:space="preserve">: Schedule of </w:t>
      </w:r>
      <w:r w:rsidR="00F10305" w:rsidRPr="004111A7">
        <w:t>budgeted income and expenses administered on behalf of</w:t>
      </w:r>
      <w:r w:rsidR="002C7A63" w:rsidRPr="004111A7">
        <w:t xml:space="preserve"> G</w:t>
      </w:r>
      <w:r w:rsidRPr="004111A7">
        <w:t>ove</w:t>
      </w:r>
      <w:r w:rsidR="004F5573" w:rsidRPr="004111A7">
        <w:t>rnment (for the period ended 30 </w:t>
      </w:r>
      <w:r w:rsidRPr="004111A7">
        <w:t>June)</w:t>
      </w:r>
    </w:p>
    <w:p w14:paraId="1F9DB466" w14:textId="70D077C2" w:rsidR="00852EEF" w:rsidRPr="004111A7" w:rsidRDefault="00470A07" w:rsidP="0044552A">
      <w:pPr>
        <w:pStyle w:val="TableGraphic"/>
      </w:pPr>
      <w:r w:rsidRPr="00470A07">
        <w:rPr>
          <w:noProof/>
        </w:rPr>
        <w:drawing>
          <wp:inline distT="0" distB="0" distL="0" distR="0" wp14:anchorId="5C46A4A7" wp14:editId="169D137B">
            <wp:extent cx="4895850" cy="5647849"/>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95850" cy="5647849"/>
                    </a:xfrm>
                    <a:prstGeom prst="rect">
                      <a:avLst/>
                    </a:prstGeom>
                    <a:noFill/>
                    <a:ln>
                      <a:noFill/>
                    </a:ln>
                  </pic:spPr>
                </pic:pic>
              </a:graphicData>
            </a:graphic>
          </wp:inline>
        </w:drawing>
      </w:r>
    </w:p>
    <w:p w14:paraId="21EF0EBE" w14:textId="77777777" w:rsidR="005C26D4" w:rsidRPr="004111A7" w:rsidRDefault="005C26D4" w:rsidP="005C26D4">
      <w:pPr>
        <w:pStyle w:val="Source"/>
        <w:jc w:val="left"/>
      </w:pPr>
      <w:r w:rsidRPr="004111A7">
        <w:t>Prepared on Australian Accounting Standards basis.</w:t>
      </w:r>
    </w:p>
    <w:p w14:paraId="6B15669D" w14:textId="77777777" w:rsidR="005C26D4" w:rsidRPr="004111A7" w:rsidRDefault="005C26D4" w:rsidP="005C26D4">
      <w:pPr>
        <w:pStyle w:val="Source"/>
        <w:jc w:val="left"/>
      </w:pPr>
    </w:p>
    <w:p w14:paraId="2F0E7BD7" w14:textId="768E8369" w:rsidR="005C26D4" w:rsidRPr="004111A7" w:rsidRDefault="004D723E" w:rsidP="00DF4D2A">
      <w:pPr>
        <w:pStyle w:val="ChartandTableFootnoteAlpha"/>
        <w:numPr>
          <w:ilvl w:val="0"/>
          <w:numId w:val="27"/>
        </w:numPr>
        <w:tabs>
          <w:tab w:val="clear" w:pos="284"/>
        </w:tabs>
        <w:jc w:val="left"/>
        <w:rPr>
          <w:rFonts w:cs="Arial"/>
          <w:color w:val="000000"/>
          <w:szCs w:val="16"/>
        </w:rPr>
      </w:pPr>
      <w:r>
        <w:rPr>
          <w:rFonts w:cs="Arial"/>
          <w:color w:val="000000"/>
          <w:szCs w:val="16"/>
        </w:rPr>
        <w:t>Estimates of distributions</w:t>
      </w:r>
      <w:r w:rsidR="005C26D4" w:rsidRPr="004111A7">
        <w:rPr>
          <w:rFonts w:cs="Arial"/>
          <w:color w:val="000000"/>
          <w:szCs w:val="16"/>
        </w:rPr>
        <w:t xml:space="preserve"> to be transferred from the Australian Government Investment Funds. This item does not include equity payments. For more detail on each fund, refer to Tables 2.</w:t>
      </w:r>
      <w:r w:rsidR="00101F60" w:rsidRPr="004111A7">
        <w:rPr>
          <w:rFonts w:cs="Arial"/>
          <w:color w:val="000000"/>
          <w:szCs w:val="16"/>
        </w:rPr>
        <w:t>2.1.1</w:t>
      </w:r>
      <w:r>
        <w:rPr>
          <w:rFonts w:cs="Arial"/>
          <w:color w:val="000000"/>
          <w:szCs w:val="16"/>
        </w:rPr>
        <w:t xml:space="preserve"> to 2.2.1.5</w:t>
      </w:r>
    </w:p>
    <w:p w14:paraId="59B1A2AC" w14:textId="08170CDB" w:rsidR="005C26D4" w:rsidRPr="004111A7" w:rsidRDefault="005C26D4" w:rsidP="001864C9">
      <w:pPr>
        <w:pStyle w:val="ChartandTableFootnoteAlpha"/>
        <w:numPr>
          <w:ilvl w:val="0"/>
          <w:numId w:val="7"/>
        </w:numPr>
        <w:tabs>
          <w:tab w:val="clear" w:pos="284"/>
        </w:tabs>
        <w:spacing w:after="20"/>
        <w:jc w:val="left"/>
        <w:rPr>
          <w:rFonts w:cs="Arial"/>
          <w:color w:val="000000"/>
          <w:szCs w:val="16"/>
        </w:rPr>
      </w:pPr>
      <w:r w:rsidRPr="004111A7">
        <w:rPr>
          <w:rFonts w:cs="Arial"/>
        </w:rPr>
        <w:t xml:space="preserve">From 2010-11, the Government introduced net cash appropriation arrangements where Bill 1 revenue appropriations for the depreciation/amortisation expenses of </w:t>
      </w:r>
      <w:r w:rsidR="00157A05">
        <w:rPr>
          <w:rFonts w:cs="Arial"/>
          <w:szCs w:val="16"/>
        </w:rPr>
        <w:t>non-corporate Commonwealth entities</w:t>
      </w:r>
      <w:r w:rsidRPr="004111A7">
        <w:rPr>
          <w:rFonts w:cs="Arial"/>
        </w:rPr>
        <w:t xml:space="preserve"> were replaced with a separate capital budget (the Administered Capital Budget, or ACB) provided through Bill 1 equity appropriations. For information regarding ACBs, please refer to Table 3.10 Administered Capital Budget Statement.</w:t>
      </w:r>
    </w:p>
    <w:p w14:paraId="0EBA89D6" w14:textId="422795FD" w:rsidR="005C26D4" w:rsidRPr="004111A7" w:rsidRDefault="004D723E" w:rsidP="001864C9">
      <w:pPr>
        <w:pStyle w:val="ChartandTableFootnoteAlpha"/>
        <w:numPr>
          <w:ilvl w:val="0"/>
          <w:numId w:val="7"/>
        </w:numPr>
        <w:tabs>
          <w:tab w:val="clear" w:pos="284"/>
        </w:tabs>
        <w:jc w:val="left"/>
        <w:rPr>
          <w:rFonts w:cs="Arial"/>
          <w:szCs w:val="16"/>
        </w:rPr>
      </w:pPr>
      <w:r>
        <w:rPr>
          <w:rFonts w:cs="Arial"/>
          <w:color w:val="000000"/>
          <w:szCs w:val="16"/>
        </w:rPr>
        <w:t>I</w:t>
      </w:r>
      <w:r w:rsidR="005C26D4" w:rsidRPr="004111A7">
        <w:rPr>
          <w:rFonts w:cs="Arial"/>
          <w:color w:val="000000"/>
          <w:szCs w:val="16"/>
        </w:rPr>
        <w:t>nclude</w:t>
      </w:r>
      <w:r w:rsidR="00DE75D5">
        <w:rPr>
          <w:rFonts w:cs="Arial"/>
          <w:color w:val="000000"/>
          <w:szCs w:val="16"/>
        </w:rPr>
        <w:t>s</w:t>
      </w:r>
      <w:r w:rsidR="005C26D4" w:rsidRPr="004111A7">
        <w:rPr>
          <w:rFonts w:cs="Arial"/>
          <w:color w:val="000000"/>
          <w:szCs w:val="16"/>
        </w:rPr>
        <w:t xml:space="preserve"> earnings for the Australian Government Investment Funds</w:t>
      </w:r>
      <w:r>
        <w:rPr>
          <w:rFonts w:cs="Arial"/>
          <w:color w:val="000000"/>
          <w:szCs w:val="16"/>
        </w:rPr>
        <w:t xml:space="preserve"> and </w:t>
      </w:r>
      <w:r w:rsidR="00584C69">
        <w:rPr>
          <w:rFonts w:cs="Arial"/>
          <w:color w:val="000000"/>
          <w:szCs w:val="16"/>
        </w:rPr>
        <w:t>corporate Commonwealth entities</w:t>
      </w:r>
      <w:r w:rsidR="005C26D4" w:rsidRPr="004111A7">
        <w:rPr>
          <w:rFonts w:cs="Arial"/>
          <w:szCs w:val="16"/>
        </w:rPr>
        <w:t>.</w:t>
      </w:r>
    </w:p>
    <w:p w14:paraId="75C88C11" w14:textId="3120B2C0" w:rsidR="005F6228" w:rsidRPr="004111A7" w:rsidRDefault="005C26D4" w:rsidP="001864C9">
      <w:pPr>
        <w:pStyle w:val="ChartandTableFootnoteAlpha"/>
        <w:numPr>
          <w:ilvl w:val="0"/>
          <w:numId w:val="7"/>
        </w:numPr>
        <w:tabs>
          <w:tab w:val="clear" w:pos="284"/>
        </w:tabs>
        <w:spacing w:after="20"/>
        <w:jc w:val="left"/>
      </w:pPr>
      <w:r w:rsidRPr="004111A7">
        <w:rPr>
          <w:rFonts w:cs="Arial"/>
          <w:color w:val="000000"/>
          <w:szCs w:val="16"/>
        </w:rPr>
        <w:t>Principally Commonwealth Superannuation Scheme (CSS) and Public Sector Superannuation Scheme (PSS) notional employer superannuation contributions.</w:t>
      </w:r>
      <w:r w:rsidR="00132F9E" w:rsidRPr="004111A7">
        <w:br w:type="page"/>
      </w:r>
    </w:p>
    <w:p w14:paraId="3850518B" w14:textId="1798321B" w:rsidR="00D30CBA" w:rsidRPr="004111A7" w:rsidRDefault="00D30CBA" w:rsidP="00146B5E">
      <w:pPr>
        <w:pStyle w:val="TableHeading"/>
      </w:pPr>
      <w:r w:rsidRPr="004111A7">
        <w:lastRenderedPageBreak/>
        <w:t>Table</w:t>
      </w:r>
      <w:r w:rsidR="00971CBF" w:rsidRPr="004111A7">
        <w:t xml:space="preserve"> 3.</w:t>
      </w:r>
      <w:r w:rsidR="00B93884" w:rsidRPr="004111A7">
        <w:t>8</w:t>
      </w:r>
      <w:r w:rsidRPr="004111A7">
        <w:t xml:space="preserve">: Schedule of </w:t>
      </w:r>
      <w:r w:rsidR="0044552A" w:rsidRPr="004111A7">
        <w:t xml:space="preserve">budgeted assets and liabilities administered on behalf </w:t>
      </w:r>
      <w:r w:rsidR="002C7A63" w:rsidRPr="004111A7">
        <w:t>of G</w:t>
      </w:r>
      <w:r w:rsidRPr="004111A7">
        <w:t>overnment (as at 30 June)</w:t>
      </w:r>
    </w:p>
    <w:p w14:paraId="674FCDD6" w14:textId="3E093795" w:rsidR="00852EEF" w:rsidRPr="004111A7" w:rsidRDefault="00470A07" w:rsidP="009763C1">
      <w:pPr>
        <w:pStyle w:val="TableGraphic"/>
        <w:rPr>
          <w:lang w:val="x-none" w:eastAsia="x-none"/>
        </w:rPr>
      </w:pPr>
      <w:r w:rsidRPr="00470A07">
        <w:rPr>
          <w:noProof/>
        </w:rPr>
        <w:drawing>
          <wp:inline distT="0" distB="0" distL="0" distR="0" wp14:anchorId="5A116394" wp14:editId="44ED0B22">
            <wp:extent cx="4895850" cy="4510528"/>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895850" cy="4510528"/>
                    </a:xfrm>
                    <a:prstGeom prst="rect">
                      <a:avLst/>
                    </a:prstGeom>
                    <a:noFill/>
                    <a:ln>
                      <a:noFill/>
                    </a:ln>
                  </pic:spPr>
                </pic:pic>
              </a:graphicData>
            </a:graphic>
          </wp:inline>
        </w:drawing>
      </w:r>
    </w:p>
    <w:p w14:paraId="7A3B79D2" w14:textId="5D893116" w:rsidR="004D1195" w:rsidRPr="004111A7" w:rsidRDefault="004D1195" w:rsidP="004D1195">
      <w:pPr>
        <w:pStyle w:val="TableHeadingcontinued"/>
        <w:rPr>
          <w:rFonts w:ascii="Arial" w:hAnsi="Arial" w:cs="Arial"/>
          <w:b w:val="0"/>
          <w:sz w:val="16"/>
          <w:szCs w:val="16"/>
        </w:rPr>
      </w:pPr>
      <w:r w:rsidRPr="004111A7">
        <w:rPr>
          <w:rFonts w:ascii="Arial" w:hAnsi="Arial" w:cs="Arial"/>
          <w:b w:val="0"/>
          <w:sz w:val="16"/>
          <w:szCs w:val="16"/>
        </w:rPr>
        <w:t>Prepared on Australian Accounting Standards basis.</w:t>
      </w:r>
    </w:p>
    <w:p w14:paraId="732D0197" w14:textId="77777777" w:rsidR="004D1195" w:rsidRPr="004111A7" w:rsidRDefault="004D1195" w:rsidP="004D1195">
      <w:pPr>
        <w:pStyle w:val="ChartandTableFootnoteAlpha"/>
        <w:numPr>
          <w:ilvl w:val="0"/>
          <w:numId w:val="0"/>
        </w:numPr>
        <w:ind w:left="284" w:hanging="284"/>
        <w:jc w:val="left"/>
        <w:rPr>
          <w:rFonts w:cs="Arial"/>
          <w:i/>
          <w:iCs/>
          <w:color w:val="000000"/>
          <w:szCs w:val="16"/>
        </w:rPr>
      </w:pPr>
    </w:p>
    <w:p w14:paraId="594E7D50" w14:textId="1DD1D50B" w:rsidR="008D34C5" w:rsidRPr="008D34C5" w:rsidRDefault="008D34C5" w:rsidP="008D34C5">
      <w:pPr>
        <w:pStyle w:val="ChartandTableFootnoteAlpha"/>
        <w:numPr>
          <w:ilvl w:val="0"/>
          <w:numId w:val="28"/>
        </w:numPr>
        <w:tabs>
          <w:tab w:val="clear" w:pos="284"/>
        </w:tabs>
        <w:jc w:val="left"/>
        <w:rPr>
          <w:rFonts w:cs="Arial"/>
          <w:color w:val="000000"/>
          <w:szCs w:val="16"/>
        </w:rPr>
      </w:pPr>
      <w:r w:rsidRPr="008D34C5">
        <w:rPr>
          <w:rFonts w:cs="Arial"/>
          <w:color w:val="000000"/>
          <w:szCs w:val="16"/>
        </w:rPr>
        <w:t>Represents balance held in the DHA Borro</w:t>
      </w:r>
      <w:r>
        <w:rPr>
          <w:rFonts w:cs="Arial"/>
          <w:color w:val="000000"/>
          <w:szCs w:val="16"/>
        </w:rPr>
        <w:t>wings Special Account 2020.</w:t>
      </w:r>
      <w:r>
        <w:rPr>
          <w:rFonts w:cs="Arial"/>
          <w:color w:val="000000"/>
          <w:szCs w:val="16"/>
        </w:rPr>
        <w:tab/>
      </w:r>
    </w:p>
    <w:p w14:paraId="332A4992" w14:textId="14CB0CB6" w:rsidR="008D34C5" w:rsidRPr="008D34C5" w:rsidRDefault="008D34C5" w:rsidP="008D34C5">
      <w:pPr>
        <w:pStyle w:val="ChartandTableFootnoteAlpha"/>
        <w:numPr>
          <w:ilvl w:val="0"/>
          <w:numId w:val="28"/>
        </w:numPr>
        <w:rPr>
          <w:rFonts w:cs="Arial"/>
          <w:color w:val="000000"/>
          <w:szCs w:val="16"/>
        </w:rPr>
      </w:pPr>
      <w:r w:rsidRPr="008D34C5">
        <w:rPr>
          <w:rFonts w:cs="Arial"/>
          <w:color w:val="000000"/>
          <w:szCs w:val="16"/>
        </w:rPr>
        <w:t>Represents investments in the Australian Government Investment Funds. Also represented are investments in other Commonwealth entities that are 100% owned by the Commonwealth and assets of former superannuation schemes administered by the Australian G</w:t>
      </w:r>
      <w:r>
        <w:rPr>
          <w:rFonts w:cs="Arial"/>
          <w:color w:val="000000"/>
          <w:szCs w:val="16"/>
        </w:rPr>
        <w:t>overnment.</w:t>
      </w:r>
      <w:r>
        <w:rPr>
          <w:rFonts w:cs="Arial"/>
          <w:color w:val="000000"/>
          <w:szCs w:val="16"/>
        </w:rPr>
        <w:tab/>
      </w:r>
    </w:p>
    <w:p w14:paraId="45F173BA" w14:textId="3C96D765" w:rsidR="0061675B" w:rsidRPr="004111A7" w:rsidRDefault="008D34C5" w:rsidP="008D34C5">
      <w:pPr>
        <w:pStyle w:val="ChartandTableFootnoteAlpha"/>
        <w:numPr>
          <w:ilvl w:val="0"/>
          <w:numId w:val="28"/>
        </w:numPr>
        <w:rPr>
          <w:rFonts w:cs="Arial"/>
          <w:szCs w:val="16"/>
        </w:rPr>
      </w:pPr>
      <w:r w:rsidRPr="008D34C5">
        <w:rPr>
          <w:rFonts w:cs="Arial"/>
          <w:color w:val="000000"/>
          <w:szCs w:val="16"/>
        </w:rPr>
        <w:t xml:space="preserve">Represents Life Gold Pass Holders liabilities and employee provisions for staff employed under the </w:t>
      </w:r>
      <w:r w:rsidRPr="008D34C5">
        <w:rPr>
          <w:rFonts w:cs="Arial"/>
          <w:i/>
          <w:color w:val="000000"/>
          <w:szCs w:val="16"/>
        </w:rPr>
        <w:t>Members of Parliament (Staff) Act 1984</w:t>
      </w:r>
      <w:r w:rsidRPr="008D34C5">
        <w:rPr>
          <w:rFonts w:cs="Arial"/>
          <w:color w:val="000000"/>
          <w:szCs w:val="16"/>
        </w:rPr>
        <w:t>.</w:t>
      </w:r>
      <w:r w:rsidRPr="008D34C5">
        <w:rPr>
          <w:rFonts w:cs="Arial"/>
          <w:color w:val="000000"/>
          <w:szCs w:val="16"/>
        </w:rPr>
        <w:tab/>
      </w:r>
      <w:r w:rsidRPr="008D34C5">
        <w:rPr>
          <w:rFonts w:cs="Arial"/>
          <w:color w:val="000000"/>
          <w:szCs w:val="16"/>
        </w:rPr>
        <w:tab/>
      </w:r>
      <w:r w:rsidRPr="008D34C5">
        <w:rPr>
          <w:rFonts w:cs="Arial"/>
          <w:color w:val="000000"/>
          <w:szCs w:val="16"/>
        </w:rPr>
        <w:tab/>
      </w:r>
      <w:r w:rsidRPr="008D34C5">
        <w:rPr>
          <w:rFonts w:cs="Arial"/>
          <w:color w:val="000000"/>
          <w:szCs w:val="16"/>
        </w:rPr>
        <w:tab/>
      </w:r>
      <w:r w:rsidRPr="008D34C5">
        <w:rPr>
          <w:rFonts w:cs="Arial"/>
          <w:color w:val="000000"/>
          <w:szCs w:val="16"/>
        </w:rPr>
        <w:tab/>
      </w:r>
    </w:p>
    <w:p w14:paraId="5AF17EE9" w14:textId="77777777" w:rsidR="00C41D55" w:rsidRPr="004111A7" w:rsidRDefault="000A24C4" w:rsidP="00146B5E">
      <w:pPr>
        <w:pStyle w:val="TableHeading"/>
      </w:pPr>
      <w:bookmarkStart w:id="79" w:name="OLE_LINK1"/>
      <w:r w:rsidRPr="004111A7">
        <w:br w:type="page"/>
      </w:r>
      <w:r w:rsidR="00C41D55" w:rsidRPr="004111A7">
        <w:lastRenderedPageBreak/>
        <w:t>Table</w:t>
      </w:r>
      <w:r w:rsidR="00971CBF" w:rsidRPr="004111A7">
        <w:t xml:space="preserve"> 3.</w:t>
      </w:r>
      <w:r w:rsidR="00F81CE4" w:rsidRPr="004111A7">
        <w:t>9</w:t>
      </w:r>
      <w:r w:rsidR="00C41D55" w:rsidRPr="004111A7">
        <w:t xml:space="preserve">: Schedule of </w:t>
      </w:r>
      <w:r w:rsidR="0044552A" w:rsidRPr="004111A7">
        <w:t xml:space="preserve">budgeted administered cash flows </w:t>
      </w:r>
      <w:r w:rsidR="00C41D55" w:rsidRPr="004111A7">
        <w:t>(for</w:t>
      </w:r>
      <w:r w:rsidR="0044552A" w:rsidRPr="004111A7">
        <w:t> the </w:t>
      </w:r>
      <w:r w:rsidR="00C41D55" w:rsidRPr="004111A7">
        <w:t>period ended 30 June)</w:t>
      </w:r>
    </w:p>
    <w:p w14:paraId="7D9E9066" w14:textId="2E257CAF" w:rsidR="0044552A" w:rsidRPr="004111A7" w:rsidRDefault="00D53463" w:rsidP="009A5F36">
      <w:pPr>
        <w:pStyle w:val="TableGraphic"/>
      </w:pPr>
      <w:r w:rsidRPr="00D53463">
        <w:rPr>
          <w:noProof/>
        </w:rPr>
        <w:drawing>
          <wp:inline distT="0" distB="0" distL="0" distR="0" wp14:anchorId="0F832FBD" wp14:editId="12BFF0F8">
            <wp:extent cx="4895850" cy="4997611"/>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895850" cy="4997611"/>
                    </a:xfrm>
                    <a:prstGeom prst="rect">
                      <a:avLst/>
                    </a:prstGeom>
                    <a:noFill/>
                    <a:ln>
                      <a:noFill/>
                    </a:ln>
                  </pic:spPr>
                </pic:pic>
              </a:graphicData>
            </a:graphic>
          </wp:inline>
        </w:drawing>
      </w:r>
    </w:p>
    <w:p w14:paraId="47169E80" w14:textId="368FBABB" w:rsidR="0061675B" w:rsidRPr="004111A7" w:rsidRDefault="004D1195" w:rsidP="00AF560E">
      <w:pPr>
        <w:pStyle w:val="NoSpacing"/>
        <w:rPr>
          <w:rFonts w:ascii="Arial" w:hAnsi="Arial" w:cs="Arial"/>
          <w:sz w:val="16"/>
          <w:szCs w:val="16"/>
        </w:rPr>
      </w:pPr>
      <w:r w:rsidRPr="004111A7">
        <w:rPr>
          <w:rFonts w:ascii="Arial" w:hAnsi="Arial" w:cs="Arial"/>
          <w:sz w:val="16"/>
          <w:szCs w:val="16"/>
        </w:rPr>
        <w:t>Table continues on next page</w:t>
      </w:r>
    </w:p>
    <w:bookmarkEnd w:id="79"/>
    <w:p w14:paraId="49CB81AC" w14:textId="77777777" w:rsidR="00C41D55" w:rsidRPr="004111A7" w:rsidRDefault="00B7521F" w:rsidP="00146B5E">
      <w:pPr>
        <w:pStyle w:val="TableHeadingcontinued"/>
      </w:pPr>
      <w:r w:rsidRPr="004111A7">
        <w:br w:type="page"/>
      </w:r>
      <w:r w:rsidR="00C41D55" w:rsidRPr="004111A7">
        <w:lastRenderedPageBreak/>
        <w:t>Table</w:t>
      </w:r>
      <w:r w:rsidR="00971CBF" w:rsidRPr="004111A7">
        <w:t xml:space="preserve"> 3.</w:t>
      </w:r>
      <w:r w:rsidR="00F81CE4" w:rsidRPr="004111A7">
        <w:t>9</w:t>
      </w:r>
      <w:r w:rsidR="00C41D55" w:rsidRPr="004111A7">
        <w:t xml:space="preserve">: Schedule of </w:t>
      </w:r>
      <w:r w:rsidR="00A20C5D" w:rsidRPr="004111A7">
        <w:t xml:space="preserve">budgeted administered cash flows </w:t>
      </w:r>
      <w:r w:rsidR="00C41D55" w:rsidRPr="004111A7">
        <w:t>(for the period ended 30 June) (continued)</w:t>
      </w:r>
    </w:p>
    <w:p w14:paraId="1F3A6FEA" w14:textId="4E0F4280" w:rsidR="00B04CBD" w:rsidRPr="004111A7" w:rsidRDefault="00D53463" w:rsidP="009A5F36">
      <w:pPr>
        <w:pStyle w:val="TableGraphic"/>
      </w:pPr>
      <w:r w:rsidRPr="00D53463">
        <w:rPr>
          <w:noProof/>
        </w:rPr>
        <w:drawing>
          <wp:inline distT="0" distB="0" distL="0" distR="0" wp14:anchorId="415C8819" wp14:editId="21FE8917">
            <wp:extent cx="4895850" cy="3589913"/>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895850" cy="3589913"/>
                    </a:xfrm>
                    <a:prstGeom prst="rect">
                      <a:avLst/>
                    </a:prstGeom>
                    <a:noFill/>
                    <a:ln>
                      <a:noFill/>
                    </a:ln>
                  </pic:spPr>
                </pic:pic>
              </a:graphicData>
            </a:graphic>
          </wp:inline>
        </w:drawing>
      </w:r>
    </w:p>
    <w:p w14:paraId="1FE421FA" w14:textId="2609E212" w:rsidR="0061675B" w:rsidRPr="004111A7" w:rsidRDefault="00B94ADF" w:rsidP="009763C1">
      <w:pPr>
        <w:pStyle w:val="ChartandTableFootnote"/>
      </w:pPr>
      <w:r w:rsidRPr="004111A7">
        <w:t>Prepared on Australian Accounting Standards basis.</w:t>
      </w:r>
    </w:p>
    <w:p w14:paraId="543F664F" w14:textId="77777777" w:rsidR="004D1195" w:rsidRPr="004111A7" w:rsidRDefault="004D1195" w:rsidP="004D1195">
      <w:pPr>
        <w:pStyle w:val="ChartandTableFootnoteAlpha"/>
        <w:numPr>
          <w:ilvl w:val="0"/>
          <w:numId w:val="0"/>
        </w:numPr>
        <w:ind w:left="284" w:hanging="284"/>
        <w:jc w:val="left"/>
        <w:rPr>
          <w:rFonts w:cs="Arial"/>
          <w:szCs w:val="16"/>
        </w:rPr>
      </w:pPr>
    </w:p>
    <w:p w14:paraId="71C620DC" w14:textId="52DB5D77" w:rsidR="004D1195" w:rsidRPr="004111A7" w:rsidRDefault="004D1195" w:rsidP="00DF4D2A">
      <w:pPr>
        <w:pStyle w:val="ChartandTableFootnoteAlpha"/>
        <w:numPr>
          <w:ilvl w:val="0"/>
          <w:numId w:val="29"/>
        </w:numPr>
        <w:jc w:val="left"/>
        <w:rPr>
          <w:rFonts w:cs="Arial"/>
          <w:color w:val="000000"/>
          <w:szCs w:val="16"/>
        </w:rPr>
      </w:pPr>
      <w:r w:rsidRPr="004111A7">
        <w:rPr>
          <w:rFonts w:cs="Arial"/>
          <w:color w:val="000000"/>
          <w:szCs w:val="16"/>
        </w:rPr>
        <w:t>Estimates include interest earnings for the Australian Government Investment Funds. For more detail on the interest estimates for eac</w:t>
      </w:r>
      <w:r w:rsidR="00DE4030">
        <w:rPr>
          <w:rFonts w:cs="Arial"/>
          <w:color w:val="000000"/>
          <w:szCs w:val="16"/>
        </w:rPr>
        <w:t xml:space="preserve">h fund, refer to Tables 2.2.1.1 to </w:t>
      </w:r>
      <w:r w:rsidRPr="004111A7">
        <w:rPr>
          <w:rFonts w:cs="Arial"/>
          <w:color w:val="000000"/>
          <w:szCs w:val="16"/>
        </w:rPr>
        <w:t>2.2.1.5.</w:t>
      </w:r>
    </w:p>
    <w:p w14:paraId="58E77F8C" w14:textId="77777777" w:rsidR="004D1195" w:rsidRPr="004111A7" w:rsidRDefault="004D1195" w:rsidP="004D1195">
      <w:pPr>
        <w:pStyle w:val="ChartandTableFootnoteAlpha"/>
        <w:jc w:val="left"/>
        <w:rPr>
          <w:rFonts w:cs="Arial"/>
          <w:color w:val="000000"/>
          <w:szCs w:val="16"/>
        </w:rPr>
      </w:pPr>
      <w:r w:rsidRPr="004111A7">
        <w:rPr>
          <w:rFonts w:cs="Arial"/>
          <w:color w:val="000000"/>
          <w:szCs w:val="16"/>
        </w:rPr>
        <w:t>Primarily represents the CSS and PSS notional employer contributions.</w:t>
      </w:r>
    </w:p>
    <w:p w14:paraId="4414FFCA" w14:textId="77777777" w:rsidR="004D1195" w:rsidRPr="004111A7" w:rsidRDefault="004D1195" w:rsidP="004D1195">
      <w:pPr>
        <w:pStyle w:val="ChartandTableFootnoteAlpha"/>
        <w:jc w:val="left"/>
        <w:rPr>
          <w:rFonts w:cs="Arial"/>
          <w:color w:val="000000"/>
          <w:szCs w:val="16"/>
        </w:rPr>
      </w:pPr>
      <w:r w:rsidRPr="004111A7">
        <w:rPr>
          <w:rFonts w:cs="Arial"/>
          <w:color w:val="000000"/>
          <w:szCs w:val="16"/>
        </w:rPr>
        <w:t>Primarily represents offsets from the CSS and PSS funds and return of overpaid benefits.</w:t>
      </w:r>
    </w:p>
    <w:p w14:paraId="74A5D1BB" w14:textId="77777777" w:rsidR="004D1195" w:rsidRPr="004111A7" w:rsidRDefault="004D1195" w:rsidP="004D1195">
      <w:pPr>
        <w:pStyle w:val="ChartandTableFootnoteAlpha"/>
        <w:jc w:val="left"/>
        <w:rPr>
          <w:rFonts w:cs="Arial"/>
          <w:color w:val="000000"/>
          <w:szCs w:val="16"/>
        </w:rPr>
      </w:pPr>
      <w:r w:rsidRPr="004111A7">
        <w:rPr>
          <w:rFonts w:cs="Arial"/>
          <w:color w:val="000000"/>
          <w:szCs w:val="16"/>
        </w:rPr>
        <w:t xml:space="preserve">Represents expenditure on staff employed under the </w:t>
      </w:r>
      <w:r w:rsidRPr="004111A7">
        <w:rPr>
          <w:rFonts w:cs="Arial"/>
          <w:i/>
          <w:color w:val="000000"/>
          <w:szCs w:val="16"/>
        </w:rPr>
        <w:t>Members of Parliament (Staff) Act 1984</w:t>
      </w:r>
      <w:r w:rsidRPr="004111A7">
        <w:rPr>
          <w:rFonts w:cs="Arial"/>
          <w:color w:val="000000"/>
          <w:szCs w:val="16"/>
        </w:rPr>
        <w:t>.</w:t>
      </w:r>
    </w:p>
    <w:p w14:paraId="186BDB9C" w14:textId="77777777" w:rsidR="004D1195" w:rsidRPr="004111A7" w:rsidRDefault="004D1195" w:rsidP="004D1195">
      <w:pPr>
        <w:pStyle w:val="ChartandTableFootnoteAlpha"/>
        <w:jc w:val="left"/>
        <w:rPr>
          <w:rFonts w:cs="Arial"/>
          <w:color w:val="000000"/>
          <w:szCs w:val="16"/>
        </w:rPr>
      </w:pPr>
      <w:r w:rsidRPr="004111A7">
        <w:rPr>
          <w:rFonts w:cs="Arial"/>
          <w:color w:val="000000"/>
          <w:szCs w:val="16"/>
        </w:rPr>
        <w:t>Distributions from the Investment Funds represents estimates of cash payments from the Funds to other entities and the Consolidated Revenue Fund.</w:t>
      </w:r>
    </w:p>
    <w:p w14:paraId="7CD4C011" w14:textId="77777777" w:rsidR="004D1195" w:rsidRPr="004111A7" w:rsidRDefault="004D1195" w:rsidP="004D1195">
      <w:pPr>
        <w:pStyle w:val="ChartandTableFootnoteAlpha"/>
        <w:jc w:val="left"/>
        <w:rPr>
          <w:rFonts w:cs="Arial"/>
          <w:color w:val="000000"/>
          <w:szCs w:val="16"/>
        </w:rPr>
      </w:pPr>
      <w:r w:rsidRPr="004111A7">
        <w:rPr>
          <w:rFonts w:cs="Arial"/>
          <w:color w:val="000000"/>
          <w:szCs w:val="16"/>
        </w:rPr>
        <w:t>Expenditure associated with unfunded liabilities for the government’s civilian superannuation schemes.</w:t>
      </w:r>
    </w:p>
    <w:p w14:paraId="64328136" w14:textId="77777777" w:rsidR="004D1195" w:rsidRPr="004111A7" w:rsidRDefault="004D1195" w:rsidP="004D1195">
      <w:pPr>
        <w:rPr>
          <w:lang w:val="x-none" w:eastAsia="x-none"/>
        </w:rPr>
      </w:pPr>
    </w:p>
    <w:p w14:paraId="0DF82F9E" w14:textId="25C13342" w:rsidR="00715A32" w:rsidRPr="004111A7" w:rsidRDefault="000A24C4" w:rsidP="00146B5E">
      <w:pPr>
        <w:pStyle w:val="TableHeading"/>
      </w:pPr>
      <w:r w:rsidRPr="004111A7">
        <w:br w:type="page"/>
      </w:r>
      <w:r w:rsidR="00715A32" w:rsidRPr="004111A7">
        <w:lastRenderedPageBreak/>
        <w:t>Table</w:t>
      </w:r>
      <w:r w:rsidR="00971CBF" w:rsidRPr="004111A7">
        <w:t xml:space="preserve"> 3.</w:t>
      </w:r>
      <w:r w:rsidR="00715A32" w:rsidRPr="004111A7">
        <w:t>1</w:t>
      </w:r>
      <w:r w:rsidR="00F81CE4" w:rsidRPr="004111A7">
        <w:t>0</w:t>
      </w:r>
      <w:r w:rsidR="00715A32" w:rsidRPr="004111A7">
        <w:t xml:space="preserve">: </w:t>
      </w:r>
      <w:r w:rsidR="00584C69">
        <w:rPr>
          <w:lang w:val="en-AU"/>
        </w:rPr>
        <w:t>A</w:t>
      </w:r>
      <w:r w:rsidR="000D28EB" w:rsidRPr="004111A7">
        <w:t>dministered</w:t>
      </w:r>
      <w:r w:rsidR="00715A32" w:rsidRPr="004111A7">
        <w:t xml:space="preserve"> </w:t>
      </w:r>
      <w:r w:rsidR="00A20C5D" w:rsidRPr="004111A7">
        <w:t>capital budget statement</w:t>
      </w:r>
      <w:r w:rsidR="00EB1B80" w:rsidRPr="004111A7">
        <w:t xml:space="preserve"> (for the period </w:t>
      </w:r>
      <w:r w:rsidR="001B7BAD" w:rsidRPr="004111A7">
        <w:t>ended</w:t>
      </w:r>
      <w:r w:rsidR="00EB1B80" w:rsidRPr="004111A7">
        <w:t xml:space="preserve"> 30 June)</w:t>
      </w:r>
    </w:p>
    <w:p w14:paraId="054771EE" w14:textId="5FD1117C" w:rsidR="00A20C5D" w:rsidRPr="004111A7" w:rsidRDefault="00470A07" w:rsidP="009A5F36">
      <w:pPr>
        <w:pStyle w:val="TableGraphic"/>
      </w:pPr>
      <w:r w:rsidRPr="00470A07">
        <w:rPr>
          <w:noProof/>
        </w:rPr>
        <w:drawing>
          <wp:inline distT="0" distB="0" distL="0" distR="0" wp14:anchorId="2FBB8077" wp14:editId="6EEE26A0">
            <wp:extent cx="4895850" cy="3176816"/>
            <wp:effectExtent l="0" t="0" r="0" b="508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895850" cy="3176816"/>
                    </a:xfrm>
                    <a:prstGeom prst="rect">
                      <a:avLst/>
                    </a:prstGeom>
                    <a:noFill/>
                    <a:ln>
                      <a:noFill/>
                    </a:ln>
                  </pic:spPr>
                </pic:pic>
              </a:graphicData>
            </a:graphic>
          </wp:inline>
        </w:drawing>
      </w:r>
    </w:p>
    <w:p w14:paraId="20EA6D69" w14:textId="11697259" w:rsidR="00FE2022" w:rsidRPr="004111A7" w:rsidRDefault="00FE2022" w:rsidP="00FE2022">
      <w:pPr>
        <w:pStyle w:val="Source"/>
        <w:rPr>
          <w:rFonts w:cs="Arial"/>
          <w:szCs w:val="16"/>
        </w:rPr>
      </w:pPr>
      <w:r w:rsidRPr="004111A7">
        <w:rPr>
          <w:rFonts w:cs="Arial"/>
          <w:szCs w:val="16"/>
        </w:rPr>
        <w:t>Prepared on Australian Accounting Standards basis.</w:t>
      </w:r>
    </w:p>
    <w:p w14:paraId="15548A37" w14:textId="77777777" w:rsidR="004D1195" w:rsidRPr="004111A7" w:rsidRDefault="004D1195" w:rsidP="00FE2022">
      <w:pPr>
        <w:pStyle w:val="Source"/>
        <w:rPr>
          <w:rFonts w:cs="Arial"/>
          <w:szCs w:val="16"/>
        </w:rPr>
      </w:pPr>
    </w:p>
    <w:p w14:paraId="014E2558" w14:textId="08E9989B" w:rsidR="004D1195" w:rsidRPr="004111A7" w:rsidRDefault="004D1195" w:rsidP="00DF4D2A">
      <w:pPr>
        <w:pStyle w:val="ChartandTableFootnoteAlpha"/>
        <w:numPr>
          <w:ilvl w:val="0"/>
          <w:numId w:val="30"/>
        </w:numPr>
        <w:tabs>
          <w:tab w:val="clear" w:pos="284"/>
        </w:tabs>
        <w:jc w:val="left"/>
        <w:rPr>
          <w:rFonts w:cs="Arial"/>
          <w:szCs w:val="16"/>
        </w:rPr>
      </w:pPr>
      <w:r w:rsidRPr="004111A7">
        <w:t>ACB is used to fund the replaceme</w:t>
      </w:r>
      <w:r w:rsidR="00B82F84" w:rsidRPr="004111A7">
        <w:t>nt of assets purchased through a</w:t>
      </w:r>
      <w:r w:rsidRPr="004111A7">
        <w:t>dministered annual appropriations.</w:t>
      </w:r>
    </w:p>
    <w:p w14:paraId="2DFB5A37" w14:textId="7FD82917" w:rsidR="00E4135B" w:rsidRPr="004111A7" w:rsidRDefault="004D1195" w:rsidP="001864C9">
      <w:pPr>
        <w:pStyle w:val="ChartandTableFootnoteAlpha"/>
        <w:numPr>
          <w:ilvl w:val="0"/>
          <w:numId w:val="7"/>
        </w:numPr>
        <w:tabs>
          <w:tab w:val="clear" w:pos="284"/>
        </w:tabs>
        <w:spacing w:after="20"/>
        <w:jc w:val="left"/>
        <w:rPr>
          <w:rFonts w:cs="Arial"/>
          <w:color w:val="000000"/>
          <w:szCs w:val="16"/>
        </w:rPr>
      </w:pPr>
      <w:r w:rsidRPr="004111A7">
        <w:rPr>
          <w:rFonts w:cs="Arial"/>
          <w:color w:val="000000"/>
          <w:szCs w:val="16"/>
        </w:rPr>
        <w:t>Administered Assets and Liabilities includes a capital injection for acts of grace and liabilities</w:t>
      </w:r>
      <w:r w:rsidR="00326BFC" w:rsidRPr="004111A7">
        <w:rPr>
          <w:rFonts w:cs="Arial"/>
          <w:color w:val="000000"/>
          <w:szCs w:val="16"/>
        </w:rPr>
        <w:t>,</w:t>
      </w:r>
      <w:r w:rsidRPr="004111A7">
        <w:rPr>
          <w:rFonts w:cs="Arial"/>
          <w:color w:val="000000"/>
          <w:szCs w:val="16"/>
        </w:rPr>
        <w:t xml:space="preserve"> and an injection for capital works on the Intra Government Communications Network which is offset through entity contributions that are returned to the </w:t>
      </w:r>
      <w:r w:rsidR="00584C69">
        <w:rPr>
          <w:rFonts w:cs="Arial"/>
          <w:color w:val="000000"/>
          <w:szCs w:val="16"/>
        </w:rPr>
        <w:t>B</w:t>
      </w:r>
      <w:r w:rsidRPr="004111A7">
        <w:rPr>
          <w:rFonts w:cs="Arial"/>
          <w:color w:val="000000"/>
          <w:szCs w:val="16"/>
        </w:rPr>
        <w:t>udget.</w:t>
      </w:r>
      <w:r w:rsidR="00E4135B" w:rsidRPr="004111A7">
        <w:rPr>
          <w:rFonts w:cs="Arial"/>
          <w:color w:val="000000"/>
          <w:szCs w:val="16"/>
        </w:rPr>
        <w:br w:type="page"/>
      </w:r>
    </w:p>
    <w:p w14:paraId="3A3F1FB0" w14:textId="1AEB32BD" w:rsidR="00C17B32" w:rsidRPr="004111A7" w:rsidRDefault="00B93884" w:rsidP="00E4135B">
      <w:pPr>
        <w:pStyle w:val="TableHeading"/>
        <w:keepNext w:val="0"/>
        <w:spacing w:after="0" w:line="260" w:lineRule="exact"/>
        <w:rPr>
          <w:lang w:val="en-AU"/>
        </w:rPr>
      </w:pPr>
      <w:r w:rsidRPr="004111A7">
        <w:lastRenderedPageBreak/>
        <w:t>Table</w:t>
      </w:r>
      <w:r w:rsidR="00971CBF" w:rsidRPr="004111A7">
        <w:t xml:space="preserve"> 3.</w:t>
      </w:r>
      <w:r w:rsidRPr="004111A7">
        <w:t>1</w:t>
      </w:r>
      <w:r w:rsidR="00F81CE4" w:rsidRPr="004111A7">
        <w:t>1</w:t>
      </w:r>
      <w:r w:rsidR="00CC4867" w:rsidRPr="004111A7">
        <w:t>: S</w:t>
      </w:r>
      <w:r w:rsidR="00AF3811" w:rsidRPr="004111A7">
        <w:t>tatement</w:t>
      </w:r>
      <w:r w:rsidR="00CC4867" w:rsidRPr="004111A7">
        <w:t xml:space="preserve"> of </w:t>
      </w:r>
      <w:r w:rsidR="00A20C5D" w:rsidRPr="004111A7">
        <w:t xml:space="preserve">administered asset movements </w:t>
      </w:r>
      <w:r w:rsidR="00AF3811" w:rsidRPr="004111A7">
        <w:t>(</w:t>
      </w:r>
      <w:r w:rsidR="00B70C9E" w:rsidRPr="004111A7">
        <w:t xml:space="preserve">Budget year </w:t>
      </w:r>
      <w:r w:rsidR="007E3AC7" w:rsidRPr="004111A7">
        <w:rPr>
          <w:lang w:val="en-AU"/>
        </w:rPr>
        <w:t>2021-22</w:t>
      </w:r>
      <w:r w:rsidR="00AF3811" w:rsidRPr="004111A7">
        <w:t>)</w:t>
      </w:r>
    </w:p>
    <w:p w14:paraId="7F88E97A" w14:textId="2CFBA145" w:rsidR="002E5D24" w:rsidRPr="004111A7" w:rsidRDefault="00E9700A" w:rsidP="00101F60">
      <w:pPr>
        <w:pStyle w:val="Heading7"/>
        <w:rPr>
          <w:rFonts w:cs="Arial"/>
          <w:szCs w:val="16"/>
        </w:rPr>
      </w:pPr>
      <w:r w:rsidRPr="00E9700A">
        <w:rPr>
          <w:noProof/>
        </w:rPr>
        <w:drawing>
          <wp:inline distT="0" distB="0" distL="0" distR="0" wp14:anchorId="309B0EF7" wp14:editId="6D4F2C6E">
            <wp:extent cx="4895850" cy="4914536"/>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895850" cy="4914536"/>
                    </a:xfrm>
                    <a:prstGeom prst="rect">
                      <a:avLst/>
                    </a:prstGeom>
                    <a:noFill/>
                    <a:ln>
                      <a:noFill/>
                    </a:ln>
                  </pic:spPr>
                </pic:pic>
              </a:graphicData>
            </a:graphic>
          </wp:inline>
        </w:drawing>
      </w:r>
      <w:r w:rsidR="002E5D24" w:rsidRPr="004111A7">
        <w:rPr>
          <w:rFonts w:cs="Arial"/>
          <w:sz w:val="16"/>
          <w:szCs w:val="16"/>
        </w:rPr>
        <w:t>Prepared on Australian Accounting Standards basis.</w:t>
      </w:r>
    </w:p>
    <w:sectPr w:rsidR="002E5D24" w:rsidRPr="004111A7" w:rsidSect="005F0721">
      <w:headerReference w:type="even" r:id="rId52"/>
      <w:headerReference w:type="default" r:id="rId53"/>
      <w:headerReference w:type="first" r:id="rId54"/>
      <w:type w:val="oddPage"/>
      <w:pgSz w:w="11906" w:h="16838" w:code="9"/>
      <w:pgMar w:top="2466" w:right="2098" w:bottom="2466" w:left="2098" w:header="1899" w:footer="1899" w:gutter="0"/>
      <w:pgNumType w:start="1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947294" w16cid:durableId="23DE4327"/>
  <w16cid:commentId w16cid:paraId="01251545" w16cid:durableId="23DE43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6EF57" w14:textId="77777777" w:rsidR="00B564C0" w:rsidRDefault="00B564C0" w:rsidP="00C07DEC">
      <w:r>
        <w:separator/>
      </w:r>
    </w:p>
  </w:endnote>
  <w:endnote w:type="continuationSeparator" w:id="0">
    <w:p w14:paraId="4552CE24" w14:textId="77777777" w:rsidR="00B564C0" w:rsidRDefault="00B564C0"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234837"/>
      <w:docPartObj>
        <w:docPartGallery w:val="Page Numbers (Bottom of Page)"/>
        <w:docPartUnique/>
      </w:docPartObj>
    </w:sdtPr>
    <w:sdtEndPr>
      <w:rPr>
        <w:noProof/>
      </w:rPr>
    </w:sdtEndPr>
    <w:sdtContent>
      <w:p w14:paraId="222429D7" w14:textId="4A07A9F9" w:rsidR="00663029" w:rsidRDefault="00663029">
        <w:pPr>
          <w:pStyle w:val="Footer"/>
        </w:pPr>
        <w:r>
          <w:fldChar w:fldCharType="begin"/>
        </w:r>
        <w:r>
          <w:instrText xml:space="preserve"> PAGE   \* MERGEFORMAT </w:instrText>
        </w:r>
        <w:r>
          <w:fldChar w:fldCharType="separate"/>
        </w:r>
        <w:r>
          <w:rPr>
            <w:noProof/>
          </w:rPr>
          <w:t>19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800947"/>
      <w:docPartObj>
        <w:docPartGallery w:val="Page Numbers (Bottom of Page)"/>
        <w:docPartUnique/>
      </w:docPartObj>
    </w:sdtPr>
    <w:sdtEndPr>
      <w:rPr>
        <w:noProof/>
      </w:rPr>
    </w:sdtEndPr>
    <w:sdtContent>
      <w:p w14:paraId="47B87F01" w14:textId="731D4DA8" w:rsidR="00B564C0" w:rsidRDefault="00663029">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243099"/>
      <w:docPartObj>
        <w:docPartGallery w:val="Page Numbers (Bottom of Page)"/>
        <w:docPartUnique/>
      </w:docPartObj>
    </w:sdtPr>
    <w:sdtEndPr>
      <w:rPr>
        <w:noProof/>
      </w:rPr>
    </w:sdtEndPr>
    <w:sdtContent>
      <w:p w14:paraId="71FE5E9E" w14:textId="7C76106A" w:rsidR="00B564C0" w:rsidRDefault="00663029">
        <w:pPr>
          <w:pStyle w:val="Footer"/>
        </w:pP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265448"/>
      <w:docPartObj>
        <w:docPartGallery w:val="Page Numbers (Bottom of Page)"/>
        <w:docPartUnique/>
      </w:docPartObj>
    </w:sdtPr>
    <w:sdtEndPr>
      <w:rPr>
        <w:noProof/>
      </w:rPr>
    </w:sdtEndPr>
    <w:sdtContent>
      <w:p w14:paraId="774208BF" w14:textId="47210490" w:rsidR="00B564C0" w:rsidRPr="006A642F" w:rsidRDefault="00B564C0" w:rsidP="006A642F">
        <w:pPr>
          <w:pStyle w:val="Footer"/>
          <w:rPr>
            <w:rStyle w:val="PageNumber"/>
            <w:rFonts w:cs="Times New Roman"/>
          </w:rPr>
        </w:pPr>
        <w:r>
          <w:fldChar w:fldCharType="begin"/>
        </w:r>
        <w:r>
          <w:instrText xml:space="preserve"> PAGE   \* MERGEFORMAT </w:instrText>
        </w:r>
        <w:r>
          <w:fldChar w:fldCharType="separate"/>
        </w:r>
        <w:r w:rsidR="00663029">
          <w:rPr>
            <w:noProof/>
          </w:rPr>
          <w:t>18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066048"/>
      <w:docPartObj>
        <w:docPartGallery w:val="Page Numbers (Bottom of Page)"/>
        <w:docPartUnique/>
      </w:docPartObj>
    </w:sdtPr>
    <w:sdtEndPr>
      <w:rPr>
        <w:noProof/>
      </w:rPr>
    </w:sdtEndPr>
    <w:sdtContent>
      <w:p w14:paraId="213D9A51" w14:textId="620548CF" w:rsidR="00B564C0" w:rsidRPr="003B3684" w:rsidRDefault="00B564C0" w:rsidP="006A642F">
        <w:pPr>
          <w:pStyle w:val="Footer"/>
        </w:pPr>
        <w:r>
          <w:fldChar w:fldCharType="begin"/>
        </w:r>
        <w:r>
          <w:instrText xml:space="preserve"> PAGE   \* MERGEFORMAT </w:instrText>
        </w:r>
        <w:r>
          <w:fldChar w:fldCharType="separate"/>
        </w:r>
        <w:r w:rsidR="00663029">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AE221" w14:textId="77777777" w:rsidR="00B564C0" w:rsidRDefault="00B564C0" w:rsidP="00C07DEC">
      <w:r>
        <w:separator/>
      </w:r>
    </w:p>
  </w:footnote>
  <w:footnote w:type="continuationSeparator" w:id="0">
    <w:p w14:paraId="24BA3681" w14:textId="77777777" w:rsidR="00B564C0" w:rsidRDefault="00B564C0"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8313C" w14:textId="5ABB31AD" w:rsidR="00B564C0" w:rsidRPr="00E56D3F" w:rsidRDefault="00B564C0" w:rsidP="00E56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9C645" w14:textId="34704748" w:rsidR="00B564C0" w:rsidRPr="00EE28CB" w:rsidRDefault="005F0721" w:rsidP="005F0721">
    <w:pPr>
      <w:pStyle w:val="Header"/>
      <w:tabs>
        <w:tab w:val="clear" w:pos="4153"/>
        <w:tab w:val="clear" w:pos="8306"/>
        <w:tab w:val="left" w:pos="2936"/>
      </w:tabs>
      <w:jc w:val="right"/>
    </w:pPr>
    <w:r>
      <w:t>Finance Budget Statements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C7F1E" w14:textId="4206B124" w:rsidR="00B564C0" w:rsidRPr="003B3684" w:rsidRDefault="00B564C0" w:rsidP="003B3684">
    <w:pPr>
      <w:pStyle w:val="Header"/>
    </w:pPr>
    <w:r w:rsidRPr="008567C0">
      <w:rPr>
        <w:noProof/>
        <w:lang w:val="en-AU" w:eastAsia="en-AU"/>
      </w:rPr>
      <mc:AlternateContent>
        <mc:Choice Requires="wps">
          <w:drawing>
            <wp:anchor distT="0" distB="0" distL="114300" distR="114300" simplePos="0" relativeHeight="251647488" behindDoc="0" locked="0" layoutInCell="1" allowOverlap="1" wp14:anchorId="148A1B5C" wp14:editId="15C694FD">
              <wp:simplePos x="0" y="0"/>
              <wp:positionH relativeFrom="column">
                <wp:posOffset>7616190</wp:posOffset>
              </wp:positionH>
              <wp:positionV relativeFrom="margin">
                <wp:posOffset>-12700</wp:posOffset>
              </wp:positionV>
              <wp:extent cx="400050" cy="4911725"/>
              <wp:effectExtent l="0" t="0" r="0" b="3175"/>
              <wp:wrapNone/>
              <wp:docPr id="88"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91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816F8" w14:textId="5E8AC39C" w:rsidR="00B564C0" w:rsidRPr="00137C7E" w:rsidRDefault="00B564C0" w:rsidP="008567C0">
                          <w:pPr>
                            <w:pStyle w:val="HeaderOdd"/>
                            <w:rPr>
                              <w:rStyle w:val="Hyperlink"/>
                            </w:rPr>
                          </w:pPr>
                          <w:r>
                            <w:fldChar w:fldCharType="begin"/>
                          </w:r>
                          <w:r>
                            <w:instrText xml:space="preserve"> TITLE   \* MERGEFORMAT </w:instrText>
                          </w:r>
                          <w: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A1B5C" id="_x0000_t202" coordsize="21600,21600" o:spt="202" path="m,l,21600r21600,l21600,xe">
              <v:stroke joinstyle="miter"/>
              <v:path gradientshapeok="t" o:connecttype="rect"/>
            </v:shapetype>
            <v:shape id="Text Box 6" o:spid="_x0000_s1026" type="#_x0000_t202" alt="Landscape Odd Header" style="position:absolute;margin-left:599.7pt;margin-top:-1pt;width:31.5pt;height:386.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" stroked="f">
              <v:textbox style="layout-flow:vertical">
                <w:txbxContent>
                  <w:p w14:paraId="4B5816F8" w14:textId="5E8AC39C" w:rsidR="00B564C0" w:rsidRPr="00137C7E" w:rsidRDefault="00B564C0" w:rsidP="008567C0">
                    <w:pPr>
                      <w:pStyle w:val="HeaderOdd"/>
                      <w:rPr>
                        <w:rStyle w:val="Hyperlink"/>
                      </w:rPr>
                    </w:pPr>
                    <w:r>
                      <w:fldChar w:fldCharType="begin"/>
                    </w:r>
                    <w:r>
                      <w:instrText xml:space="preserve"> TITLE   \* MERGEFORMAT </w:instrText>
                    </w:r>
                    <w:r>
                      <w:fldChar w:fldCharType="end"/>
                    </w:r>
                  </w:p>
                </w:txbxContent>
              </v:textbox>
              <w10:wrap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90A99" w14:textId="75471470" w:rsidR="00B564C0" w:rsidRPr="005F0721" w:rsidRDefault="005F0721" w:rsidP="005F0721">
    <w:pPr>
      <w:pStyle w:val="Header"/>
    </w:pPr>
    <w:r>
      <w:t>Finance Budget Statements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6D6A" w14:textId="7E44D0A8" w:rsidR="00B564C0" w:rsidRDefault="005F0721" w:rsidP="00A02E16">
    <w:pPr>
      <w:pStyle w:val="HeaderOdd"/>
    </w:pPr>
    <w:r>
      <w:t>Finance Budget Statements</w:t>
    </w:r>
    <w:r>
      <w:t xml:space="preserve"> </w:t>
    </w:r>
    <w:r w:rsidR="00B564C0">
      <w:fldChar w:fldCharType="begin"/>
    </w:r>
    <w:r w:rsidR="00B564C0">
      <w:instrText xml:space="preserve"> TITLE   \* MERGEFORMAT </w:instrText>
    </w:r>
    <w:r w:rsidR="00B564C0">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709BD" w14:textId="0535A378" w:rsidR="00B564C0" w:rsidRPr="00970E65" w:rsidRDefault="005F0721" w:rsidP="004461A4">
    <w:pPr>
      <w:pStyle w:val="HeaderOdd"/>
    </w:pPr>
    <w:r>
      <w:t>Finance Budget Statements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5368"/>
    <w:multiLevelType w:val="hybridMultilevel"/>
    <w:tmpl w:val="1D4647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933471"/>
    <w:multiLevelType w:val="multilevel"/>
    <w:tmpl w:val="9970E7B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650" w:hanging="57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612BB"/>
    <w:multiLevelType w:val="hybridMultilevel"/>
    <w:tmpl w:val="8A3451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8B1916"/>
    <w:multiLevelType w:val="hybridMultilevel"/>
    <w:tmpl w:val="17346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7" w15:restartNumberingAfterBreak="0">
    <w:nsid w:val="167C49D9"/>
    <w:multiLevelType w:val="hybridMultilevel"/>
    <w:tmpl w:val="82744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0B2ABC"/>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520E69"/>
    <w:multiLevelType w:val="hybridMultilevel"/>
    <w:tmpl w:val="F64C75C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9DE15C6"/>
    <w:multiLevelType w:val="hybridMultilevel"/>
    <w:tmpl w:val="21947F82"/>
    <w:lvl w:ilvl="0" w:tplc="DF9638D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C5539"/>
    <w:multiLevelType w:val="hybridMultilevel"/>
    <w:tmpl w:val="B25C0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0716F0"/>
    <w:multiLevelType w:val="hybridMultilevel"/>
    <w:tmpl w:val="F5B48A86"/>
    <w:lvl w:ilvl="0" w:tplc="15387D1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0D1E2C"/>
    <w:multiLevelType w:val="hybridMultilevel"/>
    <w:tmpl w:val="547A5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8C13F8"/>
    <w:multiLevelType w:val="hybridMultilevel"/>
    <w:tmpl w:val="BD5CE524"/>
    <w:lvl w:ilvl="0" w:tplc="41FA6406">
      <w:start w:val="1"/>
      <w:numFmt w:val="lowerLetter"/>
      <w:lvlText w:val="(%1)"/>
      <w:lvlJc w:val="left"/>
      <w:pPr>
        <w:ind w:left="720" w:hanging="360"/>
      </w:pPr>
      <w:rPr>
        <w:rFonts w:ascii="Arial" w:hAnsi="Arial" w:cs="Arial" w:hint="default"/>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64E4A8F"/>
    <w:multiLevelType w:val="hybridMultilevel"/>
    <w:tmpl w:val="8F7E7818"/>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2CEA4481"/>
    <w:multiLevelType w:val="multilevel"/>
    <w:tmpl w:val="0DFE1A6A"/>
    <w:name w:val="TableTextBullet"/>
    <w:styleLink w:val="FigureTitles2"/>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15:restartNumberingAfterBreak="0">
    <w:nsid w:val="2FE93A9D"/>
    <w:multiLevelType w:val="hybridMultilevel"/>
    <w:tmpl w:val="A0927D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11230D5"/>
    <w:multiLevelType w:val="hybridMultilevel"/>
    <w:tmpl w:val="A3E05E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FB6309"/>
    <w:multiLevelType w:val="hybridMultilevel"/>
    <w:tmpl w:val="35906312"/>
    <w:lvl w:ilvl="0" w:tplc="00147F72">
      <w:numFmt w:val="bullet"/>
      <w:lvlText w:val=""/>
      <w:lvlJc w:val="left"/>
      <w:pPr>
        <w:ind w:left="465" w:hanging="358"/>
      </w:pPr>
      <w:rPr>
        <w:rFonts w:ascii="Symbol" w:eastAsia="Symbol" w:hAnsi="Symbol" w:cs="Symbol" w:hint="default"/>
        <w:w w:val="100"/>
        <w:sz w:val="16"/>
        <w:szCs w:val="16"/>
        <w:lang w:val="en-AU" w:eastAsia="en-US" w:bidi="ar-SA"/>
      </w:rPr>
    </w:lvl>
    <w:lvl w:ilvl="1" w:tplc="BA5E52C6">
      <w:numFmt w:val="bullet"/>
      <w:lvlText w:val="•"/>
      <w:lvlJc w:val="left"/>
      <w:pPr>
        <w:ind w:left="1017" w:hanging="358"/>
      </w:pPr>
      <w:rPr>
        <w:rFonts w:hint="default"/>
        <w:lang w:val="en-AU" w:eastAsia="en-US" w:bidi="ar-SA"/>
      </w:rPr>
    </w:lvl>
    <w:lvl w:ilvl="2" w:tplc="D0F4A838">
      <w:numFmt w:val="bullet"/>
      <w:lvlText w:val="•"/>
      <w:lvlJc w:val="left"/>
      <w:pPr>
        <w:ind w:left="1574" w:hanging="358"/>
      </w:pPr>
      <w:rPr>
        <w:rFonts w:hint="default"/>
        <w:lang w:val="en-AU" w:eastAsia="en-US" w:bidi="ar-SA"/>
      </w:rPr>
    </w:lvl>
    <w:lvl w:ilvl="3" w:tplc="E3BC2544">
      <w:numFmt w:val="bullet"/>
      <w:lvlText w:val="•"/>
      <w:lvlJc w:val="left"/>
      <w:pPr>
        <w:ind w:left="2131" w:hanging="358"/>
      </w:pPr>
      <w:rPr>
        <w:rFonts w:hint="default"/>
        <w:lang w:val="en-AU" w:eastAsia="en-US" w:bidi="ar-SA"/>
      </w:rPr>
    </w:lvl>
    <w:lvl w:ilvl="4" w:tplc="08C6E67E">
      <w:numFmt w:val="bullet"/>
      <w:lvlText w:val="•"/>
      <w:lvlJc w:val="left"/>
      <w:pPr>
        <w:ind w:left="2688" w:hanging="358"/>
      </w:pPr>
      <w:rPr>
        <w:rFonts w:hint="default"/>
        <w:lang w:val="en-AU" w:eastAsia="en-US" w:bidi="ar-SA"/>
      </w:rPr>
    </w:lvl>
    <w:lvl w:ilvl="5" w:tplc="ED847CB8">
      <w:numFmt w:val="bullet"/>
      <w:lvlText w:val="•"/>
      <w:lvlJc w:val="left"/>
      <w:pPr>
        <w:ind w:left="3245" w:hanging="358"/>
      </w:pPr>
      <w:rPr>
        <w:rFonts w:hint="default"/>
        <w:lang w:val="en-AU" w:eastAsia="en-US" w:bidi="ar-SA"/>
      </w:rPr>
    </w:lvl>
    <w:lvl w:ilvl="6" w:tplc="30EE96E4">
      <w:numFmt w:val="bullet"/>
      <w:lvlText w:val="•"/>
      <w:lvlJc w:val="left"/>
      <w:pPr>
        <w:ind w:left="3802" w:hanging="358"/>
      </w:pPr>
      <w:rPr>
        <w:rFonts w:hint="default"/>
        <w:lang w:val="en-AU" w:eastAsia="en-US" w:bidi="ar-SA"/>
      </w:rPr>
    </w:lvl>
    <w:lvl w:ilvl="7" w:tplc="4B3EF0D4">
      <w:numFmt w:val="bullet"/>
      <w:lvlText w:val="•"/>
      <w:lvlJc w:val="left"/>
      <w:pPr>
        <w:ind w:left="4359" w:hanging="358"/>
      </w:pPr>
      <w:rPr>
        <w:rFonts w:hint="default"/>
        <w:lang w:val="en-AU" w:eastAsia="en-US" w:bidi="ar-SA"/>
      </w:rPr>
    </w:lvl>
    <w:lvl w:ilvl="8" w:tplc="8F60BEE8">
      <w:numFmt w:val="bullet"/>
      <w:lvlText w:val="•"/>
      <w:lvlJc w:val="left"/>
      <w:pPr>
        <w:ind w:left="4916" w:hanging="358"/>
      </w:pPr>
      <w:rPr>
        <w:rFonts w:hint="default"/>
        <w:lang w:val="en-AU" w:eastAsia="en-US" w:bidi="ar-SA"/>
      </w:rPr>
    </w:lvl>
  </w:abstractNum>
  <w:abstractNum w:abstractNumId="22" w15:restartNumberingAfterBreak="0">
    <w:nsid w:val="38474585"/>
    <w:multiLevelType w:val="hybridMultilevel"/>
    <w:tmpl w:val="77BE41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4" w15:restartNumberingAfterBreak="0">
    <w:nsid w:val="3CBA7E43"/>
    <w:multiLevelType w:val="hybridMultilevel"/>
    <w:tmpl w:val="B65097EC"/>
    <w:lvl w:ilvl="0" w:tplc="DF9638D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0C62B25"/>
    <w:multiLevelType w:val="multilevel"/>
    <w:tmpl w:val="AB709054"/>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26" w15:restartNumberingAfterBreak="0">
    <w:nsid w:val="42D10753"/>
    <w:multiLevelType w:val="hybridMultilevel"/>
    <w:tmpl w:val="65C244CA"/>
    <w:lvl w:ilvl="0" w:tplc="86E2048C">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8" w15:restartNumberingAfterBreak="0">
    <w:nsid w:val="4684042E"/>
    <w:multiLevelType w:val="hybridMultilevel"/>
    <w:tmpl w:val="023047C6"/>
    <w:lvl w:ilvl="0" w:tplc="D5D02E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6946182"/>
    <w:multiLevelType w:val="multilevel"/>
    <w:tmpl w:val="E8D48D76"/>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decimal"/>
      <w:lvlText w:val="%2"/>
      <w:lvlJc w:val="left"/>
      <w:pPr>
        <w:tabs>
          <w:tab w:val="num" w:pos="1134"/>
        </w:tabs>
        <w:ind w:left="1134" w:hanging="567"/>
      </w:pPr>
      <w:rPr>
        <w:rFonts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30" w15:restartNumberingAfterBreak="0">
    <w:nsid w:val="490B7AD5"/>
    <w:multiLevelType w:val="hybridMultilevel"/>
    <w:tmpl w:val="0A5A7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FF16EF"/>
    <w:multiLevelType w:val="hybridMultilevel"/>
    <w:tmpl w:val="E6AE2F22"/>
    <w:lvl w:ilvl="0" w:tplc="DF9638D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543BA2"/>
    <w:multiLevelType w:val="hybridMultilevel"/>
    <w:tmpl w:val="AC2ED172"/>
    <w:lvl w:ilvl="0" w:tplc="D5D02E9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1C5322A"/>
    <w:multiLevelType w:val="hybridMultilevel"/>
    <w:tmpl w:val="57FA6FA8"/>
    <w:lvl w:ilvl="0" w:tplc="21D40EDC">
      <w:start w:val="1"/>
      <w:numFmt w:val="bullet"/>
      <w:lvlText w:val="–"/>
      <w:lvlJc w:val="left"/>
      <w:pPr>
        <w:ind w:left="927" w:hanging="360"/>
      </w:pPr>
      <w:rPr>
        <w:rFonts w:ascii="Calibri" w:hAnsi="Calibri" w:hint="default"/>
        <w:b w:val="0"/>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534F496D"/>
    <w:multiLevelType w:val="hybridMultilevel"/>
    <w:tmpl w:val="AC2ED172"/>
    <w:lvl w:ilvl="0" w:tplc="D5D02E9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41039A9"/>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5B7264E"/>
    <w:multiLevelType w:val="hybridMultilevel"/>
    <w:tmpl w:val="941C8E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7DD7823"/>
    <w:multiLevelType w:val="hybridMultilevel"/>
    <w:tmpl w:val="68A894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9" w15:restartNumberingAfterBreak="0">
    <w:nsid w:val="5AFC4F4A"/>
    <w:multiLevelType w:val="hybridMultilevel"/>
    <w:tmpl w:val="2C540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1" w15:restartNumberingAfterBreak="0">
    <w:nsid w:val="62B8784D"/>
    <w:multiLevelType w:val="hybridMultilevel"/>
    <w:tmpl w:val="0ABC439E"/>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6977EA1"/>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74A61F9"/>
    <w:multiLevelType w:val="hybridMultilevel"/>
    <w:tmpl w:val="ADB0DB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7C37621"/>
    <w:multiLevelType w:val="hybridMultilevel"/>
    <w:tmpl w:val="68284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8777B55"/>
    <w:multiLevelType w:val="hybridMultilevel"/>
    <w:tmpl w:val="0EEAA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EA3959"/>
    <w:multiLevelType w:val="multilevel"/>
    <w:tmpl w:val="E8D48D76"/>
    <w:name w:val="Chart and Table Footnote Alpha Small"/>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decimal"/>
      <w:lvlText w:val="%2"/>
      <w:lvlJc w:val="left"/>
      <w:pPr>
        <w:tabs>
          <w:tab w:val="num" w:pos="1134"/>
        </w:tabs>
        <w:ind w:left="1134" w:hanging="567"/>
      </w:pPr>
      <w:rPr>
        <w:rFonts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47" w15:restartNumberingAfterBreak="0">
    <w:nsid w:val="6B6957C0"/>
    <w:multiLevelType w:val="hybridMultilevel"/>
    <w:tmpl w:val="F808EADE"/>
    <w:lvl w:ilvl="0" w:tplc="5BBC9562">
      <w:start w:val="1"/>
      <w:numFmt w:val="bullet"/>
      <w:lvlText w:val=""/>
      <w:lvlJc w:val="left"/>
      <w:pPr>
        <w:ind w:left="502" w:hanging="360"/>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8" w15:restartNumberingAfterBreak="0">
    <w:nsid w:val="6C3B63E1"/>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1F74F1D"/>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1" w15:restartNumberingAfterBreak="0">
    <w:nsid w:val="75AD3829"/>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7095FAD"/>
    <w:multiLevelType w:val="hybridMultilevel"/>
    <w:tmpl w:val="D1008C84"/>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786B7DCD"/>
    <w:multiLevelType w:val="hybridMultilevel"/>
    <w:tmpl w:val="0C56C4E4"/>
    <w:lvl w:ilvl="0" w:tplc="D170621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8AF368A"/>
    <w:multiLevelType w:val="hybridMultilevel"/>
    <w:tmpl w:val="A78C54C6"/>
    <w:lvl w:ilvl="0" w:tplc="312E020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5" w15:restartNumberingAfterBreak="0">
    <w:nsid w:val="7F4135AC"/>
    <w:multiLevelType w:val="hybridMultilevel"/>
    <w:tmpl w:val="1DD4C5A4"/>
    <w:lvl w:ilvl="0" w:tplc="DE6449C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7"/>
  </w:num>
  <w:num w:numId="2">
    <w:abstractNumId w:val="5"/>
  </w:num>
  <w:num w:numId="3">
    <w:abstractNumId w:val="23"/>
  </w:num>
  <w:num w:numId="4">
    <w:abstractNumId w:val="50"/>
  </w:num>
  <w:num w:numId="5">
    <w:abstractNumId w:val="17"/>
  </w:num>
  <w:num w:numId="6">
    <w:abstractNumId w:val="38"/>
  </w:num>
  <w:num w:numId="7">
    <w:abstractNumId w:val="23"/>
    <w:lvlOverride w:ilvl="0">
      <w:startOverride w:val="1"/>
    </w:lvlOverride>
  </w:num>
  <w:num w:numId="8">
    <w:abstractNumId w:val="3"/>
  </w:num>
  <w:num w:numId="9">
    <w:abstractNumId w:val="23"/>
    <w:lvlOverride w:ilvl="0">
      <w:startOverride w:val="1"/>
    </w:lvlOverride>
  </w:num>
  <w:num w:numId="10">
    <w:abstractNumId w:val="23"/>
    <w:lvlOverride w:ilvl="0">
      <w:startOverride w:val="1"/>
    </w:lvlOverride>
  </w:num>
  <w:num w:numId="11">
    <w:abstractNumId w:val="16"/>
  </w:num>
  <w:num w:numId="12">
    <w:abstractNumId w:val="4"/>
  </w:num>
  <w:num w:numId="13">
    <w:abstractNumId w:val="23"/>
    <w:lvlOverride w:ilvl="0">
      <w:startOverride w:val="1"/>
    </w:lvlOverride>
  </w:num>
  <w:num w:numId="14">
    <w:abstractNumId w:val="28"/>
  </w:num>
  <w:num w:numId="15">
    <w:abstractNumId w:val="48"/>
  </w:num>
  <w:num w:numId="16">
    <w:abstractNumId w:val="26"/>
  </w:num>
  <w:num w:numId="17">
    <w:abstractNumId w:val="35"/>
  </w:num>
  <w:num w:numId="18">
    <w:abstractNumId w:val="8"/>
  </w:num>
  <w:num w:numId="19">
    <w:abstractNumId w:val="5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num>
  <w:num w:numId="22">
    <w:abstractNumId w:val="23"/>
    <w:lvlOverride w:ilvl="0">
      <w:startOverride w:val="1"/>
    </w:lvlOverride>
  </w:num>
  <w:num w:numId="23">
    <w:abstractNumId w:val="23"/>
    <w:lvlOverride w:ilvl="0">
      <w:startOverride w:val="1"/>
    </w:lvlOverride>
  </w:num>
  <w:num w:numId="24">
    <w:abstractNumId w:val="33"/>
  </w:num>
  <w:num w:numId="25">
    <w:abstractNumId w:val="49"/>
  </w:num>
  <w:num w:numId="26">
    <w:abstractNumId w:val="23"/>
    <w:lvlOverride w:ilvl="0">
      <w:startOverride w:val="1"/>
    </w:lvlOverride>
  </w:num>
  <w:num w:numId="27">
    <w:abstractNumId w:val="23"/>
    <w:lvlOverride w:ilvl="0">
      <w:startOverride w:val="1"/>
    </w:lvlOverride>
  </w:num>
  <w:num w:numId="28">
    <w:abstractNumId w:val="23"/>
    <w:lvlOverride w:ilvl="0">
      <w:startOverride w:val="1"/>
    </w:lvlOverride>
  </w:num>
  <w:num w:numId="29">
    <w:abstractNumId w:val="23"/>
    <w:lvlOverride w:ilvl="0">
      <w:startOverride w:val="1"/>
    </w:lvlOverride>
  </w:num>
  <w:num w:numId="30">
    <w:abstractNumId w:val="23"/>
    <w:lvlOverride w:ilvl="0">
      <w:startOverride w:val="1"/>
    </w:lvlOverride>
  </w:num>
  <w:num w:numId="31">
    <w:abstractNumId w:val="46"/>
  </w:num>
  <w:num w:numId="32">
    <w:abstractNumId w:val="29"/>
  </w:num>
  <w:num w:numId="33">
    <w:abstractNumId w:val="25"/>
  </w:num>
  <w:num w:numId="34">
    <w:abstractNumId w:val="21"/>
  </w:num>
  <w:num w:numId="35">
    <w:abstractNumId w:val="37"/>
  </w:num>
  <w:num w:numId="36">
    <w:abstractNumId w:val="11"/>
  </w:num>
  <w:num w:numId="37">
    <w:abstractNumId w:val="30"/>
  </w:num>
  <w:num w:numId="38">
    <w:abstractNumId w:val="19"/>
  </w:num>
  <w:num w:numId="39">
    <w:abstractNumId w:val="15"/>
  </w:num>
  <w:num w:numId="40">
    <w:abstractNumId w:val="41"/>
  </w:num>
  <w:num w:numId="41">
    <w:abstractNumId w:val="32"/>
  </w:num>
  <w:num w:numId="42">
    <w:abstractNumId w:val="34"/>
  </w:num>
  <w:num w:numId="43">
    <w:abstractNumId w:val="24"/>
  </w:num>
  <w:num w:numId="44">
    <w:abstractNumId w:val="39"/>
  </w:num>
  <w:num w:numId="45">
    <w:abstractNumId w:val="45"/>
  </w:num>
  <w:num w:numId="46">
    <w:abstractNumId w:val="55"/>
  </w:num>
  <w:num w:numId="47">
    <w:abstractNumId w:val="40"/>
  </w:num>
  <w:num w:numId="48">
    <w:abstractNumId w:val="52"/>
  </w:num>
  <w:num w:numId="49">
    <w:abstractNumId w:val="2"/>
  </w:num>
  <w:num w:numId="50">
    <w:abstractNumId w:val="44"/>
  </w:num>
  <w:num w:numId="51">
    <w:abstractNumId w:val="53"/>
  </w:num>
  <w:num w:numId="52">
    <w:abstractNumId w:val="43"/>
  </w:num>
  <w:num w:numId="53">
    <w:abstractNumId w:val="12"/>
  </w:num>
  <w:num w:numId="54">
    <w:abstractNumId w:val="10"/>
  </w:num>
  <w:num w:numId="55">
    <w:abstractNumId w:val="31"/>
  </w:num>
  <w:num w:numId="56">
    <w:abstractNumId w:val="18"/>
  </w:num>
  <w:num w:numId="57">
    <w:abstractNumId w:val="22"/>
  </w:num>
  <w:num w:numId="58">
    <w:abstractNumId w:val="7"/>
  </w:num>
  <w:num w:numId="59">
    <w:abstractNumId w:val="13"/>
  </w:num>
  <w:num w:numId="60">
    <w:abstractNumId w:val="0"/>
  </w:num>
  <w:num w:numId="61">
    <w:abstractNumId w:val="54"/>
  </w:num>
  <w:num w:numId="62">
    <w:abstractNumId w:val="9"/>
  </w:num>
  <w:num w:numId="63">
    <w:abstractNumId w:val="1"/>
  </w:num>
  <w:num w:numId="64">
    <w:abstractNumId w:val="42"/>
  </w:num>
  <w:num w:numId="65">
    <w:abstractNumId w:val="23"/>
    <w:lvlOverride w:ilvl="0">
      <w:startOverride w:val="1"/>
    </w:lvlOverride>
  </w:num>
  <w:num w:numId="66">
    <w:abstractNumId w:val="23"/>
    <w:lvlOverride w:ilvl="0">
      <w:startOverride w:val="1"/>
    </w:lvlOverride>
  </w:num>
  <w:num w:numId="67">
    <w:abstractNumId w:val="23"/>
    <w:lvlOverride w:ilvl="0">
      <w:startOverride w:val="1"/>
    </w:lvlOverride>
  </w:num>
  <w:num w:numId="68">
    <w:abstractNumId w:val="23"/>
    <w:lvlOverride w:ilvl="0">
      <w:startOverride w:val="1"/>
    </w:lvlOverride>
  </w:num>
  <w:num w:numId="69">
    <w:abstractNumId w:val="23"/>
    <w:lvlOverride w:ilvl="0">
      <w:startOverride w:val="1"/>
    </w:lvlOverride>
  </w:num>
  <w:num w:numId="70">
    <w:abstractNumId w:val="36"/>
  </w:num>
  <w:num w:numId="71">
    <w:abstractNumId w:val="23"/>
    <w:lvlOverride w:ilvl="0">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hideSpellingErrors/>
  <w:hideGrammaticalError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0909"/>
    <w:rsid w:val="00002F73"/>
    <w:rsid w:val="0000358C"/>
    <w:rsid w:val="00003AC4"/>
    <w:rsid w:val="00003CA0"/>
    <w:rsid w:val="00003FFA"/>
    <w:rsid w:val="00006AE4"/>
    <w:rsid w:val="0000711B"/>
    <w:rsid w:val="0001294C"/>
    <w:rsid w:val="00012BB0"/>
    <w:rsid w:val="00012FB2"/>
    <w:rsid w:val="00013D25"/>
    <w:rsid w:val="0001438C"/>
    <w:rsid w:val="0001615A"/>
    <w:rsid w:val="00016D95"/>
    <w:rsid w:val="00017619"/>
    <w:rsid w:val="00017840"/>
    <w:rsid w:val="00020573"/>
    <w:rsid w:val="000216BF"/>
    <w:rsid w:val="00021DA6"/>
    <w:rsid w:val="000220B0"/>
    <w:rsid w:val="00022AC4"/>
    <w:rsid w:val="00022E02"/>
    <w:rsid w:val="00023CED"/>
    <w:rsid w:val="0002453C"/>
    <w:rsid w:val="00025CB2"/>
    <w:rsid w:val="000300D7"/>
    <w:rsid w:val="000304FC"/>
    <w:rsid w:val="00030FDA"/>
    <w:rsid w:val="0003384E"/>
    <w:rsid w:val="00033E79"/>
    <w:rsid w:val="00034C41"/>
    <w:rsid w:val="0003503B"/>
    <w:rsid w:val="00035B0E"/>
    <w:rsid w:val="00036095"/>
    <w:rsid w:val="000361F0"/>
    <w:rsid w:val="000364F3"/>
    <w:rsid w:val="000366AE"/>
    <w:rsid w:val="000369AC"/>
    <w:rsid w:val="0003724F"/>
    <w:rsid w:val="00037BA1"/>
    <w:rsid w:val="000413D4"/>
    <w:rsid w:val="00042FDD"/>
    <w:rsid w:val="000441BB"/>
    <w:rsid w:val="00044CF1"/>
    <w:rsid w:val="0004509D"/>
    <w:rsid w:val="00045667"/>
    <w:rsid w:val="00047402"/>
    <w:rsid w:val="00053E0F"/>
    <w:rsid w:val="00054A04"/>
    <w:rsid w:val="00054CC3"/>
    <w:rsid w:val="0005600E"/>
    <w:rsid w:val="00056260"/>
    <w:rsid w:val="0005691C"/>
    <w:rsid w:val="0005722F"/>
    <w:rsid w:val="00057654"/>
    <w:rsid w:val="000606CB"/>
    <w:rsid w:val="00060890"/>
    <w:rsid w:val="00060C17"/>
    <w:rsid w:val="00061415"/>
    <w:rsid w:val="0006199A"/>
    <w:rsid w:val="00061FD8"/>
    <w:rsid w:val="000627D9"/>
    <w:rsid w:val="00063C44"/>
    <w:rsid w:val="00063CE1"/>
    <w:rsid w:val="000641DA"/>
    <w:rsid w:val="00065053"/>
    <w:rsid w:val="000655E4"/>
    <w:rsid w:val="000656AD"/>
    <w:rsid w:val="00065C71"/>
    <w:rsid w:val="00066BBA"/>
    <w:rsid w:val="000671B7"/>
    <w:rsid w:val="00067817"/>
    <w:rsid w:val="00067B6F"/>
    <w:rsid w:val="00067E1D"/>
    <w:rsid w:val="0007064C"/>
    <w:rsid w:val="000712EE"/>
    <w:rsid w:val="00072097"/>
    <w:rsid w:val="000725C0"/>
    <w:rsid w:val="00074554"/>
    <w:rsid w:val="00074CE6"/>
    <w:rsid w:val="000768A5"/>
    <w:rsid w:val="00077277"/>
    <w:rsid w:val="0007743A"/>
    <w:rsid w:val="000779A7"/>
    <w:rsid w:val="00080069"/>
    <w:rsid w:val="00080125"/>
    <w:rsid w:val="00080F4F"/>
    <w:rsid w:val="00082159"/>
    <w:rsid w:val="00082179"/>
    <w:rsid w:val="00083723"/>
    <w:rsid w:val="0008449F"/>
    <w:rsid w:val="000846ED"/>
    <w:rsid w:val="00090681"/>
    <w:rsid w:val="000924A7"/>
    <w:rsid w:val="00093612"/>
    <w:rsid w:val="00093D79"/>
    <w:rsid w:val="00094B28"/>
    <w:rsid w:val="00094B9A"/>
    <w:rsid w:val="0009537D"/>
    <w:rsid w:val="000960F6"/>
    <w:rsid w:val="00096568"/>
    <w:rsid w:val="00096A45"/>
    <w:rsid w:val="00096DEE"/>
    <w:rsid w:val="00097063"/>
    <w:rsid w:val="00097336"/>
    <w:rsid w:val="00097427"/>
    <w:rsid w:val="000975DA"/>
    <w:rsid w:val="000A1920"/>
    <w:rsid w:val="000A1A89"/>
    <w:rsid w:val="000A1C91"/>
    <w:rsid w:val="000A24C4"/>
    <w:rsid w:val="000A345B"/>
    <w:rsid w:val="000A372A"/>
    <w:rsid w:val="000A395D"/>
    <w:rsid w:val="000A532C"/>
    <w:rsid w:val="000A56A5"/>
    <w:rsid w:val="000A5C86"/>
    <w:rsid w:val="000A6897"/>
    <w:rsid w:val="000A6BDE"/>
    <w:rsid w:val="000A6DBE"/>
    <w:rsid w:val="000A7E1F"/>
    <w:rsid w:val="000B05FE"/>
    <w:rsid w:val="000B1FC4"/>
    <w:rsid w:val="000B21D6"/>
    <w:rsid w:val="000B2404"/>
    <w:rsid w:val="000B36D8"/>
    <w:rsid w:val="000B3B7D"/>
    <w:rsid w:val="000B44F5"/>
    <w:rsid w:val="000B5A31"/>
    <w:rsid w:val="000B6E38"/>
    <w:rsid w:val="000C056F"/>
    <w:rsid w:val="000C1442"/>
    <w:rsid w:val="000C1928"/>
    <w:rsid w:val="000C19B3"/>
    <w:rsid w:val="000C19EF"/>
    <w:rsid w:val="000C1D13"/>
    <w:rsid w:val="000C2D7D"/>
    <w:rsid w:val="000C3B86"/>
    <w:rsid w:val="000C4A46"/>
    <w:rsid w:val="000C55A6"/>
    <w:rsid w:val="000C5CC4"/>
    <w:rsid w:val="000C6A39"/>
    <w:rsid w:val="000C6FB8"/>
    <w:rsid w:val="000D0547"/>
    <w:rsid w:val="000D13E5"/>
    <w:rsid w:val="000D28EB"/>
    <w:rsid w:val="000D308C"/>
    <w:rsid w:val="000D4262"/>
    <w:rsid w:val="000D43DE"/>
    <w:rsid w:val="000D55B5"/>
    <w:rsid w:val="000D58A1"/>
    <w:rsid w:val="000D6003"/>
    <w:rsid w:val="000D6C34"/>
    <w:rsid w:val="000D7E54"/>
    <w:rsid w:val="000E04C6"/>
    <w:rsid w:val="000E0A5A"/>
    <w:rsid w:val="000E0A85"/>
    <w:rsid w:val="000E2F5F"/>
    <w:rsid w:val="000E68E3"/>
    <w:rsid w:val="000E6DDB"/>
    <w:rsid w:val="000E74A6"/>
    <w:rsid w:val="000F03B1"/>
    <w:rsid w:val="000F08AE"/>
    <w:rsid w:val="000F0AE6"/>
    <w:rsid w:val="000F1AAB"/>
    <w:rsid w:val="000F1C13"/>
    <w:rsid w:val="000F2686"/>
    <w:rsid w:val="000F27C5"/>
    <w:rsid w:val="000F2D33"/>
    <w:rsid w:val="000F43F4"/>
    <w:rsid w:val="000F440E"/>
    <w:rsid w:val="000F6647"/>
    <w:rsid w:val="000F73B7"/>
    <w:rsid w:val="000F76BA"/>
    <w:rsid w:val="000F77AB"/>
    <w:rsid w:val="000F794F"/>
    <w:rsid w:val="000F7E7B"/>
    <w:rsid w:val="001002F8"/>
    <w:rsid w:val="00101F60"/>
    <w:rsid w:val="00102654"/>
    <w:rsid w:val="001028CC"/>
    <w:rsid w:val="001045F9"/>
    <w:rsid w:val="0010472B"/>
    <w:rsid w:val="00104F95"/>
    <w:rsid w:val="00105E74"/>
    <w:rsid w:val="0010657F"/>
    <w:rsid w:val="00107597"/>
    <w:rsid w:val="00110A8B"/>
    <w:rsid w:val="00111159"/>
    <w:rsid w:val="00112D0F"/>
    <w:rsid w:val="001133E0"/>
    <w:rsid w:val="00115DE5"/>
    <w:rsid w:val="001163D6"/>
    <w:rsid w:val="0011726A"/>
    <w:rsid w:val="0012022D"/>
    <w:rsid w:val="00120B5E"/>
    <w:rsid w:val="0012108F"/>
    <w:rsid w:val="00121EB0"/>
    <w:rsid w:val="0012228D"/>
    <w:rsid w:val="00123218"/>
    <w:rsid w:val="001237BA"/>
    <w:rsid w:val="00123925"/>
    <w:rsid w:val="00123A40"/>
    <w:rsid w:val="001240EB"/>
    <w:rsid w:val="00124589"/>
    <w:rsid w:val="00126641"/>
    <w:rsid w:val="001266F6"/>
    <w:rsid w:val="00126954"/>
    <w:rsid w:val="00132F9E"/>
    <w:rsid w:val="00133D3A"/>
    <w:rsid w:val="001352EE"/>
    <w:rsid w:val="00135505"/>
    <w:rsid w:val="001364A7"/>
    <w:rsid w:val="00136827"/>
    <w:rsid w:val="001375D4"/>
    <w:rsid w:val="0014001A"/>
    <w:rsid w:val="0014041C"/>
    <w:rsid w:val="00143750"/>
    <w:rsid w:val="00143E88"/>
    <w:rsid w:val="001455D8"/>
    <w:rsid w:val="001463E6"/>
    <w:rsid w:val="00146B5E"/>
    <w:rsid w:val="00146E8B"/>
    <w:rsid w:val="00147559"/>
    <w:rsid w:val="0014790A"/>
    <w:rsid w:val="00150E70"/>
    <w:rsid w:val="00151609"/>
    <w:rsid w:val="00151ABB"/>
    <w:rsid w:val="0015227A"/>
    <w:rsid w:val="00152B2B"/>
    <w:rsid w:val="00153FA8"/>
    <w:rsid w:val="00154260"/>
    <w:rsid w:val="00154447"/>
    <w:rsid w:val="001549BE"/>
    <w:rsid w:val="00154CDE"/>
    <w:rsid w:val="00154F5B"/>
    <w:rsid w:val="00157A05"/>
    <w:rsid w:val="00157F2F"/>
    <w:rsid w:val="00160E6F"/>
    <w:rsid w:val="00161693"/>
    <w:rsid w:val="00161DAC"/>
    <w:rsid w:val="00162B55"/>
    <w:rsid w:val="00162D8B"/>
    <w:rsid w:val="00163101"/>
    <w:rsid w:val="001638E9"/>
    <w:rsid w:val="00165824"/>
    <w:rsid w:val="001666EA"/>
    <w:rsid w:val="00167406"/>
    <w:rsid w:val="00170665"/>
    <w:rsid w:val="00170D9D"/>
    <w:rsid w:val="0017111A"/>
    <w:rsid w:val="00171A85"/>
    <w:rsid w:val="00173101"/>
    <w:rsid w:val="00173D44"/>
    <w:rsid w:val="00173F5C"/>
    <w:rsid w:val="00174186"/>
    <w:rsid w:val="00174565"/>
    <w:rsid w:val="00174EC9"/>
    <w:rsid w:val="00175BB3"/>
    <w:rsid w:val="00177A9A"/>
    <w:rsid w:val="001808A4"/>
    <w:rsid w:val="00180FF3"/>
    <w:rsid w:val="001815A5"/>
    <w:rsid w:val="00181F30"/>
    <w:rsid w:val="00182740"/>
    <w:rsid w:val="00184071"/>
    <w:rsid w:val="00184261"/>
    <w:rsid w:val="001852C5"/>
    <w:rsid w:val="00185A3B"/>
    <w:rsid w:val="001864C9"/>
    <w:rsid w:val="00186850"/>
    <w:rsid w:val="001904A5"/>
    <w:rsid w:val="001913CF"/>
    <w:rsid w:val="001923C8"/>
    <w:rsid w:val="001939FF"/>
    <w:rsid w:val="00193A62"/>
    <w:rsid w:val="00194DE8"/>
    <w:rsid w:val="00195281"/>
    <w:rsid w:val="00196E8B"/>
    <w:rsid w:val="00197658"/>
    <w:rsid w:val="00197990"/>
    <w:rsid w:val="001A0106"/>
    <w:rsid w:val="001A02CB"/>
    <w:rsid w:val="001A02FD"/>
    <w:rsid w:val="001A0611"/>
    <w:rsid w:val="001A11DB"/>
    <w:rsid w:val="001A135E"/>
    <w:rsid w:val="001A33F4"/>
    <w:rsid w:val="001A53AE"/>
    <w:rsid w:val="001A6256"/>
    <w:rsid w:val="001A6F29"/>
    <w:rsid w:val="001A789B"/>
    <w:rsid w:val="001B02D8"/>
    <w:rsid w:val="001B03CC"/>
    <w:rsid w:val="001B0C75"/>
    <w:rsid w:val="001B2010"/>
    <w:rsid w:val="001B2459"/>
    <w:rsid w:val="001B2A29"/>
    <w:rsid w:val="001B2DEE"/>
    <w:rsid w:val="001B368E"/>
    <w:rsid w:val="001B44C2"/>
    <w:rsid w:val="001B4702"/>
    <w:rsid w:val="001B4EC1"/>
    <w:rsid w:val="001B659F"/>
    <w:rsid w:val="001B7399"/>
    <w:rsid w:val="001B7655"/>
    <w:rsid w:val="001B7AB4"/>
    <w:rsid w:val="001B7BAD"/>
    <w:rsid w:val="001B7F09"/>
    <w:rsid w:val="001C1166"/>
    <w:rsid w:val="001C261E"/>
    <w:rsid w:val="001C3AC7"/>
    <w:rsid w:val="001C42D0"/>
    <w:rsid w:val="001C58C3"/>
    <w:rsid w:val="001C771B"/>
    <w:rsid w:val="001C7B78"/>
    <w:rsid w:val="001C7FB4"/>
    <w:rsid w:val="001D0A25"/>
    <w:rsid w:val="001D0BA6"/>
    <w:rsid w:val="001D1354"/>
    <w:rsid w:val="001D1903"/>
    <w:rsid w:val="001D1942"/>
    <w:rsid w:val="001D1D2A"/>
    <w:rsid w:val="001D1DDB"/>
    <w:rsid w:val="001D2527"/>
    <w:rsid w:val="001D2A41"/>
    <w:rsid w:val="001D53EA"/>
    <w:rsid w:val="001D68CF"/>
    <w:rsid w:val="001D6F7C"/>
    <w:rsid w:val="001D75F2"/>
    <w:rsid w:val="001E0156"/>
    <w:rsid w:val="001E12A5"/>
    <w:rsid w:val="001E1BF9"/>
    <w:rsid w:val="001E1EDB"/>
    <w:rsid w:val="001E3A18"/>
    <w:rsid w:val="001E69F7"/>
    <w:rsid w:val="001E7093"/>
    <w:rsid w:val="001E717D"/>
    <w:rsid w:val="001E71F5"/>
    <w:rsid w:val="001E7D86"/>
    <w:rsid w:val="001F2DCA"/>
    <w:rsid w:val="001F377B"/>
    <w:rsid w:val="001F3CF9"/>
    <w:rsid w:val="001F55E5"/>
    <w:rsid w:val="001F5CB9"/>
    <w:rsid w:val="001F77C6"/>
    <w:rsid w:val="001F7A69"/>
    <w:rsid w:val="002003A1"/>
    <w:rsid w:val="00200DC3"/>
    <w:rsid w:val="002011E2"/>
    <w:rsid w:val="00201BB9"/>
    <w:rsid w:val="00202458"/>
    <w:rsid w:val="00202925"/>
    <w:rsid w:val="00202C70"/>
    <w:rsid w:val="002049F0"/>
    <w:rsid w:val="002050B0"/>
    <w:rsid w:val="00205D80"/>
    <w:rsid w:val="00206401"/>
    <w:rsid w:val="0021069E"/>
    <w:rsid w:val="00210874"/>
    <w:rsid w:val="0021093F"/>
    <w:rsid w:val="002133CA"/>
    <w:rsid w:val="002146B5"/>
    <w:rsid w:val="00214FA2"/>
    <w:rsid w:val="00215783"/>
    <w:rsid w:val="0021644B"/>
    <w:rsid w:val="00216489"/>
    <w:rsid w:val="00216DC9"/>
    <w:rsid w:val="00217CA0"/>
    <w:rsid w:val="002202EB"/>
    <w:rsid w:val="00220FCF"/>
    <w:rsid w:val="0022133C"/>
    <w:rsid w:val="00221705"/>
    <w:rsid w:val="00221972"/>
    <w:rsid w:val="00223059"/>
    <w:rsid w:val="002231C8"/>
    <w:rsid w:val="00223A07"/>
    <w:rsid w:val="00224154"/>
    <w:rsid w:val="002256DF"/>
    <w:rsid w:val="00225FB6"/>
    <w:rsid w:val="002264E4"/>
    <w:rsid w:val="00230194"/>
    <w:rsid w:val="0023091A"/>
    <w:rsid w:val="00231923"/>
    <w:rsid w:val="002329C3"/>
    <w:rsid w:val="0023320D"/>
    <w:rsid w:val="002332AE"/>
    <w:rsid w:val="002333C2"/>
    <w:rsid w:val="00233F2D"/>
    <w:rsid w:val="00234040"/>
    <w:rsid w:val="00235D67"/>
    <w:rsid w:val="0023626B"/>
    <w:rsid w:val="00236597"/>
    <w:rsid w:val="002376AD"/>
    <w:rsid w:val="00240A20"/>
    <w:rsid w:val="00241AFB"/>
    <w:rsid w:val="00242F07"/>
    <w:rsid w:val="00243020"/>
    <w:rsid w:val="00244D22"/>
    <w:rsid w:val="002457E3"/>
    <w:rsid w:val="00246111"/>
    <w:rsid w:val="00246AB5"/>
    <w:rsid w:val="00246C09"/>
    <w:rsid w:val="002470E4"/>
    <w:rsid w:val="00247262"/>
    <w:rsid w:val="0025144C"/>
    <w:rsid w:val="0025616B"/>
    <w:rsid w:val="00257285"/>
    <w:rsid w:val="00257FF4"/>
    <w:rsid w:val="002608CE"/>
    <w:rsid w:val="00261660"/>
    <w:rsid w:val="0026279C"/>
    <w:rsid w:val="002627FE"/>
    <w:rsid w:val="00262CD3"/>
    <w:rsid w:val="00264181"/>
    <w:rsid w:val="00264830"/>
    <w:rsid w:val="00264BB2"/>
    <w:rsid w:val="00265289"/>
    <w:rsid w:val="00266613"/>
    <w:rsid w:val="00266675"/>
    <w:rsid w:val="00266FE9"/>
    <w:rsid w:val="00267E41"/>
    <w:rsid w:val="00272396"/>
    <w:rsid w:val="00273D98"/>
    <w:rsid w:val="00275A4E"/>
    <w:rsid w:val="00275EB3"/>
    <w:rsid w:val="0027614D"/>
    <w:rsid w:val="0027651A"/>
    <w:rsid w:val="002770A1"/>
    <w:rsid w:val="0028001E"/>
    <w:rsid w:val="00280506"/>
    <w:rsid w:val="00280D53"/>
    <w:rsid w:val="00280FEA"/>
    <w:rsid w:val="00281CF6"/>
    <w:rsid w:val="00282BE2"/>
    <w:rsid w:val="0028359B"/>
    <w:rsid w:val="00284441"/>
    <w:rsid w:val="002857FE"/>
    <w:rsid w:val="00290933"/>
    <w:rsid w:val="002918AB"/>
    <w:rsid w:val="00291E57"/>
    <w:rsid w:val="00292D6A"/>
    <w:rsid w:val="0029312A"/>
    <w:rsid w:val="0029325C"/>
    <w:rsid w:val="00293B2D"/>
    <w:rsid w:val="00293B46"/>
    <w:rsid w:val="00294E5F"/>
    <w:rsid w:val="00295949"/>
    <w:rsid w:val="00295A32"/>
    <w:rsid w:val="002960B7"/>
    <w:rsid w:val="00297643"/>
    <w:rsid w:val="00297824"/>
    <w:rsid w:val="00297942"/>
    <w:rsid w:val="002A0F2E"/>
    <w:rsid w:val="002A153F"/>
    <w:rsid w:val="002A1CC2"/>
    <w:rsid w:val="002A29A7"/>
    <w:rsid w:val="002A32FD"/>
    <w:rsid w:val="002A40DC"/>
    <w:rsid w:val="002A4534"/>
    <w:rsid w:val="002A5329"/>
    <w:rsid w:val="002A5C2D"/>
    <w:rsid w:val="002A5CB3"/>
    <w:rsid w:val="002A61E5"/>
    <w:rsid w:val="002A74DD"/>
    <w:rsid w:val="002A7FC8"/>
    <w:rsid w:val="002B0A81"/>
    <w:rsid w:val="002B1CE7"/>
    <w:rsid w:val="002B2F0F"/>
    <w:rsid w:val="002B595D"/>
    <w:rsid w:val="002B5F6A"/>
    <w:rsid w:val="002B779E"/>
    <w:rsid w:val="002B7946"/>
    <w:rsid w:val="002B7D6F"/>
    <w:rsid w:val="002B7D78"/>
    <w:rsid w:val="002C0552"/>
    <w:rsid w:val="002C0961"/>
    <w:rsid w:val="002C1CF7"/>
    <w:rsid w:val="002C1D11"/>
    <w:rsid w:val="002C25D0"/>
    <w:rsid w:val="002C280B"/>
    <w:rsid w:val="002C2A3A"/>
    <w:rsid w:val="002C2ADB"/>
    <w:rsid w:val="002C2DB0"/>
    <w:rsid w:val="002C4D41"/>
    <w:rsid w:val="002C75B0"/>
    <w:rsid w:val="002C7703"/>
    <w:rsid w:val="002C7A63"/>
    <w:rsid w:val="002D0153"/>
    <w:rsid w:val="002D0985"/>
    <w:rsid w:val="002D0E22"/>
    <w:rsid w:val="002D148E"/>
    <w:rsid w:val="002D1D90"/>
    <w:rsid w:val="002D403A"/>
    <w:rsid w:val="002D4262"/>
    <w:rsid w:val="002D46B7"/>
    <w:rsid w:val="002D6670"/>
    <w:rsid w:val="002E1064"/>
    <w:rsid w:val="002E2551"/>
    <w:rsid w:val="002E323F"/>
    <w:rsid w:val="002E420E"/>
    <w:rsid w:val="002E4A5B"/>
    <w:rsid w:val="002E5554"/>
    <w:rsid w:val="002E5D24"/>
    <w:rsid w:val="002E663F"/>
    <w:rsid w:val="002F1B12"/>
    <w:rsid w:val="002F2EE5"/>
    <w:rsid w:val="002F530C"/>
    <w:rsid w:val="002F591B"/>
    <w:rsid w:val="002F7B47"/>
    <w:rsid w:val="002F7EA6"/>
    <w:rsid w:val="00300013"/>
    <w:rsid w:val="0030032D"/>
    <w:rsid w:val="003006F8"/>
    <w:rsid w:val="00300BF2"/>
    <w:rsid w:val="003027C1"/>
    <w:rsid w:val="00302A25"/>
    <w:rsid w:val="00304900"/>
    <w:rsid w:val="00304C13"/>
    <w:rsid w:val="00304F9F"/>
    <w:rsid w:val="00305718"/>
    <w:rsid w:val="00305EC5"/>
    <w:rsid w:val="00306107"/>
    <w:rsid w:val="00307796"/>
    <w:rsid w:val="003077B8"/>
    <w:rsid w:val="00310DF0"/>
    <w:rsid w:val="003111F8"/>
    <w:rsid w:val="0031204A"/>
    <w:rsid w:val="0031272B"/>
    <w:rsid w:val="0031297D"/>
    <w:rsid w:val="00314E07"/>
    <w:rsid w:val="00315435"/>
    <w:rsid w:val="003158ED"/>
    <w:rsid w:val="00315C16"/>
    <w:rsid w:val="0032038C"/>
    <w:rsid w:val="00320D5E"/>
    <w:rsid w:val="00320EB0"/>
    <w:rsid w:val="00321889"/>
    <w:rsid w:val="00322C71"/>
    <w:rsid w:val="00324D26"/>
    <w:rsid w:val="00325C5E"/>
    <w:rsid w:val="00326BFC"/>
    <w:rsid w:val="0032738E"/>
    <w:rsid w:val="003319A5"/>
    <w:rsid w:val="00331B40"/>
    <w:rsid w:val="00331C5F"/>
    <w:rsid w:val="003325B9"/>
    <w:rsid w:val="00332E95"/>
    <w:rsid w:val="00333074"/>
    <w:rsid w:val="00333223"/>
    <w:rsid w:val="00333A43"/>
    <w:rsid w:val="00334C9F"/>
    <w:rsid w:val="00334F7E"/>
    <w:rsid w:val="003364C1"/>
    <w:rsid w:val="00337F82"/>
    <w:rsid w:val="00340640"/>
    <w:rsid w:val="00340810"/>
    <w:rsid w:val="003435D6"/>
    <w:rsid w:val="003458E0"/>
    <w:rsid w:val="00345CCD"/>
    <w:rsid w:val="003474DD"/>
    <w:rsid w:val="003511CE"/>
    <w:rsid w:val="00351909"/>
    <w:rsid w:val="00352BE0"/>
    <w:rsid w:val="0035333E"/>
    <w:rsid w:val="003538F0"/>
    <w:rsid w:val="00355986"/>
    <w:rsid w:val="00357DAE"/>
    <w:rsid w:val="003602A5"/>
    <w:rsid w:val="00361259"/>
    <w:rsid w:val="00361429"/>
    <w:rsid w:val="00362AA7"/>
    <w:rsid w:val="00363B11"/>
    <w:rsid w:val="00366541"/>
    <w:rsid w:val="003672D6"/>
    <w:rsid w:val="003705BF"/>
    <w:rsid w:val="00370935"/>
    <w:rsid w:val="00371C1A"/>
    <w:rsid w:val="00375E52"/>
    <w:rsid w:val="00377A64"/>
    <w:rsid w:val="003804AC"/>
    <w:rsid w:val="00380888"/>
    <w:rsid w:val="00380D9F"/>
    <w:rsid w:val="003819E1"/>
    <w:rsid w:val="00382194"/>
    <w:rsid w:val="00382234"/>
    <w:rsid w:val="00385A6A"/>
    <w:rsid w:val="0038672F"/>
    <w:rsid w:val="00386BC9"/>
    <w:rsid w:val="00386F24"/>
    <w:rsid w:val="003873C7"/>
    <w:rsid w:val="003876AB"/>
    <w:rsid w:val="00387957"/>
    <w:rsid w:val="0039053D"/>
    <w:rsid w:val="00392B8A"/>
    <w:rsid w:val="00392DD1"/>
    <w:rsid w:val="00393A66"/>
    <w:rsid w:val="0039449C"/>
    <w:rsid w:val="00395E02"/>
    <w:rsid w:val="0039684C"/>
    <w:rsid w:val="00397508"/>
    <w:rsid w:val="003A0290"/>
    <w:rsid w:val="003A25BB"/>
    <w:rsid w:val="003A2C5E"/>
    <w:rsid w:val="003A300D"/>
    <w:rsid w:val="003A3E7B"/>
    <w:rsid w:val="003A4566"/>
    <w:rsid w:val="003A633F"/>
    <w:rsid w:val="003A7067"/>
    <w:rsid w:val="003B09F6"/>
    <w:rsid w:val="003B0D03"/>
    <w:rsid w:val="003B1F0A"/>
    <w:rsid w:val="003B2C1F"/>
    <w:rsid w:val="003B329D"/>
    <w:rsid w:val="003B3684"/>
    <w:rsid w:val="003B3E19"/>
    <w:rsid w:val="003B528E"/>
    <w:rsid w:val="003B5533"/>
    <w:rsid w:val="003B5A85"/>
    <w:rsid w:val="003B7018"/>
    <w:rsid w:val="003B71EE"/>
    <w:rsid w:val="003B7621"/>
    <w:rsid w:val="003B7C64"/>
    <w:rsid w:val="003C0593"/>
    <w:rsid w:val="003C100E"/>
    <w:rsid w:val="003C12EF"/>
    <w:rsid w:val="003C13A6"/>
    <w:rsid w:val="003C1615"/>
    <w:rsid w:val="003C1A23"/>
    <w:rsid w:val="003C1EB4"/>
    <w:rsid w:val="003C2A44"/>
    <w:rsid w:val="003C3F98"/>
    <w:rsid w:val="003C480C"/>
    <w:rsid w:val="003C4E3A"/>
    <w:rsid w:val="003C6AF6"/>
    <w:rsid w:val="003C6CFC"/>
    <w:rsid w:val="003D0E1C"/>
    <w:rsid w:val="003D1E47"/>
    <w:rsid w:val="003D2127"/>
    <w:rsid w:val="003D3662"/>
    <w:rsid w:val="003D3C14"/>
    <w:rsid w:val="003D4188"/>
    <w:rsid w:val="003D4557"/>
    <w:rsid w:val="003D543D"/>
    <w:rsid w:val="003D59FD"/>
    <w:rsid w:val="003D6928"/>
    <w:rsid w:val="003E10B8"/>
    <w:rsid w:val="003E122D"/>
    <w:rsid w:val="003E13F5"/>
    <w:rsid w:val="003E1978"/>
    <w:rsid w:val="003E2B5E"/>
    <w:rsid w:val="003E3FF4"/>
    <w:rsid w:val="003E429A"/>
    <w:rsid w:val="003E4E15"/>
    <w:rsid w:val="003E53E8"/>
    <w:rsid w:val="003E5912"/>
    <w:rsid w:val="003E5AE8"/>
    <w:rsid w:val="003E6297"/>
    <w:rsid w:val="003E68C4"/>
    <w:rsid w:val="003F07EE"/>
    <w:rsid w:val="003F1607"/>
    <w:rsid w:val="003F274B"/>
    <w:rsid w:val="003F29F2"/>
    <w:rsid w:val="003F3C77"/>
    <w:rsid w:val="003F3E41"/>
    <w:rsid w:val="003F3EE4"/>
    <w:rsid w:val="003F47DF"/>
    <w:rsid w:val="003F5522"/>
    <w:rsid w:val="003F6209"/>
    <w:rsid w:val="003F6D3D"/>
    <w:rsid w:val="00401831"/>
    <w:rsid w:val="0040314A"/>
    <w:rsid w:val="00404331"/>
    <w:rsid w:val="00405DAB"/>
    <w:rsid w:val="00405E90"/>
    <w:rsid w:val="0040629D"/>
    <w:rsid w:val="004065CE"/>
    <w:rsid w:val="00406802"/>
    <w:rsid w:val="00406883"/>
    <w:rsid w:val="00407697"/>
    <w:rsid w:val="00407A61"/>
    <w:rsid w:val="004105DD"/>
    <w:rsid w:val="00410748"/>
    <w:rsid w:val="00410B18"/>
    <w:rsid w:val="00410DCE"/>
    <w:rsid w:val="004111A7"/>
    <w:rsid w:val="00412C0B"/>
    <w:rsid w:val="0041404E"/>
    <w:rsid w:val="0041429D"/>
    <w:rsid w:val="004147D0"/>
    <w:rsid w:val="00414E1F"/>
    <w:rsid w:val="0041581E"/>
    <w:rsid w:val="004161E5"/>
    <w:rsid w:val="0041765C"/>
    <w:rsid w:val="00420837"/>
    <w:rsid w:val="00421EEC"/>
    <w:rsid w:val="00422933"/>
    <w:rsid w:val="00422F4B"/>
    <w:rsid w:val="00423003"/>
    <w:rsid w:val="004248B4"/>
    <w:rsid w:val="00424C66"/>
    <w:rsid w:val="0042526D"/>
    <w:rsid w:val="004254A2"/>
    <w:rsid w:val="00426D71"/>
    <w:rsid w:val="00430256"/>
    <w:rsid w:val="00430E3D"/>
    <w:rsid w:val="00431600"/>
    <w:rsid w:val="0043194D"/>
    <w:rsid w:val="00431BF1"/>
    <w:rsid w:val="00433095"/>
    <w:rsid w:val="00433CBD"/>
    <w:rsid w:val="00433D22"/>
    <w:rsid w:val="004342F8"/>
    <w:rsid w:val="00434A2F"/>
    <w:rsid w:val="00434B63"/>
    <w:rsid w:val="004378C0"/>
    <w:rsid w:val="00440107"/>
    <w:rsid w:val="00440168"/>
    <w:rsid w:val="0044083A"/>
    <w:rsid w:val="004408FA"/>
    <w:rsid w:val="00440A89"/>
    <w:rsid w:val="00440BB3"/>
    <w:rsid w:val="00443FF1"/>
    <w:rsid w:val="0044552A"/>
    <w:rsid w:val="00445663"/>
    <w:rsid w:val="004461A4"/>
    <w:rsid w:val="00446612"/>
    <w:rsid w:val="00450E44"/>
    <w:rsid w:val="00451501"/>
    <w:rsid w:val="00451844"/>
    <w:rsid w:val="004528D0"/>
    <w:rsid w:val="00453C86"/>
    <w:rsid w:val="00454564"/>
    <w:rsid w:val="004562E5"/>
    <w:rsid w:val="00456B4A"/>
    <w:rsid w:val="00457BC3"/>
    <w:rsid w:val="0046034D"/>
    <w:rsid w:val="00461801"/>
    <w:rsid w:val="00462272"/>
    <w:rsid w:val="0046390C"/>
    <w:rsid w:val="00464569"/>
    <w:rsid w:val="00465D4E"/>
    <w:rsid w:val="00466381"/>
    <w:rsid w:val="00467393"/>
    <w:rsid w:val="00467BDD"/>
    <w:rsid w:val="00470A07"/>
    <w:rsid w:val="00470E41"/>
    <w:rsid w:val="004717F6"/>
    <w:rsid w:val="0047364D"/>
    <w:rsid w:val="004738A6"/>
    <w:rsid w:val="0047481E"/>
    <w:rsid w:val="00474918"/>
    <w:rsid w:val="00475EAF"/>
    <w:rsid w:val="0047681C"/>
    <w:rsid w:val="004815F8"/>
    <w:rsid w:val="00481E32"/>
    <w:rsid w:val="004831ED"/>
    <w:rsid w:val="004831FC"/>
    <w:rsid w:val="004836A7"/>
    <w:rsid w:val="004847B4"/>
    <w:rsid w:val="00484921"/>
    <w:rsid w:val="00486614"/>
    <w:rsid w:val="00487249"/>
    <w:rsid w:val="00487E11"/>
    <w:rsid w:val="00487FB8"/>
    <w:rsid w:val="004900FE"/>
    <w:rsid w:val="00490D4C"/>
    <w:rsid w:val="004915D9"/>
    <w:rsid w:val="004919D4"/>
    <w:rsid w:val="00491FB2"/>
    <w:rsid w:val="0049200C"/>
    <w:rsid w:val="0049212C"/>
    <w:rsid w:val="00495C39"/>
    <w:rsid w:val="004975DB"/>
    <w:rsid w:val="004A1224"/>
    <w:rsid w:val="004A247B"/>
    <w:rsid w:val="004A28C5"/>
    <w:rsid w:val="004A2F59"/>
    <w:rsid w:val="004A55CC"/>
    <w:rsid w:val="004A5E53"/>
    <w:rsid w:val="004A64B4"/>
    <w:rsid w:val="004A660C"/>
    <w:rsid w:val="004A6B44"/>
    <w:rsid w:val="004A6E0E"/>
    <w:rsid w:val="004B0B19"/>
    <w:rsid w:val="004B1E81"/>
    <w:rsid w:val="004B35F0"/>
    <w:rsid w:val="004B37A7"/>
    <w:rsid w:val="004B4426"/>
    <w:rsid w:val="004B44E1"/>
    <w:rsid w:val="004B5B77"/>
    <w:rsid w:val="004B5F2A"/>
    <w:rsid w:val="004B657F"/>
    <w:rsid w:val="004B74B2"/>
    <w:rsid w:val="004C103D"/>
    <w:rsid w:val="004C1303"/>
    <w:rsid w:val="004C1399"/>
    <w:rsid w:val="004C1C09"/>
    <w:rsid w:val="004C2A17"/>
    <w:rsid w:val="004C2B0E"/>
    <w:rsid w:val="004C5507"/>
    <w:rsid w:val="004D0D6B"/>
    <w:rsid w:val="004D1195"/>
    <w:rsid w:val="004D1E1A"/>
    <w:rsid w:val="004D1EFF"/>
    <w:rsid w:val="004D23A9"/>
    <w:rsid w:val="004D2683"/>
    <w:rsid w:val="004D29F5"/>
    <w:rsid w:val="004D2F90"/>
    <w:rsid w:val="004D37DC"/>
    <w:rsid w:val="004D723E"/>
    <w:rsid w:val="004D76A1"/>
    <w:rsid w:val="004D7804"/>
    <w:rsid w:val="004E0308"/>
    <w:rsid w:val="004E080F"/>
    <w:rsid w:val="004E1B66"/>
    <w:rsid w:val="004E2825"/>
    <w:rsid w:val="004E3079"/>
    <w:rsid w:val="004E3276"/>
    <w:rsid w:val="004E3836"/>
    <w:rsid w:val="004E3B3F"/>
    <w:rsid w:val="004E62E4"/>
    <w:rsid w:val="004E7C41"/>
    <w:rsid w:val="004F0E90"/>
    <w:rsid w:val="004F0F5B"/>
    <w:rsid w:val="004F1212"/>
    <w:rsid w:val="004F22B8"/>
    <w:rsid w:val="004F2437"/>
    <w:rsid w:val="004F38E1"/>
    <w:rsid w:val="004F4223"/>
    <w:rsid w:val="004F4624"/>
    <w:rsid w:val="004F5573"/>
    <w:rsid w:val="004F5B64"/>
    <w:rsid w:val="004F5D8B"/>
    <w:rsid w:val="004F634F"/>
    <w:rsid w:val="004F6D97"/>
    <w:rsid w:val="004F7556"/>
    <w:rsid w:val="004F78BF"/>
    <w:rsid w:val="00500700"/>
    <w:rsid w:val="0050141B"/>
    <w:rsid w:val="00502638"/>
    <w:rsid w:val="00502826"/>
    <w:rsid w:val="005029BC"/>
    <w:rsid w:val="00502B87"/>
    <w:rsid w:val="0050346A"/>
    <w:rsid w:val="00504472"/>
    <w:rsid w:val="005048E3"/>
    <w:rsid w:val="005049FC"/>
    <w:rsid w:val="00505A77"/>
    <w:rsid w:val="00505CB3"/>
    <w:rsid w:val="005067C7"/>
    <w:rsid w:val="00506E70"/>
    <w:rsid w:val="00506EB0"/>
    <w:rsid w:val="00507429"/>
    <w:rsid w:val="0050798C"/>
    <w:rsid w:val="005117BF"/>
    <w:rsid w:val="00511DF1"/>
    <w:rsid w:val="0051207B"/>
    <w:rsid w:val="005136CD"/>
    <w:rsid w:val="00514B1A"/>
    <w:rsid w:val="00514E2B"/>
    <w:rsid w:val="005150C5"/>
    <w:rsid w:val="0051600C"/>
    <w:rsid w:val="00517351"/>
    <w:rsid w:val="00521860"/>
    <w:rsid w:val="00521D74"/>
    <w:rsid w:val="005222CC"/>
    <w:rsid w:val="00522622"/>
    <w:rsid w:val="00523B5E"/>
    <w:rsid w:val="005250EE"/>
    <w:rsid w:val="00525AB1"/>
    <w:rsid w:val="00525E66"/>
    <w:rsid w:val="00526B01"/>
    <w:rsid w:val="00526C61"/>
    <w:rsid w:val="00527492"/>
    <w:rsid w:val="005277F5"/>
    <w:rsid w:val="0052798E"/>
    <w:rsid w:val="00527994"/>
    <w:rsid w:val="00530401"/>
    <w:rsid w:val="00530AB1"/>
    <w:rsid w:val="005310C1"/>
    <w:rsid w:val="00531934"/>
    <w:rsid w:val="005326DC"/>
    <w:rsid w:val="005328A9"/>
    <w:rsid w:val="00532994"/>
    <w:rsid w:val="005329BE"/>
    <w:rsid w:val="00533515"/>
    <w:rsid w:val="005342DE"/>
    <w:rsid w:val="00534AC0"/>
    <w:rsid w:val="00535557"/>
    <w:rsid w:val="0053606A"/>
    <w:rsid w:val="005369C0"/>
    <w:rsid w:val="00536B92"/>
    <w:rsid w:val="00540811"/>
    <w:rsid w:val="005409C6"/>
    <w:rsid w:val="00540B25"/>
    <w:rsid w:val="00540D82"/>
    <w:rsid w:val="00541254"/>
    <w:rsid w:val="005421CC"/>
    <w:rsid w:val="00542BA5"/>
    <w:rsid w:val="00544841"/>
    <w:rsid w:val="0054679E"/>
    <w:rsid w:val="00547058"/>
    <w:rsid w:val="00547CD4"/>
    <w:rsid w:val="00547E34"/>
    <w:rsid w:val="00547EB8"/>
    <w:rsid w:val="00552488"/>
    <w:rsid w:val="00552FC2"/>
    <w:rsid w:val="00553DA2"/>
    <w:rsid w:val="00553DE0"/>
    <w:rsid w:val="005543FB"/>
    <w:rsid w:val="005546ED"/>
    <w:rsid w:val="0055529A"/>
    <w:rsid w:val="00555623"/>
    <w:rsid w:val="00555C5B"/>
    <w:rsid w:val="005562DC"/>
    <w:rsid w:val="00556682"/>
    <w:rsid w:val="00556725"/>
    <w:rsid w:val="00557616"/>
    <w:rsid w:val="00557A85"/>
    <w:rsid w:val="005606B5"/>
    <w:rsid w:val="00560E2D"/>
    <w:rsid w:val="00562BAD"/>
    <w:rsid w:val="0056365E"/>
    <w:rsid w:val="00565C77"/>
    <w:rsid w:val="00566181"/>
    <w:rsid w:val="005708BD"/>
    <w:rsid w:val="0057252D"/>
    <w:rsid w:val="0057317E"/>
    <w:rsid w:val="005731D3"/>
    <w:rsid w:val="00573C7D"/>
    <w:rsid w:val="00574906"/>
    <w:rsid w:val="005749D7"/>
    <w:rsid w:val="00574E9E"/>
    <w:rsid w:val="005752BC"/>
    <w:rsid w:val="0057622F"/>
    <w:rsid w:val="00577319"/>
    <w:rsid w:val="00577772"/>
    <w:rsid w:val="00577977"/>
    <w:rsid w:val="00580294"/>
    <w:rsid w:val="00580963"/>
    <w:rsid w:val="00581222"/>
    <w:rsid w:val="00581451"/>
    <w:rsid w:val="00581719"/>
    <w:rsid w:val="00581D30"/>
    <w:rsid w:val="0058259C"/>
    <w:rsid w:val="00583362"/>
    <w:rsid w:val="00584245"/>
    <w:rsid w:val="005842C7"/>
    <w:rsid w:val="00584C2D"/>
    <w:rsid w:val="00584C69"/>
    <w:rsid w:val="00584D80"/>
    <w:rsid w:val="00586535"/>
    <w:rsid w:val="00586BB5"/>
    <w:rsid w:val="00586DFB"/>
    <w:rsid w:val="00587C83"/>
    <w:rsid w:val="005905BC"/>
    <w:rsid w:val="005909CB"/>
    <w:rsid w:val="00590B75"/>
    <w:rsid w:val="00590DAA"/>
    <w:rsid w:val="0059205C"/>
    <w:rsid w:val="00592349"/>
    <w:rsid w:val="00592D49"/>
    <w:rsid w:val="005955BA"/>
    <w:rsid w:val="005962C1"/>
    <w:rsid w:val="00596F3F"/>
    <w:rsid w:val="00596F9B"/>
    <w:rsid w:val="00597EEF"/>
    <w:rsid w:val="00597F8A"/>
    <w:rsid w:val="005A1C4E"/>
    <w:rsid w:val="005A255A"/>
    <w:rsid w:val="005A3678"/>
    <w:rsid w:val="005A3DAF"/>
    <w:rsid w:val="005A4251"/>
    <w:rsid w:val="005A43C4"/>
    <w:rsid w:val="005A4A1A"/>
    <w:rsid w:val="005A61D3"/>
    <w:rsid w:val="005A64E4"/>
    <w:rsid w:val="005A6AC5"/>
    <w:rsid w:val="005A7C0B"/>
    <w:rsid w:val="005A7E70"/>
    <w:rsid w:val="005B1A53"/>
    <w:rsid w:val="005B2AF7"/>
    <w:rsid w:val="005B40E8"/>
    <w:rsid w:val="005B48F5"/>
    <w:rsid w:val="005B5404"/>
    <w:rsid w:val="005B6511"/>
    <w:rsid w:val="005B6DAA"/>
    <w:rsid w:val="005B7314"/>
    <w:rsid w:val="005B7C27"/>
    <w:rsid w:val="005B7D8B"/>
    <w:rsid w:val="005C03F6"/>
    <w:rsid w:val="005C0475"/>
    <w:rsid w:val="005C1569"/>
    <w:rsid w:val="005C26D4"/>
    <w:rsid w:val="005C348A"/>
    <w:rsid w:val="005C3C1A"/>
    <w:rsid w:val="005C4604"/>
    <w:rsid w:val="005C46D8"/>
    <w:rsid w:val="005C4BEE"/>
    <w:rsid w:val="005C576A"/>
    <w:rsid w:val="005C5DCE"/>
    <w:rsid w:val="005C6E74"/>
    <w:rsid w:val="005C732E"/>
    <w:rsid w:val="005C781C"/>
    <w:rsid w:val="005D13ED"/>
    <w:rsid w:val="005D181E"/>
    <w:rsid w:val="005D330E"/>
    <w:rsid w:val="005D33FA"/>
    <w:rsid w:val="005D4339"/>
    <w:rsid w:val="005D691F"/>
    <w:rsid w:val="005D7A35"/>
    <w:rsid w:val="005E034F"/>
    <w:rsid w:val="005E03F5"/>
    <w:rsid w:val="005E070D"/>
    <w:rsid w:val="005E09A7"/>
    <w:rsid w:val="005E0E06"/>
    <w:rsid w:val="005E198B"/>
    <w:rsid w:val="005E19D9"/>
    <w:rsid w:val="005E1D35"/>
    <w:rsid w:val="005E2A31"/>
    <w:rsid w:val="005E3D2F"/>
    <w:rsid w:val="005E442F"/>
    <w:rsid w:val="005E54A3"/>
    <w:rsid w:val="005E5625"/>
    <w:rsid w:val="005E61D8"/>
    <w:rsid w:val="005E6F2B"/>
    <w:rsid w:val="005E7E2C"/>
    <w:rsid w:val="005F0721"/>
    <w:rsid w:val="005F0836"/>
    <w:rsid w:val="005F1ADE"/>
    <w:rsid w:val="005F29CD"/>
    <w:rsid w:val="005F3175"/>
    <w:rsid w:val="005F3436"/>
    <w:rsid w:val="005F3506"/>
    <w:rsid w:val="005F41D8"/>
    <w:rsid w:val="005F4739"/>
    <w:rsid w:val="005F6228"/>
    <w:rsid w:val="005F642B"/>
    <w:rsid w:val="005F67FC"/>
    <w:rsid w:val="005F7F8A"/>
    <w:rsid w:val="00601630"/>
    <w:rsid w:val="00601A28"/>
    <w:rsid w:val="006020A8"/>
    <w:rsid w:val="006026E1"/>
    <w:rsid w:val="00603A90"/>
    <w:rsid w:val="00605163"/>
    <w:rsid w:val="006065BF"/>
    <w:rsid w:val="00606E2D"/>
    <w:rsid w:val="006070EA"/>
    <w:rsid w:val="00607ABE"/>
    <w:rsid w:val="00607F53"/>
    <w:rsid w:val="006103D0"/>
    <w:rsid w:val="0061103A"/>
    <w:rsid w:val="00611EAE"/>
    <w:rsid w:val="006120D8"/>
    <w:rsid w:val="0061364A"/>
    <w:rsid w:val="00613BEA"/>
    <w:rsid w:val="0061402C"/>
    <w:rsid w:val="0061595F"/>
    <w:rsid w:val="00615A79"/>
    <w:rsid w:val="00616179"/>
    <w:rsid w:val="0061675B"/>
    <w:rsid w:val="0062052B"/>
    <w:rsid w:val="00620F8F"/>
    <w:rsid w:val="00621A86"/>
    <w:rsid w:val="00621C51"/>
    <w:rsid w:val="00623401"/>
    <w:rsid w:val="00625C40"/>
    <w:rsid w:val="00626650"/>
    <w:rsid w:val="00627E7C"/>
    <w:rsid w:val="0063033D"/>
    <w:rsid w:val="00630CFF"/>
    <w:rsid w:val="00631369"/>
    <w:rsid w:val="00632481"/>
    <w:rsid w:val="0063262D"/>
    <w:rsid w:val="0063268B"/>
    <w:rsid w:val="006334D0"/>
    <w:rsid w:val="0063390E"/>
    <w:rsid w:val="00634673"/>
    <w:rsid w:val="00634E6B"/>
    <w:rsid w:val="00634E81"/>
    <w:rsid w:val="00637BBD"/>
    <w:rsid w:val="00640D17"/>
    <w:rsid w:val="00641A99"/>
    <w:rsid w:val="00642539"/>
    <w:rsid w:val="00642768"/>
    <w:rsid w:val="00642A84"/>
    <w:rsid w:val="0064411F"/>
    <w:rsid w:val="00645E69"/>
    <w:rsid w:val="00646130"/>
    <w:rsid w:val="00646ACE"/>
    <w:rsid w:val="006474C0"/>
    <w:rsid w:val="00647927"/>
    <w:rsid w:val="00650B2D"/>
    <w:rsid w:val="00652B9B"/>
    <w:rsid w:val="00652F78"/>
    <w:rsid w:val="00653743"/>
    <w:rsid w:val="00653DD9"/>
    <w:rsid w:val="00654119"/>
    <w:rsid w:val="00654E6A"/>
    <w:rsid w:val="00654EC2"/>
    <w:rsid w:val="006551FC"/>
    <w:rsid w:val="006575F3"/>
    <w:rsid w:val="00660871"/>
    <w:rsid w:val="0066176D"/>
    <w:rsid w:val="00662809"/>
    <w:rsid w:val="00663029"/>
    <w:rsid w:val="00663823"/>
    <w:rsid w:val="00663B74"/>
    <w:rsid w:val="00664E08"/>
    <w:rsid w:val="006650D0"/>
    <w:rsid w:val="00665D97"/>
    <w:rsid w:val="0066774D"/>
    <w:rsid w:val="00667F42"/>
    <w:rsid w:val="006706BC"/>
    <w:rsid w:val="00671284"/>
    <w:rsid w:val="006727FC"/>
    <w:rsid w:val="00672DB4"/>
    <w:rsid w:val="00673906"/>
    <w:rsid w:val="006756CD"/>
    <w:rsid w:val="00676339"/>
    <w:rsid w:val="00676E5B"/>
    <w:rsid w:val="00677D6B"/>
    <w:rsid w:val="00680795"/>
    <w:rsid w:val="006824C0"/>
    <w:rsid w:val="00682713"/>
    <w:rsid w:val="00683451"/>
    <w:rsid w:val="00683579"/>
    <w:rsid w:val="006843F4"/>
    <w:rsid w:val="00684D9D"/>
    <w:rsid w:val="006850FA"/>
    <w:rsid w:val="006854CE"/>
    <w:rsid w:val="00686B47"/>
    <w:rsid w:val="0068790B"/>
    <w:rsid w:val="006906E4"/>
    <w:rsid w:val="00691C54"/>
    <w:rsid w:val="00691E49"/>
    <w:rsid w:val="006922DC"/>
    <w:rsid w:val="0069417E"/>
    <w:rsid w:val="006941DD"/>
    <w:rsid w:val="006943D1"/>
    <w:rsid w:val="0069466B"/>
    <w:rsid w:val="00694795"/>
    <w:rsid w:val="00695014"/>
    <w:rsid w:val="00696AA8"/>
    <w:rsid w:val="006A0B7F"/>
    <w:rsid w:val="006A16A6"/>
    <w:rsid w:val="006A1703"/>
    <w:rsid w:val="006A2297"/>
    <w:rsid w:val="006A257C"/>
    <w:rsid w:val="006A2615"/>
    <w:rsid w:val="006A3032"/>
    <w:rsid w:val="006A4158"/>
    <w:rsid w:val="006A4AA7"/>
    <w:rsid w:val="006A4E15"/>
    <w:rsid w:val="006A5866"/>
    <w:rsid w:val="006A5E4F"/>
    <w:rsid w:val="006A642F"/>
    <w:rsid w:val="006A643C"/>
    <w:rsid w:val="006A76A9"/>
    <w:rsid w:val="006B0F54"/>
    <w:rsid w:val="006B12C6"/>
    <w:rsid w:val="006B415B"/>
    <w:rsid w:val="006B4C95"/>
    <w:rsid w:val="006B4CBA"/>
    <w:rsid w:val="006B649E"/>
    <w:rsid w:val="006B6FEB"/>
    <w:rsid w:val="006B7542"/>
    <w:rsid w:val="006C0A59"/>
    <w:rsid w:val="006C19EE"/>
    <w:rsid w:val="006C1CAB"/>
    <w:rsid w:val="006C2E46"/>
    <w:rsid w:val="006C3B05"/>
    <w:rsid w:val="006C4E45"/>
    <w:rsid w:val="006C5EE1"/>
    <w:rsid w:val="006C61B1"/>
    <w:rsid w:val="006C6DB8"/>
    <w:rsid w:val="006D0669"/>
    <w:rsid w:val="006D1D4E"/>
    <w:rsid w:val="006D3647"/>
    <w:rsid w:val="006D3771"/>
    <w:rsid w:val="006D440A"/>
    <w:rsid w:val="006D5599"/>
    <w:rsid w:val="006D592F"/>
    <w:rsid w:val="006D62BE"/>
    <w:rsid w:val="006D6B0F"/>
    <w:rsid w:val="006D7B71"/>
    <w:rsid w:val="006E0006"/>
    <w:rsid w:val="006E01BB"/>
    <w:rsid w:val="006E0DF6"/>
    <w:rsid w:val="006E1BDE"/>
    <w:rsid w:val="006E336C"/>
    <w:rsid w:val="006E35A9"/>
    <w:rsid w:val="006E3B9E"/>
    <w:rsid w:val="006E4A27"/>
    <w:rsid w:val="006E4DF1"/>
    <w:rsid w:val="006E5828"/>
    <w:rsid w:val="006E62C2"/>
    <w:rsid w:val="006E6BB9"/>
    <w:rsid w:val="006E784F"/>
    <w:rsid w:val="006F0B4F"/>
    <w:rsid w:val="006F0E97"/>
    <w:rsid w:val="006F2DF3"/>
    <w:rsid w:val="006F2DF9"/>
    <w:rsid w:val="006F3C6F"/>
    <w:rsid w:val="006F41C6"/>
    <w:rsid w:val="006F5DD9"/>
    <w:rsid w:val="006F6D9B"/>
    <w:rsid w:val="006F6FA2"/>
    <w:rsid w:val="007001D0"/>
    <w:rsid w:val="00700CE3"/>
    <w:rsid w:val="00701498"/>
    <w:rsid w:val="00701745"/>
    <w:rsid w:val="00701E70"/>
    <w:rsid w:val="00704619"/>
    <w:rsid w:val="00704BB6"/>
    <w:rsid w:val="00704F47"/>
    <w:rsid w:val="00705001"/>
    <w:rsid w:val="00705BC0"/>
    <w:rsid w:val="00705CEC"/>
    <w:rsid w:val="007063F9"/>
    <w:rsid w:val="007072C2"/>
    <w:rsid w:val="0070746B"/>
    <w:rsid w:val="007075CA"/>
    <w:rsid w:val="00710C02"/>
    <w:rsid w:val="0071151E"/>
    <w:rsid w:val="007118AC"/>
    <w:rsid w:val="00711FC7"/>
    <w:rsid w:val="0071482B"/>
    <w:rsid w:val="00714C8F"/>
    <w:rsid w:val="00715A32"/>
    <w:rsid w:val="00716F57"/>
    <w:rsid w:val="00717A74"/>
    <w:rsid w:val="0072095B"/>
    <w:rsid w:val="00720EA2"/>
    <w:rsid w:val="00721409"/>
    <w:rsid w:val="00721754"/>
    <w:rsid w:val="00721CE0"/>
    <w:rsid w:val="007221A2"/>
    <w:rsid w:val="00722935"/>
    <w:rsid w:val="007235E0"/>
    <w:rsid w:val="00723BA8"/>
    <w:rsid w:val="00724257"/>
    <w:rsid w:val="00727815"/>
    <w:rsid w:val="007301A7"/>
    <w:rsid w:val="00730E31"/>
    <w:rsid w:val="00732146"/>
    <w:rsid w:val="00733F17"/>
    <w:rsid w:val="0073466D"/>
    <w:rsid w:val="007346F8"/>
    <w:rsid w:val="00734D66"/>
    <w:rsid w:val="00734E06"/>
    <w:rsid w:val="00735B7E"/>
    <w:rsid w:val="00736E9D"/>
    <w:rsid w:val="007373FA"/>
    <w:rsid w:val="00737532"/>
    <w:rsid w:val="00737B34"/>
    <w:rsid w:val="00737E7D"/>
    <w:rsid w:val="0074063F"/>
    <w:rsid w:val="00740E20"/>
    <w:rsid w:val="00740EF1"/>
    <w:rsid w:val="00741BF8"/>
    <w:rsid w:val="0074250E"/>
    <w:rsid w:val="007437BA"/>
    <w:rsid w:val="007444E7"/>
    <w:rsid w:val="00744AA6"/>
    <w:rsid w:val="00744DBD"/>
    <w:rsid w:val="00745398"/>
    <w:rsid w:val="00746FC3"/>
    <w:rsid w:val="0074725F"/>
    <w:rsid w:val="00747552"/>
    <w:rsid w:val="00747725"/>
    <w:rsid w:val="00747B90"/>
    <w:rsid w:val="00751698"/>
    <w:rsid w:val="00751BA0"/>
    <w:rsid w:val="00753462"/>
    <w:rsid w:val="00754870"/>
    <w:rsid w:val="00754905"/>
    <w:rsid w:val="007561F0"/>
    <w:rsid w:val="00756632"/>
    <w:rsid w:val="0075754A"/>
    <w:rsid w:val="00760554"/>
    <w:rsid w:val="0076083D"/>
    <w:rsid w:val="00760AC8"/>
    <w:rsid w:val="00761DC2"/>
    <w:rsid w:val="00762B1E"/>
    <w:rsid w:val="00764B94"/>
    <w:rsid w:val="007652E2"/>
    <w:rsid w:val="00765A82"/>
    <w:rsid w:val="00766434"/>
    <w:rsid w:val="00770E10"/>
    <w:rsid w:val="007711C8"/>
    <w:rsid w:val="00771E5C"/>
    <w:rsid w:val="00772107"/>
    <w:rsid w:val="00772BA7"/>
    <w:rsid w:val="007732A2"/>
    <w:rsid w:val="00773E30"/>
    <w:rsid w:val="007742FF"/>
    <w:rsid w:val="00774A83"/>
    <w:rsid w:val="00775146"/>
    <w:rsid w:val="0077566D"/>
    <w:rsid w:val="00775793"/>
    <w:rsid w:val="00775EE7"/>
    <w:rsid w:val="00776097"/>
    <w:rsid w:val="007766A5"/>
    <w:rsid w:val="00776E39"/>
    <w:rsid w:val="0078016D"/>
    <w:rsid w:val="00781778"/>
    <w:rsid w:val="00782098"/>
    <w:rsid w:val="007837E2"/>
    <w:rsid w:val="00783D75"/>
    <w:rsid w:val="007842E4"/>
    <w:rsid w:val="0078464A"/>
    <w:rsid w:val="007857E3"/>
    <w:rsid w:val="00786231"/>
    <w:rsid w:val="0079000B"/>
    <w:rsid w:val="007900CB"/>
    <w:rsid w:val="007905B2"/>
    <w:rsid w:val="00790E9B"/>
    <w:rsid w:val="007917E7"/>
    <w:rsid w:val="007927C6"/>
    <w:rsid w:val="0079348E"/>
    <w:rsid w:val="00793EEB"/>
    <w:rsid w:val="0079405B"/>
    <w:rsid w:val="00795679"/>
    <w:rsid w:val="0079797F"/>
    <w:rsid w:val="007A05F4"/>
    <w:rsid w:val="007A0A05"/>
    <w:rsid w:val="007A0BB9"/>
    <w:rsid w:val="007A14E8"/>
    <w:rsid w:val="007A1D73"/>
    <w:rsid w:val="007A2DE1"/>
    <w:rsid w:val="007A4023"/>
    <w:rsid w:val="007A5445"/>
    <w:rsid w:val="007A5A94"/>
    <w:rsid w:val="007A5E11"/>
    <w:rsid w:val="007A5FF8"/>
    <w:rsid w:val="007A643F"/>
    <w:rsid w:val="007A6C47"/>
    <w:rsid w:val="007A6C79"/>
    <w:rsid w:val="007B31F7"/>
    <w:rsid w:val="007B347F"/>
    <w:rsid w:val="007B39F6"/>
    <w:rsid w:val="007B4481"/>
    <w:rsid w:val="007B5A98"/>
    <w:rsid w:val="007B5E30"/>
    <w:rsid w:val="007B5E45"/>
    <w:rsid w:val="007C0AE6"/>
    <w:rsid w:val="007C1DB0"/>
    <w:rsid w:val="007C2270"/>
    <w:rsid w:val="007C27D4"/>
    <w:rsid w:val="007C4720"/>
    <w:rsid w:val="007C4CCE"/>
    <w:rsid w:val="007C570A"/>
    <w:rsid w:val="007C6F19"/>
    <w:rsid w:val="007C7D49"/>
    <w:rsid w:val="007C7DE5"/>
    <w:rsid w:val="007D0EEB"/>
    <w:rsid w:val="007D174B"/>
    <w:rsid w:val="007D1D99"/>
    <w:rsid w:val="007D4D2A"/>
    <w:rsid w:val="007D663E"/>
    <w:rsid w:val="007D6948"/>
    <w:rsid w:val="007D763D"/>
    <w:rsid w:val="007D77A3"/>
    <w:rsid w:val="007D79C7"/>
    <w:rsid w:val="007D7E97"/>
    <w:rsid w:val="007E00B1"/>
    <w:rsid w:val="007E0749"/>
    <w:rsid w:val="007E229D"/>
    <w:rsid w:val="007E2F87"/>
    <w:rsid w:val="007E334F"/>
    <w:rsid w:val="007E3AC7"/>
    <w:rsid w:val="007E4155"/>
    <w:rsid w:val="007E57B5"/>
    <w:rsid w:val="007E5C21"/>
    <w:rsid w:val="007E5D39"/>
    <w:rsid w:val="007E66C8"/>
    <w:rsid w:val="007E67BD"/>
    <w:rsid w:val="007E6BBD"/>
    <w:rsid w:val="007E7E7D"/>
    <w:rsid w:val="007F06E1"/>
    <w:rsid w:val="007F0C09"/>
    <w:rsid w:val="007F339F"/>
    <w:rsid w:val="007F3E75"/>
    <w:rsid w:val="007F517F"/>
    <w:rsid w:val="007F6391"/>
    <w:rsid w:val="007F6CAD"/>
    <w:rsid w:val="007F6FB8"/>
    <w:rsid w:val="007F7481"/>
    <w:rsid w:val="007F76FF"/>
    <w:rsid w:val="007F7E83"/>
    <w:rsid w:val="00801491"/>
    <w:rsid w:val="008015A7"/>
    <w:rsid w:val="00801B8F"/>
    <w:rsid w:val="00801DB2"/>
    <w:rsid w:val="00801EF6"/>
    <w:rsid w:val="00801F56"/>
    <w:rsid w:val="00802AEC"/>
    <w:rsid w:val="00803099"/>
    <w:rsid w:val="0080406C"/>
    <w:rsid w:val="00804FBE"/>
    <w:rsid w:val="0080562C"/>
    <w:rsid w:val="0080715D"/>
    <w:rsid w:val="008071D0"/>
    <w:rsid w:val="0081066B"/>
    <w:rsid w:val="00810809"/>
    <w:rsid w:val="00810C3A"/>
    <w:rsid w:val="00810C6A"/>
    <w:rsid w:val="00810C86"/>
    <w:rsid w:val="0081177C"/>
    <w:rsid w:val="00812350"/>
    <w:rsid w:val="00812369"/>
    <w:rsid w:val="00812741"/>
    <w:rsid w:val="008128E3"/>
    <w:rsid w:val="008129CA"/>
    <w:rsid w:val="00812B12"/>
    <w:rsid w:val="008139A7"/>
    <w:rsid w:val="00813E5E"/>
    <w:rsid w:val="008156A0"/>
    <w:rsid w:val="00815871"/>
    <w:rsid w:val="00820631"/>
    <w:rsid w:val="00820667"/>
    <w:rsid w:val="00821789"/>
    <w:rsid w:val="0082180B"/>
    <w:rsid w:val="00821BC9"/>
    <w:rsid w:val="00821F46"/>
    <w:rsid w:val="00825147"/>
    <w:rsid w:val="00825D4F"/>
    <w:rsid w:val="00830017"/>
    <w:rsid w:val="00830787"/>
    <w:rsid w:val="00830DC9"/>
    <w:rsid w:val="00831489"/>
    <w:rsid w:val="00833A6A"/>
    <w:rsid w:val="00833E2F"/>
    <w:rsid w:val="00834240"/>
    <w:rsid w:val="00834F9A"/>
    <w:rsid w:val="0083500D"/>
    <w:rsid w:val="008368F3"/>
    <w:rsid w:val="008400A8"/>
    <w:rsid w:val="0084156A"/>
    <w:rsid w:val="008427B1"/>
    <w:rsid w:val="008449FF"/>
    <w:rsid w:val="00845E77"/>
    <w:rsid w:val="0084601D"/>
    <w:rsid w:val="008462FB"/>
    <w:rsid w:val="00846C73"/>
    <w:rsid w:val="008471A9"/>
    <w:rsid w:val="00850462"/>
    <w:rsid w:val="00851367"/>
    <w:rsid w:val="0085161D"/>
    <w:rsid w:val="008519D7"/>
    <w:rsid w:val="00852EEF"/>
    <w:rsid w:val="0085501C"/>
    <w:rsid w:val="00855597"/>
    <w:rsid w:val="00855780"/>
    <w:rsid w:val="008557AA"/>
    <w:rsid w:val="00856178"/>
    <w:rsid w:val="008567C0"/>
    <w:rsid w:val="00856C69"/>
    <w:rsid w:val="008570AB"/>
    <w:rsid w:val="00862545"/>
    <w:rsid w:val="00862D62"/>
    <w:rsid w:val="00863356"/>
    <w:rsid w:val="00863F53"/>
    <w:rsid w:val="00864544"/>
    <w:rsid w:val="00864B3B"/>
    <w:rsid w:val="008653B5"/>
    <w:rsid w:val="00865A76"/>
    <w:rsid w:val="008663D7"/>
    <w:rsid w:val="0086730B"/>
    <w:rsid w:val="008674DC"/>
    <w:rsid w:val="008679E6"/>
    <w:rsid w:val="00867A0F"/>
    <w:rsid w:val="00870D84"/>
    <w:rsid w:val="00871811"/>
    <w:rsid w:val="008721C7"/>
    <w:rsid w:val="00872E1F"/>
    <w:rsid w:val="00873942"/>
    <w:rsid w:val="0087400E"/>
    <w:rsid w:val="00876281"/>
    <w:rsid w:val="008764B9"/>
    <w:rsid w:val="00880558"/>
    <w:rsid w:val="00881DD6"/>
    <w:rsid w:val="00882ED0"/>
    <w:rsid w:val="00883894"/>
    <w:rsid w:val="00885DA2"/>
    <w:rsid w:val="00885E17"/>
    <w:rsid w:val="00886342"/>
    <w:rsid w:val="008875DE"/>
    <w:rsid w:val="0089092F"/>
    <w:rsid w:val="008931EE"/>
    <w:rsid w:val="00893594"/>
    <w:rsid w:val="008946FF"/>
    <w:rsid w:val="008947EA"/>
    <w:rsid w:val="00894ABF"/>
    <w:rsid w:val="00895FFF"/>
    <w:rsid w:val="00896FF4"/>
    <w:rsid w:val="00897617"/>
    <w:rsid w:val="00897BF3"/>
    <w:rsid w:val="008A0E85"/>
    <w:rsid w:val="008A15CB"/>
    <w:rsid w:val="008A1DDE"/>
    <w:rsid w:val="008A2544"/>
    <w:rsid w:val="008A34CE"/>
    <w:rsid w:val="008A371D"/>
    <w:rsid w:val="008A43C0"/>
    <w:rsid w:val="008A5443"/>
    <w:rsid w:val="008A55A8"/>
    <w:rsid w:val="008A56E1"/>
    <w:rsid w:val="008A5F01"/>
    <w:rsid w:val="008A6B66"/>
    <w:rsid w:val="008A7078"/>
    <w:rsid w:val="008B0969"/>
    <w:rsid w:val="008B11D0"/>
    <w:rsid w:val="008B32B6"/>
    <w:rsid w:val="008B4464"/>
    <w:rsid w:val="008B486B"/>
    <w:rsid w:val="008B4BF2"/>
    <w:rsid w:val="008B56E5"/>
    <w:rsid w:val="008B5AFD"/>
    <w:rsid w:val="008B6650"/>
    <w:rsid w:val="008B729C"/>
    <w:rsid w:val="008B7A4E"/>
    <w:rsid w:val="008C1506"/>
    <w:rsid w:val="008C2D30"/>
    <w:rsid w:val="008C33F2"/>
    <w:rsid w:val="008C4570"/>
    <w:rsid w:val="008C6C92"/>
    <w:rsid w:val="008C77F7"/>
    <w:rsid w:val="008D0262"/>
    <w:rsid w:val="008D0AE4"/>
    <w:rsid w:val="008D1B0D"/>
    <w:rsid w:val="008D1B59"/>
    <w:rsid w:val="008D20E6"/>
    <w:rsid w:val="008D240E"/>
    <w:rsid w:val="008D2F52"/>
    <w:rsid w:val="008D34C5"/>
    <w:rsid w:val="008D3E19"/>
    <w:rsid w:val="008D3E1B"/>
    <w:rsid w:val="008D57A4"/>
    <w:rsid w:val="008D5F06"/>
    <w:rsid w:val="008D6B57"/>
    <w:rsid w:val="008D74C3"/>
    <w:rsid w:val="008D7878"/>
    <w:rsid w:val="008D7DFC"/>
    <w:rsid w:val="008D7FF6"/>
    <w:rsid w:val="008E00FD"/>
    <w:rsid w:val="008E07C6"/>
    <w:rsid w:val="008E152D"/>
    <w:rsid w:val="008E2BED"/>
    <w:rsid w:val="008E3214"/>
    <w:rsid w:val="008E33EA"/>
    <w:rsid w:val="008E4180"/>
    <w:rsid w:val="008E4ECE"/>
    <w:rsid w:val="008E5BB7"/>
    <w:rsid w:val="008E5F84"/>
    <w:rsid w:val="008E6A1B"/>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43D"/>
    <w:rsid w:val="008F7B17"/>
    <w:rsid w:val="008F7F78"/>
    <w:rsid w:val="00900316"/>
    <w:rsid w:val="009010D0"/>
    <w:rsid w:val="0090122A"/>
    <w:rsid w:val="00901F73"/>
    <w:rsid w:val="00903205"/>
    <w:rsid w:val="0090394F"/>
    <w:rsid w:val="00904B17"/>
    <w:rsid w:val="009054D3"/>
    <w:rsid w:val="00905587"/>
    <w:rsid w:val="009057D3"/>
    <w:rsid w:val="00907B9D"/>
    <w:rsid w:val="00910CFA"/>
    <w:rsid w:val="009125D2"/>
    <w:rsid w:val="00914007"/>
    <w:rsid w:val="00915E3F"/>
    <w:rsid w:val="00915F49"/>
    <w:rsid w:val="00915F97"/>
    <w:rsid w:val="00916205"/>
    <w:rsid w:val="009179EB"/>
    <w:rsid w:val="0092119A"/>
    <w:rsid w:val="0092273F"/>
    <w:rsid w:val="00922D2A"/>
    <w:rsid w:val="00922FA5"/>
    <w:rsid w:val="009238CC"/>
    <w:rsid w:val="009238F1"/>
    <w:rsid w:val="009240F7"/>
    <w:rsid w:val="009249B4"/>
    <w:rsid w:val="00925214"/>
    <w:rsid w:val="00925A3B"/>
    <w:rsid w:val="00926650"/>
    <w:rsid w:val="00926716"/>
    <w:rsid w:val="009270DB"/>
    <w:rsid w:val="00930BEB"/>
    <w:rsid w:val="009323DF"/>
    <w:rsid w:val="00932AFC"/>
    <w:rsid w:val="0093389C"/>
    <w:rsid w:val="00933A7D"/>
    <w:rsid w:val="00933DA9"/>
    <w:rsid w:val="0093452F"/>
    <w:rsid w:val="0093491F"/>
    <w:rsid w:val="00935E14"/>
    <w:rsid w:val="00936B6F"/>
    <w:rsid w:val="00941E4F"/>
    <w:rsid w:val="00942454"/>
    <w:rsid w:val="009427B8"/>
    <w:rsid w:val="00944334"/>
    <w:rsid w:val="0094480E"/>
    <w:rsid w:val="00947054"/>
    <w:rsid w:val="00947B5B"/>
    <w:rsid w:val="00950281"/>
    <w:rsid w:val="009502A7"/>
    <w:rsid w:val="00951BD3"/>
    <w:rsid w:val="009529FD"/>
    <w:rsid w:val="00952B8F"/>
    <w:rsid w:val="00952BDD"/>
    <w:rsid w:val="00952E40"/>
    <w:rsid w:val="0095569B"/>
    <w:rsid w:val="009559F2"/>
    <w:rsid w:val="00955A13"/>
    <w:rsid w:val="009562CC"/>
    <w:rsid w:val="0095695E"/>
    <w:rsid w:val="00957310"/>
    <w:rsid w:val="0095750D"/>
    <w:rsid w:val="00962B8F"/>
    <w:rsid w:val="009637E4"/>
    <w:rsid w:val="00964464"/>
    <w:rsid w:val="00964830"/>
    <w:rsid w:val="00965665"/>
    <w:rsid w:val="0096632E"/>
    <w:rsid w:val="00966D4F"/>
    <w:rsid w:val="00970E65"/>
    <w:rsid w:val="0097102C"/>
    <w:rsid w:val="00971033"/>
    <w:rsid w:val="00971CBF"/>
    <w:rsid w:val="00971F52"/>
    <w:rsid w:val="0097202E"/>
    <w:rsid w:val="00972E0B"/>
    <w:rsid w:val="0097462D"/>
    <w:rsid w:val="009748F0"/>
    <w:rsid w:val="00974A7C"/>
    <w:rsid w:val="009753F4"/>
    <w:rsid w:val="0097587B"/>
    <w:rsid w:val="009763C1"/>
    <w:rsid w:val="009766FE"/>
    <w:rsid w:val="00977715"/>
    <w:rsid w:val="00980439"/>
    <w:rsid w:val="00981099"/>
    <w:rsid w:val="00982444"/>
    <w:rsid w:val="009828A1"/>
    <w:rsid w:val="00982BA7"/>
    <w:rsid w:val="00982D92"/>
    <w:rsid w:val="00982F10"/>
    <w:rsid w:val="009834A0"/>
    <w:rsid w:val="009843A8"/>
    <w:rsid w:val="00984993"/>
    <w:rsid w:val="00984CA2"/>
    <w:rsid w:val="00985164"/>
    <w:rsid w:val="009854F1"/>
    <w:rsid w:val="0098714A"/>
    <w:rsid w:val="0099086C"/>
    <w:rsid w:val="00992D1F"/>
    <w:rsid w:val="00993EA1"/>
    <w:rsid w:val="0099483E"/>
    <w:rsid w:val="0099496C"/>
    <w:rsid w:val="00995582"/>
    <w:rsid w:val="00996569"/>
    <w:rsid w:val="009A057B"/>
    <w:rsid w:val="009A06F0"/>
    <w:rsid w:val="009A14DE"/>
    <w:rsid w:val="009A2294"/>
    <w:rsid w:val="009A40DD"/>
    <w:rsid w:val="009A4426"/>
    <w:rsid w:val="009A5F36"/>
    <w:rsid w:val="009A6DED"/>
    <w:rsid w:val="009A72B5"/>
    <w:rsid w:val="009A7BC2"/>
    <w:rsid w:val="009B011E"/>
    <w:rsid w:val="009B180F"/>
    <w:rsid w:val="009B1897"/>
    <w:rsid w:val="009B1BB7"/>
    <w:rsid w:val="009B1C51"/>
    <w:rsid w:val="009B423B"/>
    <w:rsid w:val="009B48D4"/>
    <w:rsid w:val="009B751B"/>
    <w:rsid w:val="009C0992"/>
    <w:rsid w:val="009C0C48"/>
    <w:rsid w:val="009C1830"/>
    <w:rsid w:val="009C1F1C"/>
    <w:rsid w:val="009C23DA"/>
    <w:rsid w:val="009C24B3"/>
    <w:rsid w:val="009C2C09"/>
    <w:rsid w:val="009C2E5A"/>
    <w:rsid w:val="009C6214"/>
    <w:rsid w:val="009C672A"/>
    <w:rsid w:val="009C703A"/>
    <w:rsid w:val="009C7B18"/>
    <w:rsid w:val="009C7C7D"/>
    <w:rsid w:val="009C7D55"/>
    <w:rsid w:val="009C7F52"/>
    <w:rsid w:val="009D05D3"/>
    <w:rsid w:val="009D07F2"/>
    <w:rsid w:val="009D1884"/>
    <w:rsid w:val="009D1B25"/>
    <w:rsid w:val="009D24A3"/>
    <w:rsid w:val="009D2FD6"/>
    <w:rsid w:val="009D3295"/>
    <w:rsid w:val="009D3665"/>
    <w:rsid w:val="009D3C84"/>
    <w:rsid w:val="009D40C6"/>
    <w:rsid w:val="009D4D1F"/>
    <w:rsid w:val="009D54F3"/>
    <w:rsid w:val="009D5DA3"/>
    <w:rsid w:val="009D6873"/>
    <w:rsid w:val="009D6969"/>
    <w:rsid w:val="009D7470"/>
    <w:rsid w:val="009D7A58"/>
    <w:rsid w:val="009E0638"/>
    <w:rsid w:val="009E0828"/>
    <w:rsid w:val="009E0CED"/>
    <w:rsid w:val="009E17A2"/>
    <w:rsid w:val="009E2A4F"/>
    <w:rsid w:val="009E2D23"/>
    <w:rsid w:val="009E4043"/>
    <w:rsid w:val="009E43C1"/>
    <w:rsid w:val="009E54AE"/>
    <w:rsid w:val="009E5DEA"/>
    <w:rsid w:val="009E5FC3"/>
    <w:rsid w:val="009E6DF1"/>
    <w:rsid w:val="009F3BA0"/>
    <w:rsid w:val="009F3F5D"/>
    <w:rsid w:val="009F43CB"/>
    <w:rsid w:val="009F4CB9"/>
    <w:rsid w:val="00A00283"/>
    <w:rsid w:val="00A01C02"/>
    <w:rsid w:val="00A02399"/>
    <w:rsid w:val="00A02D24"/>
    <w:rsid w:val="00A02E16"/>
    <w:rsid w:val="00A05113"/>
    <w:rsid w:val="00A0549D"/>
    <w:rsid w:val="00A054DC"/>
    <w:rsid w:val="00A069AE"/>
    <w:rsid w:val="00A10389"/>
    <w:rsid w:val="00A1133E"/>
    <w:rsid w:val="00A11888"/>
    <w:rsid w:val="00A11E62"/>
    <w:rsid w:val="00A11E8F"/>
    <w:rsid w:val="00A12369"/>
    <w:rsid w:val="00A13522"/>
    <w:rsid w:val="00A14357"/>
    <w:rsid w:val="00A1524F"/>
    <w:rsid w:val="00A15E63"/>
    <w:rsid w:val="00A167D9"/>
    <w:rsid w:val="00A16DB9"/>
    <w:rsid w:val="00A17672"/>
    <w:rsid w:val="00A20A6B"/>
    <w:rsid w:val="00A20C5D"/>
    <w:rsid w:val="00A21D4C"/>
    <w:rsid w:val="00A21F72"/>
    <w:rsid w:val="00A222CA"/>
    <w:rsid w:val="00A225E3"/>
    <w:rsid w:val="00A239CC"/>
    <w:rsid w:val="00A23BC2"/>
    <w:rsid w:val="00A248C9"/>
    <w:rsid w:val="00A24B81"/>
    <w:rsid w:val="00A252AC"/>
    <w:rsid w:val="00A2539B"/>
    <w:rsid w:val="00A279AC"/>
    <w:rsid w:val="00A27A30"/>
    <w:rsid w:val="00A30067"/>
    <w:rsid w:val="00A30C5D"/>
    <w:rsid w:val="00A310F1"/>
    <w:rsid w:val="00A311A1"/>
    <w:rsid w:val="00A31AEB"/>
    <w:rsid w:val="00A31C68"/>
    <w:rsid w:val="00A325AE"/>
    <w:rsid w:val="00A326A6"/>
    <w:rsid w:val="00A342D9"/>
    <w:rsid w:val="00A34A14"/>
    <w:rsid w:val="00A35C7C"/>
    <w:rsid w:val="00A35FAA"/>
    <w:rsid w:val="00A40163"/>
    <w:rsid w:val="00A409BC"/>
    <w:rsid w:val="00A42F6D"/>
    <w:rsid w:val="00A43C9A"/>
    <w:rsid w:val="00A44612"/>
    <w:rsid w:val="00A44720"/>
    <w:rsid w:val="00A46164"/>
    <w:rsid w:val="00A46A8E"/>
    <w:rsid w:val="00A509E5"/>
    <w:rsid w:val="00A51337"/>
    <w:rsid w:val="00A537E5"/>
    <w:rsid w:val="00A540A5"/>
    <w:rsid w:val="00A54248"/>
    <w:rsid w:val="00A546BE"/>
    <w:rsid w:val="00A55B6F"/>
    <w:rsid w:val="00A56FF5"/>
    <w:rsid w:val="00A61BD0"/>
    <w:rsid w:val="00A6388E"/>
    <w:rsid w:val="00A645D4"/>
    <w:rsid w:val="00A64BC6"/>
    <w:rsid w:val="00A64FD7"/>
    <w:rsid w:val="00A659CB"/>
    <w:rsid w:val="00A70081"/>
    <w:rsid w:val="00A70398"/>
    <w:rsid w:val="00A709AD"/>
    <w:rsid w:val="00A70D03"/>
    <w:rsid w:val="00A71441"/>
    <w:rsid w:val="00A721F1"/>
    <w:rsid w:val="00A72DA9"/>
    <w:rsid w:val="00A733CB"/>
    <w:rsid w:val="00A739DF"/>
    <w:rsid w:val="00A740A0"/>
    <w:rsid w:val="00A745EF"/>
    <w:rsid w:val="00A751AD"/>
    <w:rsid w:val="00A76045"/>
    <w:rsid w:val="00A773CD"/>
    <w:rsid w:val="00A775CF"/>
    <w:rsid w:val="00A77853"/>
    <w:rsid w:val="00A77FAF"/>
    <w:rsid w:val="00A805EB"/>
    <w:rsid w:val="00A80C87"/>
    <w:rsid w:val="00A81EED"/>
    <w:rsid w:val="00A83090"/>
    <w:rsid w:val="00A84503"/>
    <w:rsid w:val="00A8455C"/>
    <w:rsid w:val="00A862E9"/>
    <w:rsid w:val="00A867DA"/>
    <w:rsid w:val="00A86DFB"/>
    <w:rsid w:val="00A8782F"/>
    <w:rsid w:val="00A90E26"/>
    <w:rsid w:val="00A9151A"/>
    <w:rsid w:val="00A9167D"/>
    <w:rsid w:val="00A91895"/>
    <w:rsid w:val="00A92D25"/>
    <w:rsid w:val="00A9401F"/>
    <w:rsid w:val="00A94689"/>
    <w:rsid w:val="00A94DDB"/>
    <w:rsid w:val="00A94F82"/>
    <w:rsid w:val="00A950A1"/>
    <w:rsid w:val="00A955D3"/>
    <w:rsid w:val="00A965CD"/>
    <w:rsid w:val="00A96970"/>
    <w:rsid w:val="00A97F8D"/>
    <w:rsid w:val="00AA0FFB"/>
    <w:rsid w:val="00AA16C3"/>
    <w:rsid w:val="00AA1BEC"/>
    <w:rsid w:val="00AA27AA"/>
    <w:rsid w:val="00AA2DF3"/>
    <w:rsid w:val="00AA4183"/>
    <w:rsid w:val="00AA4761"/>
    <w:rsid w:val="00AA4E5E"/>
    <w:rsid w:val="00AA50BC"/>
    <w:rsid w:val="00AA6AE4"/>
    <w:rsid w:val="00AB08E5"/>
    <w:rsid w:val="00AB24E7"/>
    <w:rsid w:val="00AB2C01"/>
    <w:rsid w:val="00AB3237"/>
    <w:rsid w:val="00AB3917"/>
    <w:rsid w:val="00AB3A2D"/>
    <w:rsid w:val="00AB4AC8"/>
    <w:rsid w:val="00AB5E21"/>
    <w:rsid w:val="00AB6AD4"/>
    <w:rsid w:val="00AB75AE"/>
    <w:rsid w:val="00AB76EC"/>
    <w:rsid w:val="00AB7933"/>
    <w:rsid w:val="00AB7947"/>
    <w:rsid w:val="00AC12F5"/>
    <w:rsid w:val="00AC13C9"/>
    <w:rsid w:val="00AC3071"/>
    <w:rsid w:val="00AC3A08"/>
    <w:rsid w:val="00AC3D18"/>
    <w:rsid w:val="00AC58D6"/>
    <w:rsid w:val="00AC61A4"/>
    <w:rsid w:val="00AC6332"/>
    <w:rsid w:val="00AD10CF"/>
    <w:rsid w:val="00AD1245"/>
    <w:rsid w:val="00AD2FC0"/>
    <w:rsid w:val="00AD329D"/>
    <w:rsid w:val="00AD3581"/>
    <w:rsid w:val="00AD35EA"/>
    <w:rsid w:val="00AD3A78"/>
    <w:rsid w:val="00AD3BC7"/>
    <w:rsid w:val="00AD414E"/>
    <w:rsid w:val="00AD42E2"/>
    <w:rsid w:val="00AD4967"/>
    <w:rsid w:val="00AD562E"/>
    <w:rsid w:val="00AD5846"/>
    <w:rsid w:val="00AD5B1B"/>
    <w:rsid w:val="00AD66BE"/>
    <w:rsid w:val="00AD6DB9"/>
    <w:rsid w:val="00AD7A67"/>
    <w:rsid w:val="00AE0AA2"/>
    <w:rsid w:val="00AE12A9"/>
    <w:rsid w:val="00AE2459"/>
    <w:rsid w:val="00AE29C2"/>
    <w:rsid w:val="00AE3D23"/>
    <w:rsid w:val="00AE4CEC"/>
    <w:rsid w:val="00AE4EC8"/>
    <w:rsid w:val="00AE517C"/>
    <w:rsid w:val="00AE599E"/>
    <w:rsid w:val="00AE5D9F"/>
    <w:rsid w:val="00AE5F15"/>
    <w:rsid w:val="00AE61C0"/>
    <w:rsid w:val="00AE72C2"/>
    <w:rsid w:val="00AE76C9"/>
    <w:rsid w:val="00AF06B4"/>
    <w:rsid w:val="00AF0C7E"/>
    <w:rsid w:val="00AF0EB2"/>
    <w:rsid w:val="00AF21B6"/>
    <w:rsid w:val="00AF2791"/>
    <w:rsid w:val="00AF2EF5"/>
    <w:rsid w:val="00AF3117"/>
    <w:rsid w:val="00AF326B"/>
    <w:rsid w:val="00AF32F0"/>
    <w:rsid w:val="00AF33AD"/>
    <w:rsid w:val="00AF3811"/>
    <w:rsid w:val="00AF418D"/>
    <w:rsid w:val="00AF560E"/>
    <w:rsid w:val="00AF6220"/>
    <w:rsid w:val="00AF70EE"/>
    <w:rsid w:val="00AF7618"/>
    <w:rsid w:val="00AF778F"/>
    <w:rsid w:val="00B00B01"/>
    <w:rsid w:val="00B01538"/>
    <w:rsid w:val="00B01CE4"/>
    <w:rsid w:val="00B02FB6"/>
    <w:rsid w:val="00B04550"/>
    <w:rsid w:val="00B04964"/>
    <w:rsid w:val="00B04CBD"/>
    <w:rsid w:val="00B10605"/>
    <w:rsid w:val="00B10F95"/>
    <w:rsid w:val="00B11B0A"/>
    <w:rsid w:val="00B12331"/>
    <w:rsid w:val="00B1246C"/>
    <w:rsid w:val="00B124AD"/>
    <w:rsid w:val="00B134A1"/>
    <w:rsid w:val="00B14176"/>
    <w:rsid w:val="00B154B3"/>
    <w:rsid w:val="00B15B71"/>
    <w:rsid w:val="00B16085"/>
    <w:rsid w:val="00B166C6"/>
    <w:rsid w:val="00B17539"/>
    <w:rsid w:val="00B21941"/>
    <w:rsid w:val="00B21EB4"/>
    <w:rsid w:val="00B22A5B"/>
    <w:rsid w:val="00B24C38"/>
    <w:rsid w:val="00B2691D"/>
    <w:rsid w:val="00B26C44"/>
    <w:rsid w:val="00B27820"/>
    <w:rsid w:val="00B306EA"/>
    <w:rsid w:val="00B30944"/>
    <w:rsid w:val="00B3104B"/>
    <w:rsid w:val="00B32AAC"/>
    <w:rsid w:val="00B33F4D"/>
    <w:rsid w:val="00B34416"/>
    <w:rsid w:val="00B34894"/>
    <w:rsid w:val="00B36CFC"/>
    <w:rsid w:val="00B37148"/>
    <w:rsid w:val="00B37AFC"/>
    <w:rsid w:val="00B4084B"/>
    <w:rsid w:val="00B41232"/>
    <w:rsid w:val="00B42B56"/>
    <w:rsid w:val="00B45864"/>
    <w:rsid w:val="00B460B5"/>
    <w:rsid w:val="00B47F4C"/>
    <w:rsid w:val="00B50032"/>
    <w:rsid w:val="00B50958"/>
    <w:rsid w:val="00B51526"/>
    <w:rsid w:val="00B546D6"/>
    <w:rsid w:val="00B549CA"/>
    <w:rsid w:val="00B54FFC"/>
    <w:rsid w:val="00B55306"/>
    <w:rsid w:val="00B564C0"/>
    <w:rsid w:val="00B567D8"/>
    <w:rsid w:val="00B56BEE"/>
    <w:rsid w:val="00B60F6F"/>
    <w:rsid w:val="00B614EC"/>
    <w:rsid w:val="00B61A52"/>
    <w:rsid w:val="00B61B0A"/>
    <w:rsid w:val="00B61CB6"/>
    <w:rsid w:val="00B6230B"/>
    <w:rsid w:val="00B63C3C"/>
    <w:rsid w:val="00B6413B"/>
    <w:rsid w:val="00B64DE4"/>
    <w:rsid w:val="00B65561"/>
    <w:rsid w:val="00B674B4"/>
    <w:rsid w:val="00B676B8"/>
    <w:rsid w:val="00B70250"/>
    <w:rsid w:val="00B70C9E"/>
    <w:rsid w:val="00B70F85"/>
    <w:rsid w:val="00B71222"/>
    <w:rsid w:val="00B7174A"/>
    <w:rsid w:val="00B7358B"/>
    <w:rsid w:val="00B7388C"/>
    <w:rsid w:val="00B73E0D"/>
    <w:rsid w:val="00B7521F"/>
    <w:rsid w:val="00B7725E"/>
    <w:rsid w:val="00B77FCF"/>
    <w:rsid w:val="00B801C1"/>
    <w:rsid w:val="00B82F84"/>
    <w:rsid w:val="00B83010"/>
    <w:rsid w:val="00B830A1"/>
    <w:rsid w:val="00B83160"/>
    <w:rsid w:val="00B8365B"/>
    <w:rsid w:val="00B83705"/>
    <w:rsid w:val="00B83CA0"/>
    <w:rsid w:val="00B84243"/>
    <w:rsid w:val="00B85C34"/>
    <w:rsid w:val="00B86CCD"/>
    <w:rsid w:val="00B876C0"/>
    <w:rsid w:val="00B87806"/>
    <w:rsid w:val="00B92B09"/>
    <w:rsid w:val="00B92B73"/>
    <w:rsid w:val="00B93884"/>
    <w:rsid w:val="00B93D53"/>
    <w:rsid w:val="00B94405"/>
    <w:rsid w:val="00B94A65"/>
    <w:rsid w:val="00B94ADF"/>
    <w:rsid w:val="00B94FB4"/>
    <w:rsid w:val="00B95D2D"/>
    <w:rsid w:val="00B9607C"/>
    <w:rsid w:val="00B9676C"/>
    <w:rsid w:val="00B97045"/>
    <w:rsid w:val="00BA0966"/>
    <w:rsid w:val="00BA0F2F"/>
    <w:rsid w:val="00BA28F3"/>
    <w:rsid w:val="00BA3488"/>
    <w:rsid w:val="00BA379F"/>
    <w:rsid w:val="00BA6777"/>
    <w:rsid w:val="00BB2A98"/>
    <w:rsid w:val="00BB3AB5"/>
    <w:rsid w:val="00BB3DA8"/>
    <w:rsid w:val="00BB498B"/>
    <w:rsid w:val="00BB5A84"/>
    <w:rsid w:val="00BB6D23"/>
    <w:rsid w:val="00BB7015"/>
    <w:rsid w:val="00BB721D"/>
    <w:rsid w:val="00BB7455"/>
    <w:rsid w:val="00BC2C65"/>
    <w:rsid w:val="00BC3472"/>
    <w:rsid w:val="00BC35F7"/>
    <w:rsid w:val="00BC3CAB"/>
    <w:rsid w:val="00BC42CE"/>
    <w:rsid w:val="00BC4A13"/>
    <w:rsid w:val="00BC6702"/>
    <w:rsid w:val="00BC76B4"/>
    <w:rsid w:val="00BD210E"/>
    <w:rsid w:val="00BD2CB2"/>
    <w:rsid w:val="00BD34C3"/>
    <w:rsid w:val="00BD40CB"/>
    <w:rsid w:val="00BD4954"/>
    <w:rsid w:val="00BD5862"/>
    <w:rsid w:val="00BD6C9A"/>
    <w:rsid w:val="00BD7329"/>
    <w:rsid w:val="00BD78D5"/>
    <w:rsid w:val="00BE0659"/>
    <w:rsid w:val="00BE0A68"/>
    <w:rsid w:val="00BE537C"/>
    <w:rsid w:val="00BE6D85"/>
    <w:rsid w:val="00BE70B3"/>
    <w:rsid w:val="00BE7D58"/>
    <w:rsid w:val="00BF0270"/>
    <w:rsid w:val="00BF0E14"/>
    <w:rsid w:val="00BF164E"/>
    <w:rsid w:val="00BF1A33"/>
    <w:rsid w:val="00BF1E22"/>
    <w:rsid w:val="00BF23C3"/>
    <w:rsid w:val="00BF2D71"/>
    <w:rsid w:val="00BF2E1E"/>
    <w:rsid w:val="00BF3D35"/>
    <w:rsid w:val="00BF5CBE"/>
    <w:rsid w:val="00BF6D42"/>
    <w:rsid w:val="00BF7375"/>
    <w:rsid w:val="00BF7ED9"/>
    <w:rsid w:val="00C0097F"/>
    <w:rsid w:val="00C00AA5"/>
    <w:rsid w:val="00C00B3B"/>
    <w:rsid w:val="00C0148A"/>
    <w:rsid w:val="00C02450"/>
    <w:rsid w:val="00C02572"/>
    <w:rsid w:val="00C02921"/>
    <w:rsid w:val="00C02B65"/>
    <w:rsid w:val="00C038D0"/>
    <w:rsid w:val="00C038DD"/>
    <w:rsid w:val="00C066AF"/>
    <w:rsid w:val="00C06CE4"/>
    <w:rsid w:val="00C07B64"/>
    <w:rsid w:val="00C07DEC"/>
    <w:rsid w:val="00C1005F"/>
    <w:rsid w:val="00C107D2"/>
    <w:rsid w:val="00C1088B"/>
    <w:rsid w:val="00C11F05"/>
    <w:rsid w:val="00C11F2F"/>
    <w:rsid w:val="00C12D0A"/>
    <w:rsid w:val="00C13681"/>
    <w:rsid w:val="00C13D80"/>
    <w:rsid w:val="00C13DA0"/>
    <w:rsid w:val="00C15AB3"/>
    <w:rsid w:val="00C15DEF"/>
    <w:rsid w:val="00C17B32"/>
    <w:rsid w:val="00C20E76"/>
    <w:rsid w:val="00C23647"/>
    <w:rsid w:val="00C2368D"/>
    <w:rsid w:val="00C23C34"/>
    <w:rsid w:val="00C2476F"/>
    <w:rsid w:val="00C24BB1"/>
    <w:rsid w:val="00C2641F"/>
    <w:rsid w:val="00C276B1"/>
    <w:rsid w:val="00C3009E"/>
    <w:rsid w:val="00C31E81"/>
    <w:rsid w:val="00C3239B"/>
    <w:rsid w:val="00C3249E"/>
    <w:rsid w:val="00C3303C"/>
    <w:rsid w:val="00C3324A"/>
    <w:rsid w:val="00C342CD"/>
    <w:rsid w:val="00C34390"/>
    <w:rsid w:val="00C34C59"/>
    <w:rsid w:val="00C359BA"/>
    <w:rsid w:val="00C36775"/>
    <w:rsid w:val="00C40689"/>
    <w:rsid w:val="00C41D55"/>
    <w:rsid w:val="00C42089"/>
    <w:rsid w:val="00C428E6"/>
    <w:rsid w:val="00C42D37"/>
    <w:rsid w:val="00C43102"/>
    <w:rsid w:val="00C431A3"/>
    <w:rsid w:val="00C437C3"/>
    <w:rsid w:val="00C43DF8"/>
    <w:rsid w:val="00C44BE3"/>
    <w:rsid w:val="00C44C1D"/>
    <w:rsid w:val="00C450A9"/>
    <w:rsid w:val="00C45903"/>
    <w:rsid w:val="00C46399"/>
    <w:rsid w:val="00C46D0E"/>
    <w:rsid w:val="00C46DF4"/>
    <w:rsid w:val="00C474A5"/>
    <w:rsid w:val="00C50514"/>
    <w:rsid w:val="00C53EF2"/>
    <w:rsid w:val="00C55846"/>
    <w:rsid w:val="00C567CE"/>
    <w:rsid w:val="00C60BBA"/>
    <w:rsid w:val="00C6305B"/>
    <w:rsid w:val="00C63109"/>
    <w:rsid w:val="00C63821"/>
    <w:rsid w:val="00C63C1F"/>
    <w:rsid w:val="00C63ED7"/>
    <w:rsid w:val="00C65092"/>
    <w:rsid w:val="00C66319"/>
    <w:rsid w:val="00C705DA"/>
    <w:rsid w:val="00C71CA6"/>
    <w:rsid w:val="00C7356F"/>
    <w:rsid w:val="00C74126"/>
    <w:rsid w:val="00C74C39"/>
    <w:rsid w:val="00C74DA9"/>
    <w:rsid w:val="00C74E8D"/>
    <w:rsid w:val="00C753BA"/>
    <w:rsid w:val="00C7638D"/>
    <w:rsid w:val="00C763EA"/>
    <w:rsid w:val="00C77417"/>
    <w:rsid w:val="00C77648"/>
    <w:rsid w:val="00C77E7D"/>
    <w:rsid w:val="00C8047A"/>
    <w:rsid w:val="00C8049D"/>
    <w:rsid w:val="00C854F5"/>
    <w:rsid w:val="00C85E77"/>
    <w:rsid w:val="00C86D90"/>
    <w:rsid w:val="00C872C5"/>
    <w:rsid w:val="00C8748F"/>
    <w:rsid w:val="00C87B0C"/>
    <w:rsid w:val="00C87FB8"/>
    <w:rsid w:val="00C9103C"/>
    <w:rsid w:val="00C91347"/>
    <w:rsid w:val="00C91CF4"/>
    <w:rsid w:val="00C92123"/>
    <w:rsid w:val="00C9256F"/>
    <w:rsid w:val="00C946DC"/>
    <w:rsid w:val="00C95596"/>
    <w:rsid w:val="00C95850"/>
    <w:rsid w:val="00C95B85"/>
    <w:rsid w:val="00C97362"/>
    <w:rsid w:val="00C978F2"/>
    <w:rsid w:val="00C97F24"/>
    <w:rsid w:val="00C97F3F"/>
    <w:rsid w:val="00CA0B5E"/>
    <w:rsid w:val="00CA0E8B"/>
    <w:rsid w:val="00CA0F4F"/>
    <w:rsid w:val="00CA15D7"/>
    <w:rsid w:val="00CA2F21"/>
    <w:rsid w:val="00CA3214"/>
    <w:rsid w:val="00CA450E"/>
    <w:rsid w:val="00CA475B"/>
    <w:rsid w:val="00CA4819"/>
    <w:rsid w:val="00CA49A3"/>
    <w:rsid w:val="00CA600B"/>
    <w:rsid w:val="00CA664C"/>
    <w:rsid w:val="00CA709C"/>
    <w:rsid w:val="00CB1F59"/>
    <w:rsid w:val="00CB2844"/>
    <w:rsid w:val="00CB4589"/>
    <w:rsid w:val="00CB519E"/>
    <w:rsid w:val="00CB54F0"/>
    <w:rsid w:val="00CB60C9"/>
    <w:rsid w:val="00CB6290"/>
    <w:rsid w:val="00CB62C0"/>
    <w:rsid w:val="00CB6D24"/>
    <w:rsid w:val="00CB795F"/>
    <w:rsid w:val="00CC0486"/>
    <w:rsid w:val="00CC0B67"/>
    <w:rsid w:val="00CC12AE"/>
    <w:rsid w:val="00CC2A06"/>
    <w:rsid w:val="00CC34D8"/>
    <w:rsid w:val="00CC36A5"/>
    <w:rsid w:val="00CC4867"/>
    <w:rsid w:val="00CC524B"/>
    <w:rsid w:val="00CC5AB0"/>
    <w:rsid w:val="00CC6371"/>
    <w:rsid w:val="00CC6AFF"/>
    <w:rsid w:val="00CC7CC7"/>
    <w:rsid w:val="00CC7ED8"/>
    <w:rsid w:val="00CC7F08"/>
    <w:rsid w:val="00CD1BF3"/>
    <w:rsid w:val="00CD3382"/>
    <w:rsid w:val="00CD5C8D"/>
    <w:rsid w:val="00CD6D23"/>
    <w:rsid w:val="00CD6D33"/>
    <w:rsid w:val="00CE0085"/>
    <w:rsid w:val="00CE0472"/>
    <w:rsid w:val="00CE179F"/>
    <w:rsid w:val="00CE2B6C"/>
    <w:rsid w:val="00CE2C1A"/>
    <w:rsid w:val="00CE3F53"/>
    <w:rsid w:val="00CE4134"/>
    <w:rsid w:val="00CE4D05"/>
    <w:rsid w:val="00CE4FEF"/>
    <w:rsid w:val="00CE558E"/>
    <w:rsid w:val="00CE5774"/>
    <w:rsid w:val="00CE5835"/>
    <w:rsid w:val="00CE7933"/>
    <w:rsid w:val="00CF164C"/>
    <w:rsid w:val="00CF2C6F"/>
    <w:rsid w:val="00CF4131"/>
    <w:rsid w:val="00CF4AD1"/>
    <w:rsid w:val="00CF5085"/>
    <w:rsid w:val="00CF5FDC"/>
    <w:rsid w:val="00D00382"/>
    <w:rsid w:val="00D0086A"/>
    <w:rsid w:val="00D0241A"/>
    <w:rsid w:val="00D02A99"/>
    <w:rsid w:val="00D02C8E"/>
    <w:rsid w:val="00D02E37"/>
    <w:rsid w:val="00D02EF1"/>
    <w:rsid w:val="00D040F4"/>
    <w:rsid w:val="00D05719"/>
    <w:rsid w:val="00D07A8D"/>
    <w:rsid w:val="00D1024D"/>
    <w:rsid w:val="00D117E6"/>
    <w:rsid w:val="00D11F5B"/>
    <w:rsid w:val="00D120BF"/>
    <w:rsid w:val="00D138C7"/>
    <w:rsid w:val="00D143EC"/>
    <w:rsid w:val="00D1469B"/>
    <w:rsid w:val="00D15632"/>
    <w:rsid w:val="00D15792"/>
    <w:rsid w:val="00D1741D"/>
    <w:rsid w:val="00D174C3"/>
    <w:rsid w:val="00D17C90"/>
    <w:rsid w:val="00D17D15"/>
    <w:rsid w:val="00D17E55"/>
    <w:rsid w:val="00D2179B"/>
    <w:rsid w:val="00D21F46"/>
    <w:rsid w:val="00D22699"/>
    <w:rsid w:val="00D22D5A"/>
    <w:rsid w:val="00D2316C"/>
    <w:rsid w:val="00D232B7"/>
    <w:rsid w:val="00D23531"/>
    <w:rsid w:val="00D24D0C"/>
    <w:rsid w:val="00D24FF4"/>
    <w:rsid w:val="00D30A84"/>
    <w:rsid w:val="00D30CBA"/>
    <w:rsid w:val="00D30E02"/>
    <w:rsid w:val="00D323B5"/>
    <w:rsid w:val="00D327B7"/>
    <w:rsid w:val="00D3564F"/>
    <w:rsid w:val="00D36333"/>
    <w:rsid w:val="00D3635C"/>
    <w:rsid w:val="00D37A7B"/>
    <w:rsid w:val="00D37C36"/>
    <w:rsid w:val="00D4187B"/>
    <w:rsid w:val="00D41BE5"/>
    <w:rsid w:val="00D41E30"/>
    <w:rsid w:val="00D428B3"/>
    <w:rsid w:val="00D43E58"/>
    <w:rsid w:val="00D44150"/>
    <w:rsid w:val="00D44D21"/>
    <w:rsid w:val="00D456C4"/>
    <w:rsid w:val="00D459CF"/>
    <w:rsid w:val="00D46A7B"/>
    <w:rsid w:val="00D46D74"/>
    <w:rsid w:val="00D5073A"/>
    <w:rsid w:val="00D50C9B"/>
    <w:rsid w:val="00D52088"/>
    <w:rsid w:val="00D53463"/>
    <w:rsid w:val="00D53645"/>
    <w:rsid w:val="00D549BF"/>
    <w:rsid w:val="00D551E1"/>
    <w:rsid w:val="00D55763"/>
    <w:rsid w:val="00D568CF"/>
    <w:rsid w:val="00D5708A"/>
    <w:rsid w:val="00D576B5"/>
    <w:rsid w:val="00D57849"/>
    <w:rsid w:val="00D579C5"/>
    <w:rsid w:val="00D57B8A"/>
    <w:rsid w:val="00D60439"/>
    <w:rsid w:val="00D606C2"/>
    <w:rsid w:val="00D6199A"/>
    <w:rsid w:val="00D62AB4"/>
    <w:rsid w:val="00D63123"/>
    <w:rsid w:val="00D634BA"/>
    <w:rsid w:val="00D6471D"/>
    <w:rsid w:val="00D65C60"/>
    <w:rsid w:val="00D6661E"/>
    <w:rsid w:val="00D6714F"/>
    <w:rsid w:val="00D70BF5"/>
    <w:rsid w:val="00D70EB2"/>
    <w:rsid w:val="00D715EF"/>
    <w:rsid w:val="00D720BB"/>
    <w:rsid w:val="00D729FE"/>
    <w:rsid w:val="00D75924"/>
    <w:rsid w:val="00D75CC7"/>
    <w:rsid w:val="00D75DD0"/>
    <w:rsid w:val="00D7602E"/>
    <w:rsid w:val="00D76925"/>
    <w:rsid w:val="00D76996"/>
    <w:rsid w:val="00D77C45"/>
    <w:rsid w:val="00D81071"/>
    <w:rsid w:val="00D82879"/>
    <w:rsid w:val="00D83783"/>
    <w:rsid w:val="00D83B82"/>
    <w:rsid w:val="00D8537C"/>
    <w:rsid w:val="00D85D3F"/>
    <w:rsid w:val="00D86FFD"/>
    <w:rsid w:val="00D87479"/>
    <w:rsid w:val="00D91358"/>
    <w:rsid w:val="00D9150D"/>
    <w:rsid w:val="00D92B42"/>
    <w:rsid w:val="00D93254"/>
    <w:rsid w:val="00D952A8"/>
    <w:rsid w:val="00D9548D"/>
    <w:rsid w:val="00D961F2"/>
    <w:rsid w:val="00D97687"/>
    <w:rsid w:val="00D9775E"/>
    <w:rsid w:val="00DA1610"/>
    <w:rsid w:val="00DA1A11"/>
    <w:rsid w:val="00DA1BEF"/>
    <w:rsid w:val="00DA28A8"/>
    <w:rsid w:val="00DA3143"/>
    <w:rsid w:val="00DA4E90"/>
    <w:rsid w:val="00DA4EAE"/>
    <w:rsid w:val="00DA6854"/>
    <w:rsid w:val="00DA6D4F"/>
    <w:rsid w:val="00DA6FB4"/>
    <w:rsid w:val="00DA77D0"/>
    <w:rsid w:val="00DA7AC3"/>
    <w:rsid w:val="00DA7B65"/>
    <w:rsid w:val="00DB10A8"/>
    <w:rsid w:val="00DB22B0"/>
    <w:rsid w:val="00DB4C98"/>
    <w:rsid w:val="00DB584E"/>
    <w:rsid w:val="00DB69D9"/>
    <w:rsid w:val="00DC16AF"/>
    <w:rsid w:val="00DC3005"/>
    <w:rsid w:val="00DC32EC"/>
    <w:rsid w:val="00DC4099"/>
    <w:rsid w:val="00DC4790"/>
    <w:rsid w:val="00DC6737"/>
    <w:rsid w:val="00DC76AC"/>
    <w:rsid w:val="00DD051E"/>
    <w:rsid w:val="00DD05B3"/>
    <w:rsid w:val="00DD0BA0"/>
    <w:rsid w:val="00DD0D4B"/>
    <w:rsid w:val="00DD1046"/>
    <w:rsid w:val="00DD53A9"/>
    <w:rsid w:val="00DD5856"/>
    <w:rsid w:val="00DD592A"/>
    <w:rsid w:val="00DD7B40"/>
    <w:rsid w:val="00DE117E"/>
    <w:rsid w:val="00DE1987"/>
    <w:rsid w:val="00DE1EF9"/>
    <w:rsid w:val="00DE2A71"/>
    <w:rsid w:val="00DE36CF"/>
    <w:rsid w:val="00DE4030"/>
    <w:rsid w:val="00DE42BA"/>
    <w:rsid w:val="00DE46B1"/>
    <w:rsid w:val="00DE50C2"/>
    <w:rsid w:val="00DE566F"/>
    <w:rsid w:val="00DE5896"/>
    <w:rsid w:val="00DE5DF9"/>
    <w:rsid w:val="00DE5E0C"/>
    <w:rsid w:val="00DE75D5"/>
    <w:rsid w:val="00DF0728"/>
    <w:rsid w:val="00DF1ADC"/>
    <w:rsid w:val="00DF2249"/>
    <w:rsid w:val="00DF2347"/>
    <w:rsid w:val="00DF2C5D"/>
    <w:rsid w:val="00DF30D5"/>
    <w:rsid w:val="00DF363A"/>
    <w:rsid w:val="00DF4173"/>
    <w:rsid w:val="00DF4488"/>
    <w:rsid w:val="00DF4D2A"/>
    <w:rsid w:val="00DF53E8"/>
    <w:rsid w:val="00DF61C8"/>
    <w:rsid w:val="00DF6323"/>
    <w:rsid w:val="00DF6B26"/>
    <w:rsid w:val="00DF744E"/>
    <w:rsid w:val="00E00258"/>
    <w:rsid w:val="00E003DD"/>
    <w:rsid w:val="00E0068F"/>
    <w:rsid w:val="00E01B7C"/>
    <w:rsid w:val="00E01E59"/>
    <w:rsid w:val="00E054BA"/>
    <w:rsid w:val="00E05967"/>
    <w:rsid w:val="00E06F9F"/>
    <w:rsid w:val="00E07C89"/>
    <w:rsid w:val="00E1099E"/>
    <w:rsid w:val="00E10D3F"/>
    <w:rsid w:val="00E1129E"/>
    <w:rsid w:val="00E120DB"/>
    <w:rsid w:val="00E121DD"/>
    <w:rsid w:val="00E15A7E"/>
    <w:rsid w:val="00E160CA"/>
    <w:rsid w:val="00E1675C"/>
    <w:rsid w:val="00E16977"/>
    <w:rsid w:val="00E16BE1"/>
    <w:rsid w:val="00E17DAB"/>
    <w:rsid w:val="00E20209"/>
    <w:rsid w:val="00E20628"/>
    <w:rsid w:val="00E2103B"/>
    <w:rsid w:val="00E223BE"/>
    <w:rsid w:val="00E22A07"/>
    <w:rsid w:val="00E235C3"/>
    <w:rsid w:val="00E25171"/>
    <w:rsid w:val="00E253F7"/>
    <w:rsid w:val="00E26003"/>
    <w:rsid w:val="00E26B80"/>
    <w:rsid w:val="00E26FAB"/>
    <w:rsid w:val="00E273FF"/>
    <w:rsid w:val="00E27B91"/>
    <w:rsid w:val="00E27E5E"/>
    <w:rsid w:val="00E306E7"/>
    <w:rsid w:val="00E3087C"/>
    <w:rsid w:val="00E30E1D"/>
    <w:rsid w:val="00E30FE2"/>
    <w:rsid w:val="00E31D64"/>
    <w:rsid w:val="00E335C8"/>
    <w:rsid w:val="00E35B58"/>
    <w:rsid w:val="00E36E26"/>
    <w:rsid w:val="00E37BA9"/>
    <w:rsid w:val="00E37F9B"/>
    <w:rsid w:val="00E4135B"/>
    <w:rsid w:val="00E42411"/>
    <w:rsid w:val="00E42C8A"/>
    <w:rsid w:val="00E42D80"/>
    <w:rsid w:val="00E436F2"/>
    <w:rsid w:val="00E43965"/>
    <w:rsid w:val="00E439A7"/>
    <w:rsid w:val="00E43E3B"/>
    <w:rsid w:val="00E4452C"/>
    <w:rsid w:val="00E456C4"/>
    <w:rsid w:val="00E4582E"/>
    <w:rsid w:val="00E46611"/>
    <w:rsid w:val="00E46AB8"/>
    <w:rsid w:val="00E473B3"/>
    <w:rsid w:val="00E50E8D"/>
    <w:rsid w:val="00E51F1C"/>
    <w:rsid w:val="00E52380"/>
    <w:rsid w:val="00E523A8"/>
    <w:rsid w:val="00E53F1A"/>
    <w:rsid w:val="00E54185"/>
    <w:rsid w:val="00E5444F"/>
    <w:rsid w:val="00E545D9"/>
    <w:rsid w:val="00E55ABA"/>
    <w:rsid w:val="00E56099"/>
    <w:rsid w:val="00E56D3F"/>
    <w:rsid w:val="00E57CA7"/>
    <w:rsid w:val="00E6037C"/>
    <w:rsid w:val="00E61C5E"/>
    <w:rsid w:val="00E61EC0"/>
    <w:rsid w:val="00E62415"/>
    <w:rsid w:val="00E62B36"/>
    <w:rsid w:val="00E62DF5"/>
    <w:rsid w:val="00E63BDC"/>
    <w:rsid w:val="00E647C8"/>
    <w:rsid w:val="00E67C82"/>
    <w:rsid w:val="00E702CE"/>
    <w:rsid w:val="00E70F0A"/>
    <w:rsid w:val="00E7129B"/>
    <w:rsid w:val="00E71844"/>
    <w:rsid w:val="00E725E4"/>
    <w:rsid w:val="00E731D7"/>
    <w:rsid w:val="00E7371B"/>
    <w:rsid w:val="00E73765"/>
    <w:rsid w:val="00E74697"/>
    <w:rsid w:val="00E74ACE"/>
    <w:rsid w:val="00E75A0F"/>
    <w:rsid w:val="00E77613"/>
    <w:rsid w:val="00E77C06"/>
    <w:rsid w:val="00E80CCF"/>
    <w:rsid w:val="00E81D85"/>
    <w:rsid w:val="00E831F7"/>
    <w:rsid w:val="00E835D7"/>
    <w:rsid w:val="00E855E0"/>
    <w:rsid w:val="00E85871"/>
    <w:rsid w:val="00E860B7"/>
    <w:rsid w:val="00E8780D"/>
    <w:rsid w:val="00E918DE"/>
    <w:rsid w:val="00E9221F"/>
    <w:rsid w:val="00E92644"/>
    <w:rsid w:val="00E93C24"/>
    <w:rsid w:val="00E94499"/>
    <w:rsid w:val="00E95DB8"/>
    <w:rsid w:val="00E95E3B"/>
    <w:rsid w:val="00E9700A"/>
    <w:rsid w:val="00E97527"/>
    <w:rsid w:val="00EA186C"/>
    <w:rsid w:val="00EA203B"/>
    <w:rsid w:val="00EA46A8"/>
    <w:rsid w:val="00EA47F8"/>
    <w:rsid w:val="00EA5A9E"/>
    <w:rsid w:val="00EA6556"/>
    <w:rsid w:val="00EA6842"/>
    <w:rsid w:val="00EA6D25"/>
    <w:rsid w:val="00EA6FB3"/>
    <w:rsid w:val="00EB10E6"/>
    <w:rsid w:val="00EB1B80"/>
    <w:rsid w:val="00EB3B63"/>
    <w:rsid w:val="00EB4C26"/>
    <w:rsid w:val="00EB5127"/>
    <w:rsid w:val="00EB53F2"/>
    <w:rsid w:val="00EB548C"/>
    <w:rsid w:val="00EB705A"/>
    <w:rsid w:val="00EB7803"/>
    <w:rsid w:val="00EC0295"/>
    <w:rsid w:val="00EC0454"/>
    <w:rsid w:val="00EC19FA"/>
    <w:rsid w:val="00EC1F39"/>
    <w:rsid w:val="00EC2948"/>
    <w:rsid w:val="00EC4236"/>
    <w:rsid w:val="00EC5F86"/>
    <w:rsid w:val="00ED0940"/>
    <w:rsid w:val="00ED19DF"/>
    <w:rsid w:val="00ED25CE"/>
    <w:rsid w:val="00ED3A55"/>
    <w:rsid w:val="00ED3B06"/>
    <w:rsid w:val="00ED402C"/>
    <w:rsid w:val="00ED511B"/>
    <w:rsid w:val="00ED7DD7"/>
    <w:rsid w:val="00EE0ACF"/>
    <w:rsid w:val="00EE1FE9"/>
    <w:rsid w:val="00EE22E3"/>
    <w:rsid w:val="00EE28CB"/>
    <w:rsid w:val="00EE2ED0"/>
    <w:rsid w:val="00EE37DE"/>
    <w:rsid w:val="00EE5A83"/>
    <w:rsid w:val="00EE67C5"/>
    <w:rsid w:val="00EF18EF"/>
    <w:rsid w:val="00EF1CEC"/>
    <w:rsid w:val="00EF4031"/>
    <w:rsid w:val="00EF45CE"/>
    <w:rsid w:val="00EF4C71"/>
    <w:rsid w:val="00EF695C"/>
    <w:rsid w:val="00F00984"/>
    <w:rsid w:val="00F01FF7"/>
    <w:rsid w:val="00F0306E"/>
    <w:rsid w:val="00F04CE6"/>
    <w:rsid w:val="00F05908"/>
    <w:rsid w:val="00F070BD"/>
    <w:rsid w:val="00F10305"/>
    <w:rsid w:val="00F1076B"/>
    <w:rsid w:val="00F10D71"/>
    <w:rsid w:val="00F11B9B"/>
    <w:rsid w:val="00F11D20"/>
    <w:rsid w:val="00F120D0"/>
    <w:rsid w:val="00F1363A"/>
    <w:rsid w:val="00F13E0D"/>
    <w:rsid w:val="00F14ABF"/>
    <w:rsid w:val="00F15DFF"/>
    <w:rsid w:val="00F168A5"/>
    <w:rsid w:val="00F17586"/>
    <w:rsid w:val="00F175CA"/>
    <w:rsid w:val="00F20B6E"/>
    <w:rsid w:val="00F20FF5"/>
    <w:rsid w:val="00F21A2C"/>
    <w:rsid w:val="00F248EC"/>
    <w:rsid w:val="00F24BCF"/>
    <w:rsid w:val="00F24C64"/>
    <w:rsid w:val="00F2639B"/>
    <w:rsid w:val="00F2670A"/>
    <w:rsid w:val="00F271F4"/>
    <w:rsid w:val="00F276EE"/>
    <w:rsid w:val="00F3255F"/>
    <w:rsid w:val="00F33271"/>
    <w:rsid w:val="00F3510E"/>
    <w:rsid w:val="00F35B8D"/>
    <w:rsid w:val="00F373DC"/>
    <w:rsid w:val="00F37EF3"/>
    <w:rsid w:val="00F403D6"/>
    <w:rsid w:val="00F40782"/>
    <w:rsid w:val="00F411FF"/>
    <w:rsid w:val="00F422EF"/>
    <w:rsid w:val="00F42894"/>
    <w:rsid w:val="00F43E26"/>
    <w:rsid w:val="00F4532B"/>
    <w:rsid w:val="00F4545B"/>
    <w:rsid w:val="00F45CF2"/>
    <w:rsid w:val="00F470EA"/>
    <w:rsid w:val="00F47B25"/>
    <w:rsid w:val="00F506AE"/>
    <w:rsid w:val="00F51346"/>
    <w:rsid w:val="00F5235B"/>
    <w:rsid w:val="00F5256C"/>
    <w:rsid w:val="00F54947"/>
    <w:rsid w:val="00F54F7B"/>
    <w:rsid w:val="00F55CD7"/>
    <w:rsid w:val="00F560DC"/>
    <w:rsid w:val="00F56916"/>
    <w:rsid w:val="00F56AD0"/>
    <w:rsid w:val="00F56CB1"/>
    <w:rsid w:val="00F60161"/>
    <w:rsid w:val="00F61605"/>
    <w:rsid w:val="00F626C2"/>
    <w:rsid w:val="00F630EF"/>
    <w:rsid w:val="00F63F85"/>
    <w:rsid w:val="00F646CE"/>
    <w:rsid w:val="00F65819"/>
    <w:rsid w:val="00F66865"/>
    <w:rsid w:val="00F6720C"/>
    <w:rsid w:val="00F679CB"/>
    <w:rsid w:val="00F67A6B"/>
    <w:rsid w:val="00F7046A"/>
    <w:rsid w:val="00F70B5B"/>
    <w:rsid w:val="00F71634"/>
    <w:rsid w:val="00F7244F"/>
    <w:rsid w:val="00F72962"/>
    <w:rsid w:val="00F72D23"/>
    <w:rsid w:val="00F743D8"/>
    <w:rsid w:val="00F74CB0"/>
    <w:rsid w:val="00F75376"/>
    <w:rsid w:val="00F75495"/>
    <w:rsid w:val="00F7639C"/>
    <w:rsid w:val="00F765EB"/>
    <w:rsid w:val="00F773A0"/>
    <w:rsid w:val="00F81CE4"/>
    <w:rsid w:val="00F822BA"/>
    <w:rsid w:val="00F8495C"/>
    <w:rsid w:val="00F8673B"/>
    <w:rsid w:val="00F87522"/>
    <w:rsid w:val="00F908F8"/>
    <w:rsid w:val="00F92442"/>
    <w:rsid w:val="00F926C8"/>
    <w:rsid w:val="00F939DB"/>
    <w:rsid w:val="00F94E8C"/>
    <w:rsid w:val="00F95A5B"/>
    <w:rsid w:val="00F964B0"/>
    <w:rsid w:val="00F973F0"/>
    <w:rsid w:val="00F97B52"/>
    <w:rsid w:val="00F97D2D"/>
    <w:rsid w:val="00F97D9B"/>
    <w:rsid w:val="00FA025D"/>
    <w:rsid w:val="00FA054C"/>
    <w:rsid w:val="00FA05A4"/>
    <w:rsid w:val="00FA135D"/>
    <w:rsid w:val="00FA2F87"/>
    <w:rsid w:val="00FA30C2"/>
    <w:rsid w:val="00FA31D8"/>
    <w:rsid w:val="00FA63B6"/>
    <w:rsid w:val="00FA6958"/>
    <w:rsid w:val="00FA7135"/>
    <w:rsid w:val="00FA784C"/>
    <w:rsid w:val="00FB06E1"/>
    <w:rsid w:val="00FB0BA1"/>
    <w:rsid w:val="00FB0CA2"/>
    <w:rsid w:val="00FB1A25"/>
    <w:rsid w:val="00FB4A9E"/>
    <w:rsid w:val="00FB4E3A"/>
    <w:rsid w:val="00FB50F6"/>
    <w:rsid w:val="00FB66AB"/>
    <w:rsid w:val="00FB6912"/>
    <w:rsid w:val="00FB6B1E"/>
    <w:rsid w:val="00FC00DD"/>
    <w:rsid w:val="00FC0A72"/>
    <w:rsid w:val="00FC1247"/>
    <w:rsid w:val="00FC13E2"/>
    <w:rsid w:val="00FC14D9"/>
    <w:rsid w:val="00FC1C66"/>
    <w:rsid w:val="00FC27D4"/>
    <w:rsid w:val="00FC3CD4"/>
    <w:rsid w:val="00FC4E2A"/>
    <w:rsid w:val="00FC6CF3"/>
    <w:rsid w:val="00FC6F4F"/>
    <w:rsid w:val="00FC7804"/>
    <w:rsid w:val="00FC7FFD"/>
    <w:rsid w:val="00FD1B30"/>
    <w:rsid w:val="00FD1CA2"/>
    <w:rsid w:val="00FD2865"/>
    <w:rsid w:val="00FD3D3E"/>
    <w:rsid w:val="00FD4975"/>
    <w:rsid w:val="00FD5051"/>
    <w:rsid w:val="00FD522D"/>
    <w:rsid w:val="00FD5958"/>
    <w:rsid w:val="00FD5A0F"/>
    <w:rsid w:val="00FD756D"/>
    <w:rsid w:val="00FD7972"/>
    <w:rsid w:val="00FD79EA"/>
    <w:rsid w:val="00FE059A"/>
    <w:rsid w:val="00FE0781"/>
    <w:rsid w:val="00FE1091"/>
    <w:rsid w:val="00FE1939"/>
    <w:rsid w:val="00FE2022"/>
    <w:rsid w:val="00FE29AF"/>
    <w:rsid w:val="00FE395C"/>
    <w:rsid w:val="00FE3DE9"/>
    <w:rsid w:val="00FE4C0F"/>
    <w:rsid w:val="00FE54AE"/>
    <w:rsid w:val="00FF0BAF"/>
    <w:rsid w:val="00FF0C9F"/>
    <w:rsid w:val="00FF1E56"/>
    <w:rsid w:val="00FF2122"/>
    <w:rsid w:val="00FF2339"/>
    <w:rsid w:val="00FF2430"/>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193"/>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5328A9"/>
    <w:pPr>
      <w:spacing w:after="360"/>
      <w:jc w:val="center"/>
      <w:outlineLvl w:val="0"/>
    </w:pPr>
    <w:rPr>
      <w:rFonts w:ascii="Arial Bold" w:hAnsi="Arial Bold"/>
      <w:b/>
      <w:kern w:val="28"/>
      <w:sz w:val="36"/>
    </w:rPr>
  </w:style>
  <w:style w:type="paragraph" w:styleId="Heading2">
    <w:name w:val="heading 2"/>
    <w:basedOn w:val="HeadingBase"/>
    <w:next w:val="Normal"/>
    <w:qFormat/>
    <w:rsid w:val="005328A9"/>
    <w:pPr>
      <w:spacing w:before="360" w:after="120"/>
      <w:outlineLvl w:val="1"/>
    </w:pPr>
    <w:rPr>
      <w:b/>
      <w:sz w:val="26"/>
    </w:rPr>
  </w:style>
  <w:style w:type="paragraph" w:styleId="Heading3">
    <w:name w:val="heading 3"/>
    <w:basedOn w:val="HeadingBase"/>
    <w:next w:val="Normal"/>
    <w:link w:val="Heading3Char"/>
    <w:qFormat/>
    <w:rsid w:val="005328A9"/>
    <w:pPr>
      <w:tabs>
        <w:tab w:val="left" w:pos="709"/>
      </w:tabs>
      <w:spacing w:before="360" w:after="120"/>
      <w:outlineLvl w:val="2"/>
    </w:pPr>
    <w:rPr>
      <w:rFonts w:ascii="Arial Bold" w:hAnsi="Arial Bold"/>
      <w:b/>
      <w:sz w:val="22"/>
    </w:rPr>
  </w:style>
  <w:style w:type="paragraph" w:styleId="Heading4">
    <w:name w:val="heading 4"/>
    <w:basedOn w:val="HeadingBase"/>
    <w:next w:val="Normal"/>
    <w:qFormat/>
    <w:rsid w:val="005328A9"/>
    <w:pPr>
      <w:tabs>
        <w:tab w:val="left" w:pos="709"/>
      </w:tabs>
      <w:spacing w:before="240" w:after="120"/>
      <w:outlineLvl w:val="3"/>
    </w:pPr>
    <w:rPr>
      <w:b/>
      <w:sz w:val="20"/>
    </w:rPr>
  </w:style>
  <w:style w:type="paragraph" w:styleId="Heading5">
    <w:name w:val="heading 5"/>
    <w:basedOn w:val="HeadingBase"/>
    <w:next w:val="Normal"/>
    <w:qFormat/>
    <w:rsid w:val="005328A9"/>
    <w:pPr>
      <w:spacing w:after="120"/>
      <w:outlineLvl w:val="4"/>
    </w:pPr>
    <w:rPr>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3"/>
      </w:numPr>
      <w:jc w:val="both"/>
    </w:pPr>
    <w:rPr>
      <w:sz w:val="16"/>
    </w:rPr>
  </w:style>
  <w:style w:type="paragraph" w:customStyle="1" w:styleId="ChartandTableFootnoteAlphaSmall">
    <w:name w:val="Chart and Table Footnote Alpha Small"/>
    <w:basedOn w:val="HeadingBase"/>
    <w:next w:val="Normal"/>
    <w:rsid w:val="00EC5F86"/>
    <w:p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6"/>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4"/>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C46DF4"/>
    <w:pPr>
      <w:tabs>
        <w:tab w:val="right" w:leader="dot" w:pos="7700"/>
      </w:tabs>
      <w:spacing w:before="240"/>
      <w:ind w:right="851"/>
    </w:pPr>
    <w:rPr>
      <w:rFonts w:ascii="Arial Bold" w:hAnsi="Arial Bold"/>
      <w:b/>
      <w:i w:val="0"/>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5"/>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5"/>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6"/>
      </w:numPr>
    </w:pPr>
    <w:rPr>
      <w:color w:val="000000"/>
    </w:rPr>
  </w:style>
  <w:style w:type="paragraph" w:customStyle="1" w:styleId="BoxDoubleDot">
    <w:name w:val="Box Double Dot"/>
    <w:basedOn w:val="BoxTextBase"/>
    <w:rsid w:val="00EC5F86"/>
    <w:pPr>
      <w:numPr>
        <w:ilvl w:val="2"/>
        <w:numId w:val="6"/>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5328A9"/>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11"/>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5D691F"/>
    <w:pPr>
      <w:spacing w:before="100" w:beforeAutospacing="1" w:after="100" w:afterAutospacing="1" w:line="240" w:lineRule="auto"/>
      <w:jc w:val="left"/>
    </w:pPr>
    <w:rPr>
      <w:rFonts w:ascii="Times New Roman" w:hAnsi="Times New Roman"/>
      <w:sz w:val="24"/>
      <w:szCs w:val="24"/>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link w:val="ListParagraph"/>
    <w:locked/>
    <w:rsid w:val="005D691F"/>
    <w:rPr>
      <w:rFonts w:ascii="Calibri" w:eastAsia="Calibri" w:hAnsi="Calibri"/>
      <w:sz w:val="22"/>
      <w:szCs w:val="22"/>
      <w:lang w:val="en-US" w:eastAsia="en-US"/>
    </w:rPr>
  </w:style>
  <w:style w:type="paragraph" w:customStyle="1" w:styleId="HeadingMin">
    <w:name w:val="HeadingMin"/>
    <w:basedOn w:val="Normal"/>
    <w:rsid w:val="00410B18"/>
    <w:pPr>
      <w:spacing w:after="0" w:line="240" w:lineRule="auto"/>
      <w:jc w:val="center"/>
    </w:pPr>
    <w:rPr>
      <w:rFonts w:ascii="Arial" w:hAnsi="Arial"/>
      <w:caps/>
      <w:spacing w:val="20"/>
      <w:sz w:val="40"/>
      <w:szCs w:val="24"/>
    </w:rPr>
  </w:style>
  <w:style w:type="paragraph" w:customStyle="1" w:styleId="HeadingOffice">
    <w:name w:val="HeadingOffice"/>
    <w:basedOn w:val="Normal"/>
    <w:rsid w:val="00410B18"/>
    <w:pPr>
      <w:spacing w:after="0" w:line="240" w:lineRule="auto"/>
      <w:jc w:val="center"/>
    </w:pPr>
    <w:rPr>
      <w:rFonts w:ascii="Arial" w:hAnsi="Arial"/>
      <w:spacing w:val="10"/>
      <w:sz w:val="28"/>
      <w:szCs w:val="24"/>
    </w:rPr>
  </w:style>
  <w:style w:type="paragraph" w:customStyle="1" w:styleId="TableParagraph">
    <w:name w:val="Table Paragraph"/>
    <w:basedOn w:val="Normal"/>
    <w:uiPriority w:val="1"/>
    <w:qFormat/>
    <w:rsid w:val="000960F6"/>
    <w:pPr>
      <w:widowControl w:val="0"/>
      <w:autoSpaceDE w:val="0"/>
      <w:autoSpaceDN w:val="0"/>
      <w:spacing w:after="0" w:line="240" w:lineRule="auto"/>
      <w:jc w:val="left"/>
    </w:pPr>
    <w:rPr>
      <w:rFonts w:ascii="Arial" w:eastAsia="Arial" w:hAnsi="Arial" w:cs="Arial"/>
      <w:sz w:val="22"/>
      <w:szCs w:val="22"/>
      <w:lang w:eastAsia="en-US"/>
    </w:rPr>
  </w:style>
  <w:style w:type="paragraph" w:customStyle="1" w:styleId="Heading1-NoTOC">
    <w:name w:val="Heading 1 - No TOC"/>
    <w:basedOn w:val="Heading1"/>
    <w:rsid w:val="00315C16"/>
    <w:pPr>
      <w:outlineLvl w:val="9"/>
    </w:pPr>
    <w:rPr>
      <w:rFonts w:ascii="Arial" w:hAnsi="Arial"/>
      <w:smallCaps/>
      <w:sz w:val="34"/>
      <w:lang w:val="x-none"/>
    </w:rPr>
  </w:style>
  <w:style w:type="character" w:customStyle="1" w:styleId="FootnoteTextChar">
    <w:name w:val="Footnote Text Char"/>
    <w:basedOn w:val="DefaultParagraphFont"/>
    <w:link w:val="FootnoteText"/>
    <w:rsid w:val="0015227A"/>
    <w:rPr>
      <w:rFonts w:ascii="Book Antiqua" w:hAnsi="Book Antiqua"/>
      <w:sz w:val="18"/>
    </w:rPr>
  </w:style>
  <w:style w:type="numbering" w:customStyle="1" w:styleId="FigureTitles">
    <w:name w:val="Figure Titles"/>
    <w:uiPriority w:val="99"/>
    <w:rsid w:val="006A0B7F"/>
    <w:pPr>
      <w:numPr>
        <w:numId w:val="47"/>
      </w:numPr>
    </w:pPr>
  </w:style>
  <w:style w:type="numbering" w:customStyle="1" w:styleId="FigureTitles1">
    <w:name w:val="Figure Titles1"/>
    <w:uiPriority w:val="99"/>
    <w:rsid w:val="00851367"/>
  </w:style>
  <w:style w:type="numbering" w:customStyle="1" w:styleId="FigureTitles2">
    <w:name w:val="Figure Titles2"/>
    <w:uiPriority w:val="99"/>
    <w:rsid w:val="00DF4D2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6837046">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34066193">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8120470">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8877572">
      <w:bodyDiv w:val="1"/>
      <w:marLeft w:val="0"/>
      <w:marRight w:val="0"/>
      <w:marTop w:val="0"/>
      <w:marBottom w:val="0"/>
      <w:divBdr>
        <w:top w:val="none" w:sz="0" w:space="0" w:color="auto"/>
        <w:left w:val="none" w:sz="0" w:space="0" w:color="auto"/>
        <w:bottom w:val="none" w:sz="0" w:space="0" w:color="auto"/>
        <w:right w:val="none" w:sz="0" w:space="0" w:color="auto"/>
      </w:divBdr>
    </w:div>
    <w:div w:id="877083060">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3179884">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4203035">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3196225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0994859">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6913945">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58241378">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589123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8746719">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79664869">
      <w:bodyDiv w:val="1"/>
      <w:marLeft w:val="0"/>
      <w:marRight w:val="0"/>
      <w:marTop w:val="0"/>
      <w:marBottom w:val="0"/>
      <w:divBdr>
        <w:top w:val="none" w:sz="0" w:space="0" w:color="auto"/>
        <w:left w:val="none" w:sz="0" w:space="0" w:color="auto"/>
        <w:bottom w:val="none" w:sz="0" w:space="0" w:color="auto"/>
        <w:right w:val="none" w:sz="0" w:space="0" w:color="auto"/>
      </w:divBdr>
    </w:div>
    <w:div w:id="208013296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image" Target="media/image6.emf"/><Relationship Id="rId39" Type="http://schemas.openxmlformats.org/officeDocument/2006/relationships/image" Target="media/image19.emf"/><Relationship Id="rId21" Type="http://schemas.openxmlformats.org/officeDocument/2006/relationships/image" Target="media/image2.emf"/><Relationship Id="rId34" Type="http://schemas.openxmlformats.org/officeDocument/2006/relationships/image" Target="media/image14.emf"/><Relationship Id="rId42" Type="http://schemas.openxmlformats.org/officeDocument/2006/relationships/image" Target="media/image22.emf"/><Relationship Id="rId47" Type="http://schemas.openxmlformats.org/officeDocument/2006/relationships/image" Target="media/image27.emf"/><Relationship Id="rId50" Type="http://schemas.openxmlformats.org/officeDocument/2006/relationships/image" Target="media/image30.emf"/><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finance.gov.au/publications/annual-report/annual-report-2019-20" TargetMode="External"/><Relationship Id="rId33" Type="http://schemas.openxmlformats.org/officeDocument/2006/relationships/image" Target="media/image13.emf"/><Relationship Id="rId38" Type="http://schemas.openxmlformats.org/officeDocument/2006/relationships/image" Target="media/image18.emf"/><Relationship Id="rId46" Type="http://schemas.openxmlformats.org/officeDocument/2006/relationships/image" Target="media/image26.e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1.emf"/><Relationship Id="rId29" Type="http://schemas.openxmlformats.org/officeDocument/2006/relationships/image" Target="media/image9.emf"/><Relationship Id="rId41" Type="http://schemas.openxmlformats.org/officeDocument/2006/relationships/image" Target="media/image21.emf"/><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image" Target="media/image25.emf"/><Relationship Id="rId53" Type="http://schemas.openxmlformats.org/officeDocument/2006/relationships/header" Target="header5.xml"/><Relationship Id="rId246"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4.emf"/><Relationship Id="rId28" Type="http://schemas.openxmlformats.org/officeDocument/2006/relationships/image" Target="media/image8.emf"/><Relationship Id="rId36" Type="http://schemas.openxmlformats.org/officeDocument/2006/relationships/image" Target="media/image16.emf"/><Relationship Id="rId49" Type="http://schemas.openxmlformats.org/officeDocument/2006/relationships/image" Target="media/image29.emf"/><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image" Target="media/image11.emf"/><Relationship Id="rId44" Type="http://schemas.openxmlformats.org/officeDocument/2006/relationships/image" Target="media/image24.emf"/><Relationship Id="rId52"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image" Target="media/image3.e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image" Target="media/image23.emf"/><Relationship Id="rId48" Type="http://schemas.openxmlformats.org/officeDocument/2006/relationships/image" Target="media/image28.emf"/><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31.em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DE86753D67BF442826CD1F495260153" ma:contentTypeVersion="" ma:contentTypeDescription="PDMS Document Site Content Type" ma:contentTypeScope="" ma:versionID="8706136d7f3aef11a15f7d1ee2c94423">
  <xsd:schema xmlns:xsd="http://www.w3.org/2001/XMLSchema" xmlns:xs="http://www.w3.org/2001/XMLSchema" xmlns:p="http://schemas.microsoft.com/office/2006/metadata/properties" xmlns:ns2="F3553D15-9F97-42C0-9064-48B607B445D8" targetNamespace="http://schemas.microsoft.com/office/2006/metadata/properties" ma:root="true" ma:fieldsID="1067031f09024675dc8edf772bdbbd64" ns2:_="">
    <xsd:import namespace="F3553D15-9F97-42C0-9064-48B607B445D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53D15-9F97-42C0-9064-48B607B445D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3553D15-9F97-42C0-9064-48B607B445D8"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2.xml><?xml version="1.0" encoding="utf-8"?>
<ds:datastoreItem xmlns:ds="http://schemas.openxmlformats.org/officeDocument/2006/customXml" ds:itemID="{C417A2D2-B9F9-46A0-BA50-C00DB59D4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53D15-9F97-42C0-9064-48B607B44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EAD22-808A-4C85-A925-26BD5C865F70}">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F3553D15-9F97-42C0-9064-48B607B445D8"/>
    <ds:schemaRef ds:uri="http://www.w3.org/XML/1998/namespace"/>
    <ds:schemaRef ds:uri="http://purl.org/dc/dcmitype/"/>
  </ds:schemaRefs>
</ds:datastoreItem>
</file>

<file path=customXml/itemProps4.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5.xml><?xml version="1.0" encoding="utf-8"?>
<ds:datastoreItem xmlns:ds="http://schemas.openxmlformats.org/officeDocument/2006/customXml" ds:itemID="{3E12D1D5-741F-4809-B8EE-7B9A5DFC0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9298</Words>
  <Characters>58840</Characters>
  <Application>Microsoft Office Word</Application>
  <DocSecurity>0</DocSecurity>
  <Lines>490</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Budget</dc:subject>
  <dc:creator/>
  <cp:keywords/>
  <cp:lastModifiedBy/>
  <cp:revision>1</cp:revision>
  <dcterms:created xsi:type="dcterms:W3CDTF">2021-05-09T00:28:00Z</dcterms:created>
  <dcterms:modified xsi:type="dcterms:W3CDTF">2021-05-10T00:43:00Z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0x010100266966F133664895A6EE3632470D45F5004DE86753D67BF442826CD1F495260153</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1;#Agency Accounting and Budget Framework|17de058c-12f7-44f2-8e7d-03ff49305e52</vt:lpwstr>
  </property>
  <property fmtid="{D5CDD505-2E9C-101B-9397-08002B2CF9AE}" pid="8" name="_dlc_DocIdItemGuid">
    <vt:lpwstr>bc49937f-e872-4d3d-92e2-7f1e72378cf7</vt:lpwstr>
  </property>
</Properties>
</file>