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6.xml" ContentType="application/vnd.openxmlformats-officedocument.wordprocessingml.footer+xml"/>
  <Override PartName="/word/header58.xml" ContentType="application/vnd.openxmlformats-officedocument.wordprocessingml.header+xml"/>
  <Override PartName="/word/footer17.xml" ContentType="application/vnd.openxmlformats-officedocument.wordprocessingml.footer+xml"/>
  <Override PartName="/word/header59.xml" ContentType="application/vnd.openxmlformats-officedocument.wordprocessingml.header+xml"/>
  <Override PartName="/word/footer1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19.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20.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66.xml" ContentType="application/vnd.openxmlformats-officedocument.wordprocessingml.header+xml"/>
  <Override PartName="/word/footer23.xml" ContentType="application/vnd.openxmlformats-officedocument.wordprocessingml.footer+xml"/>
  <Override PartName="/word/header67.xml" ContentType="application/vnd.openxmlformats-officedocument.wordprocessingml.header+xml"/>
  <Override PartName="/word/footer24.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25.xml" ContentType="application/vnd.openxmlformats-officedocument.wordprocessingml.footer+xml"/>
  <Override PartName="/word/header71.xml" ContentType="application/vnd.openxmlformats-officedocument.wordprocessingml.header+xml"/>
  <Override PartName="/word/footer2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27.xml" ContentType="application/vnd.openxmlformats-officedocument.wordprocessingml.footer+xml"/>
  <Override PartName="/word/header76.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120D" w14:textId="77777777" w:rsidR="00F51DAC" w:rsidRPr="00321EC0" w:rsidRDefault="00084EF4" w:rsidP="003756BD">
      <w:pPr>
        <w:pStyle w:val="TPHeading1"/>
        <w:ind w:left="0"/>
        <w:jc w:val="center"/>
        <w:rPr>
          <w:rFonts w:ascii="Garamond" w:hAnsi="Garamond"/>
          <w:b w:val="0"/>
          <w:caps w:val="0"/>
          <w:sz w:val="56"/>
          <w:szCs w:val="56"/>
        </w:rPr>
      </w:pPr>
      <w:bookmarkStart w:id="0" w:name="_Toc23559331"/>
      <w:bookmarkStart w:id="1" w:name="_GoBack"/>
      <w:bookmarkEnd w:id="1"/>
      <w:r w:rsidRPr="00321EC0">
        <w:rPr>
          <w:rFonts w:ascii="Garamond" w:hAnsi="Garamond"/>
          <w:b w:val="0"/>
          <w:caps w:val="0"/>
          <w:sz w:val="56"/>
          <w:szCs w:val="56"/>
        </w:rPr>
        <w:t>Portfolio</w:t>
      </w:r>
      <w:r w:rsidR="00F51DAC" w:rsidRPr="00321EC0">
        <w:rPr>
          <w:rFonts w:ascii="Garamond" w:hAnsi="Garamond"/>
          <w:b w:val="0"/>
          <w:caps w:val="0"/>
          <w:sz w:val="56"/>
          <w:szCs w:val="56"/>
        </w:rPr>
        <w:t xml:space="preserve"> </w:t>
      </w:r>
      <w:r w:rsidRPr="00321EC0">
        <w:rPr>
          <w:rFonts w:ascii="Garamond" w:hAnsi="Garamond"/>
          <w:b w:val="0"/>
          <w:caps w:val="0"/>
          <w:sz w:val="56"/>
          <w:szCs w:val="56"/>
        </w:rPr>
        <w:t>A</w:t>
      </w:r>
      <w:r w:rsidR="00F51DAC" w:rsidRPr="00321EC0">
        <w:rPr>
          <w:rFonts w:ascii="Garamond" w:hAnsi="Garamond"/>
          <w:b w:val="0"/>
          <w:caps w:val="0"/>
          <w:sz w:val="56"/>
          <w:szCs w:val="56"/>
        </w:rPr>
        <w:t>dditional</w:t>
      </w:r>
    </w:p>
    <w:p w14:paraId="073D8B2A" w14:textId="77777777" w:rsidR="00F51DAC" w:rsidRPr="00321EC0" w:rsidRDefault="00F51DAC" w:rsidP="003756BD">
      <w:pPr>
        <w:pStyle w:val="TPHeading1"/>
        <w:ind w:left="0"/>
        <w:jc w:val="center"/>
        <w:rPr>
          <w:rFonts w:ascii="Garamond" w:hAnsi="Garamond"/>
          <w:b w:val="0"/>
          <w:caps w:val="0"/>
          <w:sz w:val="56"/>
          <w:szCs w:val="56"/>
        </w:rPr>
      </w:pPr>
      <w:r w:rsidRPr="00321EC0">
        <w:rPr>
          <w:rFonts w:ascii="Garamond" w:hAnsi="Garamond"/>
          <w:b w:val="0"/>
          <w:caps w:val="0"/>
          <w:sz w:val="56"/>
          <w:szCs w:val="56"/>
        </w:rPr>
        <w:t>E</w:t>
      </w:r>
      <w:r w:rsidR="00084EF4" w:rsidRPr="00321EC0">
        <w:rPr>
          <w:rFonts w:ascii="Garamond" w:hAnsi="Garamond"/>
          <w:b w:val="0"/>
          <w:caps w:val="0"/>
          <w:sz w:val="56"/>
          <w:szCs w:val="56"/>
        </w:rPr>
        <w:t>stimates</w:t>
      </w:r>
      <w:bookmarkEnd w:id="0"/>
      <w:r w:rsidRPr="00321EC0">
        <w:rPr>
          <w:rFonts w:ascii="Garamond" w:hAnsi="Garamond"/>
          <w:b w:val="0"/>
          <w:caps w:val="0"/>
          <w:sz w:val="56"/>
          <w:szCs w:val="56"/>
        </w:rPr>
        <w:t xml:space="preserve"> S</w:t>
      </w:r>
      <w:r w:rsidR="00084EF4" w:rsidRPr="00321EC0">
        <w:rPr>
          <w:rFonts w:ascii="Garamond" w:hAnsi="Garamond"/>
          <w:b w:val="0"/>
          <w:caps w:val="0"/>
          <w:sz w:val="56"/>
          <w:szCs w:val="56"/>
        </w:rPr>
        <w:t xml:space="preserve">tatements </w:t>
      </w:r>
      <w:r w:rsidR="007F19BF" w:rsidRPr="00321EC0">
        <w:rPr>
          <w:rFonts w:ascii="Garamond" w:hAnsi="Garamond"/>
          <w:b w:val="0"/>
          <w:caps w:val="0"/>
          <w:sz w:val="56"/>
          <w:szCs w:val="56"/>
        </w:rPr>
        <w:t>2020-21</w:t>
      </w:r>
    </w:p>
    <w:p w14:paraId="5F108945" w14:textId="77777777" w:rsidR="00F51DAC" w:rsidRPr="00321EC0" w:rsidRDefault="00F51DAC" w:rsidP="00AC530C"/>
    <w:p w14:paraId="186F130E" w14:textId="77777777" w:rsidR="00F51DAC" w:rsidRPr="00321EC0" w:rsidRDefault="00F51DAC" w:rsidP="00AC530C"/>
    <w:p w14:paraId="783AC4A4" w14:textId="77777777" w:rsidR="00F51DAC" w:rsidRPr="00321EC0" w:rsidRDefault="002B5CB5" w:rsidP="003756BD">
      <w:pPr>
        <w:pStyle w:val="TPHeading2"/>
        <w:ind w:left="0"/>
        <w:jc w:val="center"/>
        <w:rPr>
          <w:rFonts w:ascii="Garamond" w:hAnsi="Garamond"/>
          <w:caps w:val="0"/>
        </w:rPr>
      </w:pPr>
      <w:r w:rsidRPr="00321EC0">
        <w:rPr>
          <w:rFonts w:ascii="Garamond" w:hAnsi="Garamond"/>
          <w:caps w:val="0"/>
        </w:rPr>
        <w:t>Finance</w:t>
      </w:r>
      <w:r w:rsidR="00084EF4" w:rsidRPr="00321EC0">
        <w:rPr>
          <w:rFonts w:ascii="Garamond" w:hAnsi="Garamond"/>
          <w:caps w:val="0"/>
        </w:rPr>
        <w:t xml:space="preserve"> </w:t>
      </w:r>
      <w:r w:rsidR="00F51DAC" w:rsidRPr="00321EC0">
        <w:rPr>
          <w:rFonts w:ascii="Garamond" w:hAnsi="Garamond"/>
          <w:caps w:val="0"/>
        </w:rPr>
        <w:t>P</w:t>
      </w:r>
      <w:r w:rsidR="00084EF4" w:rsidRPr="00321EC0">
        <w:rPr>
          <w:rFonts w:ascii="Garamond" w:hAnsi="Garamond"/>
          <w:caps w:val="0"/>
        </w:rPr>
        <w:t>ortfolio</w:t>
      </w:r>
    </w:p>
    <w:p w14:paraId="0196CF81" w14:textId="77777777" w:rsidR="00F51DAC" w:rsidRPr="00321EC0" w:rsidRDefault="00F51DAC" w:rsidP="00AC530C"/>
    <w:p w14:paraId="11A32829" w14:textId="77777777" w:rsidR="00F51DAC" w:rsidRPr="00321EC0" w:rsidRDefault="00F51DAC" w:rsidP="00AC530C"/>
    <w:p w14:paraId="3B486B63" w14:textId="77777777" w:rsidR="00AC530C" w:rsidRPr="00321EC0" w:rsidRDefault="00AC530C" w:rsidP="00AC530C"/>
    <w:p w14:paraId="644C86AC" w14:textId="77777777" w:rsidR="00AC530C" w:rsidRPr="00321EC0" w:rsidRDefault="00AC530C" w:rsidP="00AC530C"/>
    <w:p w14:paraId="66D76493" w14:textId="77777777" w:rsidR="00F51DAC" w:rsidRPr="00321EC0" w:rsidRDefault="00F51DAC" w:rsidP="00AC530C"/>
    <w:p w14:paraId="703A5169" w14:textId="77777777" w:rsidR="00F51DAC" w:rsidRPr="00321EC0" w:rsidRDefault="00F51DAC" w:rsidP="00AC530C"/>
    <w:p w14:paraId="08522C93" w14:textId="77777777" w:rsidR="00F51DAC" w:rsidRPr="00321EC0" w:rsidRDefault="00F51DAC" w:rsidP="00AC530C"/>
    <w:p w14:paraId="5384A798" w14:textId="77777777" w:rsidR="00F51DAC" w:rsidRPr="00321EC0" w:rsidRDefault="00F51DAC" w:rsidP="00AC530C"/>
    <w:p w14:paraId="231E41CB" w14:textId="77777777" w:rsidR="00F51DAC" w:rsidRPr="00321EC0" w:rsidRDefault="00F51DAC" w:rsidP="00AC530C"/>
    <w:p w14:paraId="5ACEDED6" w14:textId="77777777" w:rsidR="00F51DAC" w:rsidRPr="00321EC0" w:rsidRDefault="00F51DAC" w:rsidP="00AC530C">
      <w:pPr>
        <w:pStyle w:val="TPHeading3"/>
        <w:ind w:left="0"/>
        <w:jc w:val="center"/>
        <w:rPr>
          <w:rFonts w:ascii="Garamond" w:hAnsi="Garamond"/>
          <w:caps w:val="0"/>
        </w:rPr>
      </w:pPr>
      <w:r w:rsidRPr="00321EC0">
        <w:rPr>
          <w:rFonts w:ascii="Garamond" w:hAnsi="Garamond"/>
          <w:caps w:val="0"/>
        </w:rPr>
        <w:t xml:space="preserve">Explanations of </w:t>
      </w:r>
      <w:r w:rsidR="00084EF4" w:rsidRPr="00321EC0">
        <w:rPr>
          <w:rFonts w:ascii="Garamond" w:hAnsi="Garamond"/>
          <w:caps w:val="0"/>
        </w:rPr>
        <w:t>A</w:t>
      </w:r>
      <w:r w:rsidRPr="00321EC0">
        <w:rPr>
          <w:rFonts w:ascii="Garamond" w:hAnsi="Garamond"/>
          <w:caps w:val="0"/>
        </w:rPr>
        <w:t xml:space="preserve">dditional </w:t>
      </w:r>
      <w:r w:rsidR="00084EF4" w:rsidRPr="00321EC0">
        <w:rPr>
          <w:rFonts w:ascii="Garamond" w:hAnsi="Garamond"/>
          <w:caps w:val="0"/>
        </w:rPr>
        <w:t>E</w:t>
      </w:r>
      <w:r w:rsidRPr="00321EC0">
        <w:rPr>
          <w:rFonts w:ascii="Garamond" w:hAnsi="Garamond"/>
          <w:caps w:val="0"/>
        </w:rPr>
        <w:t xml:space="preserve">stimates </w:t>
      </w:r>
      <w:r w:rsidR="007F19BF" w:rsidRPr="00321EC0">
        <w:rPr>
          <w:rFonts w:ascii="Garamond" w:hAnsi="Garamond"/>
          <w:caps w:val="0"/>
        </w:rPr>
        <w:t>2020-21</w:t>
      </w:r>
    </w:p>
    <w:p w14:paraId="4D47ACA1" w14:textId="77777777" w:rsidR="002D78B8" w:rsidRPr="00321EC0" w:rsidRDefault="002D78B8" w:rsidP="00AC530C">
      <w:pPr>
        <w:pStyle w:val="TPHeading3"/>
        <w:ind w:left="0"/>
        <w:jc w:val="center"/>
        <w:rPr>
          <w:snapToGrid w:val="0"/>
        </w:rPr>
      </w:pPr>
    </w:p>
    <w:p w14:paraId="51B6841D" w14:textId="77777777" w:rsidR="00F51DAC" w:rsidRPr="00321EC0" w:rsidRDefault="00F51DAC" w:rsidP="00F51DAC">
      <w:pPr>
        <w:pStyle w:val="OverviewParagraph"/>
        <w:rPr>
          <w:rFonts w:ascii="Arial" w:hAnsi="Arial"/>
        </w:rPr>
        <w:sectPr w:rsidR="00F51DAC" w:rsidRPr="00321EC0" w:rsidSect="00230BD3">
          <w:headerReference w:type="even" r:id="rId12"/>
          <w:headerReference w:type="default" r:id="rId13"/>
          <w:footerReference w:type="even" r:id="rId14"/>
          <w:footerReference w:type="default" r:id="rId15"/>
          <w:pgSz w:w="11907" w:h="16840" w:code="9"/>
          <w:pgMar w:top="2466" w:right="2098" w:bottom="2466" w:left="2098" w:header="1899" w:footer="1899" w:gutter="0"/>
          <w:pgNumType w:fmt="lowerRoman" w:start="1"/>
          <w:cols w:space="720"/>
          <w:vAlign w:val="bottom"/>
          <w:titlePg/>
        </w:sectPr>
      </w:pPr>
      <w:bookmarkStart w:id="2" w:name="_Toc491014608"/>
      <w:bookmarkStart w:id="3" w:name="_Toc491014750"/>
      <w:bookmarkStart w:id="4" w:name="_Toc491031921"/>
    </w:p>
    <w:p w14:paraId="61F72E64" w14:textId="77777777" w:rsidR="002B5CB5" w:rsidRPr="00321EC0" w:rsidRDefault="002B5CB5" w:rsidP="002B5CB5">
      <w:r w:rsidRPr="00321EC0">
        <w:lastRenderedPageBreak/>
        <w:t>© Commonwealth of Australia 2020</w:t>
      </w:r>
    </w:p>
    <w:p w14:paraId="62BB94B5" w14:textId="77777777" w:rsidR="002B5CB5" w:rsidRPr="00321EC0" w:rsidRDefault="00937AAD" w:rsidP="002B5CB5">
      <w:r w:rsidRPr="00937AAD">
        <w:t>ISSN 2651-933X (Print); 2651-9348 (Online)</w:t>
      </w:r>
    </w:p>
    <w:p w14:paraId="5144D08D" w14:textId="77777777" w:rsidR="002B5CB5" w:rsidRPr="00321EC0" w:rsidRDefault="002B5CB5" w:rsidP="002B5CB5">
      <w:pPr>
        <w:tabs>
          <w:tab w:val="left" w:pos="1650"/>
        </w:tabs>
        <w:spacing w:before="100" w:beforeAutospacing="1" w:after="100" w:afterAutospacing="1"/>
        <w:rPr>
          <w:rStyle w:val="A5"/>
          <w:rFonts w:ascii="Calibri" w:hAnsi="Calibri"/>
          <w:sz w:val="24"/>
          <w:szCs w:val="24"/>
        </w:rPr>
      </w:pPr>
      <w:r w:rsidRPr="00321EC0">
        <w:t>This publication is available for your use under a</w:t>
      </w:r>
      <w:r w:rsidRPr="00321EC0">
        <w:rPr>
          <w:rStyle w:val="A5"/>
          <w:rFonts w:ascii="Calibri" w:hAnsi="Calibri" w:cs="Calibri"/>
          <w:sz w:val="24"/>
          <w:szCs w:val="24"/>
        </w:rPr>
        <w:t xml:space="preserve"> </w:t>
      </w:r>
      <w:hyperlink r:id="rId16" w:history="1">
        <w:r w:rsidRPr="00321EC0">
          <w:rPr>
            <w:rStyle w:val="Hyperlink"/>
          </w:rPr>
          <w:t>Creative Commons BY Attribution 3.0 Australia</w:t>
        </w:r>
      </w:hyperlink>
      <w:r w:rsidRPr="00321EC0">
        <w:rPr>
          <w:rStyle w:val="A5"/>
          <w:rFonts w:ascii="Calibri" w:hAnsi="Calibri" w:cs="Calibri"/>
          <w:sz w:val="24"/>
          <w:szCs w:val="24"/>
        </w:rPr>
        <w:t xml:space="preserve"> </w:t>
      </w:r>
      <w:r w:rsidRPr="00321EC0">
        <w:t xml:space="preserve">licence, with the exception of the Commonwealth Coat of Arms, the </w:t>
      </w:r>
      <w:r w:rsidRPr="00321EC0">
        <w:rPr>
          <w:color w:val="000000"/>
        </w:rPr>
        <w:t>Department of Finance (Finance)</w:t>
      </w:r>
      <w:r w:rsidRPr="00321EC0">
        <w:rPr>
          <w:color w:val="FF0000"/>
        </w:rPr>
        <w:t xml:space="preserve"> </w:t>
      </w:r>
      <w:r w:rsidRPr="00321EC0">
        <w:t>logo, photographs, images, signatures and where otherwise stated. The full licence terms are available from</w:t>
      </w:r>
      <w:r w:rsidRPr="00321EC0">
        <w:rPr>
          <w:rStyle w:val="A5"/>
          <w:rFonts w:ascii="Calibri" w:hAnsi="Calibri" w:cs="Calibri"/>
          <w:sz w:val="24"/>
          <w:szCs w:val="24"/>
        </w:rPr>
        <w:t xml:space="preserve"> </w:t>
      </w:r>
      <w:hyperlink r:id="rId17" w:history="1">
        <w:r w:rsidRPr="00321EC0">
          <w:rPr>
            <w:rStyle w:val="Hyperlink"/>
          </w:rPr>
          <w:t>http://creativecommons.org/licenses/by/3.0/au/legalcode</w:t>
        </w:r>
      </w:hyperlink>
      <w:r w:rsidRPr="00321EC0">
        <w:rPr>
          <w:rStyle w:val="Hyperlink"/>
        </w:rPr>
        <w:t>.</w:t>
      </w:r>
    </w:p>
    <w:p w14:paraId="5801812C" w14:textId="77777777" w:rsidR="002B5CB5" w:rsidRPr="00321EC0" w:rsidRDefault="002B5CB5" w:rsidP="002B5CB5">
      <w:pPr>
        <w:tabs>
          <w:tab w:val="left" w:pos="1650"/>
        </w:tabs>
        <w:spacing w:before="100" w:beforeAutospacing="1" w:after="100" w:afterAutospacing="1" w:line="240" w:lineRule="auto"/>
        <w:rPr>
          <w:rFonts w:cs="Calibri"/>
        </w:rPr>
      </w:pPr>
      <w:r w:rsidRPr="00321EC0">
        <w:rPr>
          <w:rFonts w:cs="Calibri"/>
          <w:noProof/>
        </w:rPr>
        <w:drawing>
          <wp:inline distT="0" distB="0" distL="0" distR="0" wp14:anchorId="28E69EDA" wp14:editId="3268E6EA">
            <wp:extent cx="1058545" cy="364490"/>
            <wp:effectExtent l="0" t="0" r="8255" b="0"/>
            <wp:docPr id="11" name="Picture 1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8545" cy="364490"/>
                    </a:xfrm>
                    <a:prstGeom prst="rect">
                      <a:avLst/>
                    </a:prstGeom>
                    <a:noFill/>
                    <a:ln>
                      <a:noFill/>
                    </a:ln>
                  </pic:spPr>
                </pic:pic>
              </a:graphicData>
            </a:graphic>
          </wp:inline>
        </w:drawing>
      </w:r>
    </w:p>
    <w:p w14:paraId="4CC5478E" w14:textId="77777777" w:rsidR="002B5CB5" w:rsidRPr="00321EC0" w:rsidRDefault="002B5CB5" w:rsidP="002B5CB5">
      <w:pPr>
        <w:tabs>
          <w:tab w:val="left" w:pos="1650"/>
        </w:tabs>
        <w:spacing w:before="100" w:beforeAutospacing="1" w:after="100" w:afterAutospacing="1"/>
        <w:rPr>
          <w:sz w:val="22"/>
          <w:szCs w:val="22"/>
        </w:rPr>
      </w:pPr>
      <w:r w:rsidRPr="00321EC0">
        <w:t xml:space="preserve">Use of </w:t>
      </w:r>
      <w:r w:rsidRPr="00321EC0">
        <w:rPr>
          <w:color w:val="000000"/>
        </w:rPr>
        <w:t xml:space="preserve">Finance </w:t>
      </w:r>
      <w:r w:rsidRPr="00321EC0">
        <w:t>material under a</w:t>
      </w:r>
      <w:r w:rsidRPr="00321EC0">
        <w:rPr>
          <w:rFonts w:cs="Calibri"/>
          <w:color w:val="000000"/>
          <w:sz w:val="24"/>
          <w:szCs w:val="24"/>
        </w:rPr>
        <w:t xml:space="preserve"> </w:t>
      </w:r>
      <w:hyperlink r:id="rId19" w:history="1">
        <w:r w:rsidRPr="00321EC0">
          <w:rPr>
            <w:rStyle w:val="Hyperlink"/>
          </w:rPr>
          <w:t>Creative Commons BY Attribution 3.0 Australia</w:t>
        </w:r>
      </w:hyperlink>
      <w:r w:rsidRPr="00321EC0">
        <w:rPr>
          <w:rStyle w:val="Hyperlink"/>
        </w:rPr>
        <w:t xml:space="preserve"> </w:t>
      </w:r>
      <w:r w:rsidRPr="00321EC0">
        <w:t>licence requires you to attribute the work (but not in any way that suggests that Finance endorses you or your use of the work).</w:t>
      </w:r>
    </w:p>
    <w:p w14:paraId="4756F2DE" w14:textId="77777777" w:rsidR="002B5CB5" w:rsidRPr="00321EC0" w:rsidRDefault="002B5CB5" w:rsidP="002B5CB5">
      <w:pPr>
        <w:ind w:left="567"/>
        <w:rPr>
          <w:i/>
        </w:rPr>
      </w:pPr>
      <w:r w:rsidRPr="00321EC0">
        <w:rPr>
          <w:i/>
          <w:color w:val="000000"/>
        </w:rPr>
        <w:t>Australian Government Department of Finance</w:t>
      </w:r>
      <w:r w:rsidRPr="00321EC0">
        <w:rPr>
          <w:color w:val="FF0000"/>
        </w:rPr>
        <w:t xml:space="preserve"> </w:t>
      </w:r>
      <w:r w:rsidRPr="00321EC0">
        <w:rPr>
          <w:i/>
        </w:rPr>
        <w:t>material used 'as supplied'</w:t>
      </w:r>
    </w:p>
    <w:p w14:paraId="6DB01825" w14:textId="77777777" w:rsidR="002B5CB5" w:rsidRPr="00321EC0" w:rsidRDefault="002B5CB5" w:rsidP="002B5CB5">
      <w:r w:rsidRPr="00321EC0">
        <w:t>Provided you have not modified or transformed Finance material in any way including, for example, by changing the Finance text; calculating percentage changes; graphing or charting data; or deriving new statistics from published Finance statistics – then Finance prefers the following attribution:</w:t>
      </w:r>
    </w:p>
    <w:p w14:paraId="179B3A0E" w14:textId="77777777" w:rsidR="002B5CB5" w:rsidRPr="00321EC0" w:rsidRDefault="002B5CB5" w:rsidP="002B5CB5">
      <w:pPr>
        <w:ind w:left="567"/>
        <w:rPr>
          <w:color w:val="FF0000"/>
        </w:rPr>
      </w:pPr>
      <w:r w:rsidRPr="00321EC0">
        <w:rPr>
          <w:i/>
        </w:rPr>
        <w:t xml:space="preserve">Source: The </w:t>
      </w:r>
      <w:r w:rsidRPr="00321EC0">
        <w:rPr>
          <w:i/>
          <w:iCs/>
        </w:rPr>
        <w:t>Australian Government </w:t>
      </w:r>
      <w:r w:rsidRPr="00321EC0">
        <w:rPr>
          <w:i/>
          <w:color w:val="000000"/>
        </w:rPr>
        <w:t>Department of Finance</w:t>
      </w:r>
    </w:p>
    <w:p w14:paraId="390EF33E" w14:textId="77777777" w:rsidR="002B5CB5" w:rsidRPr="00321EC0" w:rsidRDefault="002B5CB5" w:rsidP="002B5CB5">
      <w:pPr>
        <w:spacing w:after="120"/>
        <w:rPr>
          <w:b/>
        </w:rPr>
      </w:pPr>
      <w:r w:rsidRPr="00321EC0">
        <w:rPr>
          <w:b/>
        </w:rPr>
        <w:t>Derivative material</w:t>
      </w:r>
    </w:p>
    <w:p w14:paraId="0D96684B" w14:textId="77777777" w:rsidR="002B5CB5" w:rsidRPr="00321EC0" w:rsidRDefault="002B5CB5" w:rsidP="002B5CB5">
      <w:r w:rsidRPr="00321EC0">
        <w:t xml:space="preserve">If you have modified or transformed </w:t>
      </w:r>
      <w:r w:rsidRPr="00321EC0">
        <w:rPr>
          <w:color w:val="000000"/>
        </w:rPr>
        <w:t>Finance</w:t>
      </w:r>
      <w:r w:rsidRPr="00321EC0">
        <w:t xml:space="preserve"> material, or derived new material from those of Finance in any way, then </w:t>
      </w:r>
      <w:r w:rsidRPr="00321EC0">
        <w:rPr>
          <w:color w:val="000000"/>
        </w:rPr>
        <w:t>Finance</w:t>
      </w:r>
      <w:r w:rsidRPr="00321EC0">
        <w:t xml:space="preserve"> prefers the following attribution:</w:t>
      </w:r>
    </w:p>
    <w:p w14:paraId="5E2BC5C2" w14:textId="77777777" w:rsidR="002B5CB5" w:rsidRPr="00321EC0" w:rsidRDefault="002B5CB5" w:rsidP="002B5CB5">
      <w:pPr>
        <w:ind w:left="567"/>
        <w:rPr>
          <w:color w:val="FF0000"/>
        </w:rPr>
      </w:pPr>
      <w:r w:rsidRPr="00321EC0">
        <w:rPr>
          <w:i/>
        </w:rPr>
        <w:t xml:space="preserve">Based on The Australian Government </w:t>
      </w:r>
      <w:r w:rsidRPr="00321EC0">
        <w:rPr>
          <w:i/>
          <w:color w:val="000000"/>
        </w:rPr>
        <w:t>Department of Finance</w:t>
      </w:r>
    </w:p>
    <w:p w14:paraId="504E8C60" w14:textId="77777777" w:rsidR="002B5CB5" w:rsidRPr="00321EC0" w:rsidRDefault="002B5CB5" w:rsidP="002B5CB5">
      <w:pPr>
        <w:spacing w:after="120"/>
        <w:rPr>
          <w:b/>
        </w:rPr>
      </w:pPr>
      <w:r w:rsidRPr="00321EC0">
        <w:rPr>
          <w:b/>
        </w:rPr>
        <w:t>Use of the Coat of Arms</w:t>
      </w:r>
    </w:p>
    <w:p w14:paraId="706C241A" w14:textId="77777777" w:rsidR="002B5CB5" w:rsidRPr="00321EC0" w:rsidRDefault="002B5CB5" w:rsidP="002B5CB5">
      <w:r w:rsidRPr="00321EC0">
        <w:t xml:space="preserve">The terms under which the Coat of Arms can be used are set out on the It’s an Honour website (see </w:t>
      </w:r>
      <w:hyperlink r:id="rId20" w:history="1">
        <w:r w:rsidRPr="00321EC0">
          <w:rPr>
            <w:rStyle w:val="Hyperlink"/>
          </w:rPr>
          <w:t>www.itsanhonour.gov.au</w:t>
        </w:r>
      </w:hyperlink>
      <w:r w:rsidRPr="00321EC0">
        <w:t>).</w:t>
      </w:r>
    </w:p>
    <w:p w14:paraId="7FB1E27E" w14:textId="77777777" w:rsidR="002B5CB5" w:rsidRPr="00321EC0" w:rsidRDefault="002B5CB5" w:rsidP="002B5CB5">
      <w:pPr>
        <w:spacing w:after="120"/>
        <w:rPr>
          <w:b/>
        </w:rPr>
      </w:pPr>
      <w:r w:rsidRPr="00321EC0">
        <w:rPr>
          <w:b/>
        </w:rPr>
        <w:t>Other uses</w:t>
      </w:r>
    </w:p>
    <w:p w14:paraId="664AEF16" w14:textId="77777777" w:rsidR="002B5CB5" w:rsidRPr="00321EC0" w:rsidRDefault="002B5CB5" w:rsidP="002B5CB5">
      <w:r w:rsidRPr="00321EC0">
        <w:t>Enquiries regarding this licence and any other use of this document are welcome at:</w:t>
      </w:r>
    </w:p>
    <w:p w14:paraId="63C30DCF" w14:textId="77777777" w:rsidR="002B5CB5" w:rsidRPr="00321EC0" w:rsidRDefault="002B5CB5" w:rsidP="002B5CB5">
      <w:pPr>
        <w:jc w:val="left"/>
        <w:rPr>
          <w:color w:val="000000"/>
        </w:rPr>
      </w:pPr>
      <w:r w:rsidRPr="00321EC0">
        <w:rPr>
          <w:color w:val="000000"/>
        </w:rPr>
        <w:t xml:space="preserve">Copyright Coordinator </w:t>
      </w:r>
      <w:r w:rsidRPr="00321EC0">
        <w:rPr>
          <w:color w:val="000000"/>
        </w:rPr>
        <w:br/>
        <w:t>Department of Finance</w:t>
      </w:r>
      <w:r w:rsidRPr="00321EC0">
        <w:rPr>
          <w:color w:val="000000"/>
        </w:rPr>
        <w:br/>
        <w:t>One Canberra Avenue</w:t>
      </w:r>
      <w:r w:rsidRPr="00321EC0">
        <w:rPr>
          <w:color w:val="000000"/>
        </w:rPr>
        <w:br/>
        <w:t>FORREST ACT 2603</w:t>
      </w:r>
      <w:r w:rsidRPr="00321EC0">
        <w:rPr>
          <w:color w:val="000000"/>
        </w:rPr>
        <w:br/>
        <w:t>Email: publications@finance.gov.au</w:t>
      </w:r>
    </w:p>
    <w:p w14:paraId="4CF5B0D7" w14:textId="77777777" w:rsidR="00541D82" w:rsidRPr="00321EC0" w:rsidRDefault="00541D82" w:rsidP="00541D82">
      <w:pPr>
        <w:pStyle w:val="Crest"/>
        <w:jc w:val="left"/>
      </w:pPr>
      <w:r w:rsidRPr="00321EC0">
        <w:rPr>
          <w:noProof/>
        </w:rPr>
        <w:lastRenderedPageBreak/>
        <mc:AlternateContent>
          <mc:Choice Requires="wps">
            <w:drawing>
              <wp:anchor distT="0" distB="0" distL="114300" distR="114300" simplePos="0" relativeHeight="251666432" behindDoc="0" locked="0" layoutInCell="1" allowOverlap="1" wp14:anchorId="7D6F710D" wp14:editId="3750FBF4">
                <wp:simplePos x="0" y="0"/>
                <wp:positionH relativeFrom="column">
                  <wp:posOffset>-436880</wp:posOffset>
                </wp:positionH>
                <wp:positionV relativeFrom="page">
                  <wp:posOffset>1344204</wp:posOffset>
                </wp:positionV>
                <wp:extent cx="5780405" cy="650240"/>
                <wp:effectExtent l="0" t="0" r="0" b="0"/>
                <wp:wrapTopAndBottom/>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9AFD" w14:textId="77777777" w:rsidR="009E45BA" w:rsidRPr="001B76E5" w:rsidRDefault="009E45BA" w:rsidP="00541D82">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SIMON BIRMINGHAM</w:t>
                            </w:r>
                          </w:p>
                          <w:p w14:paraId="380DB1DB" w14:textId="77777777" w:rsidR="009E45BA" w:rsidRDefault="009E45BA" w:rsidP="00541D82">
                            <w:pPr>
                              <w:pStyle w:val="HeadingOffice"/>
                              <w:rPr>
                                <w:rFonts w:ascii="Times New Roman" w:hAnsi="Times New Roman"/>
                                <w:b/>
                                <w:sz w:val="23"/>
                                <w:szCs w:val="23"/>
                              </w:rPr>
                            </w:pPr>
                            <w:r w:rsidRPr="00DA1A40">
                              <w:rPr>
                                <w:rFonts w:ascii="Times New Roman" w:hAnsi="Times New Roman"/>
                                <w:b/>
                                <w:sz w:val="23"/>
                                <w:szCs w:val="23"/>
                              </w:rPr>
                              <w:t>Minister for Finance</w:t>
                            </w:r>
                            <w:r>
                              <w:rPr>
                                <w:rFonts w:ascii="Times New Roman" w:hAnsi="Times New Roman"/>
                                <w:b/>
                                <w:sz w:val="23"/>
                                <w:szCs w:val="23"/>
                              </w:rPr>
                              <w:t xml:space="preserve"> </w:t>
                            </w:r>
                          </w:p>
                          <w:p w14:paraId="006CDF27" w14:textId="77777777" w:rsidR="009E45BA" w:rsidRPr="00131F2F" w:rsidRDefault="009E45BA" w:rsidP="00541D82">
                            <w:pPr>
                              <w:pStyle w:val="HeadingOffice"/>
                              <w:rPr>
                                <w:szCs w:val="28"/>
                              </w:rPr>
                            </w:pPr>
                            <w:r>
                              <w:rPr>
                                <w:rFonts w:ascii="Times New Roman" w:hAnsi="Times New Roman"/>
                                <w:b/>
                                <w:sz w:val="23"/>
                                <w:szCs w:val="23"/>
                              </w:rPr>
                              <w:t>Leader of the Government in the Senate</w:t>
                            </w:r>
                          </w:p>
                          <w:p w14:paraId="6BB97E4F" w14:textId="77777777" w:rsidR="009E45BA" w:rsidRPr="00131F2F" w:rsidRDefault="009E45BA" w:rsidP="00541D82">
                            <w:pPr>
                              <w:pStyle w:val="HeadingOffice"/>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F710D" id="_x0000_t202" coordsize="21600,21600" o:spt="202" path="m,l,21600r21600,l21600,xe">
                <v:stroke joinstyle="miter"/>
                <v:path gradientshapeok="t" o:connecttype="rect"/>
              </v:shapetype>
              <v:shape id="Text Box 118" o:spid="_x0000_s1026" type="#_x0000_t202" style="position:absolute;margin-left:-34.4pt;margin-top:105.85pt;width:455.15pt;height:5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vgwIAABM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" stroked="f">
                <v:textbox>
                  <w:txbxContent>
                    <w:p w14:paraId="52739AFD" w14:textId="77777777" w:rsidR="009E45BA" w:rsidRPr="001B76E5" w:rsidRDefault="009E45BA" w:rsidP="00541D82">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SIMON BIRMINGHAM</w:t>
                      </w:r>
                    </w:p>
                    <w:p w14:paraId="380DB1DB" w14:textId="77777777" w:rsidR="009E45BA" w:rsidRDefault="009E45BA" w:rsidP="00541D82">
                      <w:pPr>
                        <w:pStyle w:val="HeadingOffice"/>
                        <w:rPr>
                          <w:rFonts w:ascii="Times New Roman" w:hAnsi="Times New Roman"/>
                          <w:b/>
                          <w:sz w:val="23"/>
                          <w:szCs w:val="23"/>
                        </w:rPr>
                      </w:pPr>
                      <w:r w:rsidRPr="00DA1A40">
                        <w:rPr>
                          <w:rFonts w:ascii="Times New Roman" w:hAnsi="Times New Roman"/>
                          <w:b/>
                          <w:sz w:val="23"/>
                          <w:szCs w:val="23"/>
                        </w:rPr>
                        <w:t>Minister for Finance</w:t>
                      </w:r>
                      <w:r>
                        <w:rPr>
                          <w:rFonts w:ascii="Times New Roman" w:hAnsi="Times New Roman"/>
                          <w:b/>
                          <w:sz w:val="23"/>
                          <w:szCs w:val="23"/>
                        </w:rPr>
                        <w:t xml:space="preserve"> </w:t>
                      </w:r>
                    </w:p>
                    <w:p w14:paraId="006CDF27" w14:textId="77777777" w:rsidR="009E45BA" w:rsidRPr="00131F2F" w:rsidRDefault="009E45BA" w:rsidP="00541D82">
                      <w:pPr>
                        <w:pStyle w:val="HeadingOffice"/>
                        <w:rPr>
                          <w:szCs w:val="28"/>
                        </w:rPr>
                      </w:pPr>
                      <w:r>
                        <w:rPr>
                          <w:rFonts w:ascii="Times New Roman" w:hAnsi="Times New Roman"/>
                          <w:b/>
                          <w:sz w:val="23"/>
                          <w:szCs w:val="23"/>
                        </w:rPr>
                        <w:t>Leader of the Government in the Senate</w:t>
                      </w:r>
                    </w:p>
                    <w:p w14:paraId="6BB97E4F" w14:textId="77777777" w:rsidR="009E45BA" w:rsidRPr="00131F2F" w:rsidRDefault="009E45BA" w:rsidP="00541D82">
                      <w:pPr>
                        <w:pStyle w:val="HeadingOffice"/>
                        <w:rPr>
                          <w:szCs w:val="28"/>
                        </w:rPr>
                      </w:pPr>
                    </w:p>
                  </w:txbxContent>
                </v:textbox>
                <w10:wrap type="topAndBottom" anchory="page"/>
              </v:shape>
            </w:pict>
          </mc:Fallback>
        </mc:AlternateContent>
      </w:r>
    </w:p>
    <w:p w14:paraId="088DFE80" w14:textId="77777777" w:rsidR="00541D82" w:rsidRPr="00321EC0" w:rsidRDefault="00541D82" w:rsidP="00541D82">
      <w:pPr>
        <w:jc w:val="left"/>
      </w:pPr>
    </w:p>
    <w:p w14:paraId="4A693889" w14:textId="77777777" w:rsidR="00541D82" w:rsidRPr="00321EC0" w:rsidRDefault="00541D82" w:rsidP="00541D82">
      <w:pPr>
        <w:jc w:val="left"/>
      </w:pPr>
    </w:p>
    <w:p w14:paraId="41AAB6E9" w14:textId="77777777" w:rsidR="001A7D0D" w:rsidRPr="00321EC0" w:rsidRDefault="00EC2120" w:rsidP="00F51DAC">
      <w:pPr>
        <w:pStyle w:val="SinglePara"/>
      </w:pPr>
      <w:r>
        <w:t>Senator t</w:t>
      </w:r>
      <w:r w:rsidR="001A7D0D" w:rsidRPr="00321EC0">
        <w:t>he Hon Scott Ryan</w:t>
      </w:r>
    </w:p>
    <w:p w14:paraId="4D37EC00" w14:textId="77777777" w:rsidR="00F51DAC" w:rsidRPr="00321EC0" w:rsidRDefault="00F51DAC" w:rsidP="00F51DAC">
      <w:pPr>
        <w:pStyle w:val="SinglePara"/>
      </w:pPr>
      <w:r w:rsidRPr="00321EC0">
        <w:t>President of the Senate</w:t>
      </w:r>
    </w:p>
    <w:p w14:paraId="7565904B" w14:textId="77777777" w:rsidR="00F51DAC" w:rsidRPr="00321EC0" w:rsidRDefault="00F51DAC" w:rsidP="00F51DAC">
      <w:pPr>
        <w:pStyle w:val="SinglePara"/>
      </w:pPr>
      <w:r w:rsidRPr="00321EC0">
        <w:t>Australian Senate</w:t>
      </w:r>
    </w:p>
    <w:p w14:paraId="545D7459" w14:textId="77777777" w:rsidR="00F51DAC" w:rsidRPr="00321EC0" w:rsidRDefault="00F51DAC" w:rsidP="00F51DAC">
      <w:pPr>
        <w:pStyle w:val="SinglePara"/>
      </w:pPr>
      <w:r w:rsidRPr="00321EC0">
        <w:t>Parliament House</w:t>
      </w:r>
    </w:p>
    <w:p w14:paraId="204551C7" w14:textId="77777777" w:rsidR="00F51DAC" w:rsidRPr="00321EC0" w:rsidRDefault="00F51DAC" w:rsidP="00F51DAC">
      <w:pPr>
        <w:pStyle w:val="SinglePara"/>
      </w:pPr>
      <w:smartTag w:uri="urn:schemas-microsoft-com:office:smarttags" w:element="country-region">
        <w:smartTag w:uri="urn:schemas-microsoft-com:office:smarttags" w:element="City">
          <w:r w:rsidRPr="00321EC0">
            <w:t>CANBERRA</w:t>
          </w:r>
        </w:smartTag>
      </w:smartTag>
      <w:r w:rsidRPr="00321EC0">
        <w:t xml:space="preserve">   ACT   2600</w:t>
      </w:r>
    </w:p>
    <w:p w14:paraId="1E5EF1CC" w14:textId="77777777" w:rsidR="00F51DAC" w:rsidRPr="00321EC0" w:rsidRDefault="00F51DAC" w:rsidP="00F51DAC"/>
    <w:p w14:paraId="3B6EE2EC" w14:textId="77777777" w:rsidR="001A7D0D" w:rsidRPr="00321EC0" w:rsidRDefault="001A7D0D" w:rsidP="00F51DAC">
      <w:pPr>
        <w:pStyle w:val="SinglePara"/>
      </w:pPr>
      <w:r w:rsidRPr="00321EC0">
        <w:t>The Hon Tony Smith MP</w:t>
      </w:r>
    </w:p>
    <w:p w14:paraId="280439F9" w14:textId="77777777" w:rsidR="00F51DAC" w:rsidRPr="00321EC0" w:rsidRDefault="00F51DAC" w:rsidP="00F51DAC">
      <w:pPr>
        <w:pStyle w:val="SinglePara"/>
      </w:pPr>
      <w:r w:rsidRPr="00321EC0">
        <w:t>Speaker</w:t>
      </w:r>
    </w:p>
    <w:p w14:paraId="4530CED0" w14:textId="77777777" w:rsidR="00F51DAC" w:rsidRPr="00321EC0" w:rsidRDefault="00F51DAC" w:rsidP="00F51DAC">
      <w:pPr>
        <w:pStyle w:val="SinglePara"/>
      </w:pPr>
      <w:r w:rsidRPr="00321EC0">
        <w:t>House of Representatives</w:t>
      </w:r>
    </w:p>
    <w:p w14:paraId="7C7AD4BB" w14:textId="77777777" w:rsidR="00F51DAC" w:rsidRPr="00321EC0" w:rsidRDefault="00F51DAC" w:rsidP="00F51DAC">
      <w:pPr>
        <w:pStyle w:val="SinglePara"/>
      </w:pPr>
      <w:r w:rsidRPr="00321EC0">
        <w:t>Parliament House</w:t>
      </w:r>
    </w:p>
    <w:p w14:paraId="0F3FFB9A" w14:textId="77777777" w:rsidR="00F51DAC" w:rsidRPr="00321EC0" w:rsidRDefault="00F51DAC" w:rsidP="00F51DAC">
      <w:pPr>
        <w:pStyle w:val="SinglePara"/>
      </w:pPr>
      <w:smartTag w:uri="urn:schemas-microsoft-com:office:smarttags" w:element="country-region">
        <w:smartTag w:uri="urn:schemas-microsoft-com:office:smarttags" w:element="City">
          <w:r w:rsidRPr="00321EC0">
            <w:t>CANBERRA</w:t>
          </w:r>
        </w:smartTag>
      </w:smartTag>
      <w:r w:rsidRPr="00321EC0">
        <w:t xml:space="preserve">   ACT   2600</w:t>
      </w:r>
    </w:p>
    <w:p w14:paraId="24A40B8E" w14:textId="77777777" w:rsidR="00F51DAC" w:rsidRPr="00321EC0" w:rsidRDefault="00F51DAC" w:rsidP="00F51DAC"/>
    <w:p w14:paraId="445BFA70" w14:textId="77777777" w:rsidR="00F51DAC" w:rsidRPr="00321EC0" w:rsidRDefault="00F51DAC" w:rsidP="00F51DAC">
      <w:pPr>
        <w:pStyle w:val="SinglePara"/>
      </w:pPr>
      <w:r w:rsidRPr="00321EC0">
        <w:t>Dear Mr President</w:t>
      </w:r>
      <w:r w:rsidR="00EC2120">
        <w:t xml:space="preserve"> and Mr Speaker</w:t>
      </w:r>
    </w:p>
    <w:p w14:paraId="17A368D7" w14:textId="77777777" w:rsidR="00F51DAC" w:rsidRPr="00321EC0" w:rsidRDefault="00F51DAC" w:rsidP="00F51DAC"/>
    <w:p w14:paraId="72F9C4E3" w14:textId="77777777" w:rsidR="00F51DAC" w:rsidRPr="00321EC0" w:rsidRDefault="00F51DAC" w:rsidP="00F51DAC">
      <w:r w:rsidRPr="00321EC0">
        <w:t>I hereby submit Portfolio Additional Estimates Statements in support of the</w:t>
      </w:r>
      <w:r w:rsidRPr="00321EC0">
        <w:br/>
      </w:r>
      <w:r w:rsidR="007F19BF" w:rsidRPr="00321EC0">
        <w:t>2020-21</w:t>
      </w:r>
      <w:r w:rsidRPr="00321EC0">
        <w:t xml:space="preserve"> Additional Estimates for the </w:t>
      </w:r>
      <w:r w:rsidR="002B5CB5" w:rsidRPr="00321EC0">
        <w:t>Finance</w:t>
      </w:r>
      <w:r w:rsidRPr="00321EC0">
        <w:t xml:space="preserve"> Portfolio.</w:t>
      </w:r>
    </w:p>
    <w:p w14:paraId="73032EEC" w14:textId="77777777" w:rsidR="00F51DAC" w:rsidRPr="00321EC0" w:rsidRDefault="00F51DAC" w:rsidP="00F51DAC">
      <w:r w:rsidRPr="00321EC0">
        <w:t>These statements have been developed, and are submitted to the Parliament, as a statement on the funding requirements being sought for the Portfolio.</w:t>
      </w:r>
    </w:p>
    <w:p w14:paraId="5C2C1AAE" w14:textId="77777777" w:rsidR="00F51DAC" w:rsidRPr="00321EC0" w:rsidRDefault="00F51DAC" w:rsidP="00F51DAC">
      <w:r w:rsidRPr="00321EC0">
        <w:t>I present these statements by virtue of my ministerial responsibility for accountability to the Parliament and, through it, the public.</w:t>
      </w:r>
    </w:p>
    <w:p w14:paraId="2308644C" w14:textId="77777777" w:rsidR="00F51DAC" w:rsidRPr="00321EC0" w:rsidRDefault="00F51DAC" w:rsidP="00F51DAC">
      <w:r w:rsidRPr="00321EC0">
        <w:t>Yours sincerely</w:t>
      </w:r>
    </w:p>
    <w:p w14:paraId="13FC7E58" w14:textId="77777777" w:rsidR="00F51DAC" w:rsidRPr="00321EC0" w:rsidRDefault="00F51DAC" w:rsidP="00F51DAC"/>
    <w:p w14:paraId="5887BB6D" w14:textId="77777777" w:rsidR="00F51DAC" w:rsidRPr="00321EC0" w:rsidRDefault="00F51DAC" w:rsidP="00F51DAC"/>
    <w:p w14:paraId="6A2E2D0C" w14:textId="77777777" w:rsidR="002B5CB5" w:rsidRPr="00321EC0" w:rsidRDefault="002B5CB5" w:rsidP="002B5CB5">
      <w:pPr>
        <w:spacing w:after="0" w:line="240" w:lineRule="auto"/>
        <w:jc w:val="left"/>
      </w:pPr>
      <w:r w:rsidRPr="00321EC0">
        <w:t>Simon Birmingham</w:t>
      </w:r>
    </w:p>
    <w:p w14:paraId="08830725" w14:textId="77777777" w:rsidR="0017469A" w:rsidRPr="00321EC0" w:rsidRDefault="001B1E37" w:rsidP="00736907">
      <w:pPr>
        <w:spacing w:after="0" w:line="240" w:lineRule="auto"/>
        <w:jc w:val="left"/>
        <w:rPr>
          <w:b/>
        </w:rPr>
      </w:pPr>
      <w:r w:rsidRPr="00321EC0">
        <w:rPr>
          <w:b/>
        </w:rPr>
        <w:t>Minister</w:t>
      </w:r>
      <w:r w:rsidR="002B5CB5" w:rsidRPr="00321EC0">
        <w:rPr>
          <w:b/>
        </w:rPr>
        <w:t xml:space="preserve"> for Finance</w:t>
      </w:r>
    </w:p>
    <w:p w14:paraId="25B5CB7E" w14:textId="77777777" w:rsidR="00F51DAC" w:rsidRPr="00321EC0" w:rsidRDefault="00541D82" w:rsidP="00736907">
      <w:pPr>
        <w:spacing w:after="0" w:line="240" w:lineRule="auto"/>
        <w:jc w:val="left"/>
      </w:pPr>
      <w:r w:rsidRPr="00321EC0">
        <w:rPr>
          <w:rFonts w:ascii="Times New Roman" w:hAnsi="Times New Roman"/>
          <w:i/>
          <w:sz w:val="24"/>
          <w:szCs w:val="24"/>
        </w:rPr>
        <w:br/>
      </w:r>
      <w:r w:rsidRPr="00321EC0">
        <w:rPr>
          <w:rFonts w:ascii="Times New Roman" w:hAnsi="Times New Roman"/>
          <w:i/>
          <w:sz w:val="24"/>
          <w:szCs w:val="24"/>
        </w:rPr>
        <w:br/>
        <w:t xml:space="preserve">           </w:t>
      </w:r>
      <w:r w:rsidRPr="00321EC0">
        <w:rPr>
          <w:rFonts w:ascii="Times New Roman" w:hAnsi="Times New Roman"/>
          <w:i/>
          <w:sz w:val="24"/>
          <w:szCs w:val="24"/>
        </w:rPr>
        <w:br/>
        <w:t xml:space="preserve">       </w:t>
      </w:r>
      <w:r w:rsidR="0017469A" w:rsidRPr="00321EC0">
        <w:rPr>
          <w:b/>
          <w:i/>
        </w:rPr>
        <w:t xml:space="preserve">       </w:t>
      </w:r>
      <w:r w:rsidR="0017469A" w:rsidRPr="00321EC0">
        <w:t xml:space="preserve">February </w:t>
      </w:r>
      <w:r w:rsidR="00D93D58" w:rsidRPr="00321EC0">
        <w:t>2021</w:t>
      </w:r>
    </w:p>
    <w:bookmarkEnd w:id="2"/>
    <w:bookmarkEnd w:id="3"/>
    <w:bookmarkEnd w:id="4"/>
    <w:p w14:paraId="4A4C6B54" w14:textId="77777777" w:rsidR="00F51DAC" w:rsidRPr="00321EC0" w:rsidRDefault="00F51DAC" w:rsidP="00F51DAC">
      <w:pPr>
        <w:sectPr w:rsidR="00F51DAC" w:rsidRPr="00321EC0" w:rsidSect="00230BD3">
          <w:headerReference w:type="even" r:id="rId21"/>
          <w:headerReference w:type="default" r:id="rId22"/>
          <w:headerReference w:type="first" r:id="rId23"/>
          <w:footerReference w:type="first" r:id="rId24"/>
          <w:pgSz w:w="11907" w:h="16840" w:code="9"/>
          <w:pgMar w:top="2466" w:right="2098" w:bottom="2466" w:left="2098" w:header="737" w:footer="1899" w:gutter="0"/>
          <w:pgNumType w:fmt="lowerRoman"/>
          <w:cols w:space="720"/>
          <w:titlePg/>
          <w:docGrid w:linePitch="272"/>
        </w:sectPr>
      </w:pPr>
    </w:p>
    <w:p w14:paraId="70BE4516" w14:textId="77777777" w:rsidR="00F51DAC" w:rsidRPr="00321EC0" w:rsidRDefault="00F51DAC" w:rsidP="00ED5D96">
      <w:pPr>
        <w:pStyle w:val="Heading1-NoTOC"/>
      </w:pPr>
      <w:r w:rsidRPr="00321EC0">
        <w:t xml:space="preserve">Abbreviations and conventions </w:t>
      </w:r>
    </w:p>
    <w:p w14:paraId="4E6D5973" w14:textId="77777777" w:rsidR="00F51DAC" w:rsidRPr="00321EC0" w:rsidRDefault="00F51DAC" w:rsidP="00F51DAC">
      <w:pPr>
        <w:tabs>
          <w:tab w:val="left" w:pos="567"/>
        </w:tabs>
      </w:pPr>
      <w:r w:rsidRPr="00321EC0">
        <w:t>The following notations may be used:</w:t>
      </w:r>
    </w:p>
    <w:p w14:paraId="540D5F60" w14:textId="77777777" w:rsidR="00F51DAC" w:rsidRPr="00321EC0" w:rsidRDefault="00F51DAC" w:rsidP="00F51DAC">
      <w:pPr>
        <w:tabs>
          <w:tab w:val="left" w:pos="567"/>
          <w:tab w:val="left" w:pos="1701"/>
        </w:tabs>
        <w:spacing w:after="60"/>
        <w:ind w:left="567"/>
      </w:pPr>
      <w:r w:rsidRPr="00321EC0">
        <w:t>NEC/nec</w:t>
      </w:r>
      <w:r w:rsidRPr="00321EC0">
        <w:tab/>
        <w:t>not elsewhere classified</w:t>
      </w:r>
    </w:p>
    <w:p w14:paraId="2010D479" w14:textId="77777777" w:rsidR="00F51DAC" w:rsidRPr="00321EC0" w:rsidRDefault="00E15CF3" w:rsidP="00F51DAC">
      <w:pPr>
        <w:tabs>
          <w:tab w:val="left" w:pos="567"/>
          <w:tab w:val="left" w:pos="1701"/>
        </w:tabs>
        <w:spacing w:after="60"/>
        <w:ind w:left="567"/>
      </w:pPr>
      <w:r w:rsidRPr="00321EC0">
        <w:noBreakHyphen/>
      </w:r>
      <w:r w:rsidR="00F51DAC" w:rsidRPr="00321EC0">
        <w:tab/>
        <w:t>nil</w:t>
      </w:r>
    </w:p>
    <w:p w14:paraId="40B3DD54" w14:textId="77777777" w:rsidR="00F51DAC" w:rsidRPr="00321EC0" w:rsidRDefault="00F51DAC" w:rsidP="00F51DAC">
      <w:pPr>
        <w:tabs>
          <w:tab w:val="left" w:pos="567"/>
          <w:tab w:val="left" w:pos="1701"/>
        </w:tabs>
        <w:spacing w:after="60"/>
        <w:ind w:left="567"/>
      </w:pPr>
      <w:r w:rsidRPr="00321EC0">
        <w:t>..</w:t>
      </w:r>
      <w:r w:rsidRPr="00321EC0">
        <w:tab/>
        <w:t>not zero, but rounded to zero</w:t>
      </w:r>
    </w:p>
    <w:p w14:paraId="4F3EC245" w14:textId="77777777" w:rsidR="00F51DAC" w:rsidRPr="00321EC0" w:rsidRDefault="00F51DAC" w:rsidP="00F51DAC">
      <w:pPr>
        <w:tabs>
          <w:tab w:val="left" w:pos="567"/>
          <w:tab w:val="left" w:pos="1701"/>
        </w:tabs>
        <w:spacing w:after="60"/>
        <w:ind w:left="567"/>
      </w:pPr>
      <w:r w:rsidRPr="00321EC0">
        <w:t>na</w:t>
      </w:r>
      <w:r w:rsidRPr="00321EC0">
        <w:tab/>
        <w:t>not applicable (unless otherwise specified)</w:t>
      </w:r>
    </w:p>
    <w:p w14:paraId="35AFBA57" w14:textId="77777777" w:rsidR="00F51DAC" w:rsidRPr="00321EC0" w:rsidRDefault="00F51DAC" w:rsidP="00F51DAC">
      <w:pPr>
        <w:tabs>
          <w:tab w:val="left" w:pos="567"/>
          <w:tab w:val="left" w:pos="1701"/>
        </w:tabs>
        <w:spacing w:after="60"/>
        <w:ind w:left="567"/>
      </w:pPr>
      <w:r w:rsidRPr="00321EC0">
        <w:t>nfp</w:t>
      </w:r>
      <w:r w:rsidRPr="00321EC0">
        <w:tab/>
        <w:t>not for publication</w:t>
      </w:r>
    </w:p>
    <w:p w14:paraId="318C7D50" w14:textId="77777777" w:rsidR="00F51DAC" w:rsidRPr="00321EC0" w:rsidRDefault="00F51DAC" w:rsidP="00F51DAC">
      <w:pPr>
        <w:tabs>
          <w:tab w:val="left" w:pos="567"/>
          <w:tab w:val="left" w:pos="1701"/>
        </w:tabs>
        <w:spacing w:after="60"/>
        <w:ind w:left="567"/>
      </w:pPr>
      <w:r w:rsidRPr="00321EC0">
        <w:t>$m</w:t>
      </w:r>
      <w:r w:rsidRPr="00321EC0">
        <w:tab/>
        <w:t>$ million</w:t>
      </w:r>
    </w:p>
    <w:p w14:paraId="75B03A81" w14:textId="77777777" w:rsidR="00FC5CDE" w:rsidRPr="00321EC0" w:rsidRDefault="00F51DAC">
      <w:r w:rsidRPr="00321EC0">
        <w:t>Figures in tables and in the text may be rounded.</w:t>
      </w:r>
      <w:r w:rsidR="00C12CE2" w:rsidRPr="00321EC0">
        <w:t xml:space="preserve"> Figures in text are generally rounded to one decimal place, whereas figures in tables are generally rounded to the nearest thousand. </w:t>
      </w:r>
      <w:r w:rsidRPr="00321EC0">
        <w:t>Discrepancies in tables between totals and sums of components are due to rounding.</w:t>
      </w:r>
    </w:p>
    <w:p w14:paraId="04C15BE8" w14:textId="77777777" w:rsidR="00F51DAC" w:rsidRPr="00321EC0" w:rsidRDefault="00F51DAC" w:rsidP="004C0BD7">
      <w:pPr>
        <w:pStyle w:val="Heading2-NoTOC"/>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321EC0">
        <w:t>Enquiries</w:t>
      </w:r>
      <w:bookmarkEnd w:id="5"/>
      <w:bookmarkEnd w:id="6"/>
      <w:bookmarkEnd w:id="7"/>
      <w:bookmarkEnd w:id="8"/>
      <w:bookmarkEnd w:id="9"/>
      <w:bookmarkEnd w:id="10"/>
      <w:bookmarkEnd w:id="11"/>
    </w:p>
    <w:p w14:paraId="08EF7C45" w14:textId="77777777" w:rsidR="00D07EC4" w:rsidRPr="00321EC0" w:rsidRDefault="00D07EC4" w:rsidP="00D07EC4">
      <w:r w:rsidRPr="00321EC0">
        <w:t>Should you have any enquiries regarding this publication please contact</w:t>
      </w:r>
      <w:r w:rsidRPr="00321EC0">
        <w:rPr>
          <w:color w:val="FF0000"/>
        </w:rPr>
        <w:t xml:space="preserve"> </w:t>
      </w:r>
      <w:r w:rsidRPr="00321EC0">
        <w:rPr>
          <w:color w:val="000000"/>
        </w:rPr>
        <w:t>the</w:t>
      </w:r>
      <w:r w:rsidRPr="00321EC0">
        <w:t xml:space="preserve"> Chief Financial Officer, Department of </w:t>
      </w:r>
      <w:r w:rsidRPr="00321EC0">
        <w:rPr>
          <w:color w:val="000000"/>
        </w:rPr>
        <w:t>Finance</w:t>
      </w:r>
      <w:r w:rsidRPr="00321EC0">
        <w:t xml:space="preserve"> on (02) </w:t>
      </w:r>
      <w:r w:rsidRPr="00321EC0">
        <w:rPr>
          <w:color w:val="000000"/>
        </w:rPr>
        <w:t>6215 2222.</w:t>
      </w:r>
    </w:p>
    <w:p w14:paraId="667F2441" w14:textId="77777777" w:rsidR="00F51DAC" w:rsidRPr="00321EC0" w:rsidRDefault="0051350D" w:rsidP="00F51DAC">
      <w:r w:rsidRPr="00321EC0">
        <w:t xml:space="preserve">Links to Portfolio Budget Statements (including Portfolio Additional Estimates Statements and Portfolio Supplementary Additional Estimates Statements) can be located on the Australian Government Budget website at </w:t>
      </w:r>
      <w:hyperlink r:id="rId25" w:history="1">
        <w:r w:rsidRPr="00321EC0">
          <w:rPr>
            <w:rStyle w:val="Hyperlink"/>
          </w:rPr>
          <w:t>www.budget.gov.au</w:t>
        </w:r>
      </w:hyperlink>
      <w:r w:rsidRPr="00321EC0">
        <w:t>.</w:t>
      </w:r>
    </w:p>
    <w:p w14:paraId="369EAC81" w14:textId="77777777" w:rsidR="00F51DAC" w:rsidRPr="00321EC0" w:rsidRDefault="00F51DAC" w:rsidP="00F51DAC">
      <w:pPr>
        <w:pStyle w:val="ContentsHeading"/>
        <w:rPr>
          <w:snapToGrid w:val="0"/>
        </w:rPr>
        <w:sectPr w:rsidR="00F51DAC" w:rsidRPr="00321EC0" w:rsidSect="00230BD3">
          <w:headerReference w:type="even" r:id="rId26"/>
          <w:headerReference w:type="default" r:id="rId27"/>
          <w:footerReference w:type="even" r:id="rId28"/>
          <w:footerReference w:type="default" r:id="rId29"/>
          <w:headerReference w:type="first" r:id="rId30"/>
          <w:footerReference w:type="first" r:id="rId31"/>
          <w:pgSz w:w="11907" w:h="16840" w:code="9"/>
          <w:pgMar w:top="2466" w:right="2098" w:bottom="2466" w:left="2098" w:header="1899" w:footer="1899" w:gutter="0"/>
          <w:pgNumType w:fmt="lowerRoman"/>
          <w:cols w:space="720"/>
          <w:titlePg/>
        </w:sectPr>
      </w:pPr>
    </w:p>
    <w:p w14:paraId="004C9102" w14:textId="77777777" w:rsidR="00F51DAC" w:rsidRPr="00321EC0" w:rsidRDefault="00F51DAC" w:rsidP="00ED5D96">
      <w:pPr>
        <w:pStyle w:val="PartHeading-NoTOC"/>
      </w:pPr>
      <w:bookmarkStart w:id="12" w:name="_Toc112211948"/>
      <w:bookmarkStart w:id="13" w:name="_Toc112212042"/>
      <w:bookmarkStart w:id="14" w:name="_Toc112137860"/>
      <w:bookmarkStart w:id="15" w:name="_Toc112224367"/>
      <w:bookmarkStart w:id="16" w:name="_Toc210646443"/>
      <w:bookmarkStart w:id="17" w:name="_Toc210698422"/>
      <w:r w:rsidRPr="00321EC0">
        <w:t xml:space="preserve">User </w:t>
      </w:r>
      <w:r w:rsidR="00C10DE5" w:rsidRPr="00321EC0">
        <w:t>guide</w:t>
      </w:r>
      <w:r w:rsidRPr="00321EC0">
        <w:br/>
        <w:t>to the</w:t>
      </w:r>
      <w:r w:rsidRPr="00321EC0">
        <w:br/>
        <w:t>Portfolio Additional</w:t>
      </w:r>
      <w:r w:rsidRPr="00321EC0">
        <w:br/>
        <w:t>Estimate Statements</w:t>
      </w:r>
    </w:p>
    <w:p w14:paraId="1463996D" w14:textId="77777777" w:rsidR="00F51DAC" w:rsidRPr="00321EC0" w:rsidRDefault="00F51DAC" w:rsidP="00ED5D96">
      <w:pPr>
        <w:pStyle w:val="PartHeading-NoTOC"/>
        <w:rPr>
          <w:lang w:val="en-US"/>
        </w:rPr>
        <w:sectPr w:rsidR="00F51DAC" w:rsidRPr="00321EC0" w:rsidSect="00230BD3">
          <w:headerReference w:type="even" r:id="rId32"/>
          <w:headerReference w:type="default" r:id="rId33"/>
          <w:footerReference w:type="default" r:id="rId34"/>
          <w:headerReference w:type="first" r:id="rId35"/>
          <w:footerReference w:type="first" r:id="rId36"/>
          <w:pgSz w:w="11907" w:h="16840" w:code="9"/>
          <w:pgMar w:top="2466" w:right="2098" w:bottom="2466" w:left="2098" w:header="1899" w:footer="1899" w:gutter="0"/>
          <w:pgNumType w:fmt="lowerRoman"/>
          <w:cols w:space="720"/>
          <w:vAlign w:val="center"/>
          <w:titlePg/>
        </w:sectPr>
      </w:pPr>
    </w:p>
    <w:p w14:paraId="4C0197B5" w14:textId="77777777" w:rsidR="00F51DAC" w:rsidRPr="00321EC0" w:rsidRDefault="00F51DAC" w:rsidP="00ED5D96">
      <w:pPr>
        <w:pStyle w:val="Heading1-NoTOC"/>
      </w:pPr>
      <w:r w:rsidRPr="00321EC0">
        <w:t>User Guide</w:t>
      </w:r>
      <w:bookmarkEnd w:id="12"/>
      <w:bookmarkEnd w:id="13"/>
      <w:bookmarkEnd w:id="14"/>
      <w:bookmarkEnd w:id="15"/>
      <w:bookmarkEnd w:id="16"/>
      <w:bookmarkEnd w:id="17"/>
    </w:p>
    <w:p w14:paraId="7425C9EE" w14:textId="77777777" w:rsidR="00F51DAC" w:rsidRPr="00321EC0" w:rsidRDefault="00F51DAC" w:rsidP="00F51DAC">
      <w:pPr>
        <w:tabs>
          <w:tab w:val="right" w:pos="7088"/>
        </w:tabs>
      </w:pPr>
      <w:r w:rsidRPr="00321EC0">
        <w:t xml:space="preserve">The purpose of the </w:t>
      </w:r>
      <w:r w:rsidR="007F19BF" w:rsidRPr="00321EC0">
        <w:t>2020-21</w:t>
      </w:r>
      <w:r w:rsidR="003962BF" w:rsidRPr="00321EC0">
        <w:t xml:space="preserve"> </w:t>
      </w:r>
      <w:r w:rsidRPr="00321EC0">
        <w:t xml:space="preserve">Portfolio Additional Estimates Statements (PAES), like that of the Portfolio Budget Statements (PB Statements), is to inform Senators and Members of Parliament of the proposed allocation of resources to Government outcomes by </w:t>
      </w:r>
      <w:r w:rsidR="00726A60" w:rsidRPr="00321EC0">
        <w:t>entities</w:t>
      </w:r>
      <w:r w:rsidRPr="00321EC0">
        <w:t xml:space="preserve"> within the portfolio. The focus of the PAES differs from the PB Statements in one important aspect</w:t>
      </w:r>
      <w:r w:rsidR="00E15CF3" w:rsidRPr="00321EC0">
        <w:t xml:space="preserve">. </w:t>
      </w:r>
      <w:r w:rsidRPr="00321EC0">
        <w:t xml:space="preserve">While the PAES include an </w:t>
      </w:r>
      <w:r w:rsidR="00726A60" w:rsidRPr="00321EC0">
        <w:t>Entity</w:t>
      </w:r>
      <w:r w:rsidRPr="00321EC0">
        <w:t xml:space="preserve"> Resource Statement to inform Parliament of the revised estimate of the total resources available to an </w:t>
      </w:r>
      <w:r w:rsidR="00726A60" w:rsidRPr="00321EC0">
        <w:t>entity</w:t>
      </w:r>
      <w:r w:rsidRPr="00321EC0">
        <w:t>, the focus of the PAES is on explaining the changes in resourcing by outcome(s) since the Budget</w:t>
      </w:r>
      <w:r w:rsidR="00E15CF3" w:rsidRPr="00321EC0">
        <w:t xml:space="preserve">. </w:t>
      </w:r>
      <w:r w:rsidRPr="00321EC0">
        <w:t>As such, the PAES provides information on new measures and their impact on the financial and/or non</w:t>
      </w:r>
      <w:r w:rsidR="00E15CF3" w:rsidRPr="00321EC0">
        <w:noBreakHyphen/>
      </w:r>
      <w:r w:rsidRPr="00321EC0">
        <w:t xml:space="preserve">financial planned performance of </w:t>
      </w:r>
      <w:r w:rsidR="009F015F" w:rsidRPr="00321EC0">
        <w:t>program</w:t>
      </w:r>
      <w:r w:rsidR="009D4B20" w:rsidRPr="00321EC0">
        <w:t>s</w:t>
      </w:r>
      <w:r w:rsidRPr="00321EC0">
        <w:t xml:space="preserve"> supporting those outcomes.</w:t>
      </w:r>
    </w:p>
    <w:p w14:paraId="68C0B74E" w14:textId="77777777" w:rsidR="00F51DAC" w:rsidRPr="00321EC0" w:rsidRDefault="00F51DAC" w:rsidP="00F51DAC">
      <w:pPr>
        <w:tabs>
          <w:tab w:val="right" w:pos="7088"/>
        </w:tabs>
      </w:pPr>
      <w:r w:rsidRPr="00321EC0">
        <w:t>The PAES facilitate understanding of the proposed appropriations in Appropriation Bills (</w:t>
      </w:r>
      <w:r w:rsidR="00A1234B" w:rsidRPr="00321EC0">
        <w:t xml:space="preserve">Nos. 3 </w:t>
      </w:r>
      <w:r w:rsidR="001A1C55" w:rsidRPr="00321EC0">
        <w:t>and</w:t>
      </w:r>
      <w:r w:rsidR="00A1234B" w:rsidRPr="00321EC0">
        <w:t xml:space="preserve"> 4</w:t>
      </w:r>
      <w:r w:rsidRPr="00321EC0">
        <w:t>)</w:t>
      </w:r>
      <w:r w:rsidRPr="00321EC0">
        <w:rPr>
          <w:i/>
        </w:rPr>
        <w:t xml:space="preserve"> </w:t>
      </w:r>
      <w:r w:rsidR="00DD620A" w:rsidRPr="00321EC0">
        <w:t>and Appropriation (Parliamentary Departments) Bill (No. 2</w:t>
      </w:r>
      <w:r w:rsidR="00DD620A" w:rsidRPr="00321EC0">
        <w:rPr>
          <w:i/>
        </w:rPr>
        <w:t>)</w:t>
      </w:r>
      <w:r w:rsidR="00842C17" w:rsidRPr="00321EC0">
        <w:rPr>
          <w:i/>
        </w:rPr>
        <w:t xml:space="preserve"> </w:t>
      </w:r>
      <w:r w:rsidR="00DD620A" w:rsidRPr="00321EC0">
        <w:br/>
      </w:r>
      <w:r w:rsidR="007F19BF" w:rsidRPr="00321EC0">
        <w:rPr>
          <w:i/>
        </w:rPr>
        <w:t>2020-21</w:t>
      </w:r>
      <w:r w:rsidRPr="00321EC0">
        <w:t xml:space="preserve">. In this </w:t>
      </w:r>
      <w:r w:rsidR="00BA1B7B" w:rsidRPr="00321EC0">
        <w:t xml:space="preserve">sense, the PAES is </w:t>
      </w:r>
      <w:r w:rsidRPr="00321EC0">
        <w:t xml:space="preserve">declared by the Additional Estimates Appropriation Bills to be a ‘relevant document’ to the interpretation of the Bills according to section 15AB of the </w:t>
      </w:r>
      <w:r w:rsidRPr="00321EC0">
        <w:rPr>
          <w:i/>
        </w:rPr>
        <w:t>Acts Interpretation Act 1901</w:t>
      </w:r>
      <w:r w:rsidRPr="00321EC0">
        <w:t>.</w:t>
      </w:r>
    </w:p>
    <w:p w14:paraId="44451150" w14:textId="77777777" w:rsidR="00F51DAC" w:rsidRPr="00321EC0" w:rsidRDefault="00F51DAC" w:rsidP="00F51DAC">
      <w:pPr>
        <w:tabs>
          <w:tab w:val="right" w:pos="7088"/>
        </w:tabs>
      </w:pPr>
      <w:r w:rsidRPr="00321EC0">
        <w:t xml:space="preserve">Whereas the </w:t>
      </w:r>
      <w:r w:rsidRPr="00321EC0">
        <w:rPr>
          <w:i/>
        </w:rPr>
        <w:t>Mid</w:t>
      </w:r>
      <w:r w:rsidR="00E15CF3" w:rsidRPr="00321EC0">
        <w:rPr>
          <w:i/>
        </w:rPr>
        <w:noBreakHyphen/>
      </w:r>
      <w:r w:rsidRPr="00321EC0">
        <w:rPr>
          <w:i/>
        </w:rPr>
        <w:t xml:space="preserve">Year Economic and Fiscal Outlook </w:t>
      </w:r>
      <w:r w:rsidR="0092657C" w:rsidRPr="00321EC0">
        <w:rPr>
          <w:i/>
        </w:rPr>
        <w:t xml:space="preserve">(MYEFO) </w:t>
      </w:r>
      <w:r w:rsidR="007F19BF" w:rsidRPr="00321EC0">
        <w:rPr>
          <w:i/>
        </w:rPr>
        <w:t>2020-21</w:t>
      </w:r>
      <w:r w:rsidRPr="00321EC0">
        <w:t xml:space="preserve"> is a mid</w:t>
      </w:r>
      <w:r w:rsidR="00E15CF3" w:rsidRPr="00321EC0">
        <w:noBreakHyphen/>
      </w:r>
      <w:r w:rsidRPr="00321EC0">
        <w:t xml:space="preserve">year budget report which provides updated information to allow the assessment of the Government’s fiscal performance against its fiscal strategy, the PAES update the most recent budget appropriations for </w:t>
      </w:r>
      <w:r w:rsidR="00726A60" w:rsidRPr="00321EC0">
        <w:t>entities</w:t>
      </w:r>
      <w:r w:rsidRPr="00321EC0">
        <w:t xml:space="preserve"> within the portfolio.</w:t>
      </w:r>
    </w:p>
    <w:p w14:paraId="28B60C12" w14:textId="77777777" w:rsidR="00F51DAC" w:rsidRPr="00321EC0" w:rsidRDefault="00F51DAC" w:rsidP="004C0BD7">
      <w:pPr>
        <w:pStyle w:val="Heading2-NoTOC"/>
      </w:pPr>
      <w:r w:rsidRPr="00321EC0">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321EC0">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AF9D87E" w14:textId="77777777" w:rsidR="00F51DAC" w:rsidRPr="00321EC0" w:rsidRDefault="00F51DAC" w:rsidP="00F51DAC">
      <w:pPr>
        <w:tabs>
          <w:tab w:val="right" w:pos="7088"/>
        </w:tabs>
        <w:jc w:val="left"/>
      </w:pPr>
      <w:r w:rsidRPr="00321EC0">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rsidRPr="00321EC0" w14:paraId="47AAED5D" w14:textId="77777777" w:rsidTr="004C04CB">
        <w:trPr>
          <w:cantSplit/>
          <w:jc w:val="center"/>
        </w:trPr>
        <w:tc>
          <w:tcPr>
            <w:tcW w:w="7711" w:type="dxa"/>
            <w:gridSpan w:val="2"/>
            <w:shd w:val="clear" w:color="auto" w:fill="E6E6E6"/>
          </w:tcPr>
          <w:p w14:paraId="0DF33E55" w14:textId="77777777" w:rsidR="00F51DAC" w:rsidRPr="00321EC0" w:rsidRDefault="00F51DAC" w:rsidP="00755EB5">
            <w:pPr>
              <w:pStyle w:val="TableHeading2ndLevelWord"/>
              <w:rPr>
                <w:rFonts w:ascii="Book Antiqua" w:hAnsi="Book Antiqua"/>
              </w:rPr>
            </w:pPr>
            <w:r w:rsidRPr="00321EC0">
              <w:rPr>
                <w:rFonts w:ascii="Book Antiqua" w:hAnsi="Book Antiqua"/>
              </w:rPr>
              <w:t xml:space="preserve">User </w:t>
            </w:r>
            <w:r w:rsidR="00C10DE5" w:rsidRPr="00321EC0">
              <w:rPr>
                <w:rFonts w:ascii="Book Antiqua" w:hAnsi="Book Antiqua"/>
              </w:rPr>
              <w:t>guide</w:t>
            </w:r>
          </w:p>
        </w:tc>
      </w:tr>
      <w:tr w:rsidR="00F51DAC" w:rsidRPr="00321EC0" w14:paraId="36D48672" w14:textId="77777777" w:rsidTr="004C04CB">
        <w:trPr>
          <w:cantSplit/>
          <w:jc w:val="center"/>
        </w:trPr>
        <w:tc>
          <w:tcPr>
            <w:tcW w:w="7711" w:type="dxa"/>
            <w:gridSpan w:val="2"/>
          </w:tcPr>
          <w:p w14:paraId="0360E241" w14:textId="77777777" w:rsidR="00F51DAC" w:rsidRPr="00321EC0" w:rsidRDefault="00F51DAC" w:rsidP="004C04CB">
            <w:pPr>
              <w:pStyle w:val="Tabletextjustified"/>
              <w:rPr>
                <w:rFonts w:ascii="Book Antiqua" w:hAnsi="Book Antiqua"/>
              </w:rPr>
            </w:pPr>
            <w:r w:rsidRPr="00321EC0">
              <w:rPr>
                <w:rFonts w:ascii="Book Antiqua" w:hAnsi="Book Antiqua"/>
              </w:rPr>
              <w:t>Provides a brief introduction explaining the purpose of the PAES.</w:t>
            </w:r>
          </w:p>
        </w:tc>
      </w:tr>
      <w:tr w:rsidR="00F51DAC" w:rsidRPr="00321EC0" w14:paraId="60777E7A" w14:textId="77777777" w:rsidTr="004C04CB">
        <w:trPr>
          <w:cantSplit/>
          <w:jc w:val="center"/>
        </w:trPr>
        <w:tc>
          <w:tcPr>
            <w:tcW w:w="2268" w:type="dxa"/>
            <w:shd w:val="clear" w:color="auto" w:fill="E6E6E6"/>
          </w:tcPr>
          <w:p w14:paraId="12368B0C" w14:textId="77777777" w:rsidR="00F51DAC" w:rsidRPr="00321EC0" w:rsidRDefault="00F51DAC" w:rsidP="00755EB5">
            <w:pPr>
              <w:pStyle w:val="TableHeading2ndLevelWord"/>
              <w:rPr>
                <w:rFonts w:ascii="Book Antiqua" w:hAnsi="Book Antiqua"/>
              </w:rPr>
            </w:pPr>
            <w:r w:rsidRPr="00321EC0">
              <w:rPr>
                <w:rFonts w:ascii="Book Antiqua" w:hAnsi="Book Antiqua"/>
              </w:rPr>
              <w:t xml:space="preserve">Portfolio </w:t>
            </w:r>
            <w:r w:rsidR="00C10DE5" w:rsidRPr="00321EC0">
              <w:rPr>
                <w:rFonts w:ascii="Book Antiqua" w:hAnsi="Book Antiqua"/>
              </w:rPr>
              <w:t>overview</w:t>
            </w:r>
          </w:p>
        </w:tc>
        <w:tc>
          <w:tcPr>
            <w:tcW w:w="5443" w:type="dxa"/>
            <w:shd w:val="clear" w:color="auto" w:fill="E6E6E6"/>
          </w:tcPr>
          <w:p w14:paraId="518117B6" w14:textId="77777777" w:rsidR="00F51DAC" w:rsidRPr="00321EC0" w:rsidRDefault="00F51DAC" w:rsidP="004C04CB"/>
        </w:tc>
      </w:tr>
      <w:tr w:rsidR="00F51DAC" w:rsidRPr="00321EC0" w14:paraId="0E23691A" w14:textId="77777777" w:rsidTr="004C04CB">
        <w:trPr>
          <w:cantSplit/>
          <w:jc w:val="center"/>
        </w:trPr>
        <w:tc>
          <w:tcPr>
            <w:tcW w:w="7711" w:type="dxa"/>
            <w:gridSpan w:val="2"/>
          </w:tcPr>
          <w:p w14:paraId="633BF498" w14:textId="77777777" w:rsidR="00F51DAC" w:rsidRPr="00321EC0" w:rsidRDefault="00F51DAC" w:rsidP="004C04CB">
            <w:pPr>
              <w:pStyle w:val="Tabletextjustified"/>
              <w:rPr>
                <w:rFonts w:ascii="Book Antiqua" w:hAnsi="Book Antiqua"/>
              </w:rPr>
            </w:pPr>
            <w:r w:rsidRPr="00321EC0">
              <w:rPr>
                <w:rFonts w:ascii="Book Antiqua" w:hAnsi="Book Antiqua"/>
              </w:rPr>
              <w:t xml:space="preserve">Provides an overview of the portfolio, including a chart that outlines the outcomes for </w:t>
            </w:r>
            <w:r w:rsidR="00726A60" w:rsidRPr="00321EC0">
              <w:rPr>
                <w:rFonts w:ascii="Book Antiqua" w:hAnsi="Book Antiqua"/>
              </w:rPr>
              <w:t>entities</w:t>
            </w:r>
            <w:r w:rsidRPr="00321EC0">
              <w:rPr>
                <w:rFonts w:ascii="Book Antiqua" w:hAnsi="Book Antiqua"/>
              </w:rPr>
              <w:t xml:space="preserve"> in the portfolio.</w:t>
            </w:r>
          </w:p>
        </w:tc>
      </w:tr>
      <w:tr w:rsidR="00F51DAC" w:rsidRPr="00321EC0" w14:paraId="7CFFCE0F" w14:textId="77777777" w:rsidTr="004C04CB">
        <w:trPr>
          <w:cantSplit/>
          <w:jc w:val="center"/>
        </w:trPr>
        <w:tc>
          <w:tcPr>
            <w:tcW w:w="7711" w:type="dxa"/>
            <w:gridSpan w:val="2"/>
            <w:shd w:val="clear" w:color="auto" w:fill="E6E6E6"/>
          </w:tcPr>
          <w:p w14:paraId="7F83C3E9" w14:textId="77777777" w:rsidR="00F51DAC" w:rsidRPr="00321EC0" w:rsidRDefault="00726A60" w:rsidP="00755EB5">
            <w:pPr>
              <w:pStyle w:val="TableHeading2ndLevelWord"/>
              <w:rPr>
                <w:rFonts w:ascii="Book Antiqua" w:hAnsi="Book Antiqua"/>
              </w:rPr>
            </w:pPr>
            <w:r w:rsidRPr="00321EC0">
              <w:rPr>
                <w:rFonts w:ascii="Book Antiqua" w:hAnsi="Book Antiqua"/>
              </w:rPr>
              <w:t>Entity</w:t>
            </w:r>
            <w:r w:rsidR="00F51DAC" w:rsidRPr="00321EC0">
              <w:rPr>
                <w:rFonts w:ascii="Book Antiqua" w:hAnsi="Book Antiqua"/>
              </w:rPr>
              <w:t xml:space="preserve"> </w:t>
            </w:r>
            <w:r w:rsidR="00755EB5" w:rsidRPr="00321EC0">
              <w:rPr>
                <w:rFonts w:ascii="Book Antiqua" w:hAnsi="Book Antiqua"/>
              </w:rPr>
              <w:t>A</w:t>
            </w:r>
            <w:r w:rsidR="00F51DAC" w:rsidRPr="00321EC0">
              <w:rPr>
                <w:rFonts w:ascii="Book Antiqua" w:hAnsi="Book Antiqua"/>
              </w:rPr>
              <w:t xml:space="preserve">dditional </w:t>
            </w:r>
            <w:r w:rsidR="00755EB5" w:rsidRPr="00321EC0">
              <w:rPr>
                <w:rFonts w:ascii="Book Antiqua" w:hAnsi="Book Antiqua"/>
              </w:rPr>
              <w:t>E</w:t>
            </w:r>
            <w:r w:rsidR="00F51DAC" w:rsidRPr="00321EC0">
              <w:rPr>
                <w:rFonts w:ascii="Book Antiqua" w:hAnsi="Book Antiqua"/>
              </w:rPr>
              <w:t xml:space="preserve">stimates </w:t>
            </w:r>
            <w:r w:rsidR="00755EB5" w:rsidRPr="00321EC0">
              <w:rPr>
                <w:rFonts w:ascii="Book Antiqua" w:hAnsi="Book Antiqua"/>
              </w:rPr>
              <w:t>S</w:t>
            </w:r>
            <w:r w:rsidR="00F51DAC" w:rsidRPr="00321EC0">
              <w:rPr>
                <w:rFonts w:ascii="Book Antiqua" w:hAnsi="Book Antiqua"/>
              </w:rPr>
              <w:t>tatements</w:t>
            </w:r>
          </w:p>
        </w:tc>
      </w:tr>
      <w:tr w:rsidR="00F51DAC" w:rsidRPr="00321EC0" w14:paraId="6183213F" w14:textId="77777777" w:rsidTr="004C04CB">
        <w:trPr>
          <w:cantSplit/>
          <w:jc w:val="center"/>
        </w:trPr>
        <w:tc>
          <w:tcPr>
            <w:tcW w:w="7711" w:type="dxa"/>
            <w:gridSpan w:val="2"/>
            <w:tcBorders>
              <w:bottom w:val="single" w:sz="2" w:space="0" w:color="999999"/>
            </w:tcBorders>
          </w:tcPr>
          <w:p w14:paraId="7C90FE92" w14:textId="77777777" w:rsidR="00F51DAC" w:rsidRPr="00321EC0" w:rsidRDefault="00F51DAC" w:rsidP="004C04CB">
            <w:pPr>
              <w:pStyle w:val="Tabletextjustified"/>
              <w:rPr>
                <w:rFonts w:ascii="Book Antiqua" w:hAnsi="Book Antiqua"/>
              </w:rPr>
            </w:pPr>
            <w:r w:rsidRPr="00321EC0">
              <w:rPr>
                <w:rFonts w:ascii="Book Antiqua" w:hAnsi="Book Antiqua"/>
              </w:rPr>
              <w:t xml:space="preserve">A statement (under the name of the </w:t>
            </w:r>
            <w:r w:rsidR="00726A60" w:rsidRPr="00321EC0">
              <w:rPr>
                <w:rFonts w:ascii="Book Antiqua" w:hAnsi="Book Antiqua"/>
              </w:rPr>
              <w:t>entity</w:t>
            </w:r>
            <w:r w:rsidRPr="00321EC0">
              <w:rPr>
                <w:rFonts w:ascii="Book Antiqua" w:hAnsi="Book Antiqua"/>
              </w:rPr>
              <w:t xml:space="preserve">) for each </w:t>
            </w:r>
            <w:r w:rsidR="00726A60" w:rsidRPr="00321EC0">
              <w:rPr>
                <w:rFonts w:ascii="Book Antiqua" w:hAnsi="Book Antiqua"/>
              </w:rPr>
              <w:t>entity</w:t>
            </w:r>
            <w:r w:rsidRPr="00321EC0">
              <w:rPr>
                <w:rFonts w:ascii="Book Antiqua" w:hAnsi="Book Antiqua"/>
              </w:rPr>
              <w:t xml:space="preserve"> affected by Additional Estimates.</w:t>
            </w:r>
          </w:p>
        </w:tc>
      </w:tr>
      <w:tr w:rsidR="00F51DAC" w:rsidRPr="00321EC0" w14:paraId="5AECC9A1" w14:textId="77777777" w:rsidTr="004C04CB">
        <w:trPr>
          <w:cantSplit/>
          <w:jc w:val="center"/>
        </w:trPr>
        <w:tc>
          <w:tcPr>
            <w:tcW w:w="2268" w:type="dxa"/>
            <w:tcBorders>
              <w:top w:val="single" w:sz="2" w:space="0" w:color="999999"/>
              <w:bottom w:val="single" w:sz="2" w:space="0" w:color="999999"/>
            </w:tcBorders>
          </w:tcPr>
          <w:p w14:paraId="7E9F519D" w14:textId="77777777" w:rsidR="00F51DAC" w:rsidRPr="00321EC0" w:rsidRDefault="00F51DAC" w:rsidP="00523531">
            <w:pPr>
              <w:pStyle w:val="TableSideHeading"/>
              <w:rPr>
                <w:rFonts w:ascii="Book Antiqua" w:hAnsi="Book Antiqua"/>
              </w:rPr>
            </w:pPr>
            <w:r w:rsidRPr="00321EC0">
              <w:rPr>
                <w:rFonts w:ascii="Book Antiqua" w:hAnsi="Book Antiqua"/>
              </w:rPr>
              <w:t xml:space="preserve">Section 1: </w:t>
            </w:r>
            <w:r w:rsidR="00726A60" w:rsidRPr="00321EC0">
              <w:rPr>
                <w:rFonts w:ascii="Book Antiqua" w:hAnsi="Book Antiqua"/>
              </w:rPr>
              <w:t>Entity</w:t>
            </w:r>
            <w:r w:rsidRPr="00321EC0">
              <w:rPr>
                <w:rFonts w:ascii="Book Antiqua" w:hAnsi="Book Antiqua"/>
              </w:rPr>
              <w:t xml:space="preserve"> </w:t>
            </w:r>
            <w:r w:rsidR="00C10DE5" w:rsidRPr="00321EC0">
              <w:rPr>
                <w:rFonts w:ascii="Book Antiqua" w:hAnsi="Book Antiqua"/>
              </w:rPr>
              <w:t xml:space="preserve">overview </w:t>
            </w:r>
            <w:r w:rsidRPr="00321EC0">
              <w:rPr>
                <w:rFonts w:ascii="Book Antiqua" w:hAnsi="Book Antiqua"/>
              </w:rPr>
              <w:t xml:space="preserve">and </w:t>
            </w:r>
            <w:r w:rsidR="00C10DE5" w:rsidRPr="00321EC0">
              <w:rPr>
                <w:rFonts w:ascii="Book Antiqua" w:hAnsi="Book Antiqua"/>
              </w:rPr>
              <w:t>resources</w:t>
            </w:r>
          </w:p>
        </w:tc>
        <w:tc>
          <w:tcPr>
            <w:tcW w:w="5443" w:type="dxa"/>
            <w:tcBorders>
              <w:top w:val="single" w:sz="2" w:space="0" w:color="999999"/>
              <w:bottom w:val="single" w:sz="2" w:space="0" w:color="999999"/>
            </w:tcBorders>
          </w:tcPr>
          <w:p w14:paraId="410AEB2C" w14:textId="77777777" w:rsidR="00F51DAC" w:rsidRPr="00321EC0" w:rsidRDefault="00F51DAC" w:rsidP="004C04CB">
            <w:pPr>
              <w:pStyle w:val="Tabletextjustified"/>
              <w:rPr>
                <w:rFonts w:ascii="Book Antiqua" w:hAnsi="Book Antiqua"/>
              </w:rPr>
            </w:pPr>
            <w:r w:rsidRPr="00321EC0">
              <w:rPr>
                <w:rFonts w:ascii="Book Antiqua" w:hAnsi="Book Antiqua"/>
              </w:rPr>
              <w:t xml:space="preserve">This section details the </w:t>
            </w:r>
            <w:r w:rsidR="003962BF" w:rsidRPr="00321EC0">
              <w:rPr>
                <w:rFonts w:ascii="Book Antiqua" w:hAnsi="Book Antiqua"/>
              </w:rPr>
              <w:t xml:space="preserve">changes in </w:t>
            </w:r>
            <w:r w:rsidRPr="00321EC0">
              <w:rPr>
                <w:rFonts w:ascii="Book Antiqua" w:hAnsi="Book Antiqua"/>
              </w:rPr>
              <w:t xml:space="preserve">total resources available to an </w:t>
            </w:r>
            <w:r w:rsidR="00726A60" w:rsidRPr="00321EC0">
              <w:rPr>
                <w:rFonts w:ascii="Book Antiqua" w:hAnsi="Book Antiqua"/>
              </w:rPr>
              <w:t>entity</w:t>
            </w:r>
            <w:r w:rsidRPr="00321EC0">
              <w:rPr>
                <w:rFonts w:ascii="Book Antiqua" w:hAnsi="Book Antiqua"/>
              </w:rPr>
              <w:t>, the impact of any meas</w:t>
            </w:r>
            <w:r w:rsidR="00D72565" w:rsidRPr="00321EC0">
              <w:rPr>
                <w:rFonts w:ascii="Book Antiqua" w:hAnsi="Book Antiqua"/>
              </w:rPr>
              <w:t>ures since Budget, and impact of</w:t>
            </w:r>
            <w:r w:rsidRPr="00321EC0">
              <w:rPr>
                <w:rFonts w:ascii="Book Antiqua" w:hAnsi="Book Antiqua"/>
              </w:rPr>
              <w:t xml:space="preserve"> Appropriation Bills </w:t>
            </w:r>
            <w:r w:rsidR="00A1234B" w:rsidRPr="00321EC0">
              <w:rPr>
                <w:rFonts w:ascii="Book Antiqua" w:hAnsi="Book Antiqua"/>
              </w:rPr>
              <w:t xml:space="preserve">Nos. 3 </w:t>
            </w:r>
            <w:r w:rsidR="001A1C55" w:rsidRPr="00321EC0">
              <w:rPr>
                <w:rFonts w:ascii="Book Antiqua" w:hAnsi="Book Antiqua"/>
              </w:rPr>
              <w:t>and</w:t>
            </w:r>
            <w:r w:rsidR="00A1234B" w:rsidRPr="00321EC0">
              <w:rPr>
                <w:rFonts w:ascii="Book Antiqua" w:hAnsi="Book Antiqua"/>
              </w:rPr>
              <w:t xml:space="preserve"> 4</w:t>
            </w:r>
            <w:r w:rsidRPr="00321EC0">
              <w:rPr>
                <w:rFonts w:ascii="Book Antiqua" w:hAnsi="Book Antiqua"/>
              </w:rPr>
              <w:t>.</w:t>
            </w:r>
          </w:p>
        </w:tc>
      </w:tr>
      <w:tr w:rsidR="00F51DAC" w:rsidRPr="00321EC0" w14:paraId="653D1441" w14:textId="77777777" w:rsidTr="004C04CB">
        <w:trPr>
          <w:cantSplit/>
          <w:jc w:val="center"/>
        </w:trPr>
        <w:tc>
          <w:tcPr>
            <w:tcW w:w="2268" w:type="dxa"/>
            <w:tcBorders>
              <w:top w:val="single" w:sz="2" w:space="0" w:color="999999"/>
              <w:bottom w:val="single" w:sz="2" w:space="0" w:color="999999"/>
            </w:tcBorders>
          </w:tcPr>
          <w:p w14:paraId="49000CBD" w14:textId="77777777" w:rsidR="00F51DAC" w:rsidRPr="00321EC0" w:rsidRDefault="009F015F" w:rsidP="009E6C51">
            <w:pPr>
              <w:pStyle w:val="TableSideHeading"/>
              <w:rPr>
                <w:rFonts w:ascii="Book Antiqua" w:hAnsi="Book Antiqua"/>
              </w:rPr>
            </w:pPr>
            <w:r w:rsidRPr="00321EC0">
              <w:rPr>
                <w:rFonts w:ascii="Book Antiqua" w:hAnsi="Book Antiqua"/>
              </w:rPr>
              <w:t>S</w:t>
            </w:r>
            <w:r w:rsidR="00C10DE5" w:rsidRPr="00321EC0">
              <w:rPr>
                <w:rFonts w:ascii="Book Antiqua" w:hAnsi="Book Antiqua"/>
              </w:rPr>
              <w:t xml:space="preserve">ection 2: </w:t>
            </w:r>
            <w:r w:rsidR="009E6C51" w:rsidRPr="00321EC0">
              <w:rPr>
                <w:rFonts w:ascii="Book Antiqua" w:hAnsi="Book Antiqua"/>
              </w:rPr>
              <w:t>R</w:t>
            </w:r>
            <w:r w:rsidR="00C10DE5" w:rsidRPr="00321EC0">
              <w:rPr>
                <w:rFonts w:ascii="Book Antiqua" w:hAnsi="Book Antiqua"/>
              </w:rPr>
              <w:t>evisions to outcomes and planned performance</w:t>
            </w:r>
          </w:p>
        </w:tc>
        <w:tc>
          <w:tcPr>
            <w:tcW w:w="5443" w:type="dxa"/>
            <w:tcBorders>
              <w:top w:val="single" w:sz="2" w:space="0" w:color="999999"/>
              <w:bottom w:val="single" w:sz="2" w:space="0" w:color="999999"/>
            </w:tcBorders>
          </w:tcPr>
          <w:p w14:paraId="21F5940A" w14:textId="77777777" w:rsidR="00F51DAC" w:rsidRPr="00321EC0" w:rsidRDefault="00F51DAC" w:rsidP="004C04CB">
            <w:pPr>
              <w:pStyle w:val="Tabletextjustified"/>
              <w:rPr>
                <w:rFonts w:ascii="Book Antiqua" w:hAnsi="Book Antiqua"/>
              </w:rPr>
            </w:pPr>
            <w:r w:rsidRPr="00321EC0">
              <w:rPr>
                <w:rFonts w:ascii="Book Antiqua" w:hAnsi="Book Antiqua"/>
              </w:rPr>
              <w:t xml:space="preserve">This section details </w:t>
            </w:r>
            <w:r w:rsidRPr="00EB5D34">
              <w:rPr>
                <w:rFonts w:ascii="Book Antiqua" w:hAnsi="Book Antiqua"/>
              </w:rPr>
              <w:t>changes to Government outcomes and/or changes to the planned pe</w:t>
            </w:r>
            <w:r w:rsidRPr="00321EC0">
              <w:rPr>
                <w:rFonts w:ascii="Book Antiqua" w:hAnsi="Book Antiqua"/>
              </w:rPr>
              <w:t xml:space="preserve">rformance of </w:t>
            </w:r>
            <w:r w:rsidR="00726A60" w:rsidRPr="00321EC0">
              <w:rPr>
                <w:rFonts w:ascii="Book Antiqua" w:hAnsi="Book Antiqua"/>
              </w:rPr>
              <w:t>entity</w:t>
            </w:r>
            <w:r w:rsidRPr="00321EC0">
              <w:rPr>
                <w:rFonts w:ascii="Book Antiqua" w:hAnsi="Book Antiqua"/>
              </w:rPr>
              <w:t xml:space="preserve"> </w:t>
            </w:r>
            <w:r w:rsidR="009F015F" w:rsidRPr="00321EC0">
              <w:rPr>
                <w:rFonts w:ascii="Book Antiqua" w:hAnsi="Book Antiqua"/>
              </w:rPr>
              <w:t>program</w:t>
            </w:r>
            <w:r w:rsidR="009D4B20" w:rsidRPr="00321EC0">
              <w:rPr>
                <w:rFonts w:ascii="Book Antiqua" w:hAnsi="Book Antiqua"/>
              </w:rPr>
              <w:t>s</w:t>
            </w:r>
            <w:r w:rsidRPr="00321EC0">
              <w:rPr>
                <w:rFonts w:ascii="Book Antiqua" w:hAnsi="Book Antiqua"/>
              </w:rPr>
              <w:t>.</w:t>
            </w:r>
          </w:p>
        </w:tc>
      </w:tr>
      <w:tr w:rsidR="00F51DAC" w:rsidRPr="00321EC0" w14:paraId="7075CE2C" w14:textId="77777777" w:rsidTr="00DD620A">
        <w:trPr>
          <w:cantSplit/>
          <w:jc w:val="center"/>
        </w:trPr>
        <w:tc>
          <w:tcPr>
            <w:tcW w:w="2268" w:type="dxa"/>
            <w:tcBorders>
              <w:top w:val="single" w:sz="2" w:space="0" w:color="999999"/>
            </w:tcBorders>
          </w:tcPr>
          <w:p w14:paraId="733EEC88" w14:textId="77777777" w:rsidR="00F51DAC" w:rsidRPr="00321EC0" w:rsidRDefault="00F51DAC" w:rsidP="00F561A3">
            <w:pPr>
              <w:pStyle w:val="TableSideHeading"/>
              <w:rPr>
                <w:rFonts w:ascii="Book Antiqua" w:hAnsi="Book Antiqua"/>
              </w:rPr>
            </w:pPr>
            <w:r w:rsidRPr="00321EC0">
              <w:rPr>
                <w:rFonts w:ascii="Book Antiqua" w:hAnsi="Book Antiqua"/>
              </w:rPr>
              <w:t xml:space="preserve">Section 3: </w:t>
            </w:r>
            <w:r w:rsidR="00F561A3" w:rsidRPr="00321EC0">
              <w:rPr>
                <w:rFonts w:ascii="Book Antiqua" w:hAnsi="Book Antiqua"/>
              </w:rPr>
              <w:t xml:space="preserve">Special account flows </w:t>
            </w:r>
            <w:r w:rsidRPr="00321EC0">
              <w:rPr>
                <w:rFonts w:ascii="Book Antiqua" w:hAnsi="Book Antiqua"/>
              </w:rPr>
              <w:t xml:space="preserve">and </w:t>
            </w:r>
            <w:r w:rsidR="00C10DE5" w:rsidRPr="00321EC0">
              <w:rPr>
                <w:rFonts w:ascii="Book Antiqua" w:hAnsi="Book Antiqua"/>
              </w:rPr>
              <w:t>budgeted financial statements</w:t>
            </w:r>
          </w:p>
        </w:tc>
        <w:tc>
          <w:tcPr>
            <w:tcW w:w="5443" w:type="dxa"/>
            <w:tcBorders>
              <w:top w:val="single" w:sz="2" w:space="0" w:color="999999"/>
            </w:tcBorders>
          </w:tcPr>
          <w:p w14:paraId="50052553" w14:textId="77777777" w:rsidR="00F51DAC" w:rsidRPr="00321EC0" w:rsidRDefault="00F51DAC" w:rsidP="004C04CB">
            <w:pPr>
              <w:pStyle w:val="Tabletextjustified"/>
              <w:rPr>
                <w:rFonts w:ascii="Book Antiqua" w:hAnsi="Book Antiqua"/>
              </w:rPr>
            </w:pPr>
            <w:r w:rsidRPr="00321EC0">
              <w:rPr>
                <w:rFonts w:ascii="Book Antiqua" w:hAnsi="Book Antiqua"/>
              </w:rPr>
              <w:t>This section contains updated explanatory tables on special account flows and staffing levels and revisions to the budgeted financial statements.</w:t>
            </w:r>
          </w:p>
        </w:tc>
      </w:tr>
      <w:tr w:rsidR="00DD620A" w:rsidRPr="00321EC0" w14:paraId="4D3DC876" w14:textId="77777777" w:rsidTr="008B7C04">
        <w:trPr>
          <w:cantSplit/>
          <w:jc w:val="center"/>
        </w:trPr>
        <w:tc>
          <w:tcPr>
            <w:tcW w:w="7711" w:type="dxa"/>
            <w:gridSpan w:val="2"/>
            <w:shd w:val="clear" w:color="auto" w:fill="E7E6E6"/>
          </w:tcPr>
          <w:p w14:paraId="727352D6" w14:textId="77777777" w:rsidR="00DD620A" w:rsidRPr="00321EC0" w:rsidRDefault="00DD620A" w:rsidP="00DD620A">
            <w:pPr>
              <w:pStyle w:val="TableHeading2ndLevelWord"/>
              <w:rPr>
                <w:rFonts w:ascii="Book Antiqua" w:hAnsi="Book Antiqua"/>
                <w:b w:val="0"/>
              </w:rPr>
            </w:pPr>
            <w:r w:rsidRPr="00321EC0">
              <w:rPr>
                <w:rFonts w:ascii="Book Antiqua" w:hAnsi="Book Antiqua"/>
              </w:rPr>
              <w:t>Portfolio glossary</w:t>
            </w:r>
          </w:p>
        </w:tc>
      </w:tr>
      <w:tr w:rsidR="00DD620A" w:rsidRPr="00321EC0" w14:paraId="7AD53C2D" w14:textId="77777777" w:rsidTr="00A156A3">
        <w:trPr>
          <w:cantSplit/>
          <w:jc w:val="center"/>
        </w:trPr>
        <w:tc>
          <w:tcPr>
            <w:tcW w:w="7711" w:type="dxa"/>
            <w:gridSpan w:val="2"/>
          </w:tcPr>
          <w:p w14:paraId="56404649" w14:textId="77777777" w:rsidR="00DD620A" w:rsidRPr="00321EC0" w:rsidRDefault="00DD620A" w:rsidP="004C04CB">
            <w:pPr>
              <w:pStyle w:val="Tabletextjustified"/>
              <w:rPr>
                <w:rFonts w:ascii="Book Antiqua" w:hAnsi="Book Antiqua"/>
              </w:rPr>
            </w:pPr>
            <w:r w:rsidRPr="00321EC0">
              <w:rPr>
                <w:rFonts w:ascii="Book Antiqua" w:hAnsi="Book Antiqua"/>
              </w:rPr>
              <w:t>Explains key terms relevant to the Portfolio.</w:t>
            </w:r>
          </w:p>
        </w:tc>
      </w:tr>
    </w:tbl>
    <w:p w14:paraId="61728C7F" w14:textId="77777777" w:rsidR="00F045E6" w:rsidRPr="00321EC0" w:rsidRDefault="00F045E6" w:rsidP="00F045E6">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p>
    <w:p w14:paraId="0284D19C" w14:textId="77777777" w:rsidR="00F51DAC" w:rsidRPr="00321EC0" w:rsidRDefault="00F51DAC" w:rsidP="00F045E6">
      <w:pPr>
        <w:pStyle w:val="ContentsHeading"/>
        <w:rPr>
          <w:snapToGrid w:val="0"/>
        </w:rPr>
      </w:pPr>
      <w:r w:rsidRPr="00321EC0">
        <w:br w:type="page"/>
      </w:r>
      <w:bookmarkEnd w:id="44"/>
      <w:bookmarkEnd w:id="45"/>
      <w:bookmarkEnd w:id="46"/>
      <w:bookmarkEnd w:id="47"/>
      <w:bookmarkEnd w:id="48"/>
      <w:bookmarkEnd w:id="49"/>
      <w:bookmarkEnd w:id="50"/>
      <w:bookmarkEnd w:id="51"/>
      <w:bookmarkEnd w:id="52"/>
      <w:bookmarkEnd w:id="53"/>
      <w:bookmarkEnd w:id="54"/>
      <w:bookmarkEnd w:id="55"/>
      <w:bookmarkEnd w:id="56"/>
      <w:r w:rsidRPr="00321EC0">
        <w:t>C</w:t>
      </w:r>
      <w:r w:rsidRPr="00321EC0">
        <w:rPr>
          <w:snapToGrid w:val="0"/>
        </w:rPr>
        <w:t>ontents</w:t>
      </w:r>
    </w:p>
    <w:bookmarkStart w:id="57" w:name="_Toc449255752"/>
    <w:bookmarkStart w:id="58" w:name="_Toc460918631"/>
    <w:bookmarkStart w:id="59" w:name="_Toc490972395"/>
    <w:p w14:paraId="3C6A0F9C" w14:textId="13C318DF" w:rsidR="00744B03" w:rsidRPr="00321EC0" w:rsidRDefault="00050FE6">
      <w:pPr>
        <w:pStyle w:val="TOC1"/>
        <w:rPr>
          <w:rStyle w:val="Hyperlink"/>
          <w:noProof/>
        </w:rPr>
      </w:pPr>
      <w:r w:rsidRPr="00321EC0">
        <w:fldChar w:fldCharType="begin"/>
      </w:r>
      <w:r w:rsidRPr="00321EC0">
        <w:instrText xml:space="preserve"> TOC \h \z \t "Heading 1,1,Heading 2,2,Title,1,Part Heading,1,Heading 1 - LVL2,2" </w:instrText>
      </w:r>
      <w:r w:rsidRPr="00321EC0">
        <w:fldChar w:fldCharType="separate"/>
      </w:r>
      <w:hyperlink w:anchor="_Toc63157711" w:history="1">
        <w:r w:rsidR="00744B03" w:rsidRPr="00321EC0">
          <w:rPr>
            <w:rStyle w:val="Hyperlink"/>
            <w:noProof/>
          </w:rPr>
          <w:t>Portfolio overview</w:t>
        </w:r>
        <w:r w:rsidR="00744B03" w:rsidRPr="00321EC0">
          <w:rPr>
            <w:rStyle w:val="Hyperlink"/>
            <w:noProof/>
            <w:webHidden/>
          </w:rPr>
          <w:tab/>
        </w:r>
        <w:r w:rsidR="00744B03" w:rsidRPr="00321EC0">
          <w:rPr>
            <w:rStyle w:val="Hyperlink"/>
            <w:noProof/>
            <w:webHidden/>
          </w:rPr>
          <w:fldChar w:fldCharType="begin"/>
        </w:r>
        <w:r w:rsidR="00744B03" w:rsidRPr="00321EC0">
          <w:rPr>
            <w:rStyle w:val="Hyperlink"/>
            <w:noProof/>
            <w:webHidden/>
          </w:rPr>
          <w:instrText xml:space="preserve"> PAGEREF _Toc63157711 \h </w:instrText>
        </w:r>
        <w:r w:rsidR="00744B03" w:rsidRPr="00321EC0">
          <w:rPr>
            <w:rStyle w:val="Hyperlink"/>
            <w:noProof/>
            <w:webHidden/>
          </w:rPr>
        </w:r>
        <w:r w:rsidR="00744B03" w:rsidRPr="00321EC0">
          <w:rPr>
            <w:rStyle w:val="Hyperlink"/>
            <w:noProof/>
            <w:webHidden/>
          </w:rPr>
          <w:fldChar w:fldCharType="separate"/>
        </w:r>
        <w:r w:rsidR="00CF6368">
          <w:rPr>
            <w:rStyle w:val="Hyperlink"/>
            <w:noProof/>
            <w:webHidden/>
          </w:rPr>
          <w:t>1</w:t>
        </w:r>
        <w:r w:rsidR="00744B03" w:rsidRPr="00321EC0">
          <w:rPr>
            <w:rStyle w:val="Hyperlink"/>
            <w:noProof/>
            <w:webHidden/>
          </w:rPr>
          <w:fldChar w:fldCharType="end"/>
        </w:r>
      </w:hyperlink>
    </w:p>
    <w:p w14:paraId="4BE5A785" w14:textId="3F08245C" w:rsidR="00744B03" w:rsidRPr="00321EC0" w:rsidRDefault="0019528E" w:rsidP="00744B03">
      <w:pPr>
        <w:pStyle w:val="TOC1"/>
        <w:rPr>
          <w:rStyle w:val="Hyperlink"/>
          <w:noProof/>
        </w:rPr>
      </w:pPr>
      <w:hyperlink w:anchor="_Toc63157719" w:history="1">
        <w:r w:rsidR="00744B03" w:rsidRPr="00321EC0">
          <w:rPr>
            <w:rStyle w:val="Hyperlink"/>
            <w:noProof/>
          </w:rPr>
          <w:t>Department of Finance</w:t>
        </w:r>
        <w:r w:rsidR="00744B03" w:rsidRPr="00321EC0">
          <w:rPr>
            <w:rStyle w:val="Hyperlink"/>
            <w:noProof/>
            <w:webHidden/>
          </w:rPr>
          <w:tab/>
        </w:r>
        <w:r w:rsidR="00744B03" w:rsidRPr="00321EC0">
          <w:rPr>
            <w:rStyle w:val="Hyperlink"/>
            <w:noProof/>
            <w:webHidden/>
          </w:rPr>
          <w:fldChar w:fldCharType="begin"/>
        </w:r>
        <w:r w:rsidR="00744B03" w:rsidRPr="00321EC0">
          <w:rPr>
            <w:rStyle w:val="Hyperlink"/>
            <w:noProof/>
            <w:webHidden/>
          </w:rPr>
          <w:instrText xml:space="preserve"> PAGEREF _Toc63157719 \h </w:instrText>
        </w:r>
        <w:r w:rsidR="00744B03" w:rsidRPr="00321EC0">
          <w:rPr>
            <w:rStyle w:val="Hyperlink"/>
            <w:noProof/>
            <w:webHidden/>
          </w:rPr>
        </w:r>
        <w:r w:rsidR="00744B03" w:rsidRPr="00321EC0">
          <w:rPr>
            <w:rStyle w:val="Hyperlink"/>
            <w:noProof/>
            <w:webHidden/>
          </w:rPr>
          <w:fldChar w:fldCharType="separate"/>
        </w:r>
        <w:r w:rsidR="00CF6368">
          <w:rPr>
            <w:rStyle w:val="Hyperlink"/>
            <w:noProof/>
            <w:webHidden/>
          </w:rPr>
          <w:t>10</w:t>
        </w:r>
        <w:r w:rsidR="00744B03" w:rsidRPr="00321EC0">
          <w:rPr>
            <w:rStyle w:val="Hyperlink"/>
            <w:noProof/>
            <w:webHidden/>
          </w:rPr>
          <w:fldChar w:fldCharType="end"/>
        </w:r>
      </w:hyperlink>
    </w:p>
    <w:p w14:paraId="44586D9C" w14:textId="40D4FAB5" w:rsidR="00744B03" w:rsidRPr="00321EC0" w:rsidRDefault="0019528E" w:rsidP="00744B03">
      <w:pPr>
        <w:pStyle w:val="TOC1"/>
        <w:rPr>
          <w:rStyle w:val="Hyperlink"/>
          <w:noProof/>
        </w:rPr>
      </w:pPr>
      <w:hyperlink w:anchor="_Toc63157720" w:history="1">
        <w:r w:rsidR="00744B03" w:rsidRPr="00321EC0">
          <w:rPr>
            <w:rStyle w:val="Hyperlink"/>
            <w:noProof/>
          </w:rPr>
          <w:t>Australian Electoral Commission</w:t>
        </w:r>
        <w:r w:rsidR="00744B03" w:rsidRPr="00321EC0">
          <w:rPr>
            <w:rStyle w:val="Hyperlink"/>
            <w:noProof/>
            <w:webHidden/>
          </w:rPr>
          <w:tab/>
        </w:r>
        <w:r w:rsidR="00744B03" w:rsidRPr="00321EC0">
          <w:rPr>
            <w:rStyle w:val="Hyperlink"/>
            <w:noProof/>
            <w:webHidden/>
          </w:rPr>
          <w:fldChar w:fldCharType="begin"/>
        </w:r>
        <w:r w:rsidR="00744B03" w:rsidRPr="00321EC0">
          <w:rPr>
            <w:rStyle w:val="Hyperlink"/>
            <w:noProof/>
            <w:webHidden/>
          </w:rPr>
          <w:instrText xml:space="preserve"> PAGEREF _Toc63157720 \h </w:instrText>
        </w:r>
        <w:r w:rsidR="00744B03" w:rsidRPr="00321EC0">
          <w:rPr>
            <w:rStyle w:val="Hyperlink"/>
            <w:noProof/>
            <w:webHidden/>
          </w:rPr>
        </w:r>
        <w:r w:rsidR="00744B03" w:rsidRPr="00321EC0">
          <w:rPr>
            <w:rStyle w:val="Hyperlink"/>
            <w:noProof/>
            <w:webHidden/>
          </w:rPr>
          <w:fldChar w:fldCharType="separate"/>
        </w:r>
        <w:r w:rsidR="00CF6368">
          <w:rPr>
            <w:rStyle w:val="Hyperlink"/>
            <w:noProof/>
            <w:webHidden/>
          </w:rPr>
          <w:t>60</w:t>
        </w:r>
        <w:r w:rsidR="00744B03" w:rsidRPr="00321EC0">
          <w:rPr>
            <w:rStyle w:val="Hyperlink"/>
            <w:noProof/>
            <w:webHidden/>
          </w:rPr>
          <w:fldChar w:fldCharType="end"/>
        </w:r>
      </w:hyperlink>
    </w:p>
    <w:p w14:paraId="0F71E0C7" w14:textId="0F52AFF3" w:rsidR="00744B03" w:rsidRPr="00321EC0" w:rsidRDefault="0019528E" w:rsidP="00744B03">
      <w:pPr>
        <w:pStyle w:val="TOC1"/>
        <w:rPr>
          <w:rStyle w:val="Hyperlink"/>
          <w:noProof/>
        </w:rPr>
      </w:pPr>
      <w:hyperlink w:anchor="_Toc63157721" w:history="1">
        <w:r w:rsidR="00744B03" w:rsidRPr="00321EC0">
          <w:rPr>
            <w:rStyle w:val="Hyperlink"/>
            <w:noProof/>
          </w:rPr>
          <w:t>Independent Parliamentary Expenses Authority</w:t>
        </w:r>
        <w:r w:rsidR="00744B03" w:rsidRPr="00321EC0">
          <w:rPr>
            <w:rStyle w:val="Hyperlink"/>
            <w:noProof/>
            <w:webHidden/>
          </w:rPr>
          <w:tab/>
        </w:r>
        <w:r w:rsidR="00744B03" w:rsidRPr="00321EC0">
          <w:rPr>
            <w:rStyle w:val="Hyperlink"/>
            <w:noProof/>
            <w:webHidden/>
          </w:rPr>
          <w:fldChar w:fldCharType="begin"/>
        </w:r>
        <w:r w:rsidR="00744B03" w:rsidRPr="00321EC0">
          <w:rPr>
            <w:rStyle w:val="Hyperlink"/>
            <w:noProof/>
            <w:webHidden/>
          </w:rPr>
          <w:instrText xml:space="preserve"> PAGEREF _Toc63157721 \h </w:instrText>
        </w:r>
        <w:r w:rsidR="00744B03" w:rsidRPr="00321EC0">
          <w:rPr>
            <w:rStyle w:val="Hyperlink"/>
            <w:noProof/>
            <w:webHidden/>
          </w:rPr>
        </w:r>
        <w:r w:rsidR="00744B03" w:rsidRPr="00321EC0">
          <w:rPr>
            <w:rStyle w:val="Hyperlink"/>
            <w:noProof/>
            <w:webHidden/>
          </w:rPr>
          <w:fldChar w:fldCharType="separate"/>
        </w:r>
        <w:r w:rsidR="00CF6368">
          <w:rPr>
            <w:rStyle w:val="Hyperlink"/>
            <w:noProof/>
            <w:webHidden/>
          </w:rPr>
          <w:t>80</w:t>
        </w:r>
        <w:r w:rsidR="00744B03" w:rsidRPr="00321EC0">
          <w:rPr>
            <w:rStyle w:val="Hyperlink"/>
            <w:noProof/>
            <w:webHidden/>
          </w:rPr>
          <w:fldChar w:fldCharType="end"/>
        </w:r>
      </w:hyperlink>
    </w:p>
    <w:p w14:paraId="1EC8E360" w14:textId="6A3FAFDA" w:rsidR="00744B03" w:rsidRPr="00321EC0" w:rsidRDefault="0019528E">
      <w:pPr>
        <w:pStyle w:val="TOC1"/>
        <w:rPr>
          <w:rFonts w:asciiTheme="minorHAnsi" w:eastAsiaTheme="minorEastAsia" w:hAnsiTheme="minorHAnsi" w:cstheme="minorBidi"/>
          <w:b w:val="0"/>
          <w:noProof/>
          <w:sz w:val="22"/>
          <w:szCs w:val="22"/>
        </w:rPr>
      </w:pPr>
      <w:hyperlink w:anchor="_Toc63157722" w:history="1">
        <w:r w:rsidR="00744B03" w:rsidRPr="00321EC0">
          <w:rPr>
            <w:rStyle w:val="Hyperlink"/>
            <w:noProof/>
          </w:rPr>
          <w:t>Portfolio glossary</w:t>
        </w:r>
        <w:r w:rsidR="00744B03" w:rsidRPr="00321EC0">
          <w:rPr>
            <w:rStyle w:val="Hyperlink"/>
            <w:noProof/>
            <w:webHidden/>
          </w:rPr>
          <w:tab/>
        </w:r>
        <w:r w:rsidR="00744B03" w:rsidRPr="00321EC0">
          <w:rPr>
            <w:rStyle w:val="Hyperlink"/>
            <w:noProof/>
            <w:webHidden/>
          </w:rPr>
          <w:fldChar w:fldCharType="begin"/>
        </w:r>
        <w:r w:rsidR="00744B03" w:rsidRPr="00321EC0">
          <w:rPr>
            <w:rStyle w:val="Hyperlink"/>
            <w:noProof/>
            <w:webHidden/>
          </w:rPr>
          <w:instrText xml:space="preserve"> PAGEREF _Toc63157722 \h </w:instrText>
        </w:r>
        <w:r w:rsidR="00744B03" w:rsidRPr="00321EC0">
          <w:rPr>
            <w:rStyle w:val="Hyperlink"/>
            <w:noProof/>
            <w:webHidden/>
          </w:rPr>
        </w:r>
        <w:r w:rsidR="00744B03" w:rsidRPr="00321EC0">
          <w:rPr>
            <w:rStyle w:val="Hyperlink"/>
            <w:noProof/>
            <w:webHidden/>
          </w:rPr>
          <w:fldChar w:fldCharType="separate"/>
        </w:r>
        <w:r w:rsidR="00CF6368">
          <w:rPr>
            <w:rStyle w:val="Hyperlink"/>
            <w:noProof/>
            <w:webHidden/>
          </w:rPr>
          <w:t>93</w:t>
        </w:r>
        <w:r w:rsidR="00744B03" w:rsidRPr="00321EC0">
          <w:rPr>
            <w:rStyle w:val="Hyperlink"/>
            <w:noProof/>
            <w:webHidden/>
          </w:rPr>
          <w:fldChar w:fldCharType="end"/>
        </w:r>
      </w:hyperlink>
    </w:p>
    <w:p w14:paraId="1BC78C61" w14:textId="77777777" w:rsidR="00ED5D96" w:rsidRPr="00321EC0" w:rsidRDefault="00050FE6" w:rsidP="00ED5D96">
      <w:r w:rsidRPr="00321EC0">
        <w:rPr>
          <w:rFonts w:ascii="Arial" w:hAnsi="Arial"/>
        </w:rPr>
        <w:fldChar w:fldCharType="end"/>
      </w:r>
    </w:p>
    <w:p w14:paraId="5161290C" w14:textId="77777777" w:rsidR="00ED5D96" w:rsidRPr="00321EC0" w:rsidRDefault="00ED5D96" w:rsidP="00ED5D96"/>
    <w:p w14:paraId="177099F6" w14:textId="77777777" w:rsidR="00F045E6" w:rsidRPr="00321EC0" w:rsidRDefault="00F045E6" w:rsidP="00F045E6"/>
    <w:p w14:paraId="55CF3BB9" w14:textId="77777777" w:rsidR="00F045E6" w:rsidRPr="00321EC0" w:rsidRDefault="00F045E6" w:rsidP="00F045E6">
      <w:pPr>
        <w:sectPr w:rsidR="00F045E6" w:rsidRPr="00321EC0" w:rsidSect="00D37F3B">
          <w:headerReference w:type="even" r:id="rId37"/>
          <w:headerReference w:type="default" r:id="rId38"/>
          <w:headerReference w:type="first" r:id="rId39"/>
          <w:footerReference w:type="first" r:id="rId40"/>
          <w:type w:val="oddPage"/>
          <w:pgSz w:w="11907" w:h="16840" w:code="9"/>
          <w:pgMar w:top="2466" w:right="2098" w:bottom="2466" w:left="2098" w:header="1899" w:footer="1899" w:gutter="0"/>
          <w:pgNumType w:fmt="lowerRoman" w:start="7"/>
          <w:cols w:space="720"/>
          <w:titlePg/>
          <w:docGrid w:linePitch="272"/>
        </w:sectPr>
      </w:pPr>
    </w:p>
    <w:p w14:paraId="364BBE23" w14:textId="77777777" w:rsidR="00D05A82" w:rsidRPr="00321EC0" w:rsidRDefault="00D05A82" w:rsidP="00D05A82">
      <w:bookmarkStart w:id="60" w:name="_Toc63157711"/>
      <w:bookmarkStart w:id="61" w:name="_Toc63157958"/>
      <w:bookmarkEnd w:id="57"/>
      <w:bookmarkEnd w:id="58"/>
      <w:bookmarkEnd w:id="59"/>
    </w:p>
    <w:p w14:paraId="0A32FB62" w14:textId="77777777" w:rsidR="00F51DAC" w:rsidRPr="00321EC0" w:rsidRDefault="00F51DAC" w:rsidP="00F51DAC">
      <w:pPr>
        <w:pStyle w:val="PartHeading"/>
      </w:pPr>
      <w:r w:rsidRPr="00321EC0">
        <w:t xml:space="preserve">Portfolio </w:t>
      </w:r>
      <w:r w:rsidR="00AE6133" w:rsidRPr="00321EC0">
        <w:t>overview</w:t>
      </w:r>
      <w:bookmarkStart w:id="62" w:name="_Toc436626774"/>
      <w:bookmarkStart w:id="63" w:name="_Toc490972396"/>
      <w:bookmarkStart w:id="64" w:name="_Toc491014610"/>
      <w:bookmarkStart w:id="65" w:name="_Toc491014752"/>
      <w:bookmarkStart w:id="66" w:name="_Toc491014932"/>
      <w:bookmarkStart w:id="67" w:name="_Toc491015079"/>
      <w:bookmarkStart w:id="68" w:name="_Toc491029227"/>
      <w:bookmarkStart w:id="69" w:name="_Toc491030315"/>
      <w:bookmarkStart w:id="70" w:name="_Toc491030774"/>
      <w:bookmarkStart w:id="71" w:name="_Toc449255755"/>
      <w:bookmarkStart w:id="72" w:name="_Toc491031337"/>
      <w:bookmarkStart w:id="73" w:name="_Toc491031925"/>
      <w:bookmarkStart w:id="74" w:name="_Toc491032095"/>
      <w:bookmarkStart w:id="75" w:name="_Toc491032207"/>
      <w:bookmarkStart w:id="76" w:name="_Toc491032314"/>
      <w:bookmarkStart w:id="77" w:name="_Toc491771701"/>
      <w:bookmarkStart w:id="78" w:name="_Toc491773276"/>
      <w:bookmarkStart w:id="79" w:name="_Toc23559336"/>
      <w:bookmarkStart w:id="80" w:name="_Toc23559370"/>
      <w:bookmarkStart w:id="81" w:name="_Toc23559660"/>
      <w:bookmarkStart w:id="82" w:name="_Toc23560123"/>
      <w:bookmarkStart w:id="83" w:name="_Toc23563419"/>
      <w:bookmarkStart w:id="84" w:name="_Toc77998672"/>
      <w:bookmarkStart w:id="85" w:name="_Toc79399713"/>
      <w:bookmarkStart w:id="86" w:name="_Toc112211952"/>
      <w:bookmarkStart w:id="87" w:name="_Toc112212046"/>
      <w:bookmarkStart w:id="88" w:name="_Toc112137864"/>
      <w:bookmarkStart w:id="89" w:name="_Toc112224371"/>
      <w:bookmarkStart w:id="90" w:name="_Toc210646445"/>
      <w:bookmarkStart w:id="91" w:name="_Toc210698424"/>
      <w:bookmarkEnd w:id="60"/>
      <w:bookmarkEnd w:id="61"/>
    </w:p>
    <w:p w14:paraId="21471FC6" w14:textId="77777777" w:rsidR="00D05A82" w:rsidRPr="00321EC0" w:rsidRDefault="00D05A82" w:rsidP="00D05A82"/>
    <w:p w14:paraId="409AB0B8" w14:textId="77777777" w:rsidR="00D05A82" w:rsidRPr="00321EC0" w:rsidRDefault="00D05A82" w:rsidP="00D05A82">
      <w:pPr>
        <w:sectPr w:rsidR="00D05A82" w:rsidRPr="00321EC0" w:rsidSect="00D37F3B">
          <w:headerReference w:type="first" r:id="rId41"/>
          <w:footerReference w:type="first" r:id="rId42"/>
          <w:type w:val="oddPage"/>
          <w:pgSz w:w="11907" w:h="16840" w:code="9"/>
          <w:pgMar w:top="2466" w:right="2098" w:bottom="2466" w:left="2098" w:header="1899" w:footer="1899" w:gutter="0"/>
          <w:pgNumType w:start="1"/>
          <w:cols w:space="720"/>
          <w:vAlign w:val="center"/>
          <w:titlePg/>
        </w:sectPr>
      </w:pPr>
    </w:p>
    <w:p w14:paraId="7D21C3C9" w14:textId="77777777" w:rsidR="00F51DAC" w:rsidRPr="00321EC0" w:rsidRDefault="00F51DAC" w:rsidP="00ED5D96">
      <w:pPr>
        <w:pStyle w:val="Heading1-NoTOC"/>
        <w:rPr>
          <w:rFonts w:ascii="Book Antiqua" w:hAnsi="Book Antiqua"/>
        </w:rPr>
      </w:pPr>
      <w:r w:rsidRPr="00321EC0">
        <w:t>Portfolio</w:t>
      </w:r>
      <w:bookmarkEnd w:id="62"/>
      <w:r w:rsidRPr="00321EC0">
        <w:t xml:space="preserve"> </w:t>
      </w:r>
      <w:bookmarkStart w:id="92" w:name="_Toc436626775"/>
      <w:r w:rsidR="00AE6133" w:rsidRPr="00321EC0">
        <w:t>overview</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360EEBB" w14:textId="18969435" w:rsidR="00FC1FF4" w:rsidRPr="00321EC0" w:rsidRDefault="00193704" w:rsidP="00FC1FF4">
      <w:pPr>
        <w:pStyle w:val="NormalWeb"/>
        <w:jc w:val="both"/>
        <w:rPr>
          <w:rFonts w:ascii="Book Antiqua" w:hAnsi="Book Antiqua"/>
          <w:sz w:val="20"/>
          <w:szCs w:val="20"/>
        </w:rPr>
      </w:pPr>
      <w:r w:rsidRPr="00321EC0">
        <w:rPr>
          <w:rFonts w:ascii="Book Antiqua" w:hAnsi="Book Antiqua"/>
          <w:sz w:val="20"/>
          <w:szCs w:val="20"/>
        </w:rPr>
        <w:t>On 30 October 2020, Senator the Hon Simon Birmingham was sworn in as Minister for Finance following the departure of the former Minister for Finance, Senator the Hon Mathias Cormann.</w:t>
      </w:r>
      <w:r w:rsidR="00B64B73" w:rsidRPr="00B64B73">
        <w:t xml:space="preserve"> </w:t>
      </w:r>
      <w:r w:rsidR="00B64B73" w:rsidRPr="00B64B73">
        <w:rPr>
          <w:rFonts w:ascii="Book Antiqua" w:hAnsi="Book Antiqua"/>
          <w:sz w:val="20"/>
          <w:szCs w:val="20"/>
        </w:rPr>
        <w:t xml:space="preserve">The Finance Minister also holds the responsibilities of Special Minister of State. </w:t>
      </w:r>
      <w:r w:rsidR="00B74A96">
        <w:rPr>
          <w:rFonts w:ascii="Book Antiqua" w:hAnsi="Book Antiqua"/>
          <w:sz w:val="20"/>
          <w:szCs w:val="20"/>
        </w:rPr>
        <w:t>On 22 December 2020, t</w:t>
      </w:r>
      <w:r w:rsidR="00B64B73" w:rsidRPr="00B64B73">
        <w:rPr>
          <w:rFonts w:ascii="Book Antiqua" w:hAnsi="Book Antiqua"/>
          <w:sz w:val="20"/>
          <w:szCs w:val="20"/>
        </w:rPr>
        <w:t xml:space="preserve">he Hon </w:t>
      </w:r>
      <w:r w:rsidR="00B64B73">
        <w:rPr>
          <w:rFonts w:ascii="Book Antiqua" w:hAnsi="Book Antiqua"/>
          <w:sz w:val="20"/>
          <w:szCs w:val="20"/>
        </w:rPr>
        <w:t>Ben Morton</w:t>
      </w:r>
      <w:r w:rsidR="00B64B73" w:rsidRPr="00B64B73">
        <w:rPr>
          <w:rFonts w:ascii="Book Antiqua" w:hAnsi="Book Antiqua"/>
          <w:sz w:val="20"/>
          <w:szCs w:val="20"/>
        </w:rPr>
        <w:t xml:space="preserve"> </w:t>
      </w:r>
      <w:r w:rsidR="00B64B73">
        <w:rPr>
          <w:rFonts w:ascii="Book Antiqua" w:hAnsi="Book Antiqua"/>
          <w:sz w:val="20"/>
          <w:szCs w:val="20"/>
        </w:rPr>
        <w:t xml:space="preserve">MP </w:t>
      </w:r>
      <w:r w:rsidR="00B64B73" w:rsidRPr="00B64B73">
        <w:rPr>
          <w:rFonts w:ascii="Book Antiqua" w:hAnsi="Book Antiqua"/>
          <w:sz w:val="20"/>
          <w:szCs w:val="20"/>
        </w:rPr>
        <w:t>was appointed Assistant Minister for Electoral Matters</w:t>
      </w:r>
      <w:r w:rsidR="00B74A96">
        <w:rPr>
          <w:rFonts w:ascii="Book Antiqua" w:hAnsi="Book Antiqua"/>
          <w:sz w:val="20"/>
          <w:szCs w:val="20"/>
        </w:rPr>
        <w:t xml:space="preserve"> and the respective responsibilities at this time are presented below</w:t>
      </w:r>
      <w:r w:rsidR="00B64B73" w:rsidRPr="00B64B73">
        <w:rPr>
          <w:rFonts w:ascii="Book Antiqua" w:hAnsi="Book Antiqua"/>
          <w:sz w:val="20"/>
          <w:szCs w:val="20"/>
        </w:rPr>
        <w:t>.</w:t>
      </w:r>
    </w:p>
    <w:p w14:paraId="08B34764" w14:textId="77777777" w:rsidR="00FC1FF4" w:rsidRPr="00321EC0" w:rsidRDefault="00FC1FF4" w:rsidP="00B74A96">
      <w:pPr>
        <w:pStyle w:val="Heading2"/>
        <w:spacing w:after="320"/>
      </w:pPr>
      <w:bookmarkStart w:id="93" w:name="_Toc31278910"/>
      <w:bookmarkStart w:id="94" w:name="_Toc31279037"/>
      <w:bookmarkStart w:id="95" w:name="_Toc31381640"/>
      <w:bookmarkStart w:id="96" w:name="_Toc31713183"/>
      <w:bookmarkStart w:id="97" w:name="_Toc31713817"/>
      <w:bookmarkStart w:id="98" w:name="_Toc31874881"/>
      <w:bookmarkStart w:id="99" w:name="_Toc31875139"/>
      <w:bookmarkStart w:id="100" w:name="_Toc50476997"/>
      <w:bookmarkStart w:id="101" w:name="_Toc50477882"/>
      <w:bookmarkStart w:id="102" w:name="_Toc51149949"/>
      <w:bookmarkStart w:id="103" w:name="_Toc63157712"/>
      <w:bookmarkStart w:id="104" w:name="_Toc63157959"/>
      <w:r w:rsidRPr="00321EC0">
        <w:t>Ministers and portfolio responsibilities</w:t>
      </w:r>
      <w:bookmarkEnd w:id="93"/>
      <w:bookmarkEnd w:id="94"/>
      <w:bookmarkEnd w:id="95"/>
      <w:bookmarkEnd w:id="96"/>
      <w:bookmarkEnd w:id="97"/>
      <w:bookmarkEnd w:id="98"/>
      <w:bookmarkEnd w:id="99"/>
      <w:bookmarkEnd w:id="100"/>
      <w:bookmarkEnd w:id="101"/>
      <w:bookmarkEnd w:id="102"/>
      <w:bookmarkEnd w:id="103"/>
      <w:bookmarkEnd w:id="104"/>
    </w:p>
    <w:p w14:paraId="60C6776E" w14:textId="77777777" w:rsidR="00FC1FF4" w:rsidRPr="00321EC0" w:rsidRDefault="00FC1FF4" w:rsidP="00B74A96">
      <w:pPr>
        <w:pStyle w:val="NormalWeb"/>
        <w:spacing w:after="240" w:afterAutospacing="0"/>
        <w:jc w:val="both"/>
        <w:rPr>
          <w:rFonts w:ascii="Book Antiqua" w:hAnsi="Book Antiqua"/>
          <w:sz w:val="20"/>
          <w:szCs w:val="20"/>
        </w:rPr>
      </w:pPr>
      <w:r w:rsidRPr="00321EC0">
        <w:rPr>
          <w:rFonts w:ascii="Book Antiqua" w:hAnsi="Book Antiqua"/>
          <w:sz w:val="20"/>
          <w:szCs w:val="20"/>
        </w:rPr>
        <w:t>The Minister for Finance has overall responsibility for the Finance portfolio, and particular responsibility for the following:</w:t>
      </w:r>
    </w:p>
    <w:p w14:paraId="38E0A854" w14:textId="77777777" w:rsidR="00FC1FF4" w:rsidRPr="00321EC0" w:rsidRDefault="00FC1FF4" w:rsidP="00264523">
      <w:pPr>
        <w:pStyle w:val="ListParagraph"/>
        <w:numPr>
          <w:ilvl w:val="0"/>
          <w:numId w:val="10"/>
        </w:numPr>
        <w:spacing w:before="120"/>
        <w:ind w:left="567" w:hanging="207"/>
        <w:jc w:val="both"/>
        <w:rPr>
          <w:rFonts w:ascii="Book Antiqua" w:hAnsi="Book Antiqua"/>
          <w:sz w:val="20"/>
          <w:szCs w:val="20"/>
        </w:rPr>
      </w:pPr>
      <w:r w:rsidRPr="00321EC0">
        <w:rPr>
          <w:rFonts w:ascii="Book Antiqua" w:hAnsi="Book Antiqua"/>
          <w:sz w:val="20"/>
          <w:szCs w:val="20"/>
        </w:rPr>
        <w:t>Budget policy advice and process, and review of government programs.</w:t>
      </w:r>
    </w:p>
    <w:p w14:paraId="1DA6718A" w14:textId="77777777" w:rsidR="00FC1FF4" w:rsidRPr="00321EC0" w:rsidRDefault="00FC1FF4" w:rsidP="00264523">
      <w:pPr>
        <w:pStyle w:val="ListParagraph"/>
        <w:numPr>
          <w:ilvl w:val="0"/>
          <w:numId w:val="10"/>
        </w:numPr>
        <w:spacing w:before="120"/>
        <w:ind w:left="567" w:hanging="207"/>
        <w:jc w:val="both"/>
        <w:rPr>
          <w:rFonts w:ascii="Book Antiqua" w:hAnsi="Book Antiqua"/>
          <w:sz w:val="20"/>
          <w:szCs w:val="20"/>
        </w:rPr>
      </w:pPr>
      <w:r w:rsidRPr="00321EC0">
        <w:rPr>
          <w:rFonts w:ascii="Book Antiqua" w:hAnsi="Book Antiqua"/>
          <w:sz w:val="20"/>
          <w:szCs w:val="20"/>
        </w:rPr>
        <w:t>Government financial accountability, governance and financial management frameworks, including grants and procurement policy and services.</w:t>
      </w:r>
    </w:p>
    <w:p w14:paraId="155E7881" w14:textId="77777777" w:rsidR="00FC1FF4" w:rsidRPr="00321EC0" w:rsidRDefault="00FC1FF4" w:rsidP="00264523">
      <w:pPr>
        <w:pStyle w:val="ListParagraph"/>
        <w:numPr>
          <w:ilvl w:val="0"/>
          <w:numId w:val="10"/>
        </w:numPr>
        <w:spacing w:before="120"/>
        <w:ind w:left="567" w:hanging="207"/>
        <w:jc w:val="both"/>
        <w:rPr>
          <w:rFonts w:ascii="Book Antiqua" w:hAnsi="Book Antiqua"/>
          <w:sz w:val="20"/>
          <w:szCs w:val="20"/>
        </w:rPr>
      </w:pPr>
      <w:r w:rsidRPr="00321EC0">
        <w:rPr>
          <w:rFonts w:ascii="Book Antiqua" w:hAnsi="Book Antiqua"/>
          <w:sz w:val="20"/>
          <w:szCs w:val="20"/>
        </w:rPr>
        <w:t>Shareholder advice on Government Business Enterprises (GBEs) and commercial entities treated as GBEs.</w:t>
      </w:r>
    </w:p>
    <w:p w14:paraId="64419745" w14:textId="77777777" w:rsidR="00FC1FF4" w:rsidRPr="00321EC0" w:rsidRDefault="00FC1FF4" w:rsidP="00264523">
      <w:pPr>
        <w:pStyle w:val="ListParagraph"/>
        <w:numPr>
          <w:ilvl w:val="0"/>
          <w:numId w:val="10"/>
        </w:numPr>
        <w:spacing w:before="120"/>
        <w:ind w:left="567" w:hanging="207"/>
        <w:jc w:val="both"/>
        <w:rPr>
          <w:rFonts w:ascii="Book Antiqua" w:hAnsi="Book Antiqua"/>
          <w:sz w:val="20"/>
          <w:szCs w:val="20"/>
        </w:rPr>
      </w:pPr>
      <w:r w:rsidRPr="00321EC0">
        <w:rPr>
          <w:rFonts w:ascii="Book Antiqua" w:hAnsi="Book Antiqua"/>
          <w:sz w:val="20"/>
          <w:szCs w:val="20"/>
        </w:rPr>
        <w:t>Policy guidance and management of act of grace requests and waiver of debts owed to the Commonwealth.</w:t>
      </w:r>
    </w:p>
    <w:p w14:paraId="43552AED" w14:textId="77777777" w:rsidR="00FC1FF4" w:rsidRPr="00321EC0" w:rsidRDefault="00FC1FF4" w:rsidP="00264523">
      <w:pPr>
        <w:pStyle w:val="ListParagraph"/>
        <w:numPr>
          <w:ilvl w:val="0"/>
          <w:numId w:val="10"/>
        </w:numPr>
        <w:spacing w:before="120"/>
        <w:ind w:left="567" w:hanging="207"/>
        <w:jc w:val="both"/>
        <w:rPr>
          <w:rFonts w:ascii="Book Antiqua" w:hAnsi="Book Antiqua"/>
          <w:sz w:val="20"/>
          <w:szCs w:val="20"/>
        </w:rPr>
      </w:pPr>
      <w:r w:rsidRPr="00321EC0">
        <w:rPr>
          <w:rFonts w:ascii="Book Antiqua" w:hAnsi="Book Antiqua"/>
          <w:sz w:val="20"/>
          <w:szCs w:val="20"/>
        </w:rPr>
        <w:t>Policy guidance for Comcover</w:t>
      </w:r>
      <w:r w:rsidRPr="00321EC0">
        <w:rPr>
          <w:rFonts w:ascii="Book Antiqua" w:hAnsi="Book Antiqua"/>
          <w:color w:val="000000"/>
          <w:sz w:val="20"/>
          <w:szCs w:val="20"/>
        </w:rPr>
        <w:t xml:space="preserve">, the government’s self-managed insurance fund, </w:t>
      </w:r>
      <w:r w:rsidRPr="00321EC0">
        <w:rPr>
          <w:rFonts w:ascii="Book Antiqua" w:hAnsi="Book Antiqua"/>
          <w:sz w:val="20"/>
          <w:szCs w:val="20"/>
        </w:rPr>
        <w:t>and risk policy.</w:t>
      </w:r>
    </w:p>
    <w:p w14:paraId="355C9F6A" w14:textId="77777777" w:rsidR="00FC1FF4" w:rsidRPr="00321EC0" w:rsidRDefault="00FC1FF4" w:rsidP="00264523">
      <w:pPr>
        <w:pStyle w:val="ListParagraph"/>
        <w:numPr>
          <w:ilvl w:val="0"/>
          <w:numId w:val="10"/>
        </w:numPr>
        <w:spacing w:before="120"/>
        <w:ind w:left="567" w:hanging="207"/>
        <w:jc w:val="both"/>
        <w:rPr>
          <w:rFonts w:ascii="Book Antiqua" w:hAnsi="Book Antiqua"/>
          <w:sz w:val="20"/>
          <w:szCs w:val="20"/>
        </w:rPr>
      </w:pPr>
      <w:r w:rsidRPr="00321EC0">
        <w:rPr>
          <w:rFonts w:ascii="Book Antiqua" w:hAnsi="Book Antiqua"/>
          <w:sz w:val="20"/>
          <w:szCs w:val="20"/>
        </w:rPr>
        <w:t>General policy guidelines for Commonwealth statutory authorities.</w:t>
      </w:r>
    </w:p>
    <w:p w14:paraId="3D5C6CC4" w14:textId="77777777" w:rsidR="00FC1FF4" w:rsidRPr="00321EC0" w:rsidRDefault="00FC1FF4" w:rsidP="00264523">
      <w:pPr>
        <w:pStyle w:val="ListParagraph"/>
        <w:numPr>
          <w:ilvl w:val="0"/>
          <w:numId w:val="10"/>
        </w:numPr>
        <w:spacing w:before="120"/>
        <w:ind w:left="567" w:hanging="207"/>
        <w:jc w:val="both"/>
        <w:rPr>
          <w:rFonts w:ascii="Book Antiqua" w:hAnsi="Book Antiqua"/>
          <w:color w:val="000000"/>
          <w:sz w:val="20"/>
          <w:szCs w:val="20"/>
        </w:rPr>
      </w:pPr>
      <w:r w:rsidRPr="00321EC0">
        <w:rPr>
          <w:rFonts w:ascii="Book Antiqua" w:hAnsi="Book Antiqua"/>
          <w:color w:val="000000"/>
          <w:sz w:val="20"/>
          <w:szCs w:val="20"/>
        </w:rPr>
        <w:t>Superannuation arrangements for Australian Government civilian employees and parliamentarians, and retirement benefits for governors-general, federal judges and Federal Court Judges.</w:t>
      </w:r>
    </w:p>
    <w:p w14:paraId="1DC56B14" w14:textId="77777777" w:rsidR="00FC1FF4" w:rsidRPr="00321EC0" w:rsidRDefault="00FC1FF4" w:rsidP="00264523">
      <w:pPr>
        <w:pStyle w:val="ListParagraph"/>
        <w:numPr>
          <w:ilvl w:val="0"/>
          <w:numId w:val="10"/>
        </w:numPr>
        <w:spacing w:before="120"/>
        <w:ind w:left="567" w:hanging="207"/>
        <w:jc w:val="both"/>
        <w:rPr>
          <w:rFonts w:ascii="Book Antiqua" w:hAnsi="Book Antiqua"/>
          <w:sz w:val="20"/>
          <w:szCs w:val="20"/>
        </w:rPr>
      </w:pPr>
      <w:r w:rsidRPr="00321EC0">
        <w:rPr>
          <w:rFonts w:ascii="Book Antiqua" w:hAnsi="Book Antiqua"/>
          <w:sz w:val="20"/>
          <w:szCs w:val="20"/>
        </w:rPr>
        <w:t>Asset sales.</w:t>
      </w:r>
    </w:p>
    <w:p w14:paraId="39A9A9DE" w14:textId="77777777" w:rsidR="00FC1FF4" w:rsidRPr="00321EC0" w:rsidRDefault="00FC1FF4" w:rsidP="00264523">
      <w:pPr>
        <w:pStyle w:val="ListParagraph"/>
        <w:numPr>
          <w:ilvl w:val="0"/>
          <w:numId w:val="10"/>
        </w:numPr>
        <w:spacing w:before="120"/>
        <w:ind w:left="567" w:hanging="207"/>
        <w:jc w:val="both"/>
        <w:rPr>
          <w:rFonts w:ascii="Book Antiqua" w:hAnsi="Book Antiqua"/>
          <w:color w:val="000000"/>
          <w:sz w:val="20"/>
          <w:szCs w:val="20"/>
        </w:rPr>
      </w:pPr>
      <w:r w:rsidRPr="00321EC0">
        <w:rPr>
          <w:rFonts w:ascii="Book Antiqua" w:hAnsi="Book Antiqua"/>
          <w:color w:val="000000"/>
          <w:sz w:val="20"/>
          <w:szCs w:val="20"/>
        </w:rPr>
        <w:t>Policy advice on the Future Fund and Australian Government Investment Funds, and authorisation of payments from Australian Government Investment Funds to entities.</w:t>
      </w:r>
    </w:p>
    <w:p w14:paraId="3CE68E0E" w14:textId="77777777" w:rsidR="00FC1FF4" w:rsidRPr="00321EC0" w:rsidRDefault="00FC1FF4" w:rsidP="00264523">
      <w:pPr>
        <w:pStyle w:val="ListParagraph"/>
        <w:numPr>
          <w:ilvl w:val="0"/>
          <w:numId w:val="10"/>
        </w:numPr>
        <w:spacing w:before="120"/>
        <w:ind w:left="567" w:hanging="207"/>
        <w:jc w:val="both"/>
        <w:rPr>
          <w:rFonts w:ascii="Book Antiqua" w:hAnsi="Book Antiqua"/>
          <w:color w:val="000000"/>
          <w:sz w:val="20"/>
          <w:szCs w:val="20"/>
        </w:rPr>
      </w:pPr>
      <w:r w:rsidRPr="00321EC0">
        <w:rPr>
          <w:rFonts w:ascii="Book Antiqua" w:hAnsi="Book Antiqua"/>
          <w:i/>
          <w:color w:val="000000"/>
          <w:sz w:val="20"/>
          <w:szCs w:val="20"/>
        </w:rPr>
        <w:t>Parliamentary Business Resources Act 2017</w:t>
      </w:r>
      <w:r w:rsidRPr="00321EC0">
        <w:rPr>
          <w:rFonts w:ascii="Book Antiqua" w:hAnsi="Book Antiqua" w:hint="eastAsia"/>
          <w:color w:val="000000"/>
          <w:sz w:val="20"/>
          <w:szCs w:val="20"/>
        </w:rPr>
        <w:t> </w:t>
      </w:r>
      <w:r w:rsidRPr="00321EC0">
        <w:rPr>
          <w:rFonts w:ascii="Book Antiqua" w:hAnsi="Book Antiqua"/>
          <w:color w:val="000000"/>
          <w:sz w:val="20"/>
          <w:szCs w:val="20"/>
        </w:rPr>
        <w:t>expenses framework.</w:t>
      </w:r>
    </w:p>
    <w:p w14:paraId="73E471D8" w14:textId="77777777" w:rsidR="00FC1FF4" w:rsidRPr="00321EC0" w:rsidRDefault="00FC1FF4" w:rsidP="00264523">
      <w:pPr>
        <w:pStyle w:val="ListParagraph"/>
        <w:numPr>
          <w:ilvl w:val="0"/>
          <w:numId w:val="11"/>
        </w:numPr>
        <w:tabs>
          <w:tab w:val="clear" w:pos="720"/>
          <w:tab w:val="num" w:pos="567"/>
        </w:tabs>
        <w:spacing w:before="100" w:beforeAutospacing="1" w:after="100" w:afterAutospacing="1" w:line="240" w:lineRule="auto"/>
        <w:ind w:left="567" w:hanging="207"/>
        <w:jc w:val="both"/>
        <w:rPr>
          <w:rFonts w:ascii="Book Antiqua" w:hAnsi="Book Antiqua"/>
          <w:color w:val="000000"/>
          <w:sz w:val="20"/>
          <w:szCs w:val="20"/>
        </w:rPr>
      </w:pPr>
      <w:r w:rsidRPr="00321EC0">
        <w:rPr>
          <w:rFonts w:ascii="Book Antiqua" w:hAnsi="Book Antiqua"/>
          <w:i/>
          <w:color w:val="000000"/>
          <w:sz w:val="20"/>
          <w:szCs w:val="20"/>
        </w:rPr>
        <w:t>Members of Parliament (Staff) Act 1984</w:t>
      </w:r>
      <w:r w:rsidRPr="00321EC0">
        <w:rPr>
          <w:rFonts w:ascii="Book Antiqua" w:hAnsi="Book Antiqua" w:hint="eastAsia"/>
          <w:color w:val="000000"/>
          <w:sz w:val="20"/>
          <w:szCs w:val="20"/>
        </w:rPr>
        <w:t> </w:t>
      </w:r>
      <w:r w:rsidRPr="00321EC0">
        <w:rPr>
          <w:rFonts w:ascii="Book Antiqua" w:hAnsi="Book Antiqua"/>
          <w:color w:val="000000"/>
          <w:sz w:val="20"/>
          <w:szCs w:val="20"/>
        </w:rPr>
        <w:t>(MOP(S)) Act employment framework (shared with the Prime Minister).</w:t>
      </w:r>
    </w:p>
    <w:p w14:paraId="1DF0659B" w14:textId="77777777" w:rsidR="00FC1FF4" w:rsidRPr="00321EC0" w:rsidRDefault="00FC1FF4" w:rsidP="00B74A96">
      <w:pPr>
        <w:spacing w:before="100" w:beforeAutospacing="1" w:line="240" w:lineRule="auto"/>
      </w:pPr>
      <w:r w:rsidRPr="00321EC0">
        <w:t>The Assistant Minister for Electoral Matters assists the Finance Minister in performing functions in relation to:</w:t>
      </w:r>
    </w:p>
    <w:p w14:paraId="2A76A1C8" w14:textId="77777777" w:rsidR="00A45D03" w:rsidRPr="00321EC0" w:rsidRDefault="00A45D03" w:rsidP="00264523">
      <w:pPr>
        <w:pStyle w:val="ListParagraph"/>
        <w:numPr>
          <w:ilvl w:val="0"/>
          <w:numId w:val="10"/>
        </w:numPr>
        <w:spacing w:before="120"/>
        <w:ind w:left="567" w:hanging="207"/>
        <w:jc w:val="both"/>
        <w:rPr>
          <w:rFonts w:ascii="Book Antiqua" w:hAnsi="Book Antiqua"/>
          <w:color w:val="000000"/>
          <w:sz w:val="20"/>
          <w:szCs w:val="20"/>
        </w:rPr>
      </w:pPr>
      <w:r w:rsidRPr="00321EC0">
        <w:rPr>
          <w:rFonts w:ascii="Book Antiqua" w:hAnsi="Book Antiqua"/>
          <w:color w:val="000000"/>
          <w:sz w:val="20"/>
          <w:szCs w:val="20"/>
        </w:rPr>
        <w:t xml:space="preserve">Electoral policy. </w:t>
      </w:r>
    </w:p>
    <w:p w14:paraId="24295185" w14:textId="03026660" w:rsidR="00FC1FF4" w:rsidRPr="00321EC0" w:rsidRDefault="00FC1FF4" w:rsidP="00264523">
      <w:pPr>
        <w:pStyle w:val="ListParagraph"/>
        <w:numPr>
          <w:ilvl w:val="0"/>
          <w:numId w:val="10"/>
        </w:numPr>
        <w:spacing w:before="120"/>
        <w:ind w:left="567" w:hanging="207"/>
        <w:jc w:val="both"/>
        <w:rPr>
          <w:rFonts w:ascii="Book Antiqua" w:hAnsi="Book Antiqua"/>
          <w:color w:val="000000"/>
          <w:sz w:val="20"/>
          <w:szCs w:val="20"/>
        </w:rPr>
      </w:pPr>
      <w:r w:rsidRPr="00321EC0">
        <w:rPr>
          <w:rFonts w:ascii="Book Antiqua" w:hAnsi="Book Antiqua"/>
          <w:color w:val="000000"/>
          <w:sz w:val="20"/>
          <w:szCs w:val="20"/>
        </w:rPr>
        <w:t>Electoral matters (supported by the Austral</w:t>
      </w:r>
      <w:r w:rsidR="00FA1541">
        <w:rPr>
          <w:rFonts w:ascii="Book Antiqua" w:hAnsi="Book Antiqua"/>
          <w:color w:val="000000"/>
          <w:sz w:val="20"/>
          <w:szCs w:val="20"/>
        </w:rPr>
        <w:t>ian Electoral Commission (AEC)).</w:t>
      </w:r>
    </w:p>
    <w:p w14:paraId="60292951" w14:textId="77777777" w:rsidR="00FC1FF4" w:rsidRPr="00321EC0" w:rsidRDefault="00FC1FF4" w:rsidP="00264523">
      <w:pPr>
        <w:pStyle w:val="ListParagraph"/>
        <w:numPr>
          <w:ilvl w:val="0"/>
          <w:numId w:val="10"/>
        </w:numPr>
        <w:spacing w:before="120"/>
        <w:ind w:left="567" w:hanging="207"/>
        <w:jc w:val="both"/>
        <w:rPr>
          <w:rFonts w:ascii="Book Antiqua" w:hAnsi="Book Antiqua"/>
          <w:color w:val="000000"/>
          <w:sz w:val="20"/>
          <w:szCs w:val="20"/>
        </w:rPr>
      </w:pPr>
      <w:r w:rsidRPr="00321EC0">
        <w:rPr>
          <w:rFonts w:ascii="Book Antiqua" w:hAnsi="Book Antiqua"/>
          <w:color w:val="000000"/>
          <w:sz w:val="20"/>
          <w:szCs w:val="20"/>
        </w:rPr>
        <w:t>Government campaign advertising.</w:t>
      </w:r>
    </w:p>
    <w:p w14:paraId="23D0768F" w14:textId="77777777" w:rsidR="001E4872" w:rsidRPr="00321EC0" w:rsidRDefault="001E4872" w:rsidP="001E4872">
      <w:pPr>
        <w:pStyle w:val="Heading2"/>
      </w:pPr>
      <w:bookmarkStart w:id="105" w:name="_Toc31278911"/>
      <w:bookmarkStart w:id="106" w:name="_Toc31279038"/>
      <w:bookmarkStart w:id="107" w:name="_Toc31381641"/>
      <w:bookmarkStart w:id="108" w:name="_Toc31713184"/>
      <w:bookmarkStart w:id="109" w:name="_Toc31713818"/>
      <w:bookmarkStart w:id="110" w:name="_Toc31874882"/>
      <w:bookmarkStart w:id="111" w:name="_Toc31875140"/>
      <w:bookmarkStart w:id="112" w:name="_Toc63157713"/>
      <w:bookmarkStart w:id="113" w:name="_Toc63157960"/>
      <w:r w:rsidRPr="00321EC0">
        <w:t>Portfolio overview</w:t>
      </w:r>
      <w:bookmarkEnd w:id="105"/>
      <w:bookmarkEnd w:id="106"/>
      <w:bookmarkEnd w:id="107"/>
      <w:bookmarkEnd w:id="108"/>
      <w:bookmarkEnd w:id="109"/>
      <w:bookmarkEnd w:id="110"/>
      <w:bookmarkEnd w:id="111"/>
      <w:bookmarkEnd w:id="112"/>
      <w:bookmarkEnd w:id="113"/>
    </w:p>
    <w:p w14:paraId="0F610559" w14:textId="77777777" w:rsidR="001E4872" w:rsidRPr="00321EC0" w:rsidRDefault="001E4872" w:rsidP="001E4872">
      <w:pPr>
        <w:pStyle w:val="ExampleText"/>
        <w:rPr>
          <w:i w:val="0"/>
          <w:color w:val="auto"/>
        </w:rPr>
      </w:pPr>
      <w:r w:rsidRPr="00321EC0">
        <w:rPr>
          <w:i w:val="0"/>
          <w:color w:val="auto"/>
        </w:rPr>
        <w:t xml:space="preserve">The Finance portfolio outcomes are represented at Figure 1 on page </w:t>
      </w:r>
      <w:r w:rsidR="00CD1478" w:rsidRPr="00321EC0">
        <w:rPr>
          <w:i w:val="0"/>
          <w:color w:val="auto"/>
        </w:rPr>
        <w:t>5</w:t>
      </w:r>
      <w:r w:rsidRPr="00321EC0">
        <w:rPr>
          <w:i w:val="0"/>
          <w:color w:val="auto"/>
        </w:rPr>
        <w:t>. There have been no changes to outcomes since the 2020-21 Portfolio Budget Statements.</w:t>
      </w:r>
    </w:p>
    <w:p w14:paraId="1816E00E" w14:textId="77777777" w:rsidR="001E4872" w:rsidRPr="00321EC0" w:rsidRDefault="001E4872" w:rsidP="001E4872">
      <w:pPr>
        <w:pStyle w:val="Heading2"/>
      </w:pPr>
      <w:bookmarkStart w:id="114" w:name="_Toc31278912"/>
      <w:bookmarkStart w:id="115" w:name="_Toc31279039"/>
      <w:bookmarkStart w:id="116" w:name="_Toc31381642"/>
      <w:bookmarkStart w:id="117" w:name="_Toc31713185"/>
      <w:bookmarkStart w:id="118" w:name="_Toc31713819"/>
      <w:bookmarkStart w:id="119" w:name="_Toc31874883"/>
      <w:bookmarkStart w:id="120" w:name="_Toc31875141"/>
      <w:bookmarkStart w:id="121" w:name="_Toc63157714"/>
      <w:bookmarkStart w:id="122" w:name="_Toc63157961"/>
      <w:r w:rsidRPr="00321EC0">
        <w:t>Additional estimates and variations – portfolio level</w:t>
      </w:r>
      <w:bookmarkEnd w:id="114"/>
      <w:bookmarkEnd w:id="115"/>
      <w:bookmarkEnd w:id="116"/>
      <w:bookmarkEnd w:id="117"/>
      <w:bookmarkEnd w:id="118"/>
      <w:bookmarkEnd w:id="119"/>
      <w:bookmarkEnd w:id="120"/>
      <w:bookmarkEnd w:id="121"/>
      <w:bookmarkEnd w:id="122"/>
    </w:p>
    <w:p w14:paraId="409E3FD2" w14:textId="77777777" w:rsidR="001E4872" w:rsidRPr="00321EC0" w:rsidRDefault="001E4872" w:rsidP="001E4872">
      <w:pPr>
        <w:autoSpaceDE w:val="0"/>
        <w:autoSpaceDN w:val="0"/>
        <w:adjustRightInd w:val="0"/>
        <w:spacing w:after="0" w:line="240" w:lineRule="auto"/>
        <w:jc w:val="left"/>
      </w:pPr>
      <w:r w:rsidRPr="00321EC0">
        <w:t>Additional estimates and variations are being sought by the Department of Finance</w:t>
      </w:r>
    </w:p>
    <w:p w14:paraId="120320C0" w14:textId="77777777" w:rsidR="001E4872" w:rsidRPr="00321EC0" w:rsidRDefault="001E4872" w:rsidP="001E4872">
      <w:pPr>
        <w:autoSpaceDE w:val="0"/>
        <w:autoSpaceDN w:val="0"/>
        <w:adjustRightInd w:val="0"/>
        <w:spacing w:after="0" w:line="240" w:lineRule="auto"/>
        <w:jc w:val="left"/>
      </w:pPr>
      <w:r w:rsidRPr="00321EC0">
        <w:t>(Finance)</w:t>
      </w:r>
      <w:r w:rsidR="00CD1478" w:rsidRPr="00321EC0">
        <w:t xml:space="preserve"> and</w:t>
      </w:r>
      <w:r w:rsidRPr="00321EC0">
        <w:t xml:space="preserve"> the AEC</w:t>
      </w:r>
      <w:r w:rsidR="00CD1478" w:rsidRPr="00321EC0">
        <w:t>.</w:t>
      </w:r>
      <w:r w:rsidRPr="00321EC0">
        <w:t xml:space="preserve"> These are detailed in the respective statements later in this document, with a brief outline of the changes summarised </w:t>
      </w:r>
      <w:r w:rsidR="00CD1478" w:rsidRPr="00321EC0">
        <w:t>below</w:t>
      </w:r>
      <w:r w:rsidRPr="00321EC0">
        <w:t>.</w:t>
      </w:r>
    </w:p>
    <w:p w14:paraId="1D0C27D7" w14:textId="77777777" w:rsidR="001E4872" w:rsidRPr="00321EC0" w:rsidRDefault="001E4872" w:rsidP="001E4872">
      <w:pPr>
        <w:autoSpaceDE w:val="0"/>
        <w:autoSpaceDN w:val="0"/>
        <w:adjustRightInd w:val="0"/>
        <w:spacing w:after="0" w:line="240" w:lineRule="auto"/>
        <w:jc w:val="left"/>
      </w:pPr>
    </w:p>
    <w:p w14:paraId="76611E85" w14:textId="77777777" w:rsidR="001E4872" w:rsidRPr="00321EC0" w:rsidRDefault="001E4872" w:rsidP="001E4872">
      <w:pPr>
        <w:pStyle w:val="ListParagraph"/>
        <w:spacing w:after="0" w:line="240" w:lineRule="auto"/>
        <w:ind w:left="0"/>
        <w:rPr>
          <w:rFonts w:ascii="Book Antiqua" w:eastAsia="Times New Roman" w:hAnsi="Book Antiqua"/>
          <w:sz w:val="20"/>
          <w:szCs w:val="20"/>
          <w:lang w:val="en-AU" w:eastAsia="en-AU"/>
        </w:rPr>
      </w:pPr>
      <w:r w:rsidRPr="00321EC0">
        <w:rPr>
          <w:rFonts w:ascii="Book Antiqua" w:eastAsia="Times New Roman" w:hAnsi="Book Antiqua"/>
          <w:sz w:val="20"/>
          <w:szCs w:val="20"/>
          <w:lang w:val="en-AU" w:eastAsia="en-AU"/>
        </w:rPr>
        <w:t>Funding for other entities within the portfolio remains unchanged.</w:t>
      </w:r>
    </w:p>
    <w:p w14:paraId="06DCD619" w14:textId="77777777" w:rsidR="00F51DAC" w:rsidRPr="00321EC0" w:rsidRDefault="00F51DAC" w:rsidP="00F51DAC"/>
    <w:p w14:paraId="610E2145" w14:textId="77777777" w:rsidR="001E4872" w:rsidRPr="00321EC0" w:rsidRDefault="001E4872" w:rsidP="001E4872">
      <w:pPr>
        <w:pStyle w:val="Heading2"/>
      </w:pPr>
      <w:bookmarkStart w:id="123" w:name="_Toc31278913"/>
      <w:bookmarkStart w:id="124" w:name="_Toc31279040"/>
      <w:bookmarkStart w:id="125" w:name="_Toc31381643"/>
      <w:bookmarkStart w:id="126" w:name="_Toc31713186"/>
      <w:bookmarkStart w:id="127" w:name="_Toc31713820"/>
      <w:bookmarkStart w:id="128" w:name="_Toc31874884"/>
      <w:bookmarkStart w:id="129" w:name="_Toc31875142"/>
      <w:bookmarkStart w:id="130" w:name="_Toc63157715"/>
      <w:bookmarkStart w:id="131" w:name="_Toc63157962"/>
      <w:r w:rsidRPr="00321EC0">
        <w:t>Department of Finance (Finance)</w:t>
      </w:r>
      <w:bookmarkEnd w:id="123"/>
      <w:bookmarkEnd w:id="124"/>
      <w:bookmarkEnd w:id="125"/>
      <w:bookmarkEnd w:id="126"/>
      <w:bookmarkEnd w:id="127"/>
      <w:bookmarkEnd w:id="128"/>
      <w:bookmarkEnd w:id="129"/>
      <w:bookmarkEnd w:id="130"/>
      <w:bookmarkEnd w:id="131"/>
    </w:p>
    <w:p w14:paraId="761F4A00" w14:textId="77777777" w:rsidR="001E4872" w:rsidRPr="00321EC0" w:rsidRDefault="001E4872" w:rsidP="001E4872">
      <w:pPr>
        <w:jc w:val="left"/>
      </w:pPr>
      <w:r w:rsidRPr="00321EC0">
        <w:t>Finance is seeking net additional funding of $</w:t>
      </w:r>
      <w:r w:rsidR="0054405A" w:rsidRPr="003E56B0">
        <w:t>0.7</w:t>
      </w:r>
      <w:r w:rsidRPr="00321EC0">
        <w:t xml:space="preserve"> million in Appropriation Bill (No. 3) 2020-21.</w:t>
      </w:r>
    </w:p>
    <w:p w14:paraId="2966DE75" w14:textId="77777777" w:rsidR="001E4872" w:rsidRPr="00321EC0" w:rsidRDefault="001E4872" w:rsidP="001E4872">
      <w:pPr>
        <w:autoSpaceDE w:val="0"/>
        <w:autoSpaceDN w:val="0"/>
        <w:adjustRightInd w:val="0"/>
        <w:spacing w:after="0" w:line="240" w:lineRule="auto"/>
        <w:jc w:val="left"/>
      </w:pPr>
      <w:r w:rsidRPr="00321EC0">
        <w:t xml:space="preserve">Finance’s administered special appropriation will increase by </w:t>
      </w:r>
      <w:r w:rsidRPr="003E56B0">
        <w:t>$</w:t>
      </w:r>
      <w:r w:rsidR="00E73AFE">
        <w:t>0</w:t>
      </w:r>
      <w:r w:rsidR="0054405A" w:rsidRPr="003E56B0">
        <w:t>.</w:t>
      </w:r>
      <w:r w:rsidR="00E73AFE">
        <w:t>4</w:t>
      </w:r>
      <w:r w:rsidRPr="00321EC0">
        <w:t xml:space="preserve"> million in 2020-21 </w:t>
      </w:r>
      <w:r w:rsidRPr="003E56B0">
        <w:t>primarily due to revisions of superannuation estimates</w:t>
      </w:r>
      <w:r w:rsidRPr="00321EC0">
        <w:t>.</w:t>
      </w:r>
    </w:p>
    <w:p w14:paraId="6A70FD1A" w14:textId="77777777" w:rsidR="001E4872" w:rsidRPr="00321EC0" w:rsidRDefault="001E4872" w:rsidP="001E4872">
      <w:pPr>
        <w:pStyle w:val="Heading2"/>
      </w:pPr>
      <w:bookmarkStart w:id="132" w:name="_Toc31278914"/>
      <w:bookmarkStart w:id="133" w:name="_Toc31279041"/>
      <w:bookmarkStart w:id="134" w:name="_Toc31381644"/>
      <w:bookmarkStart w:id="135" w:name="_Toc31713187"/>
      <w:bookmarkStart w:id="136" w:name="_Toc31713821"/>
      <w:bookmarkStart w:id="137" w:name="_Toc31874885"/>
      <w:bookmarkStart w:id="138" w:name="_Toc31875143"/>
      <w:bookmarkStart w:id="139" w:name="_Toc63157716"/>
      <w:bookmarkStart w:id="140" w:name="_Toc63157963"/>
      <w:r w:rsidRPr="00321EC0">
        <w:t>Australian Electoral Commission (AEC)</w:t>
      </w:r>
      <w:bookmarkEnd w:id="132"/>
      <w:bookmarkEnd w:id="133"/>
      <w:bookmarkEnd w:id="134"/>
      <w:bookmarkEnd w:id="135"/>
      <w:bookmarkEnd w:id="136"/>
      <w:bookmarkEnd w:id="137"/>
      <w:bookmarkEnd w:id="138"/>
      <w:bookmarkEnd w:id="139"/>
      <w:bookmarkEnd w:id="140"/>
    </w:p>
    <w:p w14:paraId="0BAABD0B" w14:textId="77777777" w:rsidR="001E4872" w:rsidRPr="00321EC0" w:rsidRDefault="001E4872" w:rsidP="001E4872">
      <w:pPr>
        <w:jc w:val="left"/>
      </w:pPr>
      <w:r w:rsidRPr="00321EC0">
        <w:t xml:space="preserve">AEC is seeking net additional funding of </w:t>
      </w:r>
      <w:r w:rsidRPr="003E56B0">
        <w:t>$</w:t>
      </w:r>
      <w:r w:rsidR="00D05B39" w:rsidRPr="003E56B0">
        <w:t>45.5</w:t>
      </w:r>
      <w:r w:rsidRPr="00321EC0">
        <w:t xml:space="preserve"> million in Appropriation Bill (No. 3)    2020-21.</w:t>
      </w:r>
    </w:p>
    <w:p w14:paraId="3023065F" w14:textId="77777777" w:rsidR="001E4872" w:rsidRPr="00321EC0" w:rsidRDefault="001E4872" w:rsidP="00F51DAC"/>
    <w:p w14:paraId="19D6B8F6" w14:textId="77777777" w:rsidR="00817DE7" w:rsidRPr="00321EC0" w:rsidRDefault="00817DE7" w:rsidP="00817DE7"/>
    <w:p w14:paraId="5D8282B1" w14:textId="77777777" w:rsidR="00817DE7" w:rsidRPr="00321EC0" w:rsidRDefault="00817DE7" w:rsidP="00817DE7">
      <w:pPr>
        <w:sectPr w:rsidR="00817DE7" w:rsidRPr="00321EC0" w:rsidSect="006127D0">
          <w:headerReference w:type="even" r:id="rId43"/>
          <w:headerReference w:type="first" r:id="rId44"/>
          <w:footerReference w:type="first" r:id="rId45"/>
          <w:type w:val="oddPage"/>
          <w:pgSz w:w="11907" w:h="16840" w:code="9"/>
          <w:pgMar w:top="2466" w:right="2098" w:bottom="2466" w:left="2098" w:header="1899" w:footer="1899" w:gutter="0"/>
          <w:pgNumType w:start="3"/>
          <w:cols w:space="720"/>
          <w:titlePg/>
        </w:sectPr>
      </w:pPr>
    </w:p>
    <w:p w14:paraId="4AB826E7" w14:textId="6089CB6E" w:rsidR="00AC6E1C" w:rsidRPr="00321EC0" w:rsidRDefault="00AC6E1C" w:rsidP="00AC6E1C">
      <w:pPr>
        <w:pStyle w:val="FigureHeading"/>
        <w:jc w:val="left"/>
      </w:pPr>
      <w:r w:rsidRPr="00321EC0">
        <w:t>Figure 1: Finance portfolio structure and outcomes</w:t>
      </w:r>
    </w:p>
    <w:p w14:paraId="15B95532" w14:textId="77777777" w:rsidR="00AC6E1C" w:rsidRPr="00321EC0" w:rsidRDefault="00AC6E1C" w:rsidP="00AC6E1C">
      <w:pPr>
        <w:pStyle w:val="ChartGraphic"/>
      </w:pPr>
      <w:r w:rsidRPr="00321EC0">
        <w:rPr>
          <w:noProof/>
        </w:rPr>
        <mc:AlternateContent>
          <mc:Choice Requires="wpg">
            <w:drawing>
              <wp:anchor distT="0" distB="0" distL="114300" distR="114300" simplePos="0" relativeHeight="251664384" behindDoc="0" locked="0" layoutInCell="1" allowOverlap="1" wp14:anchorId="38DE9FC6" wp14:editId="4FA44A7E">
                <wp:simplePos x="0" y="0"/>
                <wp:positionH relativeFrom="column">
                  <wp:posOffset>-1905</wp:posOffset>
                </wp:positionH>
                <wp:positionV relativeFrom="paragraph">
                  <wp:posOffset>45085</wp:posOffset>
                </wp:positionV>
                <wp:extent cx="2136140" cy="1289685"/>
                <wp:effectExtent l="6350" t="13970" r="10160" b="1079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289685"/>
                          <a:chOff x="2458" y="2875"/>
                          <a:chExt cx="3573" cy="1260"/>
                        </a:xfrm>
                      </wpg:grpSpPr>
                      <wps:wsp>
                        <wps:cNvPr id="89" name="Rectangle 239"/>
                        <wps:cNvSpPr>
                          <a:spLocks noChangeArrowheads="1"/>
                        </wps:cNvSpPr>
                        <wps:spPr bwMode="auto">
                          <a:xfrm>
                            <a:off x="2458" y="2875"/>
                            <a:ext cx="3573" cy="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A3CCD" w14:textId="77777777" w:rsidR="009E45BA" w:rsidRDefault="009E45BA" w:rsidP="00AC6E1C">
                              <w:pPr>
                                <w:spacing w:after="0" w:line="240" w:lineRule="auto"/>
                                <w:jc w:val="left"/>
                                <w:rPr>
                                  <w:rFonts w:ascii="Arial Narrow" w:hAnsi="Arial Narrow"/>
                                  <w:b/>
                                  <w:sz w:val="16"/>
                                  <w:szCs w:val="16"/>
                                </w:rPr>
                              </w:pPr>
                              <w:r w:rsidRPr="00DA627F">
                                <w:rPr>
                                  <w:rFonts w:ascii="Arial Narrow" w:hAnsi="Arial Narrow"/>
                                  <w:b/>
                                  <w:sz w:val="16"/>
                                  <w:szCs w:val="16"/>
                                </w:rPr>
                                <w:t>Minister for Finance</w:t>
                              </w:r>
                              <w:r>
                                <w:rPr>
                                  <w:rFonts w:ascii="Arial Narrow" w:hAnsi="Arial Narrow"/>
                                  <w:b/>
                                  <w:sz w:val="16"/>
                                  <w:szCs w:val="16"/>
                                </w:rPr>
                                <w:t xml:space="preserve"> </w:t>
                              </w:r>
                            </w:p>
                            <w:p w14:paraId="68FB4CB4" w14:textId="77777777" w:rsidR="009E45BA" w:rsidRPr="00DA627F" w:rsidRDefault="009E45BA" w:rsidP="00AC6E1C">
                              <w:pPr>
                                <w:spacing w:after="0" w:line="240" w:lineRule="auto"/>
                                <w:jc w:val="left"/>
                                <w:rPr>
                                  <w:rFonts w:ascii="Arial Narrow" w:hAnsi="Arial Narrow"/>
                                  <w:sz w:val="16"/>
                                  <w:szCs w:val="16"/>
                                </w:rPr>
                              </w:pPr>
                              <w:r w:rsidRPr="00DA627F">
                                <w:rPr>
                                  <w:rFonts w:ascii="Arial Narrow" w:hAnsi="Arial Narrow"/>
                                  <w:sz w:val="16"/>
                                  <w:szCs w:val="16"/>
                                </w:rPr>
                                <w:t xml:space="preserve">Senator the Hon </w:t>
                              </w:r>
                              <w:r>
                                <w:rPr>
                                  <w:rFonts w:ascii="Arial Narrow" w:hAnsi="Arial Narrow"/>
                                  <w:sz w:val="16"/>
                                  <w:szCs w:val="16"/>
                                </w:rPr>
                                <w:t>Simon Birmingham</w:t>
                              </w:r>
                            </w:p>
                            <w:p w14:paraId="0BBA7321" w14:textId="77777777" w:rsidR="009E45BA" w:rsidRDefault="009E45BA" w:rsidP="00AC6E1C">
                              <w:pPr>
                                <w:spacing w:after="0" w:line="240" w:lineRule="auto"/>
                                <w:jc w:val="left"/>
                                <w:rPr>
                                  <w:rFonts w:ascii="Arial Narrow" w:hAnsi="Arial Narrow"/>
                                  <w:sz w:val="16"/>
                                  <w:szCs w:val="16"/>
                                </w:rPr>
                              </w:pPr>
                            </w:p>
                            <w:p w14:paraId="0ADF7562" w14:textId="77777777" w:rsidR="009E45BA" w:rsidRPr="00925688" w:rsidRDefault="009E45BA" w:rsidP="00AC6E1C">
                              <w:pPr>
                                <w:spacing w:after="0" w:line="240" w:lineRule="auto"/>
                                <w:jc w:val="left"/>
                                <w:rPr>
                                  <w:rFonts w:ascii="Arial Narrow" w:hAnsi="Arial Narrow"/>
                                  <w:b/>
                                  <w:sz w:val="16"/>
                                  <w:szCs w:val="16"/>
                                </w:rPr>
                              </w:pPr>
                              <w:r>
                                <w:rPr>
                                  <w:rFonts w:ascii="Arial Narrow" w:hAnsi="Arial Narrow"/>
                                  <w:b/>
                                  <w:sz w:val="16"/>
                                  <w:szCs w:val="16"/>
                                </w:rPr>
                                <w:t xml:space="preserve">Assistant </w:t>
                              </w:r>
                              <w:r w:rsidRPr="00DA627F">
                                <w:rPr>
                                  <w:rFonts w:ascii="Arial Narrow" w:hAnsi="Arial Narrow"/>
                                  <w:b/>
                                  <w:sz w:val="16"/>
                                  <w:szCs w:val="16"/>
                                </w:rPr>
                                <w:t xml:space="preserve">Minister for </w:t>
                              </w:r>
                              <w:r w:rsidRPr="00925688">
                                <w:rPr>
                                  <w:rFonts w:ascii="Arial Narrow" w:hAnsi="Arial Narrow"/>
                                  <w:b/>
                                  <w:sz w:val="16"/>
                                  <w:szCs w:val="16"/>
                                </w:rPr>
                                <w:t xml:space="preserve">Electoral Matters </w:t>
                              </w:r>
                            </w:p>
                            <w:p w14:paraId="39A6F383" w14:textId="77777777" w:rsidR="009E45BA" w:rsidRPr="00DA627F" w:rsidRDefault="009E45BA" w:rsidP="00AC6E1C">
                              <w:pPr>
                                <w:spacing w:after="0" w:line="240" w:lineRule="auto"/>
                                <w:jc w:val="left"/>
                                <w:rPr>
                                  <w:rFonts w:ascii="Arial Narrow" w:hAnsi="Arial Narrow"/>
                                  <w:sz w:val="16"/>
                                  <w:szCs w:val="16"/>
                                </w:rPr>
                              </w:pPr>
                              <w:r w:rsidRPr="00925688">
                                <w:rPr>
                                  <w:rFonts w:ascii="Arial Narrow" w:hAnsi="Arial Narrow"/>
                                  <w:sz w:val="16"/>
                                  <w:szCs w:val="16"/>
                                </w:rPr>
                                <w:t>The Hon Ben Morton MP</w:t>
                              </w:r>
                            </w:p>
                            <w:p w14:paraId="54D8CA4C" w14:textId="77777777" w:rsidR="009E45BA" w:rsidRDefault="009E45BA" w:rsidP="00AC6E1C">
                              <w:pPr>
                                <w:spacing w:after="0" w:line="240" w:lineRule="auto"/>
                                <w:jc w:val="left"/>
                                <w:rPr>
                                  <w:rFonts w:ascii="Arial Narrow" w:hAnsi="Arial Narrow"/>
                                  <w:sz w:val="16"/>
                                  <w:szCs w:val="16"/>
                                </w:rPr>
                              </w:pPr>
                            </w:p>
                          </w:txbxContent>
                        </wps:txbx>
                        <wps:bodyPr rot="0" vert="horz" wrap="square" lIns="88697" tIns="44348" rIns="88697" bIns="44348" anchor="t" anchorCtr="0" upright="1">
                          <a:noAutofit/>
                        </wps:bodyPr>
                      </wps:wsp>
                      <wps:wsp>
                        <wps:cNvPr id="90" name="Rectangle 240"/>
                        <wps:cNvSpPr>
                          <a:spLocks noChangeArrowheads="1"/>
                        </wps:cNvSpPr>
                        <wps:spPr bwMode="auto">
                          <a:xfrm>
                            <a:off x="2458" y="2875"/>
                            <a:ext cx="3573" cy="126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E9FC6" id="Group 88" o:spid="_x0000_s1027" style="position:absolute;left:0;text-align:left;margin-left:-.15pt;margin-top:3.55pt;width:168.2pt;height:101.55pt;z-index:251664384" coordorigin="2458,2875" coordsize="357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">
                <v:rect id="Rectangle 239" o:spid="_x0000_s1028" style="position:absolute;left:2458;top:2875;width:3573;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" stroked="f">
                  <v:textbox inset="2.46381mm,1.2319mm,2.46381mm,1.2319mm">
                    <w:txbxContent>
                      <w:p w14:paraId="26FA3CCD" w14:textId="77777777" w:rsidR="009E45BA" w:rsidRDefault="009E45BA" w:rsidP="00AC6E1C">
                        <w:pPr>
                          <w:spacing w:after="0" w:line="240" w:lineRule="auto"/>
                          <w:jc w:val="left"/>
                          <w:rPr>
                            <w:rFonts w:ascii="Arial Narrow" w:hAnsi="Arial Narrow"/>
                            <w:b/>
                            <w:sz w:val="16"/>
                            <w:szCs w:val="16"/>
                          </w:rPr>
                        </w:pPr>
                        <w:r w:rsidRPr="00DA627F">
                          <w:rPr>
                            <w:rFonts w:ascii="Arial Narrow" w:hAnsi="Arial Narrow"/>
                            <w:b/>
                            <w:sz w:val="16"/>
                            <w:szCs w:val="16"/>
                          </w:rPr>
                          <w:t>Minister for Finance</w:t>
                        </w:r>
                        <w:r>
                          <w:rPr>
                            <w:rFonts w:ascii="Arial Narrow" w:hAnsi="Arial Narrow"/>
                            <w:b/>
                            <w:sz w:val="16"/>
                            <w:szCs w:val="16"/>
                          </w:rPr>
                          <w:t xml:space="preserve"> </w:t>
                        </w:r>
                      </w:p>
                      <w:p w14:paraId="68FB4CB4" w14:textId="77777777" w:rsidR="009E45BA" w:rsidRPr="00DA627F" w:rsidRDefault="009E45BA" w:rsidP="00AC6E1C">
                        <w:pPr>
                          <w:spacing w:after="0" w:line="240" w:lineRule="auto"/>
                          <w:jc w:val="left"/>
                          <w:rPr>
                            <w:rFonts w:ascii="Arial Narrow" w:hAnsi="Arial Narrow"/>
                            <w:sz w:val="16"/>
                            <w:szCs w:val="16"/>
                          </w:rPr>
                        </w:pPr>
                        <w:r w:rsidRPr="00DA627F">
                          <w:rPr>
                            <w:rFonts w:ascii="Arial Narrow" w:hAnsi="Arial Narrow"/>
                            <w:sz w:val="16"/>
                            <w:szCs w:val="16"/>
                          </w:rPr>
                          <w:t xml:space="preserve">Senator the Hon </w:t>
                        </w:r>
                        <w:r>
                          <w:rPr>
                            <w:rFonts w:ascii="Arial Narrow" w:hAnsi="Arial Narrow"/>
                            <w:sz w:val="16"/>
                            <w:szCs w:val="16"/>
                          </w:rPr>
                          <w:t>Simon Birmingham</w:t>
                        </w:r>
                      </w:p>
                      <w:p w14:paraId="0BBA7321" w14:textId="77777777" w:rsidR="009E45BA" w:rsidRDefault="009E45BA" w:rsidP="00AC6E1C">
                        <w:pPr>
                          <w:spacing w:after="0" w:line="240" w:lineRule="auto"/>
                          <w:jc w:val="left"/>
                          <w:rPr>
                            <w:rFonts w:ascii="Arial Narrow" w:hAnsi="Arial Narrow"/>
                            <w:sz w:val="16"/>
                            <w:szCs w:val="16"/>
                          </w:rPr>
                        </w:pPr>
                      </w:p>
                      <w:p w14:paraId="0ADF7562" w14:textId="77777777" w:rsidR="009E45BA" w:rsidRPr="00925688" w:rsidRDefault="009E45BA" w:rsidP="00AC6E1C">
                        <w:pPr>
                          <w:spacing w:after="0" w:line="240" w:lineRule="auto"/>
                          <w:jc w:val="left"/>
                          <w:rPr>
                            <w:rFonts w:ascii="Arial Narrow" w:hAnsi="Arial Narrow"/>
                            <w:b/>
                            <w:sz w:val="16"/>
                            <w:szCs w:val="16"/>
                          </w:rPr>
                        </w:pPr>
                        <w:r>
                          <w:rPr>
                            <w:rFonts w:ascii="Arial Narrow" w:hAnsi="Arial Narrow"/>
                            <w:b/>
                            <w:sz w:val="16"/>
                            <w:szCs w:val="16"/>
                          </w:rPr>
                          <w:t xml:space="preserve">Assistant </w:t>
                        </w:r>
                        <w:r w:rsidRPr="00DA627F">
                          <w:rPr>
                            <w:rFonts w:ascii="Arial Narrow" w:hAnsi="Arial Narrow"/>
                            <w:b/>
                            <w:sz w:val="16"/>
                            <w:szCs w:val="16"/>
                          </w:rPr>
                          <w:t xml:space="preserve">Minister for </w:t>
                        </w:r>
                        <w:r w:rsidRPr="00925688">
                          <w:rPr>
                            <w:rFonts w:ascii="Arial Narrow" w:hAnsi="Arial Narrow"/>
                            <w:b/>
                            <w:sz w:val="16"/>
                            <w:szCs w:val="16"/>
                          </w:rPr>
                          <w:t xml:space="preserve">Electoral Matters </w:t>
                        </w:r>
                      </w:p>
                      <w:p w14:paraId="39A6F383" w14:textId="77777777" w:rsidR="009E45BA" w:rsidRPr="00DA627F" w:rsidRDefault="009E45BA" w:rsidP="00AC6E1C">
                        <w:pPr>
                          <w:spacing w:after="0" w:line="240" w:lineRule="auto"/>
                          <w:jc w:val="left"/>
                          <w:rPr>
                            <w:rFonts w:ascii="Arial Narrow" w:hAnsi="Arial Narrow"/>
                            <w:sz w:val="16"/>
                            <w:szCs w:val="16"/>
                          </w:rPr>
                        </w:pPr>
                        <w:r w:rsidRPr="00925688">
                          <w:rPr>
                            <w:rFonts w:ascii="Arial Narrow" w:hAnsi="Arial Narrow"/>
                            <w:sz w:val="16"/>
                            <w:szCs w:val="16"/>
                          </w:rPr>
                          <w:t>The Hon Ben Morton MP</w:t>
                        </w:r>
                      </w:p>
                      <w:p w14:paraId="54D8CA4C" w14:textId="77777777" w:rsidR="009E45BA" w:rsidRDefault="009E45BA" w:rsidP="00AC6E1C">
                        <w:pPr>
                          <w:spacing w:after="0" w:line="240" w:lineRule="auto"/>
                          <w:jc w:val="left"/>
                          <w:rPr>
                            <w:rFonts w:ascii="Arial Narrow" w:hAnsi="Arial Narrow"/>
                            <w:sz w:val="16"/>
                            <w:szCs w:val="16"/>
                          </w:rPr>
                        </w:pPr>
                      </w:p>
                    </w:txbxContent>
                  </v:textbox>
                </v:rect>
                <v:rect id="Rectangle 240" o:spid="_x0000_s1029" style="position:absolute;left:2458;top:2875;width:357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" filled="f" strokeweight=".25pt">
                  <v:stroke endcap="round"/>
                </v:rect>
              </v:group>
            </w:pict>
          </mc:Fallback>
        </mc:AlternateContent>
      </w:r>
      <w:r w:rsidRPr="00321EC0">
        <w:rPr>
          <w:noProof/>
        </w:rPr>
        <mc:AlternateContent>
          <mc:Choice Requires="wpc">
            <w:drawing>
              <wp:anchor distT="0" distB="0" distL="114300" distR="114300" simplePos="0" relativeHeight="251663360" behindDoc="0" locked="0" layoutInCell="1" allowOverlap="1" wp14:anchorId="6CCA9C43" wp14:editId="33D9A409">
                <wp:simplePos x="0" y="0"/>
                <wp:positionH relativeFrom="column">
                  <wp:posOffset>-490220</wp:posOffset>
                </wp:positionH>
                <wp:positionV relativeFrom="paragraph">
                  <wp:posOffset>212725</wp:posOffset>
                </wp:positionV>
                <wp:extent cx="5298440" cy="7279005"/>
                <wp:effectExtent l="3810" t="635" r="12700" b="0"/>
                <wp:wrapNone/>
                <wp:docPr id="87" name="Canvas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2" name="Group 241"/>
                        <wpg:cNvGrpSpPr>
                          <a:grpSpLocks/>
                        </wpg:cNvGrpSpPr>
                        <wpg:grpSpPr bwMode="auto">
                          <a:xfrm>
                            <a:off x="1172210" y="1270000"/>
                            <a:ext cx="4126230" cy="1863725"/>
                            <a:chOff x="3850" y="4495"/>
                            <a:chExt cx="5630" cy="1800"/>
                          </a:xfrm>
                        </wpg:grpSpPr>
                        <wps:wsp>
                          <wps:cNvPr id="33" name="Rectangle 242"/>
                          <wps:cNvSpPr>
                            <a:spLocks noChangeArrowheads="1"/>
                          </wps:cNvSpPr>
                          <wps:spPr bwMode="auto">
                            <a:xfrm>
                              <a:off x="3850" y="4525"/>
                              <a:ext cx="5630" cy="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D9C2" w14:textId="77777777" w:rsidR="009E45BA" w:rsidRPr="00DA627F" w:rsidRDefault="009E45BA" w:rsidP="00AC6E1C">
                                <w:pPr>
                                  <w:spacing w:after="0" w:line="240" w:lineRule="auto"/>
                                  <w:rPr>
                                    <w:rFonts w:ascii="Arial Narrow" w:hAnsi="Arial Narrow" w:cs="Arial"/>
                                    <w:b/>
                                    <w:sz w:val="16"/>
                                    <w:szCs w:val="16"/>
                                  </w:rPr>
                                </w:pPr>
                                <w:r w:rsidRPr="00DA627F">
                                  <w:rPr>
                                    <w:rFonts w:ascii="Arial Narrow" w:hAnsi="Arial Narrow" w:cs="Arial"/>
                                    <w:b/>
                                    <w:sz w:val="16"/>
                                    <w:szCs w:val="16"/>
                                  </w:rPr>
                                  <w:t>Department of Finance</w:t>
                                </w:r>
                              </w:p>
                              <w:p w14:paraId="1945DD0B" w14:textId="77777777" w:rsidR="009E45BA" w:rsidRPr="00196BF4" w:rsidRDefault="009E45BA" w:rsidP="00AC6E1C">
                                <w:pPr>
                                  <w:spacing w:after="0" w:line="240" w:lineRule="auto"/>
                                  <w:rPr>
                                    <w:rFonts w:ascii="Arial Narrow" w:hAnsi="Arial Narrow" w:cs="Arial"/>
                                    <w:b/>
                                    <w:sz w:val="8"/>
                                    <w:szCs w:val="8"/>
                                  </w:rPr>
                                </w:pPr>
                              </w:p>
                              <w:p w14:paraId="283DA253" w14:textId="77777777" w:rsidR="009E45BA" w:rsidRPr="00DA627F" w:rsidRDefault="009E45BA" w:rsidP="00AC6E1C">
                                <w:pPr>
                                  <w:spacing w:after="0" w:line="240" w:lineRule="auto"/>
                                  <w:rPr>
                                    <w:rFonts w:ascii="Arial Narrow" w:hAnsi="Arial Narrow" w:cs="Arial"/>
                                    <w:sz w:val="16"/>
                                    <w:szCs w:val="16"/>
                                  </w:rPr>
                                </w:pPr>
                                <w:r w:rsidRPr="00DA627F">
                                  <w:rPr>
                                    <w:rFonts w:ascii="Arial Narrow" w:hAnsi="Arial Narrow" w:cs="Arial"/>
                                    <w:sz w:val="16"/>
                                    <w:szCs w:val="16"/>
                                  </w:rPr>
                                  <w:t>Portfolio Secretary: Rosemary Huxtable PSM</w:t>
                                </w:r>
                              </w:p>
                              <w:p w14:paraId="5F890DE3" w14:textId="77777777" w:rsidR="009E45BA" w:rsidRPr="00DA627F" w:rsidRDefault="009E45BA" w:rsidP="00AC6E1C">
                                <w:pPr>
                                  <w:spacing w:after="0" w:line="240" w:lineRule="auto"/>
                                  <w:rPr>
                                    <w:rFonts w:ascii="Arial Narrow" w:hAnsi="Arial Narrow" w:cs="Arial"/>
                                    <w:sz w:val="16"/>
                                    <w:szCs w:val="16"/>
                                  </w:rPr>
                                </w:pPr>
                              </w:p>
                              <w:p w14:paraId="27E69F19" w14:textId="77777777" w:rsidR="009E45BA" w:rsidRPr="00DA627F" w:rsidRDefault="009E45BA" w:rsidP="00AC6E1C">
                                <w:pPr>
                                  <w:spacing w:after="0" w:line="240" w:lineRule="auto"/>
                                  <w:ind w:left="1077" w:right="-113" w:hanging="1077"/>
                                  <w:jc w:val="left"/>
                                  <w:rPr>
                                    <w:rFonts w:ascii="Arial Narrow" w:hAnsi="Arial Narrow"/>
                                    <w:sz w:val="16"/>
                                    <w:szCs w:val="16"/>
                                  </w:rPr>
                                </w:pPr>
                                <w:bookmarkStart w:id="141" w:name="OLE_LINK6"/>
                                <w:r w:rsidRPr="00DA627F">
                                  <w:rPr>
                                    <w:rFonts w:ascii="Arial Narrow" w:hAnsi="Arial Narrow" w:cs="Arial"/>
                                    <w:b/>
                                    <w:sz w:val="16"/>
                                    <w:szCs w:val="16"/>
                                  </w:rPr>
                                  <w:t>Outcome 1</w:t>
                                </w:r>
                                <w:r w:rsidRPr="00DA627F">
                                  <w:rPr>
                                    <w:rFonts w:ascii="Arial Narrow" w:hAnsi="Arial Narrow" w:cs="Arial"/>
                                    <w:b/>
                                    <w:sz w:val="16"/>
                                    <w:szCs w:val="16"/>
                                  </w:rPr>
                                  <w:tab/>
                                </w:r>
                                <w:r w:rsidRPr="00DA627F">
                                  <w:rPr>
                                    <w:rFonts w:ascii="Arial Narrow" w:hAnsi="Arial Narrow"/>
                                    <w:sz w:val="16"/>
                                    <w:szCs w:val="16"/>
                                  </w:rPr>
                                  <w:t>Support sustainable Australian Government finances through providing high quality policy advice and operational support to the government and Commonwealth entities</w:t>
                                </w:r>
                                <w:r w:rsidRPr="00DA627F">
                                  <w:rPr>
                                    <w:rFonts w:ascii="Arial Narrow" w:hAnsi="Arial Narrow"/>
                                    <w:i/>
                                    <w:sz w:val="16"/>
                                    <w:szCs w:val="16"/>
                                  </w:rPr>
                                  <w:t xml:space="preserve"> </w:t>
                                </w:r>
                                <w:r w:rsidRPr="00DA627F">
                                  <w:rPr>
                                    <w:rFonts w:ascii="Arial Narrow" w:hAnsi="Arial Narrow"/>
                                    <w:sz w:val="16"/>
                                    <w:szCs w:val="16"/>
                                  </w:rPr>
                                  <w:t>to</w:t>
                                </w:r>
                                <w:r w:rsidRPr="00DA627F">
                                  <w:rPr>
                                    <w:rFonts w:ascii="Arial Narrow" w:hAnsi="Arial Narrow"/>
                                    <w:i/>
                                    <w:sz w:val="16"/>
                                    <w:szCs w:val="16"/>
                                  </w:rPr>
                                  <w:t xml:space="preserve"> </w:t>
                                </w:r>
                                <w:r w:rsidRPr="00DA627F">
                                  <w:rPr>
                                    <w:rFonts w:ascii="Arial Narrow" w:hAnsi="Arial Narrow"/>
                                    <w:sz w:val="16"/>
                                    <w:szCs w:val="16"/>
                                  </w:rPr>
                                  <w:t>maintain effective and efficient use of public resources.</w:t>
                                </w:r>
                              </w:p>
                              <w:p w14:paraId="55724F8F" w14:textId="77777777" w:rsidR="009E45BA" w:rsidRPr="00DA627F" w:rsidRDefault="009E45BA" w:rsidP="00AC6E1C">
                                <w:pPr>
                                  <w:spacing w:after="0" w:line="240" w:lineRule="auto"/>
                                  <w:ind w:left="1134" w:hanging="1080"/>
                                  <w:rPr>
                                    <w:rFonts w:ascii="Arial Narrow" w:hAnsi="Arial Narrow"/>
                                    <w:sz w:val="16"/>
                                    <w:szCs w:val="16"/>
                                  </w:rPr>
                                </w:pPr>
                              </w:p>
                              <w:p w14:paraId="1D62F3BF" w14:textId="77777777" w:rsidR="009E45BA" w:rsidRPr="00DA627F" w:rsidRDefault="009E45BA" w:rsidP="00AC6E1C">
                                <w:pPr>
                                  <w:spacing w:after="0" w:line="240" w:lineRule="auto"/>
                                  <w:ind w:left="1077" w:right="-113" w:hanging="1077"/>
                                  <w:jc w:val="left"/>
                                  <w:rPr>
                                    <w:rFonts w:ascii="Arial Narrow" w:hAnsi="Arial Narrow"/>
                                    <w:sz w:val="16"/>
                                    <w:szCs w:val="16"/>
                                  </w:rPr>
                                </w:pPr>
                                <w:r w:rsidRPr="00DA627F">
                                  <w:rPr>
                                    <w:rFonts w:ascii="Arial Narrow" w:hAnsi="Arial Narrow" w:cs="Arial"/>
                                    <w:b/>
                                    <w:sz w:val="16"/>
                                    <w:szCs w:val="16"/>
                                  </w:rPr>
                                  <w:t>Outcome 2</w:t>
                                </w:r>
                                <w:r w:rsidRPr="00DA627F">
                                  <w:rPr>
                                    <w:rFonts w:ascii="Arial Narrow" w:hAnsi="Arial Narrow" w:cs="Arial"/>
                                    <w:b/>
                                    <w:sz w:val="16"/>
                                    <w:szCs w:val="16"/>
                                  </w:rPr>
                                  <w:tab/>
                                </w:r>
                                <w:r w:rsidRPr="00DA627F">
                                  <w:rPr>
                                    <w:rFonts w:ascii="Arial Narrow" w:hAnsi="Arial Narrow"/>
                                    <w:sz w:val="16"/>
                                    <w:szCs w:val="16"/>
                                  </w:rPr>
                                  <w:t>Support an efficient and high-performing public sector through providing leadership to                Commonwealth</w:t>
                                </w:r>
                                <w:r w:rsidRPr="00A8009B">
                                  <w:t xml:space="preserve"> </w:t>
                                </w:r>
                                <w:r w:rsidRPr="00DA627F">
                                  <w:rPr>
                                    <w:rFonts w:ascii="Arial Narrow" w:hAnsi="Arial Narrow"/>
                                    <w:sz w:val="16"/>
                                    <w:szCs w:val="16"/>
                                  </w:rPr>
                                  <w:t>entities in ongoing improvements to public sector governance, including through systems, frameworks, policy, advice, and service delivery.</w:t>
                                </w:r>
                              </w:p>
                              <w:p w14:paraId="782DB535" w14:textId="77777777" w:rsidR="009E45BA" w:rsidRPr="00DA627F" w:rsidRDefault="009E45BA" w:rsidP="00AC6E1C">
                                <w:pPr>
                                  <w:spacing w:after="0" w:line="240" w:lineRule="auto"/>
                                  <w:ind w:left="1077" w:right="-113" w:hanging="1077"/>
                                  <w:rPr>
                                    <w:rFonts w:ascii="Arial Narrow" w:hAnsi="Arial Narrow"/>
                                    <w:sz w:val="16"/>
                                    <w:szCs w:val="16"/>
                                  </w:rPr>
                                </w:pPr>
                              </w:p>
                              <w:p w14:paraId="0C8DB5C2" w14:textId="77777777" w:rsidR="009E45BA" w:rsidRPr="00DA627F" w:rsidRDefault="009E45BA" w:rsidP="00AC6E1C">
                                <w:pPr>
                                  <w:spacing w:after="0" w:line="240" w:lineRule="auto"/>
                                  <w:ind w:left="1077" w:hanging="1077"/>
                                  <w:jc w:val="left"/>
                                  <w:rPr>
                                    <w:rFonts w:ascii="Arial Narrow" w:hAnsi="Arial Narrow" w:cs="Arial"/>
                                    <w:sz w:val="16"/>
                                    <w:szCs w:val="16"/>
                                  </w:rPr>
                                </w:pPr>
                                <w:r w:rsidRPr="00DA627F">
                                  <w:rPr>
                                    <w:rFonts w:ascii="Arial Narrow" w:hAnsi="Arial Narrow" w:cs="Arial"/>
                                    <w:b/>
                                    <w:sz w:val="16"/>
                                    <w:szCs w:val="16"/>
                                  </w:rPr>
                                  <w:t>Outcome 3</w:t>
                                </w:r>
                                <w:r w:rsidRPr="00DA627F">
                                  <w:rPr>
                                    <w:rFonts w:ascii="Arial Narrow" w:hAnsi="Arial Narrow" w:cs="Arial"/>
                                    <w:b/>
                                    <w:sz w:val="16"/>
                                    <w:szCs w:val="16"/>
                                  </w:rPr>
                                  <w:tab/>
                                </w:r>
                                <w:bookmarkEnd w:id="141"/>
                                <w:r w:rsidRPr="00DA627F">
                                  <w:rPr>
                                    <w:rFonts w:ascii="Arial Narrow" w:hAnsi="Arial Narrow"/>
                                    <w:sz w:val="16"/>
                                    <w:szCs w:val="16"/>
                                  </w:rPr>
                                  <w:t xml:space="preserve">Support for </w:t>
                                </w:r>
                                <w:r>
                                  <w:rPr>
                                    <w:rFonts w:ascii="Arial Narrow" w:hAnsi="Arial Narrow"/>
                                    <w:sz w:val="16"/>
                                    <w:szCs w:val="16"/>
                                  </w:rPr>
                                  <w:t>p</w:t>
                                </w:r>
                                <w:r w:rsidRPr="00DA627F">
                                  <w:rPr>
                                    <w:rFonts w:ascii="Arial Narrow" w:hAnsi="Arial Narrow"/>
                                    <w:sz w:val="16"/>
                                    <w:szCs w:val="16"/>
                                  </w:rPr>
                                  <w:t>arliamentarians and others</w:t>
                                </w:r>
                                <w:r w:rsidRPr="00701DFF">
                                  <w:t xml:space="preserve"> </w:t>
                                </w:r>
                                <w:r w:rsidRPr="00DA627F">
                                  <w:rPr>
                                    <w:rFonts w:ascii="Arial Narrow" w:hAnsi="Arial Narrow"/>
                                    <w:sz w:val="16"/>
                                    <w:szCs w:val="16"/>
                                  </w:rPr>
                                  <w:t>as required by the Australian Government through the delivery of, and advice on, work</w:t>
                                </w:r>
                                <w:r>
                                  <w:t xml:space="preserve"> </w:t>
                                </w:r>
                                <w:r w:rsidRPr="00DA627F">
                                  <w:rPr>
                                    <w:rFonts w:ascii="Arial Narrow" w:hAnsi="Arial Narrow"/>
                                    <w:sz w:val="16"/>
                                    <w:szCs w:val="16"/>
                                  </w:rPr>
                                  <w:t>expenses and allowances, entitlements and targeted programs.</w:t>
                                </w:r>
                              </w:p>
                              <w:p w14:paraId="33827E90" w14:textId="77777777" w:rsidR="009E45BA" w:rsidRPr="00DA627F" w:rsidRDefault="009E45BA" w:rsidP="00AC6E1C">
                                <w:pPr>
                                  <w:spacing w:after="0" w:line="240" w:lineRule="auto"/>
                                  <w:ind w:left="1077" w:hanging="1077"/>
                                  <w:jc w:val="left"/>
                                  <w:rPr>
                                    <w:rFonts w:ascii="Arial Narrow" w:hAnsi="Arial Narrow" w:cs="Arial"/>
                                    <w:sz w:val="16"/>
                                    <w:szCs w:val="16"/>
                                  </w:rPr>
                                </w:pPr>
                              </w:p>
                            </w:txbxContent>
                          </wps:txbx>
                          <wps:bodyPr rot="0" vert="horz" wrap="square" lIns="88697" tIns="44348" rIns="88697" bIns="44348" anchor="t" anchorCtr="0" upright="1">
                            <a:noAutofit/>
                          </wps:bodyPr>
                        </wps:wsp>
                        <wps:wsp>
                          <wps:cNvPr id="34" name="Rectangle 243"/>
                          <wps:cNvSpPr>
                            <a:spLocks noChangeArrowheads="1"/>
                          </wps:cNvSpPr>
                          <wps:spPr bwMode="auto">
                            <a:xfrm>
                              <a:off x="3898" y="4495"/>
                              <a:ext cx="5582" cy="180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5" name="Group 244"/>
                        <wpg:cNvGrpSpPr>
                          <a:grpSpLocks/>
                        </wpg:cNvGrpSpPr>
                        <wpg:grpSpPr bwMode="auto">
                          <a:xfrm>
                            <a:off x="1208405" y="4107180"/>
                            <a:ext cx="4090035" cy="970915"/>
                            <a:chOff x="3898" y="8634"/>
                            <a:chExt cx="5582" cy="1081"/>
                          </a:xfrm>
                        </wpg:grpSpPr>
                        <wps:wsp>
                          <wps:cNvPr id="36" name="Rectangle 245"/>
                          <wps:cNvSpPr>
                            <a:spLocks noChangeArrowheads="1"/>
                          </wps:cNvSpPr>
                          <wps:spPr bwMode="auto">
                            <a:xfrm>
                              <a:off x="3898" y="8634"/>
                              <a:ext cx="5582" cy="10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052B2" w14:textId="77777777" w:rsidR="009E45BA" w:rsidRPr="00DA627F" w:rsidRDefault="009E45BA" w:rsidP="00AC6E1C">
                                <w:pPr>
                                  <w:spacing w:after="0" w:line="240" w:lineRule="auto"/>
                                  <w:rPr>
                                    <w:rFonts w:ascii="Arial Narrow" w:hAnsi="Arial Narrow"/>
                                    <w:b/>
                                    <w:sz w:val="16"/>
                                    <w:szCs w:val="16"/>
                                  </w:rPr>
                                </w:pPr>
                                <w:r w:rsidRPr="00DA627F">
                                  <w:rPr>
                                    <w:rFonts w:ascii="Arial Narrow" w:hAnsi="Arial Narrow"/>
                                    <w:b/>
                                    <w:sz w:val="16"/>
                                    <w:szCs w:val="16"/>
                                  </w:rPr>
                                  <w:t>Commonwealth Superannuation Corporation</w:t>
                                </w:r>
                              </w:p>
                              <w:p w14:paraId="0AE167A9" w14:textId="77777777" w:rsidR="009E45BA" w:rsidRPr="00196BF4" w:rsidRDefault="009E45BA" w:rsidP="00AC6E1C">
                                <w:pPr>
                                  <w:spacing w:after="0" w:line="240" w:lineRule="auto"/>
                                  <w:rPr>
                                    <w:rFonts w:ascii="Arial Narrow" w:hAnsi="Arial Narrow"/>
                                    <w:sz w:val="8"/>
                                    <w:szCs w:val="8"/>
                                  </w:rPr>
                                </w:pPr>
                              </w:p>
                              <w:p w14:paraId="04526E94" w14:textId="77777777" w:rsidR="009E45BA" w:rsidRPr="00DA627F" w:rsidRDefault="009E45BA" w:rsidP="00AC6E1C">
                                <w:pPr>
                                  <w:spacing w:after="0" w:line="240" w:lineRule="auto"/>
                                  <w:rPr>
                                    <w:rFonts w:ascii="Arial Narrow" w:hAnsi="Arial Narrow"/>
                                    <w:b/>
                                    <w:sz w:val="16"/>
                                    <w:szCs w:val="16"/>
                                    <w:vertAlign w:val="superscript"/>
                                  </w:rPr>
                                </w:pPr>
                                <w:r w:rsidRPr="00DA627F">
                                  <w:rPr>
                                    <w:rFonts w:ascii="Arial Narrow" w:hAnsi="Arial Narrow"/>
                                    <w:sz w:val="16"/>
                                    <w:szCs w:val="16"/>
                                  </w:rPr>
                                  <w:t>Chair: Patricia Cross</w:t>
                                </w:r>
                              </w:p>
                              <w:p w14:paraId="6968CF5F" w14:textId="77777777" w:rsidR="009E45BA" w:rsidRPr="00DA627F" w:rsidRDefault="009E45BA" w:rsidP="00AC6E1C">
                                <w:pPr>
                                  <w:spacing w:after="0" w:line="240" w:lineRule="auto"/>
                                  <w:rPr>
                                    <w:rFonts w:ascii="Arial Narrow" w:hAnsi="Arial Narrow"/>
                                    <w:sz w:val="16"/>
                                    <w:szCs w:val="16"/>
                                  </w:rPr>
                                </w:pPr>
                              </w:p>
                              <w:p w14:paraId="74E864C6" w14:textId="77777777" w:rsidR="009E45BA" w:rsidRPr="00DA60BC" w:rsidRDefault="009E45BA" w:rsidP="00AC6E1C">
                                <w:pPr>
                                  <w:tabs>
                                    <w:tab w:val="left" w:pos="1080"/>
                                  </w:tabs>
                                  <w:spacing w:after="0" w:line="240" w:lineRule="auto"/>
                                  <w:ind w:left="1077" w:right="-113" w:hanging="1077"/>
                                  <w:jc w:val="left"/>
                                  <w:rPr>
                                    <w:rFonts w:cs="Arial"/>
                                    <w:sz w:val="16"/>
                                    <w:szCs w:val="16"/>
                                  </w:rPr>
                                </w:pPr>
                                <w:r w:rsidRPr="00DA627F">
                                  <w:rPr>
                                    <w:rFonts w:ascii="Arial Narrow" w:hAnsi="Arial Narrow" w:cs="Arial"/>
                                    <w:b/>
                                    <w:sz w:val="16"/>
                                    <w:szCs w:val="16"/>
                                  </w:rPr>
                                  <w:t>Outcome 1</w:t>
                                </w:r>
                                <w:r w:rsidRPr="00DA627F">
                                  <w:rPr>
                                    <w:rFonts w:ascii="Arial Narrow" w:hAnsi="Arial Narrow" w:cs="Arial"/>
                                    <w:b/>
                                    <w:sz w:val="16"/>
                                    <w:szCs w:val="16"/>
                                  </w:rPr>
                                  <w:tab/>
                                </w:r>
                                <w:r w:rsidRPr="00DA627F">
                                  <w:rPr>
                                    <w:rFonts w:ascii="Arial Narrow" w:hAnsi="Arial Narrow" w:cs="Arial"/>
                                    <w:sz w:val="16"/>
                                    <w:szCs w:val="16"/>
                                  </w:rPr>
                                  <w:t>Retirement and</w:t>
                                </w:r>
                                <w:r w:rsidRPr="00697D42">
                                  <w:rPr>
                                    <w:rFonts w:cs="Arial"/>
                                  </w:rPr>
                                  <w:t xml:space="preserve"> </w:t>
                                </w:r>
                                <w:r w:rsidRPr="00DA627F">
                                  <w:rPr>
                                    <w:rFonts w:ascii="Arial Narrow" w:hAnsi="Arial Narrow" w:cs="Arial"/>
                                    <w:sz w:val="16"/>
                                    <w:szCs w:val="16"/>
                                  </w:rPr>
                                  <w:t>insurance benefits for scheme members and</w:t>
                                </w:r>
                                <w:r w:rsidRPr="00DA627F">
                                  <w:rPr>
                                    <w:rFonts w:ascii="Arial Narrow" w:hAnsi="Arial Narrow" w:cs="Arial"/>
                                    <w:color w:val="000000"/>
                                    <w:sz w:val="16"/>
                                    <w:szCs w:val="16"/>
                                  </w:rPr>
                                  <w:t xml:space="preserve"> beneficiaries, including past, present and future employees of the Australian Government and other</w:t>
                                </w:r>
                                <w:r w:rsidRPr="00DA60BC">
                                  <w:rPr>
                                    <w:rFonts w:ascii="Arial Narrow" w:hAnsi="Arial Narrow" w:cs="Arial"/>
                                    <w:color w:val="000000"/>
                                    <w:sz w:val="16"/>
                                    <w:szCs w:val="16"/>
                                  </w:rPr>
                                  <w:t xml:space="preserve"> </w:t>
                                </w:r>
                                <w:r w:rsidRPr="00DA627F">
                                  <w:rPr>
                                    <w:rFonts w:ascii="Arial Narrow" w:hAnsi="Arial Narrow" w:cs="Arial"/>
                                    <w:color w:val="000000"/>
                                    <w:sz w:val="16"/>
                                    <w:szCs w:val="16"/>
                                  </w:rPr>
                                  <w:t>eligible employers and members of the Australian Defence Force,</w:t>
                                </w:r>
                                <w:r w:rsidRPr="00DA60BC">
                                  <w:rPr>
                                    <w:rFonts w:ascii="Arial Narrow" w:hAnsi="Arial Narrow" w:cs="Arial"/>
                                    <w:color w:val="000000"/>
                                    <w:sz w:val="16"/>
                                    <w:szCs w:val="16"/>
                                  </w:rPr>
                                  <w:t xml:space="preserve"> through investment and administration of their superannuation funds and schemes.</w:t>
                                </w:r>
                              </w:p>
                              <w:p w14:paraId="126EE409" w14:textId="77777777" w:rsidR="009E45BA" w:rsidRPr="00DA60BC" w:rsidRDefault="009E45BA" w:rsidP="00AC6E1C">
                                <w:pPr>
                                  <w:tabs>
                                    <w:tab w:val="left" w:pos="1080"/>
                                  </w:tabs>
                                  <w:spacing w:after="0" w:line="240" w:lineRule="auto"/>
                                  <w:ind w:left="1077" w:right="-113" w:hanging="1077"/>
                                  <w:jc w:val="left"/>
                                  <w:rPr>
                                    <w:rFonts w:cs="Arial"/>
                                    <w:sz w:val="16"/>
                                    <w:szCs w:val="16"/>
                                  </w:rPr>
                                </w:pPr>
                              </w:p>
                            </w:txbxContent>
                          </wps:txbx>
                          <wps:bodyPr rot="0" vert="horz" wrap="square" lIns="88697" tIns="44348" rIns="88697" bIns="44348" anchor="t" anchorCtr="0" upright="1">
                            <a:noAutofit/>
                          </wps:bodyPr>
                        </wps:wsp>
                        <wps:wsp>
                          <wps:cNvPr id="37" name="Rectangle 246"/>
                          <wps:cNvSpPr>
                            <a:spLocks noChangeArrowheads="1"/>
                          </wps:cNvSpPr>
                          <wps:spPr bwMode="auto">
                            <a:xfrm>
                              <a:off x="3898" y="8634"/>
                              <a:ext cx="5582" cy="1081"/>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 name="Rectangle 247"/>
                        <wps:cNvSpPr>
                          <a:spLocks noChangeArrowheads="1"/>
                        </wps:cNvSpPr>
                        <wps:spPr bwMode="auto">
                          <a:xfrm>
                            <a:off x="2860040" y="3205480"/>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DA491" w14:textId="77777777" w:rsidR="009E45BA" w:rsidRPr="00F02A3B" w:rsidRDefault="009E45BA" w:rsidP="00AC6E1C">
                              <w:pPr>
                                <w:rPr>
                                  <w:sz w:val="19"/>
                                </w:rPr>
                              </w:pPr>
                              <w:r>
                                <w:rPr>
                                  <w:rFonts w:cs="Arial Narrow"/>
                                  <w:b/>
                                  <w:bCs/>
                                  <w:color w:val="000000"/>
                                  <w:lang w:val="en-US"/>
                                </w:rPr>
                                <w:t xml:space="preserve"> </w:t>
                              </w:r>
                            </w:p>
                          </w:txbxContent>
                        </wps:txbx>
                        <wps:bodyPr rot="0" vert="horz" wrap="square" lIns="0" tIns="0" rIns="0" bIns="0" anchor="t" anchorCtr="0" upright="1">
                          <a:noAutofit/>
                        </wps:bodyPr>
                      </wps:wsp>
                      <wps:wsp>
                        <wps:cNvPr id="41" name="Rectangle 248"/>
                        <wps:cNvSpPr>
                          <a:spLocks noChangeArrowheads="1"/>
                        </wps:cNvSpPr>
                        <wps:spPr bwMode="auto">
                          <a:xfrm>
                            <a:off x="2671445" y="4752975"/>
                            <a:ext cx="2222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9D28" w14:textId="77777777" w:rsidR="009E45BA" w:rsidRPr="00F02A3B" w:rsidRDefault="009E45BA" w:rsidP="00AC6E1C">
                              <w:pPr>
                                <w:rPr>
                                  <w:sz w:val="19"/>
                                </w:rPr>
                              </w:pPr>
                              <w:r>
                                <w:rPr>
                                  <w:rFonts w:cs="Arial Narrow"/>
                                  <w:b/>
                                  <w:bCs/>
                                  <w:color w:val="000000"/>
                                  <w:lang w:val="en-US"/>
                                </w:rPr>
                                <w:t xml:space="preserve"> </w:t>
                              </w:r>
                            </w:p>
                          </w:txbxContent>
                        </wps:txbx>
                        <wps:bodyPr rot="0" vert="horz" wrap="square" lIns="0" tIns="0" rIns="0" bIns="0" anchor="t" anchorCtr="0" upright="1">
                          <a:noAutofit/>
                        </wps:bodyPr>
                      </wps:wsp>
                      <wps:wsp>
                        <wps:cNvPr id="43" name="Rectangle 249"/>
                        <wps:cNvSpPr>
                          <a:spLocks noChangeArrowheads="1"/>
                        </wps:cNvSpPr>
                        <wps:spPr bwMode="auto">
                          <a:xfrm>
                            <a:off x="1817370" y="5052060"/>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09B88" w14:textId="77777777" w:rsidR="009E45BA" w:rsidRPr="00F02A3B" w:rsidRDefault="009E45BA" w:rsidP="00AC6E1C">
                              <w:pPr>
                                <w:rPr>
                                  <w:sz w:val="19"/>
                                </w:rPr>
                              </w:pPr>
                              <w:r>
                                <w:rPr>
                                  <w:rFonts w:cs="Arial Narrow"/>
                                  <w:color w:val="000000"/>
                                  <w:lang w:val="en-US"/>
                                </w:rPr>
                                <w:t xml:space="preserve"> </w:t>
                              </w:r>
                            </w:p>
                          </w:txbxContent>
                        </wps:txbx>
                        <wps:bodyPr rot="0" vert="horz" wrap="square" lIns="0" tIns="0" rIns="0" bIns="0" anchor="t" anchorCtr="0" upright="1">
                          <a:noAutofit/>
                        </wps:bodyPr>
                      </wps:wsp>
                      <wps:wsp>
                        <wps:cNvPr id="45" name="Rectangle 250"/>
                        <wps:cNvSpPr>
                          <a:spLocks noChangeArrowheads="1"/>
                        </wps:cNvSpPr>
                        <wps:spPr bwMode="auto">
                          <a:xfrm>
                            <a:off x="1373505" y="5164455"/>
                            <a:ext cx="222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4C324" w14:textId="77777777" w:rsidR="009E45BA" w:rsidRPr="00F02A3B" w:rsidRDefault="009E45BA" w:rsidP="00AC6E1C">
                              <w:pPr>
                                <w:rPr>
                                  <w:sz w:val="19"/>
                                </w:rPr>
                              </w:pPr>
                              <w:r>
                                <w:rPr>
                                  <w:rFonts w:cs="Arial Narrow"/>
                                  <w:color w:val="000000"/>
                                  <w:lang w:val="en-US"/>
                                </w:rPr>
                                <w:t xml:space="preserve"> </w:t>
                              </w:r>
                            </w:p>
                          </w:txbxContent>
                        </wps:txbx>
                        <wps:bodyPr rot="0" vert="horz" wrap="square" lIns="0" tIns="0" rIns="0" bIns="0" anchor="t" anchorCtr="0" upright="1">
                          <a:noAutofit/>
                        </wps:bodyPr>
                      </wps:wsp>
                      <wps:wsp>
                        <wps:cNvPr id="47" name="Rectangle 251"/>
                        <wps:cNvSpPr>
                          <a:spLocks noChangeArrowheads="1"/>
                        </wps:cNvSpPr>
                        <wps:spPr bwMode="auto">
                          <a:xfrm>
                            <a:off x="3195955" y="5123815"/>
                            <a:ext cx="3746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D16B" w14:textId="77777777" w:rsidR="009E45BA" w:rsidRPr="00F02A3B" w:rsidRDefault="009E45BA" w:rsidP="00AC6E1C">
                              <w:pPr>
                                <w:rPr>
                                  <w:sz w:val="19"/>
                                </w:rPr>
                              </w:pPr>
                              <w:r w:rsidRPr="00F02A3B">
                                <w:rPr>
                                  <w:color w:val="000000"/>
                                  <w:sz w:val="23"/>
                                  <w:lang w:val="en-US"/>
                                </w:rPr>
                                <w:t xml:space="preserve"> </w:t>
                              </w:r>
                            </w:p>
                          </w:txbxContent>
                        </wps:txbx>
                        <wps:bodyPr rot="0" vert="horz" wrap="square" lIns="0" tIns="0" rIns="0" bIns="0" anchor="t" anchorCtr="0" upright="1">
                          <a:noAutofit/>
                        </wps:bodyPr>
                      </wps:wsp>
                      <wpg:wgp>
                        <wpg:cNvPr id="48" name="Group 255"/>
                        <wpg:cNvGrpSpPr>
                          <a:grpSpLocks/>
                        </wpg:cNvGrpSpPr>
                        <wpg:grpSpPr bwMode="auto">
                          <a:xfrm>
                            <a:off x="1208405" y="5153660"/>
                            <a:ext cx="4088765" cy="918210"/>
                            <a:chOff x="3898" y="11155"/>
                            <a:chExt cx="5582" cy="1262"/>
                          </a:xfrm>
                        </wpg:grpSpPr>
                        <wps:wsp>
                          <wps:cNvPr id="55" name="Rectangle 256"/>
                          <wps:cNvSpPr>
                            <a:spLocks noChangeArrowheads="1"/>
                          </wps:cNvSpPr>
                          <wps:spPr bwMode="auto">
                            <a:xfrm>
                              <a:off x="3898" y="11155"/>
                              <a:ext cx="5582" cy="1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B65A3" w14:textId="77777777" w:rsidR="009E45BA" w:rsidRPr="00DA627F" w:rsidRDefault="009E45BA" w:rsidP="00AC6E1C">
                                <w:pPr>
                                  <w:spacing w:after="0" w:line="240" w:lineRule="auto"/>
                                  <w:rPr>
                                    <w:rFonts w:ascii="Arial Narrow" w:hAnsi="Arial Narrow"/>
                                    <w:b/>
                                    <w:sz w:val="16"/>
                                    <w:szCs w:val="16"/>
                                  </w:rPr>
                                </w:pPr>
                                <w:r w:rsidRPr="00DA627F">
                                  <w:rPr>
                                    <w:rFonts w:ascii="Arial Narrow" w:hAnsi="Arial Narrow"/>
                                    <w:b/>
                                    <w:sz w:val="16"/>
                                    <w:szCs w:val="16"/>
                                  </w:rPr>
                                  <w:t>Future Fund Management Agency</w:t>
                                </w:r>
                              </w:p>
                              <w:p w14:paraId="2046CC86" w14:textId="77777777" w:rsidR="009E45BA" w:rsidRPr="00196BF4" w:rsidRDefault="009E45BA" w:rsidP="00AC6E1C">
                                <w:pPr>
                                  <w:spacing w:after="0" w:line="240" w:lineRule="auto"/>
                                  <w:rPr>
                                    <w:rFonts w:ascii="Arial Narrow" w:hAnsi="Arial Narrow"/>
                                    <w:sz w:val="8"/>
                                    <w:szCs w:val="8"/>
                                  </w:rPr>
                                </w:pPr>
                              </w:p>
                              <w:p w14:paraId="5720EDE5" w14:textId="77777777" w:rsidR="009E45BA" w:rsidRPr="00DA627F" w:rsidRDefault="009E45BA" w:rsidP="00AC6E1C">
                                <w:pPr>
                                  <w:spacing w:after="0" w:line="240" w:lineRule="auto"/>
                                  <w:rPr>
                                    <w:rFonts w:ascii="Arial Narrow" w:hAnsi="Arial Narrow"/>
                                    <w:sz w:val="16"/>
                                    <w:szCs w:val="16"/>
                                  </w:rPr>
                                </w:pPr>
                                <w:r>
                                  <w:rPr>
                                    <w:rFonts w:ascii="Arial Narrow" w:hAnsi="Arial Narrow"/>
                                    <w:sz w:val="16"/>
                                    <w:szCs w:val="16"/>
                                  </w:rPr>
                                  <w:t>Chair</w:t>
                                </w:r>
                                <w:r w:rsidRPr="00DA627F">
                                  <w:rPr>
                                    <w:rFonts w:ascii="Arial Narrow" w:hAnsi="Arial Narrow"/>
                                    <w:sz w:val="16"/>
                                    <w:szCs w:val="16"/>
                                  </w:rPr>
                                  <w:t xml:space="preserve">: Hon Peter Costello AC </w:t>
                                </w:r>
                              </w:p>
                              <w:p w14:paraId="25535365" w14:textId="77777777" w:rsidR="009E45BA" w:rsidRPr="00DA627F" w:rsidRDefault="009E45BA" w:rsidP="00AC6E1C">
                                <w:pPr>
                                  <w:spacing w:after="0" w:line="240" w:lineRule="auto"/>
                                  <w:rPr>
                                    <w:rFonts w:ascii="Arial Narrow" w:hAnsi="Arial Narrow"/>
                                    <w:sz w:val="16"/>
                                    <w:szCs w:val="16"/>
                                  </w:rPr>
                                </w:pPr>
                              </w:p>
                              <w:p w14:paraId="08B2FE12" w14:textId="77777777" w:rsidR="009E45BA" w:rsidRPr="00F83AEF" w:rsidRDefault="009E45BA" w:rsidP="00AC6E1C">
                                <w:pPr>
                                  <w:tabs>
                                    <w:tab w:val="left" w:pos="1080"/>
                                  </w:tabs>
                                  <w:spacing w:after="0" w:line="240" w:lineRule="auto"/>
                                  <w:ind w:left="1077" w:right="-113" w:hanging="1077"/>
                                  <w:jc w:val="left"/>
                                  <w:rPr>
                                    <w:rFonts w:ascii="Arial Narrow" w:hAnsi="Arial Narrow" w:cs="Arial"/>
                                    <w:b/>
                                    <w:sz w:val="16"/>
                                    <w:szCs w:val="16"/>
                                  </w:rPr>
                                </w:pPr>
                                <w:r w:rsidRPr="00DA627F">
                                  <w:rPr>
                                    <w:rFonts w:ascii="Arial Narrow" w:hAnsi="Arial Narrow" w:cs="Arial"/>
                                    <w:b/>
                                    <w:sz w:val="16"/>
                                    <w:szCs w:val="16"/>
                                  </w:rPr>
                                  <w:t>Outcome 1</w:t>
                                </w:r>
                                <w:r w:rsidRPr="00DA627F">
                                  <w:rPr>
                                    <w:rFonts w:ascii="Arial Narrow" w:hAnsi="Arial Narrow" w:cs="Arial"/>
                                    <w:b/>
                                    <w:sz w:val="16"/>
                                    <w:szCs w:val="16"/>
                                  </w:rPr>
                                  <w:tab/>
                                </w:r>
                                <w:r w:rsidRPr="004D741C">
                                  <w:rPr>
                                    <w:rFonts w:ascii="Arial Narrow" w:hAnsi="Arial Narrow" w:cs="Arial"/>
                                    <w:sz w:val="16"/>
                                    <w:szCs w:val="16"/>
                                  </w:rPr>
                                  <w:t>Strengthen the Commonwealth’s financial position for the benefit of the Australian people, by managing the investment activities of the Future Fund and certain other Australian Government investment funds in line with their Investment Mandates</w:t>
                                </w:r>
                                <w:r w:rsidRPr="004D741C">
                                  <w:rPr>
                                    <w:rFonts w:ascii="Arial Narrow" w:hAnsi="Arial Narrow" w:cs="Arial"/>
                                    <w:b/>
                                    <w:sz w:val="16"/>
                                    <w:szCs w:val="16"/>
                                  </w:rPr>
                                  <w:t>.</w:t>
                                </w:r>
                              </w:p>
                              <w:p w14:paraId="55C9AABD" w14:textId="77777777" w:rsidR="009E45BA" w:rsidRPr="00E9251F" w:rsidRDefault="009E45BA" w:rsidP="00AC6E1C">
                                <w:pPr>
                                  <w:tabs>
                                    <w:tab w:val="left" w:pos="1080"/>
                                  </w:tabs>
                                  <w:spacing w:after="0" w:line="240" w:lineRule="auto"/>
                                  <w:ind w:left="1077" w:right="-113" w:hanging="1077"/>
                                  <w:jc w:val="left"/>
                                  <w:rPr>
                                    <w:rFonts w:ascii="Arial Narrow" w:hAnsi="Arial Narrow" w:cs="Arial"/>
                                    <w:sz w:val="16"/>
                                    <w:szCs w:val="16"/>
                                  </w:rPr>
                                </w:pPr>
                              </w:p>
                            </w:txbxContent>
                          </wps:txbx>
                          <wps:bodyPr rot="0" vert="horz" wrap="square" lIns="88697" tIns="44348" rIns="88697" bIns="44348" anchor="t" anchorCtr="0" upright="1">
                            <a:noAutofit/>
                          </wps:bodyPr>
                        </wps:wsp>
                        <wps:wsp>
                          <wps:cNvPr id="57" name="Rectangle 257"/>
                          <wps:cNvSpPr>
                            <a:spLocks noChangeArrowheads="1"/>
                          </wps:cNvSpPr>
                          <wps:spPr bwMode="auto">
                            <a:xfrm>
                              <a:off x="3898" y="11155"/>
                              <a:ext cx="5582" cy="1262"/>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8" name="AutoShape 300"/>
                        <wps:cNvCnPr>
                          <a:cxnSpLocks noChangeShapeType="1"/>
                        </wps:cNvCnPr>
                        <wps:spPr bwMode="auto">
                          <a:xfrm>
                            <a:off x="750570" y="1122045"/>
                            <a:ext cx="28575" cy="52825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2457" dir="956724" algn="ctr" rotWithShape="0">
                                    <a:srgbClr val="808080"/>
                                  </a:outerShdw>
                                </a:effectLst>
                              </a14:hiddenEffects>
                            </a:ext>
                          </a:extLst>
                        </wps:spPr>
                        <wps:bodyPr/>
                      </wps:wsp>
                      <wps:wsp>
                        <wps:cNvPr id="61" name="AutoShape 308"/>
                        <wps:cNvCnPr>
                          <a:cxnSpLocks noChangeShapeType="1"/>
                        </wps:cNvCnPr>
                        <wps:spPr bwMode="auto">
                          <a:xfrm>
                            <a:off x="774700" y="4342765"/>
                            <a:ext cx="42799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AutoShape 309"/>
                        <wps:cNvCnPr>
                          <a:cxnSpLocks noChangeShapeType="1"/>
                        </wps:cNvCnPr>
                        <wps:spPr bwMode="auto">
                          <a:xfrm>
                            <a:off x="779145" y="5361305"/>
                            <a:ext cx="424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70"/>
                        <wps:cNvCnPr>
                          <a:cxnSpLocks noChangeShapeType="1"/>
                        </wps:cNvCnPr>
                        <wps:spPr bwMode="auto">
                          <a:xfrm>
                            <a:off x="767080" y="3432810"/>
                            <a:ext cx="437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38"/>
                        <wps:cNvSpPr>
                          <a:spLocks noChangeArrowheads="1"/>
                        </wps:cNvSpPr>
                        <wps:spPr bwMode="auto">
                          <a:xfrm>
                            <a:off x="1208405" y="6185535"/>
                            <a:ext cx="4088765" cy="901700"/>
                          </a:xfrm>
                          <a:prstGeom prst="rect">
                            <a:avLst/>
                          </a:prstGeom>
                          <a:solidFill>
                            <a:srgbClr val="FFFFFF"/>
                          </a:solidFill>
                          <a:ln w="6350">
                            <a:solidFill>
                              <a:srgbClr val="000000"/>
                            </a:solidFill>
                            <a:miter lim="800000"/>
                            <a:headEnd/>
                            <a:tailEnd/>
                          </a:ln>
                        </wps:spPr>
                        <wps:txbx>
                          <w:txbxContent>
                            <w:p w14:paraId="2D7A87E0" w14:textId="77777777" w:rsidR="009E45BA" w:rsidRDefault="009E45BA" w:rsidP="00AC6E1C">
                              <w:pPr>
                                <w:pStyle w:val="NormalWeb"/>
                                <w:spacing w:before="0" w:beforeAutospacing="0" w:after="0" w:afterAutospacing="0" w:line="260" w:lineRule="exact"/>
                                <w:jc w:val="both"/>
                              </w:pPr>
                              <w:r w:rsidRPr="002B2DFF">
                                <w:rPr>
                                  <w:rFonts w:ascii="Arial Narrow" w:hAnsi="Arial Narrow"/>
                                  <w:b/>
                                  <w:bCs/>
                                  <w:sz w:val="16"/>
                                  <w:szCs w:val="16"/>
                                </w:rPr>
                                <w:t>Independent Parliamentary Expenses Authority</w:t>
                              </w:r>
                            </w:p>
                            <w:p w14:paraId="50BB643B" w14:textId="77777777" w:rsidR="009E45BA" w:rsidRPr="00B37394" w:rsidRDefault="009E45BA" w:rsidP="00AC6E1C">
                              <w:pPr>
                                <w:pStyle w:val="NormalWeb"/>
                                <w:spacing w:before="0" w:beforeAutospacing="0" w:afterAutospacing="0" w:line="260" w:lineRule="exact"/>
                                <w:jc w:val="both"/>
                                <w:rPr>
                                  <w:rFonts w:ascii="Arial Narrow" w:hAnsi="Arial Narrow"/>
                                  <w:sz w:val="16"/>
                                  <w:szCs w:val="16"/>
                                </w:rPr>
                              </w:pPr>
                              <w:r>
                                <w:rPr>
                                  <w:rFonts w:ascii="Arial Narrow" w:hAnsi="Arial Narrow"/>
                                  <w:sz w:val="16"/>
                                  <w:szCs w:val="16"/>
                                </w:rPr>
                                <w:t xml:space="preserve"> CEO: Annwyn Godwin</w:t>
                              </w:r>
                            </w:p>
                            <w:p w14:paraId="40010CB1" w14:textId="77777777" w:rsidR="009E45BA" w:rsidRPr="002B2DFF" w:rsidRDefault="009E45BA" w:rsidP="00AC6E1C">
                              <w:pPr>
                                <w:pStyle w:val="NormalWeb"/>
                                <w:tabs>
                                  <w:tab w:val="left" w:pos="1080"/>
                                </w:tabs>
                                <w:spacing w:before="0" w:beforeAutospacing="0" w:afterAutospacing="0"/>
                                <w:ind w:left="1077" w:right="-113" w:hanging="1077"/>
                              </w:pPr>
                              <w:r>
                                <w:rPr>
                                  <w:rFonts w:ascii="Arial Narrow" w:hAnsi="Arial Narrow" w:cs="Arial"/>
                                  <w:b/>
                                  <w:bCs/>
                                  <w:sz w:val="16"/>
                                  <w:szCs w:val="16"/>
                                </w:rPr>
                                <w:t>Outcome 1</w:t>
                              </w:r>
                              <w:r>
                                <w:rPr>
                                  <w:rFonts w:ascii="Arial Narrow" w:hAnsi="Arial Narrow" w:cs="Arial"/>
                                  <w:b/>
                                  <w:bCs/>
                                  <w:sz w:val="16"/>
                                  <w:szCs w:val="16"/>
                                </w:rPr>
                                <w:tab/>
                              </w:r>
                              <w:r w:rsidRPr="002B2DFF">
                                <w:rPr>
                                  <w:rFonts w:ascii="Arial Narrow" w:hAnsi="Arial Narrow"/>
                                  <w:color w:val="000000"/>
                                  <w:sz w:val="16"/>
                                  <w:szCs w:val="16"/>
                                </w:rPr>
                                <w:t xml:space="preserve">Support for current and former </w:t>
                              </w:r>
                              <w:r>
                                <w:rPr>
                                  <w:rFonts w:ascii="Arial Narrow" w:hAnsi="Arial Narrow"/>
                                  <w:color w:val="000000"/>
                                  <w:sz w:val="16"/>
                                  <w:szCs w:val="16"/>
                                </w:rPr>
                                <w:t>p</w:t>
                              </w:r>
                              <w:r w:rsidRPr="002B2DFF">
                                <w:rPr>
                                  <w:rFonts w:ascii="Arial Narrow" w:hAnsi="Arial Narrow"/>
                                  <w:color w:val="000000"/>
                                  <w:sz w:val="16"/>
                                  <w:szCs w:val="16"/>
                                </w:rPr>
                                <w:t>arliamentarians and others as required by the Australian Government through the delivery of, independent oversight and advice on, work resources and travel resources</w:t>
                              </w:r>
                              <w:r>
                                <w:rPr>
                                  <w:rFonts w:ascii="Arial Narrow" w:hAnsi="Arial Narrow"/>
                                  <w:color w:val="000000"/>
                                  <w:sz w:val="16"/>
                                  <w:szCs w:val="16"/>
                                </w:rPr>
                                <w:t>.</w:t>
                              </w:r>
                            </w:p>
                            <w:p w14:paraId="0350B34D" w14:textId="77777777" w:rsidR="009E45BA" w:rsidRPr="002B2DFF" w:rsidRDefault="009E45BA" w:rsidP="00AC6E1C">
                              <w:pPr>
                                <w:pStyle w:val="NormalWeb"/>
                                <w:tabs>
                                  <w:tab w:val="left" w:pos="1080"/>
                                </w:tabs>
                                <w:spacing w:before="0" w:beforeAutospacing="0" w:afterAutospacing="0"/>
                                <w:ind w:left="1077" w:right="-113" w:hanging="1077"/>
                              </w:pPr>
                            </w:p>
                          </w:txbxContent>
                        </wps:txbx>
                        <wps:bodyPr rot="0" vert="horz" wrap="square" lIns="88697" tIns="44348" rIns="88697" bIns="44348" anchor="t" anchorCtr="0" upright="1">
                          <a:noAutofit/>
                        </wps:bodyPr>
                      </wps:wsp>
                      <wps:wsp>
                        <wps:cNvPr id="73" name="AutoShape 309"/>
                        <wps:cNvCnPr>
                          <a:cxnSpLocks noChangeShapeType="1"/>
                        </wps:cNvCnPr>
                        <wps:spPr bwMode="auto">
                          <a:xfrm>
                            <a:off x="779145" y="6404610"/>
                            <a:ext cx="424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74" name="Group 252"/>
                        <wpg:cNvGrpSpPr>
                          <a:grpSpLocks/>
                        </wpg:cNvGrpSpPr>
                        <wpg:grpSpPr bwMode="auto">
                          <a:xfrm>
                            <a:off x="1208405" y="3189605"/>
                            <a:ext cx="4090035" cy="838835"/>
                            <a:chOff x="3898" y="6475"/>
                            <a:chExt cx="5582" cy="1980"/>
                          </a:xfrm>
                        </wpg:grpSpPr>
                        <wps:wsp>
                          <wps:cNvPr id="75" name="Rectangle 253"/>
                          <wps:cNvSpPr>
                            <a:spLocks noChangeArrowheads="1"/>
                          </wps:cNvSpPr>
                          <wps:spPr bwMode="auto">
                            <a:xfrm>
                              <a:off x="3898" y="6475"/>
                              <a:ext cx="5582"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60A0B" w14:textId="77777777" w:rsidR="009E45BA" w:rsidRPr="00DA627F" w:rsidRDefault="009E45BA" w:rsidP="00AC6E1C">
                                <w:pPr>
                                  <w:spacing w:after="0" w:line="240" w:lineRule="auto"/>
                                  <w:rPr>
                                    <w:rFonts w:ascii="Arial Narrow" w:hAnsi="Arial Narrow" w:cs="Arial"/>
                                    <w:b/>
                                    <w:sz w:val="16"/>
                                    <w:szCs w:val="16"/>
                                  </w:rPr>
                                </w:pPr>
                                <w:r w:rsidRPr="00DA627F">
                                  <w:rPr>
                                    <w:rFonts w:ascii="Arial Narrow" w:hAnsi="Arial Narrow" w:cs="Arial"/>
                                    <w:b/>
                                    <w:sz w:val="16"/>
                                    <w:szCs w:val="16"/>
                                  </w:rPr>
                                  <w:t>Australian Electoral Commission</w:t>
                                </w:r>
                              </w:p>
                              <w:p w14:paraId="363C2761" w14:textId="77777777" w:rsidR="009E45BA" w:rsidRPr="00196BF4" w:rsidRDefault="009E45BA" w:rsidP="00AC6E1C">
                                <w:pPr>
                                  <w:spacing w:after="0" w:line="240" w:lineRule="auto"/>
                                  <w:rPr>
                                    <w:rFonts w:ascii="Arial Narrow" w:hAnsi="Arial Narrow" w:cs="Arial"/>
                                    <w:b/>
                                    <w:sz w:val="8"/>
                                    <w:szCs w:val="8"/>
                                  </w:rPr>
                                </w:pPr>
                              </w:p>
                              <w:p w14:paraId="3CBF96D8" w14:textId="77777777" w:rsidR="009E45BA" w:rsidRPr="00DA627F" w:rsidRDefault="009E45BA" w:rsidP="00AC6E1C">
                                <w:pPr>
                                  <w:spacing w:after="0" w:line="240" w:lineRule="auto"/>
                                  <w:rPr>
                                    <w:rFonts w:ascii="Arial Narrow" w:hAnsi="Arial Narrow" w:cs="Arial"/>
                                    <w:sz w:val="16"/>
                                    <w:szCs w:val="16"/>
                                  </w:rPr>
                                </w:pPr>
                                <w:r w:rsidRPr="00DA627F">
                                  <w:rPr>
                                    <w:rFonts w:ascii="Arial Narrow" w:hAnsi="Arial Narrow" w:cs="Arial"/>
                                    <w:sz w:val="16"/>
                                    <w:szCs w:val="16"/>
                                  </w:rPr>
                                  <w:t xml:space="preserve">Electoral Commissioner: Tom Rogers </w:t>
                                </w:r>
                              </w:p>
                              <w:p w14:paraId="1D0AB7CF" w14:textId="77777777" w:rsidR="009E45BA" w:rsidRPr="00DA627F" w:rsidRDefault="009E45BA" w:rsidP="00AC6E1C">
                                <w:pPr>
                                  <w:spacing w:after="0" w:line="240" w:lineRule="auto"/>
                                  <w:rPr>
                                    <w:rFonts w:ascii="Arial Narrow" w:hAnsi="Arial Narrow" w:cs="Arial"/>
                                    <w:b/>
                                    <w:sz w:val="16"/>
                                    <w:szCs w:val="16"/>
                                  </w:rPr>
                                </w:pPr>
                              </w:p>
                              <w:p w14:paraId="3F3A43C9" w14:textId="77777777" w:rsidR="009E45BA" w:rsidRPr="007879CC" w:rsidRDefault="009E45BA" w:rsidP="00AC6E1C">
                                <w:pPr>
                                  <w:tabs>
                                    <w:tab w:val="left" w:pos="1080"/>
                                  </w:tabs>
                                  <w:spacing w:after="0" w:line="240" w:lineRule="auto"/>
                                  <w:ind w:left="1077" w:right="-113" w:hanging="1077"/>
                                  <w:jc w:val="left"/>
                                  <w:rPr>
                                    <w:rFonts w:cs="Arial"/>
                                  </w:rPr>
                                </w:pPr>
                                <w:r w:rsidRPr="00DA627F">
                                  <w:rPr>
                                    <w:rFonts w:ascii="Arial Narrow" w:hAnsi="Arial Narrow" w:cs="Arial"/>
                                    <w:b/>
                                    <w:sz w:val="16"/>
                                    <w:szCs w:val="16"/>
                                  </w:rPr>
                                  <w:t>Outcome 1</w:t>
                                </w:r>
                                <w:r w:rsidRPr="00DA627F">
                                  <w:rPr>
                                    <w:rFonts w:ascii="Arial Narrow" w:hAnsi="Arial Narrow" w:cs="Arial"/>
                                    <w:b/>
                                    <w:sz w:val="16"/>
                                    <w:szCs w:val="16"/>
                                  </w:rPr>
                                  <w:tab/>
                                </w:r>
                                <w:r w:rsidRPr="00DA627F">
                                  <w:rPr>
                                    <w:rFonts w:ascii="Arial Narrow" w:hAnsi="Arial Narrow" w:cs="Arial"/>
                                    <w:sz w:val="16"/>
                                    <w:szCs w:val="16"/>
                                  </w:rPr>
                                  <w:t>Maintain an impartial and independent electoral system for eligible voters through active electoral roll management, efficient delivery of polling services, and targeted education and public awareness programs.</w:t>
                                </w:r>
                              </w:p>
                              <w:p w14:paraId="394749B7" w14:textId="77777777" w:rsidR="009E45BA" w:rsidRPr="005E188F" w:rsidRDefault="009E45BA" w:rsidP="00AC6E1C">
                                <w:pPr>
                                  <w:tabs>
                                    <w:tab w:val="left" w:pos="1080"/>
                                  </w:tabs>
                                  <w:spacing w:after="0" w:line="240" w:lineRule="auto"/>
                                  <w:ind w:left="1077" w:right="-113" w:hanging="1077"/>
                                  <w:jc w:val="left"/>
                                  <w:rPr>
                                    <w:rFonts w:ascii="Arial Narrow" w:hAnsi="Arial Narrow" w:cs="Arial"/>
                                    <w:sz w:val="16"/>
                                    <w:szCs w:val="16"/>
                                  </w:rPr>
                                </w:pPr>
                              </w:p>
                            </w:txbxContent>
                          </wps:txbx>
                          <wps:bodyPr rot="0" vert="horz" wrap="square" lIns="88697" tIns="44348" rIns="88697" bIns="44348" anchor="t" anchorCtr="0" upright="1">
                            <a:noAutofit/>
                          </wps:bodyPr>
                        </wps:wsp>
                        <wps:wsp>
                          <wps:cNvPr id="76" name="Rectangle 254"/>
                          <wps:cNvSpPr>
                            <a:spLocks noChangeArrowheads="1"/>
                          </wps:cNvSpPr>
                          <wps:spPr bwMode="auto">
                            <a:xfrm>
                              <a:off x="3898" y="6475"/>
                              <a:ext cx="5582" cy="198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6" name="AutoShape 370"/>
                        <wps:cNvCnPr>
                          <a:cxnSpLocks noChangeShapeType="1"/>
                        </wps:cNvCnPr>
                        <wps:spPr bwMode="auto">
                          <a:xfrm>
                            <a:off x="750570" y="2011680"/>
                            <a:ext cx="457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CCA9C43" id="Canvas 87" o:spid="_x0000_s1030" editas="canvas" style="position:absolute;left:0;text-align:left;margin-left:-38.6pt;margin-top:16.75pt;width:417.2pt;height:573.15pt;z-index:251663360" coordsize="52984,7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2984;height:72790;visibility:visible;mso-wrap-style:square">
                  <v:fill o:detectmouseclick="t"/>
                  <v:path o:connecttype="none"/>
                </v:shape>
                <v:group id="Group 241" o:spid="_x0000_s1032" style="position:absolute;left:11722;top:12700;width:41262;height:18637" coordorigin="3850,4495" coordsize="563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42" o:spid="_x0000_s1033" style="position:absolute;left:3850;top:4525;width:563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" stroked="f">
                    <v:textbox inset="2.46381mm,1.2319mm,2.46381mm,1.2319mm">
                      <w:txbxContent>
                        <w:p w14:paraId="6C83D9C2" w14:textId="77777777" w:rsidR="009E45BA" w:rsidRPr="00DA627F" w:rsidRDefault="009E45BA" w:rsidP="00AC6E1C">
                          <w:pPr>
                            <w:spacing w:after="0" w:line="240" w:lineRule="auto"/>
                            <w:rPr>
                              <w:rFonts w:ascii="Arial Narrow" w:hAnsi="Arial Narrow" w:cs="Arial"/>
                              <w:b/>
                              <w:sz w:val="16"/>
                              <w:szCs w:val="16"/>
                            </w:rPr>
                          </w:pPr>
                          <w:r w:rsidRPr="00DA627F">
                            <w:rPr>
                              <w:rFonts w:ascii="Arial Narrow" w:hAnsi="Arial Narrow" w:cs="Arial"/>
                              <w:b/>
                              <w:sz w:val="16"/>
                              <w:szCs w:val="16"/>
                            </w:rPr>
                            <w:t>Department of Finance</w:t>
                          </w:r>
                        </w:p>
                        <w:p w14:paraId="1945DD0B" w14:textId="77777777" w:rsidR="009E45BA" w:rsidRPr="00196BF4" w:rsidRDefault="009E45BA" w:rsidP="00AC6E1C">
                          <w:pPr>
                            <w:spacing w:after="0" w:line="240" w:lineRule="auto"/>
                            <w:rPr>
                              <w:rFonts w:ascii="Arial Narrow" w:hAnsi="Arial Narrow" w:cs="Arial"/>
                              <w:b/>
                              <w:sz w:val="8"/>
                              <w:szCs w:val="8"/>
                            </w:rPr>
                          </w:pPr>
                        </w:p>
                        <w:p w14:paraId="283DA253" w14:textId="77777777" w:rsidR="009E45BA" w:rsidRPr="00DA627F" w:rsidRDefault="009E45BA" w:rsidP="00AC6E1C">
                          <w:pPr>
                            <w:spacing w:after="0" w:line="240" w:lineRule="auto"/>
                            <w:rPr>
                              <w:rFonts w:ascii="Arial Narrow" w:hAnsi="Arial Narrow" w:cs="Arial"/>
                              <w:sz w:val="16"/>
                              <w:szCs w:val="16"/>
                            </w:rPr>
                          </w:pPr>
                          <w:r w:rsidRPr="00DA627F">
                            <w:rPr>
                              <w:rFonts w:ascii="Arial Narrow" w:hAnsi="Arial Narrow" w:cs="Arial"/>
                              <w:sz w:val="16"/>
                              <w:szCs w:val="16"/>
                            </w:rPr>
                            <w:t>Portfolio Secretary: Rosemary Huxtable PSM</w:t>
                          </w:r>
                        </w:p>
                        <w:p w14:paraId="5F890DE3" w14:textId="77777777" w:rsidR="009E45BA" w:rsidRPr="00DA627F" w:rsidRDefault="009E45BA" w:rsidP="00AC6E1C">
                          <w:pPr>
                            <w:spacing w:after="0" w:line="240" w:lineRule="auto"/>
                            <w:rPr>
                              <w:rFonts w:ascii="Arial Narrow" w:hAnsi="Arial Narrow" w:cs="Arial"/>
                              <w:sz w:val="16"/>
                              <w:szCs w:val="16"/>
                            </w:rPr>
                          </w:pPr>
                        </w:p>
                        <w:p w14:paraId="27E69F19" w14:textId="77777777" w:rsidR="009E45BA" w:rsidRPr="00DA627F" w:rsidRDefault="009E45BA" w:rsidP="00AC6E1C">
                          <w:pPr>
                            <w:spacing w:after="0" w:line="240" w:lineRule="auto"/>
                            <w:ind w:left="1077" w:right="-113" w:hanging="1077"/>
                            <w:jc w:val="left"/>
                            <w:rPr>
                              <w:rFonts w:ascii="Arial Narrow" w:hAnsi="Arial Narrow"/>
                              <w:sz w:val="16"/>
                              <w:szCs w:val="16"/>
                            </w:rPr>
                          </w:pPr>
                          <w:bookmarkStart w:id="141" w:name="OLE_LINK6"/>
                          <w:r w:rsidRPr="00DA627F">
                            <w:rPr>
                              <w:rFonts w:ascii="Arial Narrow" w:hAnsi="Arial Narrow" w:cs="Arial"/>
                              <w:b/>
                              <w:sz w:val="16"/>
                              <w:szCs w:val="16"/>
                            </w:rPr>
                            <w:t>Outcome 1</w:t>
                          </w:r>
                          <w:r w:rsidRPr="00DA627F">
                            <w:rPr>
                              <w:rFonts w:ascii="Arial Narrow" w:hAnsi="Arial Narrow" w:cs="Arial"/>
                              <w:b/>
                              <w:sz w:val="16"/>
                              <w:szCs w:val="16"/>
                            </w:rPr>
                            <w:tab/>
                          </w:r>
                          <w:r w:rsidRPr="00DA627F">
                            <w:rPr>
                              <w:rFonts w:ascii="Arial Narrow" w:hAnsi="Arial Narrow"/>
                              <w:sz w:val="16"/>
                              <w:szCs w:val="16"/>
                            </w:rPr>
                            <w:t>Support sustainable Australian Government finances through providing high quality policy advice and operational support to the government and Commonwealth entities</w:t>
                          </w:r>
                          <w:r w:rsidRPr="00DA627F">
                            <w:rPr>
                              <w:rFonts w:ascii="Arial Narrow" w:hAnsi="Arial Narrow"/>
                              <w:i/>
                              <w:sz w:val="16"/>
                              <w:szCs w:val="16"/>
                            </w:rPr>
                            <w:t xml:space="preserve"> </w:t>
                          </w:r>
                          <w:r w:rsidRPr="00DA627F">
                            <w:rPr>
                              <w:rFonts w:ascii="Arial Narrow" w:hAnsi="Arial Narrow"/>
                              <w:sz w:val="16"/>
                              <w:szCs w:val="16"/>
                            </w:rPr>
                            <w:t>to</w:t>
                          </w:r>
                          <w:r w:rsidRPr="00DA627F">
                            <w:rPr>
                              <w:rFonts w:ascii="Arial Narrow" w:hAnsi="Arial Narrow"/>
                              <w:i/>
                              <w:sz w:val="16"/>
                              <w:szCs w:val="16"/>
                            </w:rPr>
                            <w:t xml:space="preserve"> </w:t>
                          </w:r>
                          <w:r w:rsidRPr="00DA627F">
                            <w:rPr>
                              <w:rFonts w:ascii="Arial Narrow" w:hAnsi="Arial Narrow"/>
                              <w:sz w:val="16"/>
                              <w:szCs w:val="16"/>
                            </w:rPr>
                            <w:t>maintain effective and efficient use of public resources.</w:t>
                          </w:r>
                        </w:p>
                        <w:p w14:paraId="55724F8F" w14:textId="77777777" w:rsidR="009E45BA" w:rsidRPr="00DA627F" w:rsidRDefault="009E45BA" w:rsidP="00AC6E1C">
                          <w:pPr>
                            <w:spacing w:after="0" w:line="240" w:lineRule="auto"/>
                            <w:ind w:left="1134" w:hanging="1080"/>
                            <w:rPr>
                              <w:rFonts w:ascii="Arial Narrow" w:hAnsi="Arial Narrow"/>
                              <w:sz w:val="16"/>
                              <w:szCs w:val="16"/>
                            </w:rPr>
                          </w:pPr>
                        </w:p>
                        <w:p w14:paraId="1D62F3BF" w14:textId="77777777" w:rsidR="009E45BA" w:rsidRPr="00DA627F" w:rsidRDefault="009E45BA" w:rsidP="00AC6E1C">
                          <w:pPr>
                            <w:spacing w:after="0" w:line="240" w:lineRule="auto"/>
                            <w:ind w:left="1077" w:right="-113" w:hanging="1077"/>
                            <w:jc w:val="left"/>
                            <w:rPr>
                              <w:rFonts w:ascii="Arial Narrow" w:hAnsi="Arial Narrow"/>
                              <w:sz w:val="16"/>
                              <w:szCs w:val="16"/>
                            </w:rPr>
                          </w:pPr>
                          <w:r w:rsidRPr="00DA627F">
                            <w:rPr>
                              <w:rFonts w:ascii="Arial Narrow" w:hAnsi="Arial Narrow" w:cs="Arial"/>
                              <w:b/>
                              <w:sz w:val="16"/>
                              <w:szCs w:val="16"/>
                            </w:rPr>
                            <w:t>Outcome 2</w:t>
                          </w:r>
                          <w:r w:rsidRPr="00DA627F">
                            <w:rPr>
                              <w:rFonts w:ascii="Arial Narrow" w:hAnsi="Arial Narrow" w:cs="Arial"/>
                              <w:b/>
                              <w:sz w:val="16"/>
                              <w:szCs w:val="16"/>
                            </w:rPr>
                            <w:tab/>
                          </w:r>
                          <w:r w:rsidRPr="00DA627F">
                            <w:rPr>
                              <w:rFonts w:ascii="Arial Narrow" w:hAnsi="Arial Narrow"/>
                              <w:sz w:val="16"/>
                              <w:szCs w:val="16"/>
                            </w:rPr>
                            <w:t>Support an efficient and high-performing public sector through providing leadership to                Commonwealth</w:t>
                          </w:r>
                          <w:r w:rsidRPr="00A8009B">
                            <w:t xml:space="preserve"> </w:t>
                          </w:r>
                          <w:r w:rsidRPr="00DA627F">
                            <w:rPr>
                              <w:rFonts w:ascii="Arial Narrow" w:hAnsi="Arial Narrow"/>
                              <w:sz w:val="16"/>
                              <w:szCs w:val="16"/>
                            </w:rPr>
                            <w:t>entities in ongoing improvements to public sector governance, including through systems, frameworks, policy, advice, and service delivery.</w:t>
                          </w:r>
                        </w:p>
                        <w:p w14:paraId="782DB535" w14:textId="77777777" w:rsidR="009E45BA" w:rsidRPr="00DA627F" w:rsidRDefault="009E45BA" w:rsidP="00AC6E1C">
                          <w:pPr>
                            <w:spacing w:after="0" w:line="240" w:lineRule="auto"/>
                            <w:ind w:left="1077" w:right="-113" w:hanging="1077"/>
                            <w:rPr>
                              <w:rFonts w:ascii="Arial Narrow" w:hAnsi="Arial Narrow"/>
                              <w:sz w:val="16"/>
                              <w:szCs w:val="16"/>
                            </w:rPr>
                          </w:pPr>
                        </w:p>
                        <w:p w14:paraId="0C8DB5C2" w14:textId="77777777" w:rsidR="009E45BA" w:rsidRPr="00DA627F" w:rsidRDefault="009E45BA" w:rsidP="00AC6E1C">
                          <w:pPr>
                            <w:spacing w:after="0" w:line="240" w:lineRule="auto"/>
                            <w:ind w:left="1077" w:hanging="1077"/>
                            <w:jc w:val="left"/>
                            <w:rPr>
                              <w:rFonts w:ascii="Arial Narrow" w:hAnsi="Arial Narrow" w:cs="Arial"/>
                              <w:sz w:val="16"/>
                              <w:szCs w:val="16"/>
                            </w:rPr>
                          </w:pPr>
                          <w:r w:rsidRPr="00DA627F">
                            <w:rPr>
                              <w:rFonts w:ascii="Arial Narrow" w:hAnsi="Arial Narrow" w:cs="Arial"/>
                              <w:b/>
                              <w:sz w:val="16"/>
                              <w:szCs w:val="16"/>
                            </w:rPr>
                            <w:t>Outcome 3</w:t>
                          </w:r>
                          <w:r w:rsidRPr="00DA627F">
                            <w:rPr>
                              <w:rFonts w:ascii="Arial Narrow" w:hAnsi="Arial Narrow" w:cs="Arial"/>
                              <w:b/>
                              <w:sz w:val="16"/>
                              <w:szCs w:val="16"/>
                            </w:rPr>
                            <w:tab/>
                          </w:r>
                          <w:bookmarkEnd w:id="141"/>
                          <w:r w:rsidRPr="00DA627F">
                            <w:rPr>
                              <w:rFonts w:ascii="Arial Narrow" w:hAnsi="Arial Narrow"/>
                              <w:sz w:val="16"/>
                              <w:szCs w:val="16"/>
                            </w:rPr>
                            <w:t xml:space="preserve">Support for </w:t>
                          </w:r>
                          <w:r>
                            <w:rPr>
                              <w:rFonts w:ascii="Arial Narrow" w:hAnsi="Arial Narrow"/>
                              <w:sz w:val="16"/>
                              <w:szCs w:val="16"/>
                            </w:rPr>
                            <w:t>p</w:t>
                          </w:r>
                          <w:r w:rsidRPr="00DA627F">
                            <w:rPr>
                              <w:rFonts w:ascii="Arial Narrow" w:hAnsi="Arial Narrow"/>
                              <w:sz w:val="16"/>
                              <w:szCs w:val="16"/>
                            </w:rPr>
                            <w:t>arliamentarians and others</w:t>
                          </w:r>
                          <w:r w:rsidRPr="00701DFF">
                            <w:t xml:space="preserve"> </w:t>
                          </w:r>
                          <w:r w:rsidRPr="00DA627F">
                            <w:rPr>
                              <w:rFonts w:ascii="Arial Narrow" w:hAnsi="Arial Narrow"/>
                              <w:sz w:val="16"/>
                              <w:szCs w:val="16"/>
                            </w:rPr>
                            <w:t>as required by the Australian Government through the delivery of, and advice on, work</w:t>
                          </w:r>
                          <w:r>
                            <w:t xml:space="preserve"> </w:t>
                          </w:r>
                          <w:r w:rsidRPr="00DA627F">
                            <w:rPr>
                              <w:rFonts w:ascii="Arial Narrow" w:hAnsi="Arial Narrow"/>
                              <w:sz w:val="16"/>
                              <w:szCs w:val="16"/>
                            </w:rPr>
                            <w:t>expenses and allowances, entitlements and targeted programs.</w:t>
                          </w:r>
                        </w:p>
                        <w:p w14:paraId="33827E90" w14:textId="77777777" w:rsidR="009E45BA" w:rsidRPr="00DA627F" w:rsidRDefault="009E45BA" w:rsidP="00AC6E1C">
                          <w:pPr>
                            <w:spacing w:after="0" w:line="240" w:lineRule="auto"/>
                            <w:ind w:left="1077" w:hanging="1077"/>
                            <w:jc w:val="left"/>
                            <w:rPr>
                              <w:rFonts w:ascii="Arial Narrow" w:hAnsi="Arial Narrow" w:cs="Arial"/>
                              <w:sz w:val="16"/>
                              <w:szCs w:val="16"/>
                            </w:rPr>
                          </w:pPr>
                        </w:p>
                      </w:txbxContent>
                    </v:textbox>
                  </v:rect>
                  <v:rect id="Rectangle 243" o:spid="_x0000_s1034" style="position:absolute;left:3898;top:4495;width:558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" filled="f" strokeweight=".25pt">
                    <v:stroke endcap="round"/>
                  </v:rect>
                </v:group>
                <v:group id="Group 244" o:spid="_x0000_s1035" style="position:absolute;left:12084;top:41071;width:40900;height:9709" coordorigin="3898,8634" coordsize="5582,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245" o:spid="_x0000_s1036" style="position:absolute;left:3898;top:8634;width:558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" stroked="f">
                    <v:textbox inset="2.46381mm,1.2319mm,2.46381mm,1.2319mm">
                      <w:txbxContent>
                        <w:p w14:paraId="5A3052B2" w14:textId="77777777" w:rsidR="009E45BA" w:rsidRPr="00DA627F" w:rsidRDefault="009E45BA" w:rsidP="00AC6E1C">
                          <w:pPr>
                            <w:spacing w:after="0" w:line="240" w:lineRule="auto"/>
                            <w:rPr>
                              <w:rFonts w:ascii="Arial Narrow" w:hAnsi="Arial Narrow"/>
                              <w:b/>
                              <w:sz w:val="16"/>
                              <w:szCs w:val="16"/>
                            </w:rPr>
                          </w:pPr>
                          <w:r w:rsidRPr="00DA627F">
                            <w:rPr>
                              <w:rFonts w:ascii="Arial Narrow" w:hAnsi="Arial Narrow"/>
                              <w:b/>
                              <w:sz w:val="16"/>
                              <w:szCs w:val="16"/>
                            </w:rPr>
                            <w:t>Commonwealth Superannuation Corporation</w:t>
                          </w:r>
                        </w:p>
                        <w:p w14:paraId="0AE167A9" w14:textId="77777777" w:rsidR="009E45BA" w:rsidRPr="00196BF4" w:rsidRDefault="009E45BA" w:rsidP="00AC6E1C">
                          <w:pPr>
                            <w:spacing w:after="0" w:line="240" w:lineRule="auto"/>
                            <w:rPr>
                              <w:rFonts w:ascii="Arial Narrow" w:hAnsi="Arial Narrow"/>
                              <w:sz w:val="8"/>
                              <w:szCs w:val="8"/>
                            </w:rPr>
                          </w:pPr>
                        </w:p>
                        <w:p w14:paraId="04526E94" w14:textId="77777777" w:rsidR="009E45BA" w:rsidRPr="00DA627F" w:rsidRDefault="009E45BA" w:rsidP="00AC6E1C">
                          <w:pPr>
                            <w:spacing w:after="0" w:line="240" w:lineRule="auto"/>
                            <w:rPr>
                              <w:rFonts w:ascii="Arial Narrow" w:hAnsi="Arial Narrow"/>
                              <w:b/>
                              <w:sz w:val="16"/>
                              <w:szCs w:val="16"/>
                              <w:vertAlign w:val="superscript"/>
                            </w:rPr>
                          </w:pPr>
                          <w:r w:rsidRPr="00DA627F">
                            <w:rPr>
                              <w:rFonts w:ascii="Arial Narrow" w:hAnsi="Arial Narrow"/>
                              <w:sz w:val="16"/>
                              <w:szCs w:val="16"/>
                            </w:rPr>
                            <w:t>Chair: Patricia Cross</w:t>
                          </w:r>
                        </w:p>
                        <w:p w14:paraId="6968CF5F" w14:textId="77777777" w:rsidR="009E45BA" w:rsidRPr="00DA627F" w:rsidRDefault="009E45BA" w:rsidP="00AC6E1C">
                          <w:pPr>
                            <w:spacing w:after="0" w:line="240" w:lineRule="auto"/>
                            <w:rPr>
                              <w:rFonts w:ascii="Arial Narrow" w:hAnsi="Arial Narrow"/>
                              <w:sz w:val="16"/>
                              <w:szCs w:val="16"/>
                            </w:rPr>
                          </w:pPr>
                        </w:p>
                        <w:p w14:paraId="74E864C6" w14:textId="77777777" w:rsidR="009E45BA" w:rsidRPr="00DA60BC" w:rsidRDefault="009E45BA" w:rsidP="00AC6E1C">
                          <w:pPr>
                            <w:tabs>
                              <w:tab w:val="left" w:pos="1080"/>
                            </w:tabs>
                            <w:spacing w:after="0" w:line="240" w:lineRule="auto"/>
                            <w:ind w:left="1077" w:right="-113" w:hanging="1077"/>
                            <w:jc w:val="left"/>
                            <w:rPr>
                              <w:rFonts w:cs="Arial"/>
                              <w:sz w:val="16"/>
                              <w:szCs w:val="16"/>
                            </w:rPr>
                          </w:pPr>
                          <w:r w:rsidRPr="00DA627F">
                            <w:rPr>
                              <w:rFonts w:ascii="Arial Narrow" w:hAnsi="Arial Narrow" w:cs="Arial"/>
                              <w:b/>
                              <w:sz w:val="16"/>
                              <w:szCs w:val="16"/>
                            </w:rPr>
                            <w:t>Outcome 1</w:t>
                          </w:r>
                          <w:r w:rsidRPr="00DA627F">
                            <w:rPr>
                              <w:rFonts w:ascii="Arial Narrow" w:hAnsi="Arial Narrow" w:cs="Arial"/>
                              <w:b/>
                              <w:sz w:val="16"/>
                              <w:szCs w:val="16"/>
                            </w:rPr>
                            <w:tab/>
                          </w:r>
                          <w:r w:rsidRPr="00DA627F">
                            <w:rPr>
                              <w:rFonts w:ascii="Arial Narrow" w:hAnsi="Arial Narrow" w:cs="Arial"/>
                              <w:sz w:val="16"/>
                              <w:szCs w:val="16"/>
                            </w:rPr>
                            <w:t>Retirement and</w:t>
                          </w:r>
                          <w:r w:rsidRPr="00697D42">
                            <w:rPr>
                              <w:rFonts w:cs="Arial"/>
                            </w:rPr>
                            <w:t xml:space="preserve"> </w:t>
                          </w:r>
                          <w:r w:rsidRPr="00DA627F">
                            <w:rPr>
                              <w:rFonts w:ascii="Arial Narrow" w:hAnsi="Arial Narrow" w:cs="Arial"/>
                              <w:sz w:val="16"/>
                              <w:szCs w:val="16"/>
                            </w:rPr>
                            <w:t>insurance benefits for scheme members and</w:t>
                          </w:r>
                          <w:r w:rsidRPr="00DA627F">
                            <w:rPr>
                              <w:rFonts w:ascii="Arial Narrow" w:hAnsi="Arial Narrow" w:cs="Arial"/>
                              <w:color w:val="000000"/>
                              <w:sz w:val="16"/>
                              <w:szCs w:val="16"/>
                            </w:rPr>
                            <w:t xml:space="preserve"> beneficiaries, including past, present and future employees of the Australian Government and other</w:t>
                          </w:r>
                          <w:r w:rsidRPr="00DA60BC">
                            <w:rPr>
                              <w:rFonts w:ascii="Arial Narrow" w:hAnsi="Arial Narrow" w:cs="Arial"/>
                              <w:color w:val="000000"/>
                              <w:sz w:val="16"/>
                              <w:szCs w:val="16"/>
                            </w:rPr>
                            <w:t xml:space="preserve"> </w:t>
                          </w:r>
                          <w:r w:rsidRPr="00DA627F">
                            <w:rPr>
                              <w:rFonts w:ascii="Arial Narrow" w:hAnsi="Arial Narrow" w:cs="Arial"/>
                              <w:color w:val="000000"/>
                              <w:sz w:val="16"/>
                              <w:szCs w:val="16"/>
                            </w:rPr>
                            <w:t>eligible employers and members of the Australian Defence Force,</w:t>
                          </w:r>
                          <w:r w:rsidRPr="00DA60BC">
                            <w:rPr>
                              <w:rFonts w:ascii="Arial Narrow" w:hAnsi="Arial Narrow" w:cs="Arial"/>
                              <w:color w:val="000000"/>
                              <w:sz w:val="16"/>
                              <w:szCs w:val="16"/>
                            </w:rPr>
                            <w:t xml:space="preserve"> through investment and administration of their superannuation funds and schemes.</w:t>
                          </w:r>
                        </w:p>
                        <w:p w14:paraId="126EE409" w14:textId="77777777" w:rsidR="009E45BA" w:rsidRPr="00DA60BC" w:rsidRDefault="009E45BA" w:rsidP="00AC6E1C">
                          <w:pPr>
                            <w:tabs>
                              <w:tab w:val="left" w:pos="1080"/>
                            </w:tabs>
                            <w:spacing w:after="0" w:line="240" w:lineRule="auto"/>
                            <w:ind w:left="1077" w:right="-113" w:hanging="1077"/>
                            <w:jc w:val="left"/>
                            <w:rPr>
                              <w:rFonts w:cs="Arial"/>
                              <w:sz w:val="16"/>
                              <w:szCs w:val="16"/>
                            </w:rPr>
                          </w:pPr>
                        </w:p>
                      </w:txbxContent>
                    </v:textbox>
                  </v:rect>
                  <v:rect id="Rectangle 246" o:spid="_x0000_s1037" style="position:absolute;left:3898;top:8634;width:558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" filled="f" strokeweight=".25pt">
                    <v:stroke endcap="round"/>
                  </v:rect>
                </v:group>
                <v:rect id="Rectangle 247" o:spid="_x0000_s1038" style="position:absolute;left:28600;top:32054;width:2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C4DA491" w14:textId="77777777" w:rsidR="009E45BA" w:rsidRPr="00F02A3B" w:rsidRDefault="009E45BA" w:rsidP="00AC6E1C">
                        <w:pPr>
                          <w:rPr>
                            <w:sz w:val="19"/>
                          </w:rPr>
                        </w:pPr>
                        <w:r>
                          <w:rPr>
                            <w:rFonts w:cs="Arial Narrow"/>
                            <w:b/>
                            <w:bCs/>
                            <w:color w:val="000000"/>
                            <w:lang w:val="en-US"/>
                          </w:rPr>
                          <w:t xml:space="preserve"> </w:t>
                        </w:r>
                      </w:p>
                    </w:txbxContent>
                  </v:textbox>
                </v:rect>
                <v:rect id="Rectangle 248" o:spid="_x0000_s1039" style="position:absolute;left:26714;top:47529;width:22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5A59D28" w14:textId="77777777" w:rsidR="009E45BA" w:rsidRPr="00F02A3B" w:rsidRDefault="009E45BA" w:rsidP="00AC6E1C">
                        <w:pPr>
                          <w:rPr>
                            <w:sz w:val="19"/>
                          </w:rPr>
                        </w:pPr>
                        <w:r>
                          <w:rPr>
                            <w:rFonts w:cs="Arial Narrow"/>
                            <w:b/>
                            <w:bCs/>
                            <w:color w:val="000000"/>
                            <w:lang w:val="en-US"/>
                          </w:rPr>
                          <w:t xml:space="preserve"> </w:t>
                        </w:r>
                      </w:p>
                    </w:txbxContent>
                  </v:textbox>
                </v:rect>
                <v:rect id="Rectangle 249" o:spid="_x0000_s1040" style="position:absolute;left:18173;top:50520;width:2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5509B88" w14:textId="77777777" w:rsidR="009E45BA" w:rsidRPr="00F02A3B" w:rsidRDefault="009E45BA" w:rsidP="00AC6E1C">
                        <w:pPr>
                          <w:rPr>
                            <w:sz w:val="19"/>
                          </w:rPr>
                        </w:pPr>
                        <w:r>
                          <w:rPr>
                            <w:rFonts w:cs="Arial Narrow"/>
                            <w:color w:val="000000"/>
                            <w:lang w:val="en-US"/>
                          </w:rPr>
                          <w:t xml:space="preserve"> </w:t>
                        </w:r>
                      </w:p>
                    </w:txbxContent>
                  </v:textbox>
                </v:rect>
                <v:rect id="Rectangle 250" o:spid="_x0000_s1041" style="position:absolute;left:13735;top:51644;width:22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E54C324" w14:textId="77777777" w:rsidR="009E45BA" w:rsidRPr="00F02A3B" w:rsidRDefault="009E45BA" w:rsidP="00AC6E1C">
                        <w:pPr>
                          <w:rPr>
                            <w:sz w:val="19"/>
                          </w:rPr>
                        </w:pPr>
                        <w:r>
                          <w:rPr>
                            <w:rFonts w:cs="Arial Narrow"/>
                            <w:color w:val="000000"/>
                            <w:lang w:val="en-US"/>
                          </w:rPr>
                          <w:t xml:space="preserve"> </w:t>
                        </w:r>
                      </w:p>
                    </w:txbxContent>
                  </v:textbox>
                </v:rect>
                <v:rect id="Rectangle 251" o:spid="_x0000_s1042" style="position:absolute;left:31959;top:51238;width:37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6E4D16B" w14:textId="77777777" w:rsidR="009E45BA" w:rsidRPr="00F02A3B" w:rsidRDefault="009E45BA" w:rsidP="00AC6E1C">
                        <w:pPr>
                          <w:rPr>
                            <w:sz w:val="19"/>
                          </w:rPr>
                        </w:pPr>
                        <w:r w:rsidRPr="00F02A3B">
                          <w:rPr>
                            <w:color w:val="000000"/>
                            <w:sz w:val="23"/>
                            <w:lang w:val="en-US"/>
                          </w:rPr>
                          <w:t xml:space="preserve"> </w:t>
                        </w:r>
                      </w:p>
                    </w:txbxContent>
                  </v:textbox>
                </v:rect>
                <v:group id="Group 255" o:spid="_x0000_s1043" style="position:absolute;left:12084;top:51536;width:40887;height:9182" coordorigin="3898,11155" coordsize="5582,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256" o:spid="_x0000_s1044"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" stroked="f">
                    <v:textbox inset="2.46381mm,1.2319mm,2.46381mm,1.2319mm">
                      <w:txbxContent>
                        <w:p w14:paraId="100B65A3" w14:textId="77777777" w:rsidR="009E45BA" w:rsidRPr="00DA627F" w:rsidRDefault="009E45BA" w:rsidP="00AC6E1C">
                          <w:pPr>
                            <w:spacing w:after="0" w:line="240" w:lineRule="auto"/>
                            <w:rPr>
                              <w:rFonts w:ascii="Arial Narrow" w:hAnsi="Arial Narrow"/>
                              <w:b/>
                              <w:sz w:val="16"/>
                              <w:szCs w:val="16"/>
                            </w:rPr>
                          </w:pPr>
                          <w:r w:rsidRPr="00DA627F">
                            <w:rPr>
                              <w:rFonts w:ascii="Arial Narrow" w:hAnsi="Arial Narrow"/>
                              <w:b/>
                              <w:sz w:val="16"/>
                              <w:szCs w:val="16"/>
                            </w:rPr>
                            <w:t>Future Fund Management Agency</w:t>
                          </w:r>
                        </w:p>
                        <w:p w14:paraId="2046CC86" w14:textId="77777777" w:rsidR="009E45BA" w:rsidRPr="00196BF4" w:rsidRDefault="009E45BA" w:rsidP="00AC6E1C">
                          <w:pPr>
                            <w:spacing w:after="0" w:line="240" w:lineRule="auto"/>
                            <w:rPr>
                              <w:rFonts w:ascii="Arial Narrow" w:hAnsi="Arial Narrow"/>
                              <w:sz w:val="8"/>
                              <w:szCs w:val="8"/>
                            </w:rPr>
                          </w:pPr>
                        </w:p>
                        <w:p w14:paraId="5720EDE5" w14:textId="77777777" w:rsidR="009E45BA" w:rsidRPr="00DA627F" w:rsidRDefault="009E45BA" w:rsidP="00AC6E1C">
                          <w:pPr>
                            <w:spacing w:after="0" w:line="240" w:lineRule="auto"/>
                            <w:rPr>
                              <w:rFonts w:ascii="Arial Narrow" w:hAnsi="Arial Narrow"/>
                              <w:sz w:val="16"/>
                              <w:szCs w:val="16"/>
                            </w:rPr>
                          </w:pPr>
                          <w:r>
                            <w:rPr>
                              <w:rFonts w:ascii="Arial Narrow" w:hAnsi="Arial Narrow"/>
                              <w:sz w:val="16"/>
                              <w:szCs w:val="16"/>
                            </w:rPr>
                            <w:t>Chair</w:t>
                          </w:r>
                          <w:r w:rsidRPr="00DA627F">
                            <w:rPr>
                              <w:rFonts w:ascii="Arial Narrow" w:hAnsi="Arial Narrow"/>
                              <w:sz w:val="16"/>
                              <w:szCs w:val="16"/>
                            </w:rPr>
                            <w:t xml:space="preserve">: Hon Peter Costello AC </w:t>
                          </w:r>
                        </w:p>
                        <w:p w14:paraId="25535365" w14:textId="77777777" w:rsidR="009E45BA" w:rsidRPr="00DA627F" w:rsidRDefault="009E45BA" w:rsidP="00AC6E1C">
                          <w:pPr>
                            <w:spacing w:after="0" w:line="240" w:lineRule="auto"/>
                            <w:rPr>
                              <w:rFonts w:ascii="Arial Narrow" w:hAnsi="Arial Narrow"/>
                              <w:sz w:val="16"/>
                              <w:szCs w:val="16"/>
                            </w:rPr>
                          </w:pPr>
                        </w:p>
                        <w:p w14:paraId="08B2FE12" w14:textId="77777777" w:rsidR="009E45BA" w:rsidRPr="00F83AEF" w:rsidRDefault="009E45BA" w:rsidP="00AC6E1C">
                          <w:pPr>
                            <w:tabs>
                              <w:tab w:val="left" w:pos="1080"/>
                            </w:tabs>
                            <w:spacing w:after="0" w:line="240" w:lineRule="auto"/>
                            <w:ind w:left="1077" w:right="-113" w:hanging="1077"/>
                            <w:jc w:val="left"/>
                            <w:rPr>
                              <w:rFonts w:ascii="Arial Narrow" w:hAnsi="Arial Narrow" w:cs="Arial"/>
                              <w:b/>
                              <w:sz w:val="16"/>
                              <w:szCs w:val="16"/>
                            </w:rPr>
                          </w:pPr>
                          <w:r w:rsidRPr="00DA627F">
                            <w:rPr>
                              <w:rFonts w:ascii="Arial Narrow" w:hAnsi="Arial Narrow" w:cs="Arial"/>
                              <w:b/>
                              <w:sz w:val="16"/>
                              <w:szCs w:val="16"/>
                            </w:rPr>
                            <w:t>Outcome 1</w:t>
                          </w:r>
                          <w:r w:rsidRPr="00DA627F">
                            <w:rPr>
                              <w:rFonts w:ascii="Arial Narrow" w:hAnsi="Arial Narrow" w:cs="Arial"/>
                              <w:b/>
                              <w:sz w:val="16"/>
                              <w:szCs w:val="16"/>
                            </w:rPr>
                            <w:tab/>
                          </w:r>
                          <w:r w:rsidRPr="004D741C">
                            <w:rPr>
                              <w:rFonts w:ascii="Arial Narrow" w:hAnsi="Arial Narrow" w:cs="Arial"/>
                              <w:sz w:val="16"/>
                              <w:szCs w:val="16"/>
                            </w:rPr>
                            <w:t>Strengthen the Commonwealth’s financial position for the benefit of the Australian people, by managing the investment activities of the Future Fund and certain other Australian Government investment funds in line with their Investment Mandates</w:t>
                          </w:r>
                          <w:r w:rsidRPr="004D741C">
                            <w:rPr>
                              <w:rFonts w:ascii="Arial Narrow" w:hAnsi="Arial Narrow" w:cs="Arial"/>
                              <w:b/>
                              <w:sz w:val="16"/>
                              <w:szCs w:val="16"/>
                            </w:rPr>
                            <w:t>.</w:t>
                          </w:r>
                        </w:p>
                        <w:p w14:paraId="55C9AABD" w14:textId="77777777" w:rsidR="009E45BA" w:rsidRPr="00E9251F" w:rsidRDefault="009E45BA" w:rsidP="00AC6E1C">
                          <w:pPr>
                            <w:tabs>
                              <w:tab w:val="left" w:pos="1080"/>
                            </w:tabs>
                            <w:spacing w:after="0" w:line="240" w:lineRule="auto"/>
                            <w:ind w:left="1077" w:right="-113" w:hanging="1077"/>
                            <w:jc w:val="left"/>
                            <w:rPr>
                              <w:rFonts w:ascii="Arial Narrow" w:hAnsi="Arial Narrow" w:cs="Arial"/>
                              <w:sz w:val="16"/>
                              <w:szCs w:val="16"/>
                            </w:rPr>
                          </w:pPr>
                        </w:p>
                      </w:txbxContent>
                    </v:textbox>
                  </v:rect>
                  <v:rect id="Rectangle 257" o:spid="_x0000_s1045"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" filled="f" strokeweight=".25pt">
                    <v:stroke endcap="round"/>
                  </v:rect>
                </v:group>
                <v:shapetype id="_x0000_t32" coordsize="21600,21600" o:spt="32" o:oned="t" path="m,l21600,21600e" filled="f">
                  <v:path arrowok="t" fillok="f" o:connecttype="none"/>
                  <o:lock v:ext="edit" shapetype="t"/>
                </v:shapetype>
                <v:shape id="AutoShape 300" o:spid="_x0000_s1046" type="#_x0000_t32" style="position:absolute;left:7505;top:11220;width:286;height:52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">
                  <v:shadow offset="7pt"/>
                </v:shape>
                <v:shape id="AutoShape 308" o:spid="_x0000_s1047" type="#_x0000_t32" style="position:absolute;left:7747;top:43427;width:427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309" o:spid="_x0000_s1048" type="#_x0000_t32" style="position:absolute;left:7791;top:53613;width:424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370" o:spid="_x0000_s1049" type="#_x0000_t32" style="position:absolute;left:7670;top:34328;width:437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rect id="Rectangle 38" o:spid="_x0000_s1050" style="position:absolute;left:12084;top:61855;width:40887;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" strokeweight=".5pt">
                  <v:textbox inset="2.46381mm,1.2319mm,2.46381mm,1.2319mm">
                    <w:txbxContent>
                      <w:p w14:paraId="2D7A87E0" w14:textId="77777777" w:rsidR="009E45BA" w:rsidRDefault="009E45BA" w:rsidP="00AC6E1C">
                        <w:pPr>
                          <w:pStyle w:val="NormalWeb"/>
                          <w:spacing w:before="0" w:beforeAutospacing="0" w:after="0" w:afterAutospacing="0" w:line="260" w:lineRule="exact"/>
                          <w:jc w:val="both"/>
                        </w:pPr>
                        <w:r w:rsidRPr="002B2DFF">
                          <w:rPr>
                            <w:rFonts w:ascii="Arial Narrow" w:hAnsi="Arial Narrow"/>
                            <w:b/>
                            <w:bCs/>
                            <w:sz w:val="16"/>
                            <w:szCs w:val="16"/>
                          </w:rPr>
                          <w:t>Independent Parliamentary Expenses Authority</w:t>
                        </w:r>
                      </w:p>
                      <w:p w14:paraId="50BB643B" w14:textId="77777777" w:rsidR="009E45BA" w:rsidRPr="00B37394" w:rsidRDefault="009E45BA" w:rsidP="00AC6E1C">
                        <w:pPr>
                          <w:pStyle w:val="NormalWeb"/>
                          <w:spacing w:before="0" w:beforeAutospacing="0" w:afterAutospacing="0" w:line="260" w:lineRule="exact"/>
                          <w:jc w:val="both"/>
                          <w:rPr>
                            <w:rFonts w:ascii="Arial Narrow" w:hAnsi="Arial Narrow"/>
                            <w:sz w:val="16"/>
                            <w:szCs w:val="16"/>
                          </w:rPr>
                        </w:pPr>
                        <w:r>
                          <w:rPr>
                            <w:rFonts w:ascii="Arial Narrow" w:hAnsi="Arial Narrow"/>
                            <w:sz w:val="16"/>
                            <w:szCs w:val="16"/>
                          </w:rPr>
                          <w:t xml:space="preserve"> CEO: Annwyn Godwin</w:t>
                        </w:r>
                      </w:p>
                      <w:p w14:paraId="40010CB1" w14:textId="77777777" w:rsidR="009E45BA" w:rsidRPr="002B2DFF" w:rsidRDefault="009E45BA" w:rsidP="00AC6E1C">
                        <w:pPr>
                          <w:pStyle w:val="NormalWeb"/>
                          <w:tabs>
                            <w:tab w:val="left" w:pos="1080"/>
                          </w:tabs>
                          <w:spacing w:before="0" w:beforeAutospacing="0" w:afterAutospacing="0"/>
                          <w:ind w:left="1077" w:right="-113" w:hanging="1077"/>
                        </w:pPr>
                        <w:r>
                          <w:rPr>
                            <w:rFonts w:ascii="Arial Narrow" w:hAnsi="Arial Narrow" w:cs="Arial"/>
                            <w:b/>
                            <w:bCs/>
                            <w:sz w:val="16"/>
                            <w:szCs w:val="16"/>
                          </w:rPr>
                          <w:t>Outcome 1</w:t>
                        </w:r>
                        <w:r>
                          <w:rPr>
                            <w:rFonts w:ascii="Arial Narrow" w:hAnsi="Arial Narrow" w:cs="Arial"/>
                            <w:b/>
                            <w:bCs/>
                            <w:sz w:val="16"/>
                            <w:szCs w:val="16"/>
                          </w:rPr>
                          <w:tab/>
                        </w:r>
                        <w:r w:rsidRPr="002B2DFF">
                          <w:rPr>
                            <w:rFonts w:ascii="Arial Narrow" w:hAnsi="Arial Narrow"/>
                            <w:color w:val="000000"/>
                            <w:sz w:val="16"/>
                            <w:szCs w:val="16"/>
                          </w:rPr>
                          <w:t xml:space="preserve">Support for current and former </w:t>
                        </w:r>
                        <w:r>
                          <w:rPr>
                            <w:rFonts w:ascii="Arial Narrow" w:hAnsi="Arial Narrow"/>
                            <w:color w:val="000000"/>
                            <w:sz w:val="16"/>
                            <w:szCs w:val="16"/>
                          </w:rPr>
                          <w:t>p</w:t>
                        </w:r>
                        <w:r w:rsidRPr="002B2DFF">
                          <w:rPr>
                            <w:rFonts w:ascii="Arial Narrow" w:hAnsi="Arial Narrow"/>
                            <w:color w:val="000000"/>
                            <w:sz w:val="16"/>
                            <w:szCs w:val="16"/>
                          </w:rPr>
                          <w:t>arliamentarians and others as required by the Australian Government through the delivery of, independent oversight and advice on, work resources and travel resources</w:t>
                        </w:r>
                        <w:r>
                          <w:rPr>
                            <w:rFonts w:ascii="Arial Narrow" w:hAnsi="Arial Narrow"/>
                            <w:color w:val="000000"/>
                            <w:sz w:val="16"/>
                            <w:szCs w:val="16"/>
                          </w:rPr>
                          <w:t>.</w:t>
                        </w:r>
                      </w:p>
                      <w:p w14:paraId="0350B34D" w14:textId="77777777" w:rsidR="009E45BA" w:rsidRPr="002B2DFF" w:rsidRDefault="009E45BA" w:rsidP="00AC6E1C">
                        <w:pPr>
                          <w:pStyle w:val="NormalWeb"/>
                          <w:tabs>
                            <w:tab w:val="left" w:pos="1080"/>
                          </w:tabs>
                          <w:spacing w:before="0" w:beforeAutospacing="0" w:afterAutospacing="0"/>
                          <w:ind w:left="1077" w:right="-113" w:hanging="1077"/>
                        </w:pPr>
                      </w:p>
                    </w:txbxContent>
                  </v:textbox>
                </v:rect>
                <v:shape id="AutoShape 309" o:spid="_x0000_s1051" type="#_x0000_t32" style="position:absolute;left:7791;top:64046;width:424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group id="Group 252" o:spid="_x0000_s1052" style="position:absolute;left:12084;top:31896;width:40900;height:8388" coordorigin="3898,6475" coordsize="558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253" o:spid="_x0000_s1053"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" stroked="f">
                    <v:textbox inset="2.46381mm,1.2319mm,2.46381mm,1.2319mm">
                      <w:txbxContent>
                        <w:p w14:paraId="49860A0B" w14:textId="77777777" w:rsidR="009E45BA" w:rsidRPr="00DA627F" w:rsidRDefault="009E45BA" w:rsidP="00AC6E1C">
                          <w:pPr>
                            <w:spacing w:after="0" w:line="240" w:lineRule="auto"/>
                            <w:rPr>
                              <w:rFonts w:ascii="Arial Narrow" w:hAnsi="Arial Narrow" w:cs="Arial"/>
                              <w:b/>
                              <w:sz w:val="16"/>
                              <w:szCs w:val="16"/>
                            </w:rPr>
                          </w:pPr>
                          <w:r w:rsidRPr="00DA627F">
                            <w:rPr>
                              <w:rFonts w:ascii="Arial Narrow" w:hAnsi="Arial Narrow" w:cs="Arial"/>
                              <w:b/>
                              <w:sz w:val="16"/>
                              <w:szCs w:val="16"/>
                            </w:rPr>
                            <w:t>Australian Electoral Commission</w:t>
                          </w:r>
                        </w:p>
                        <w:p w14:paraId="363C2761" w14:textId="77777777" w:rsidR="009E45BA" w:rsidRPr="00196BF4" w:rsidRDefault="009E45BA" w:rsidP="00AC6E1C">
                          <w:pPr>
                            <w:spacing w:after="0" w:line="240" w:lineRule="auto"/>
                            <w:rPr>
                              <w:rFonts w:ascii="Arial Narrow" w:hAnsi="Arial Narrow" w:cs="Arial"/>
                              <w:b/>
                              <w:sz w:val="8"/>
                              <w:szCs w:val="8"/>
                            </w:rPr>
                          </w:pPr>
                        </w:p>
                        <w:p w14:paraId="3CBF96D8" w14:textId="77777777" w:rsidR="009E45BA" w:rsidRPr="00DA627F" w:rsidRDefault="009E45BA" w:rsidP="00AC6E1C">
                          <w:pPr>
                            <w:spacing w:after="0" w:line="240" w:lineRule="auto"/>
                            <w:rPr>
                              <w:rFonts w:ascii="Arial Narrow" w:hAnsi="Arial Narrow" w:cs="Arial"/>
                              <w:sz w:val="16"/>
                              <w:szCs w:val="16"/>
                            </w:rPr>
                          </w:pPr>
                          <w:r w:rsidRPr="00DA627F">
                            <w:rPr>
                              <w:rFonts w:ascii="Arial Narrow" w:hAnsi="Arial Narrow" w:cs="Arial"/>
                              <w:sz w:val="16"/>
                              <w:szCs w:val="16"/>
                            </w:rPr>
                            <w:t xml:space="preserve">Electoral Commissioner: Tom Rogers </w:t>
                          </w:r>
                        </w:p>
                        <w:p w14:paraId="1D0AB7CF" w14:textId="77777777" w:rsidR="009E45BA" w:rsidRPr="00DA627F" w:rsidRDefault="009E45BA" w:rsidP="00AC6E1C">
                          <w:pPr>
                            <w:spacing w:after="0" w:line="240" w:lineRule="auto"/>
                            <w:rPr>
                              <w:rFonts w:ascii="Arial Narrow" w:hAnsi="Arial Narrow" w:cs="Arial"/>
                              <w:b/>
                              <w:sz w:val="16"/>
                              <w:szCs w:val="16"/>
                            </w:rPr>
                          </w:pPr>
                        </w:p>
                        <w:p w14:paraId="3F3A43C9" w14:textId="77777777" w:rsidR="009E45BA" w:rsidRPr="007879CC" w:rsidRDefault="009E45BA" w:rsidP="00AC6E1C">
                          <w:pPr>
                            <w:tabs>
                              <w:tab w:val="left" w:pos="1080"/>
                            </w:tabs>
                            <w:spacing w:after="0" w:line="240" w:lineRule="auto"/>
                            <w:ind w:left="1077" w:right="-113" w:hanging="1077"/>
                            <w:jc w:val="left"/>
                            <w:rPr>
                              <w:rFonts w:cs="Arial"/>
                            </w:rPr>
                          </w:pPr>
                          <w:r w:rsidRPr="00DA627F">
                            <w:rPr>
                              <w:rFonts w:ascii="Arial Narrow" w:hAnsi="Arial Narrow" w:cs="Arial"/>
                              <w:b/>
                              <w:sz w:val="16"/>
                              <w:szCs w:val="16"/>
                            </w:rPr>
                            <w:t>Outcome 1</w:t>
                          </w:r>
                          <w:r w:rsidRPr="00DA627F">
                            <w:rPr>
                              <w:rFonts w:ascii="Arial Narrow" w:hAnsi="Arial Narrow" w:cs="Arial"/>
                              <w:b/>
                              <w:sz w:val="16"/>
                              <w:szCs w:val="16"/>
                            </w:rPr>
                            <w:tab/>
                          </w:r>
                          <w:r w:rsidRPr="00DA627F">
                            <w:rPr>
                              <w:rFonts w:ascii="Arial Narrow" w:hAnsi="Arial Narrow" w:cs="Arial"/>
                              <w:sz w:val="16"/>
                              <w:szCs w:val="16"/>
                            </w:rPr>
                            <w:t>Maintain an impartial and independent electoral system for eligible voters through active electoral roll management, efficient delivery of polling services, and targeted education and public awareness programs.</w:t>
                          </w:r>
                        </w:p>
                        <w:p w14:paraId="394749B7" w14:textId="77777777" w:rsidR="009E45BA" w:rsidRPr="005E188F" w:rsidRDefault="009E45BA" w:rsidP="00AC6E1C">
                          <w:pPr>
                            <w:tabs>
                              <w:tab w:val="left" w:pos="1080"/>
                            </w:tabs>
                            <w:spacing w:after="0" w:line="240" w:lineRule="auto"/>
                            <w:ind w:left="1077" w:right="-113" w:hanging="1077"/>
                            <w:jc w:val="left"/>
                            <w:rPr>
                              <w:rFonts w:ascii="Arial Narrow" w:hAnsi="Arial Narrow" w:cs="Arial"/>
                              <w:sz w:val="16"/>
                              <w:szCs w:val="16"/>
                            </w:rPr>
                          </w:pPr>
                        </w:p>
                      </w:txbxContent>
                    </v:textbox>
                  </v:rect>
                  <v:rect id="Rectangle 254" o:spid="_x0000_s1054"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" filled="f" strokeweight=".25pt">
                    <v:stroke endcap="round"/>
                  </v:rect>
                </v:group>
                <v:shape id="AutoShape 370" o:spid="_x0000_s1055" type="#_x0000_t32" style="position:absolute;left:7505;top:20116;width:457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w:pict>
          </mc:Fallback>
        </mc:AlternateContent>
      </w:r>
    </w:p>
    <w:p w14:paraId="02061A83" w14:textId="77777777" w:rsidR="00AC6E1C" w:rsidRPr="00321EC0" w:rsidRDefault="00AC6E1C" w:rsidP="00AC6E1C">
      <w:pPr>
        <w:pStyle w:val="SingleParagraph"/>
        <w:spacing w:line="240" w:lineRule="auto"/>
      </w:pPr>
    </w:p>
    <w:p w14:paraId="3F33C1AC" w14:textId="77777777" w:rsidR="00AC6E1C" w:rsidRPr="00321EC0" w:rsidRDefault="00AC6E1C" w:rsidP="00AC6E1C">
      <w:pPr>
        <w:pStyle w:val="Heading2"/>
      </w:pPr>
    </w:p>
    <w:p w14:paraId="3F99B229" w14:textId="77777777" w:rsidR="00AC6E1C" w:rsidRPr="00321EC0" w:rsidRDefault="00AC6E1C" w:rsidP="00AC6E1C">
      <w:pPr>
        <w:pStyle w:val="FigureHeading"/>
      </w:pPr>
    </w:p>
    <w:p w14:paraId="0654B51A" w14:textId="77777777" w:rsidR="00AC6E1C" w:rsidRPr="00321EC0" w:rsidRDefault="00AC6E1C" w:rsidP="00AC6E1C">
      <w:pPr>
        <w:pStyle w:val="ListParagraph"/>
        <w:spacing w:after="0" w:line="240" w:lineRule="auto"/>
        <w:ind w:left="0"/>
      </w:pPr>
    </w:p>
    <w:p w14:paraId="7AB450A0" w14:textId="77777777" w:rsidR="00AC6E1C" w:rsidRPr="00321EC0" w:rsidRDefault="00AC6E1C" w:rsidP="00AC6E1C">
      <w:pPr>
        <w:pStyle w:val="ListParagraph"/>
        <w:spacing w:after="0" w:line="240" w:lineRule="auto"/>
        <w:ind w:left="0"/>
      </w:pPr>
    </w:p>
    <w:p w14:paraId="72861471" w14:textId="77777777" w:rsidR="00AC6E1C" w:rsidRPr="00321EC0" w:rsidRDefault="00AC6E1C" w:rsidP="00AC6E1C">
      <w:pPr>
        <w:pStyle w:val="ListParagraph"/>
        <w:spacing w:after="0" w:line="240" w:lineRule="auto"/>
        <w:ind w:left="0"/>
      </w:pPr>
    </w:p>
    <w:p w14:paraId="1CCB18E1" w14:textId="77777777" w:rsidR="00AC6E1C" w:rsidRPr="00321EC0" w:rsidRDefault="00AC6E1C" w:rsidP="00AC6E1C">
      <w:pPr>
        <w:pStyle w:val="ListParagraph"/>
        <w:spacing w:after="0" w:line="240" w:lineRule="auto"/>
        <w:ind w:left="0"/>
      </w:pPr>
    </w:p>
    <w:p w14:paraId="368643E2" w14:textId="77777777" w:rsidR="00AC6E1C" w:rsidRPr="00321EC0" w:rsidRDefault="00AC6E1C" w:rsidP="00AC6E1C">
      <w:pPr>
        <w:pStyle w:val="ListParagraph"/>
        <w:spacing w:after="0" w:line="240" w:lineRule="auto"/>
        <w:ind w:left="0"/>
      </w:pPr>
    </w:p>
    <w:p w14:paraId="57E70E44" w14:textId="77777777" w:rsidR="00AC6E1C" w:rsidRPr="00321EC0" w:rsidRDefault="00AC6E1C" w:rsidP="00AC6E1C">
      <w:pPr>
        <w:pStyle w:val="ListParagraph"/>
        <w:spacing w:after="0" w:line="240" w:lineRule="auto"/>
        <w:ind w:left="0"/>
      </w:pPr>
    </w:p>
    <w:p w14:paraId="561B2663" w14:textId="77777777" w:rsidR="00AC6E1C" w:rsidRPr="00321EC0" w:rsidRDefault="00AC6E1C" w:rsidP="00AC6E1C">
      <w:pPr>
        <w:pStyle w:val="ListParagraph"/>
        <w:spacing w:after="0" w:line="240" w:lineRule="auto"/>
        <w:ind w:left="0"/>
      </w:pPr>
    </w:p>
    <w:p w14:paraId="6A9C7C14" w14:textId="77777777" w:rsidR="00AC6E1C" w:rsidRPr="00321EC0" w:rsidRDefault="00AC6E1C" w:rsidP="00AC6E1C">
      <w:pPr>
        <w:pStyle w:val="ListParagraph"/>
        <w:spacing w:after="0" w:line="240" w:lineRule="auto"/>
        <w:ind w:left="0"/>
      </w:pPr>
    </w:p>
    <w:p w14:paraId="1050FC7C" w14:textId="77777777" w:rsidR="00AC6E1C" w:rsidRPr="00321EC0" w:rsidRDefault="00AC6E1C" w:rsidP="00AC6E1C">
      <w:pPr>
        <w:pStyle w:val="ListParagraph"/>
        <w:spacing w:after="0" w:line="240" w:lineRule="auto"/>
        <w:ind w:left="0"/>
      </w:pPr>
    </w:p>
    <w:p w14:paraId="0DF2E622" w14:textId="77777777" w:rsidR="00AC6E1C" w:rsidRPr="00321EC0" w:rsidRDefault="00AC6E1C" w:rsidP="00AC6E1C">
      <w:pPr>
        <w:pStyle w:val="ListParagraph"/>
        <w:spacing w:after="0" w:line="240" w:lineRule="auto"/>
        <w:ind w:left="0"/>
      </w:pPr>
    </w:p>
    <w:p w14:paraId="3A736BF6" w14:textId="77777777" w:rsidR="00AC6E1C" w:rsidRPr="00321EC0" w:rsidRDefault="00AC6E1C" w:rsidP="00AC6E1C">
      <w:pPr>
        <w:pStyle w:val="ListParagraph"/>
        <w:spacing w:after="0" w:line="240" w:lineRule="auto"/>
        <w:ind w:left="0"/>
      </w:pPr>
    </w:p>
    <w:p w14:paraId="79018C63" w14:textId="77777777" w:rsidR="00AC6E1C" w:rsidRPr="00321EC0" w:rsidRDefault="00AC6E1C" w:rsidP="00AC6E1C">
      <w:pPr>
        <w:pStyle w:val="ListParagraph"/>
        <w:spacing w:after="0" w:line="240" w:lineRule="auto"/>
        <w:ind w:left="0"/>
      </w:pPr>
    </w:p>
    <w:p w14:paraId="4B73B1DE" w14:textId="77777777" w:rsidR="00AC6E1C" w:rsidRPr="00321EC0" w:rsidRDefault="00AC6E1C" w:rsidP="00AC6E1C">
      <w:pPr>
        <w:pStyle w:val="ListParagraph"/>
        <w:spacing w:after="0" w:line="240" w:lineRule="auto"/>
        <w:ind w:left="0"/>
      </w:pPr>
    </w:p>
    <w:p w14:paraId="307B6DE3" w14:textId="77777777" w:rsidR="00AC6E1C" w:rsidRPr="00321EC0" w:rsidRDefault="00AC6E1C" w:rsidP="00AC6E1C">
      <w:pPr>
        <w:pStyle w:val="ListParagraph"/>
        <w:spacing w:after="0" w:line="240" w:lineRule="auto"/>
        <w:ind w:left="0"/>
      </w:pPr>
    </w:p>
    <w:p w14:paraId="0A3367F2" w14:textId="77777777" w:rsidR="00AC6E1C" w:rsidRPr="00321EC0" w:rsidRDefault="00AC6E1C" w:rsidP="00AC6E1C">
      <w:pPr>
        <w:pStyle w:val="ListParagraph"/>
        <w:spacing w:after="0" w:line="240" w:lineRule="auto"/>
        <w:ind w:left="0"/>
      </w:pPr>
    </w:p>
    <w:p w14:paraId="71277784" w14:textId="77777777" w:rsidR="00AC6E1C" w:rsidRPr="00321EC0" w:rsidRDefault="00AC6E1C" w:rsidP="00AC6E1C">
      <w:pPr>
        <w:pStyle w:val="ListParagraph"/>
        <w:spacing w:after="0" w:line="240" w:lineRule="auto"/>
        <w:ind w:left="0"/>
      </w:pPr>
    </w:p>
    <w:p w14:paraId="12210388" w14:textId="77777777" w:rsidR="00AC6E1C" w:rsidRPr="00321EC0" w:rsidRDefault="00AC6E1C" w:rsidP="00AC6E1C">
      <w:pPr>
        <w:pStyle w:val="ListParagraph"/>
        <w:spacing w:after="0" w:line="240" w:lineRule="auto"/>
        <w:ind w:left="0"/>
      </w:pPr>
    </w:p>
    <w:p w14:paraId="1791468F" w14:textId="77777777" w:rsidR="00AC6E1C" w:rsidRPr="00321EC0" w:rsidRDefault="00AC6E1C" w:rsidP="00AC6E1C">
      <w:pPr>
        <w:pStyle w:val="ListParagraph"/>
        <w:spacing w:after="0" w:line="240" w:lineRule="auto"/>
        <w:ind w:left="0"/>
      </w:pPr>
    </w:p>
    <w:p w14:paraId="3B4CA0BC" w14:textId="77777777" w:rsidR="00AC6E1C" w:rsidRPr="00321EC0" w:rsidRDefault="00AC6E1C" w:rsidP="00AC6E1C">
      <w:pPr>
        <w:pStyle w:val="ListParagraph"/>
        <w:spacing w:after="0" w:line="240" w:lineRule="auto"/>
        <w:ind w:left="0"/>
      </w:pPr>
    </w:p>
    <w:p w14:paraId="05BF1C66" w14:textId="77777777" w:rsidR="00AC6E1C" w:rsidRPr="00321EC0" w:rsidRDefault="00AC6E1C" w:rsidP="00AC6E1C">
      <w:pPr>
        <w:pStyle w:val="ListParagraph"/>
        <w:spacing w:after="0" w:line="240" w:lineRule="auto"/>
        <w:ind w:left="0"/>
      </w:pPr>
    </w:p>
    <w:p w14:paraId="0FB12F34" w14:textId="77777777" w:rsidR="00AC6E1C" w:rsidRPr="00321EC0" w:rsidRDefault="00AC6E1C" w:rsidP="00AC6E1C">
      <w:pPr>
        <w:pStyle w:val="ListParagraph"/>
        <w:spacing w:after="0" w:line="240" w:lineRule="auto"/>
        <w:ind w:left="0"/>
      </w:pPr>
    </w:p>
    <w:p w14:paraId="1B6C8F92" w14:textId="77777777" w:rsidR="00AC6E1C" w:rsidRPr="00321EC0" w:rsidRDefault="00AC6E1C" w:rsidP="00AC6E1C">
      <w:pPr>
        <w:pStyle w:val="ListParagraph"/>
        <w:spacing w:after="0" w:line="240" w:lineRule="auto"/>
        <w:ind w:left="0"/>
      </w:pPr>
    </w:p>
    <w:p w14:paraId="2ECC97ED" w14:textId="77777777" w:rsidR="00AC6E1C" w:rsidRPr="00321EC0" w:rsidRDefault="00AC6E1C" w:rsidP="00AC6E1C">
      <w:pPr>
        <w:pStyle w:val="ListParagraph"/>
        <w:spacing w:after="0" w:line="240" w:lineRule="auto"/>
        <w:ind w:left="0"/>
      </w:pPr>
    </w:p>
    <w:p w14:paraId="79ED284D" w14:textId="77777777" w:rsidR="00AC6E1C" w:rsidRPr="00321EC0" w:rsidRDefault="00AC6E1C" w:rsidP="00AC6E1C">
      <w:pPr>
        <w:pStyle w:val="ListParagraph"/>
        <w:spacing w:after="0" w:line="240" w:lineRule="auto"/>
        <w:ind w:left="0"/>
      </w:pPr>
    </w:p>
    <w:p w14:paraId="1A2FFD93" w14:textId="77777777" w:rsidR="00AC6E1C" w:rsidRPr="00321EC0" w:rsidRDefault="00AC6E1C" w:rsidP="00AC6E1C">
      <w:pPr>
        <w:pStyle w:val="ListParagraph"/>
        <w:spacing w:after="0" w:line="240" w:lineRule="auto"/>
        <w:ind w:left="0"/>
      </w:pPr>
    </w:p>
    <w:p w14:paraId="3E1F9D96" w14:textId="77777777" w:rsidR="00AC6E1C" w:rsidRPr="00321EC0" w:rsidRDefault="00AC6E1C" w:rsidP="00AC6E1C">
      <w:pPr>
        <w:pStyle w:val="ListParagraph"/>
        <w:spacing w:after="0" w:line="240" w:lineRule="auto"/>
        <w:ind w:left="0"/>
      </w:pPr>
    </w:p>
    <w:p w14:paraId="5DED4B46" w14:textId="77777777" w:rsidR="00AC6E1C" w:rsidRPr="00321EC0" w:rsidRDefault="00AC6E1C" w:rsidP="00AC6E1C">
      <w:pPr>
        <w:pStyle w:val="ListParagraph"/>
        <w:spacing w:after="0" w:line="240" w:lineRule="auto"/>
        <w:ind w:left="0"/>
      </w:pPr>
    </w:p>
    <w:p w14:paraId="736D96B7" w14:textId="77777777" w:rsidR="00AC6E1C" w:rsidRPr="00321EC0" w:rsidRDefault="00AC6E1C" w:rsidP="00AC6E1C">
      <w:pPr>
        <w:pStyle w:val="ListParagraph"/>
        <w:spacing w:after="0" w:line="240" w:lineRule="auto"/>
        <w:ind w:left="0"/>
      </w:pPr>
    </w:p>
    <w:p w14:paraId="4E3BE5F6" w14:textId="77777777" w:rsidR="00AC6E1C" w:rsidRPr="00321EC0" w:rsidRDefault="00AC6E1C" w:rsidP="00AC6E1C">
      <w:pPr>
        <w:pStyle w:val="ListParagraph"/>
        <w:spacing w:after="0" w:line="240" w:lineRule="auto"/>
        <w:ind w:left="0"/>
      </w:pPr>
    </w:p>
    <w:p w14:paraId="6AF1F564" w14:textId="77777777" w:rsidR="00A75442" w:rsidRPr="00321EC0" w:rsidRDefault="00A75442" w:rsidP="00AC6E1C">
      <w:pPr>
        <w:pStyle w:val="ListParagraph"/>
        <w:spacing w:after="0" w:line="240" w:lineRule="auto"/>
        <w:ind w:left="0"/>
      </w:pPr>
    </w:p>
    <w:p w14:paraId="5F5FF42A" w14:textId="77777777" w:rsidR="00A75442" w:rsidRPr="00321EC0" w:rsidRDefault="00A75442" w:rsidP="00AC6E1C">
      <w:pPr>
        <w:pStyle w:val="ListParagraph"/>
        <w:spacing w:after="0" w:line="240" w:lineRule="auto"/>
        <w:ind w:left="0"/>
      </w:pPr>
    </w:p>
    <w:p w14:paraId="7F26CC64" w14:textId="77777777" w:rsidR="00A75442" w:rsidRPr="00321EC0" w:rsidRDefault="00A75442" w:rsidP="00AC6E1C">
      <w:pPr>
        <w:pStyle w:val="ListParagraph"/>
        <w:spacing w:after="0" w:line="240" w:lineRule="auto"/>
        <w:ind w:left="0"/>
      </w:pPr>
    </w:p>
    <w:p w14:paraId="0E7C1011" w14:textId="77777777" w:rsidR="00A75442" w:rsidRPr="00321EC0" w:rsidRDefault="00A75442" w:rsidP="00AC6E1C">
      <w:pPr>
        <w:pStyle w:val="ListParagraph"/>
        <w:spacing w:after="0" w:line="240" w:lineRule="auto"/>
        <w:ind w:left="0"/>
      </w:pPr>
    </w:p>
    <w:p w14:paraId="488119D7" w14:textId="77777777" w:rsidR="00AC6E1C" w:rsidRPr="00321EC0" w:rsidRDefault="00AC6E1C" w:rsidP="00AC6E1C">
      <w:pPr>
        <w:pStyle w:val="ContentsHeading"/>
      </w:pPr>
      <w:r w:rsidRPr="00321EC0">
        <w:rPr>
          <w:noProof/>
        </w:rPr>
        <mc:AlternateContent>
          <mc:Choice Requires="wpg">
            <w:drawing>
              <wp:anchor distT="0" distB="0" distL="114300" distR="114300" simplePos="0" relativeHeight="251659264" behindDoc="0" locked="0" layoutInCell="1" allowOverlap="1" wp14:anchorId="3F76C41D" wp14:editId="4A4E5404">
                <wp:simplePos x="0" y="0"/>
                <wp:positionH relativeFrom="column">
                  <wp:posOffset>708660</wp:posOffset>
                </wp:positionH>
                <wp:positionV relativeFrom="paragraph">
                  <wp:posOffset>-22860</wp:posOffset>
                </wp:positionV>
                <wp:extent cx="4118610" cy="1487170"/>
                <wp:effectExtent l="2540" t="9525" r="12700" b="825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8610" cy="1487170"/>
                          <a:chOff x="3850" y="4495"/>
                          <a:chExt cx="5630" cy="1800"/>
                        </a:xfrm>
                      </wpg:grpSpPr>
                      <wps:wsp>
                        <wps:cNvPr id="30" name="Rectangle 242"/>
                        <wps:cNvSpPr>
                          <a:spLocks noChangeArrowheads="1"/>
                        </wps:cNvSpPr>
                        <wps:spPr bwMode="auto">
                          <a:xfrm>
                            <a:off x="3850" y="4525"/>
                            <a:ext cx="5630" cy="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DC194" w14:textId="77777777" w:rsidR="009E45BA" w:rsidRPr="00335CAF" w:rsidRDefault="009E45BA" w:rsidP="00AC6E1C">
                              <w:pPr>
                                <w:pStyle w:val="SingleParagraph"/>
                                <w:tabs>
                                  <w:tab w:val="left" w:pos="1080"/>
                                </w:tabs>
                                <w:ind w:left="1077" w:right="-113" w:hanging="1077"/>
                                <w:rPr>
                                  <w:rFonts w:ascii="Arial Narrow" w:hAnsi="Arial Narrow"/>
                                  <w:b/>
                                  <w:color w:val="000000"/>
                                  <w:sz w:val="16"/>
                                  <w:szCs w:val="16"/>
                                </w:rPr>
                              </w:pPr>
                              <w:r w:rsidRPr="00335CAF">
                                <w:rPr>
                                  <w:rFonts w:ascii="Arial Narrow" w:hAnsi="Arial Narrow"/>
                                  <w:b/>
                                  <w:color w:val="000000"/>
                                  <w:sz w:val="16"/>
                                  <w:szCs w:val="16"/>
                                </w:rPr>
                                <w:t>ASC Pty Ltd</w:t>
                              </w:r>
                            </w:p>
                            <w:p w14:paraId="3ED7FA58" w14:textId="77777777" w:rsidR="009E45BA" w:rsidRDefault="009E45BA" w:rsidP="00AC6E1C">
                              <w:pPr>
                                <w:spacing w:before="80" w:after="80"/>
                                <w:rPr>
                                  <w:rFonts w:ascii="Arial Narrow" w:hAnsi="Arial Narrow" w:cs="Arial"/>
                                  <w:position w:val="4"/>
                                  <w:sz w:val="16"/>
                                  <w:szCs w:val="16"/>
                                </w:rPr>
                              </w:pPr>
                              <w:r w:rsidRPr="00AE7049">
                                <w:rPr>
                                  <w:rFonts w:ascii="Arial Narrow" w:hAnsi="Arial Narrow" w:cs="Arial"/>
                                  <w:position w:val="4"/>
                                  <w:sz w:val="16"/>
                                  <w:szCs w:val="16"/>
                                </w:rPr>
                                <w:t>Chair: Bruce Carter</w:t>
                              </w:r>
                            </w:p>
                            <w:p w14:paraId="7EABE8EB" w14:textId="77777777" w:rsidR="009E45BA" w:rsidRPr="006B319C" w:rsidRDefault="009E45BA" w:rsidP="00AC6E1C">
                              <w:pPr>
                                <w:spacing w:before="80" w:after="80"/>
                                <w:rPr>
                                  <w:rFonts w:ascii="Arial Narrow" w:hAnsi="Arial Narrow"/>
                                  <w:position w:val="4"/>
                                  <w:sz w:val="16"/>
                                  <w:szCs w:val="16"/>
                                </w:rPr>
                              </w:pPr>
                              <w:r w:rsidRPr="006B319C">
                                <w:rPr>
                                  <w:rFonts w:ascii="Arial Narrow" w:hAnsi="Arial Narrow"/>
                                  <w:position w:val="4"/>
                                  <w:sz w:val="16"/>
                                  <w:szCs w:val="16"/>
                                </w:rPr>
                                <w:t>Directors:  Dr Rosalind Dubs, Joycelyn Morton, Loretta Reynolds, Paul Rizzo,</w:t>
                              </w:r>
                              <w:r>
                                <w:rPr>
                                  <w:rFonts w:ascii="Arial Narrow" w:hAnsi="Arial Narrow"/>
                                  <w:position w:val="4"/>
                                  <w:sz w:val="16"/>
                                  <w:szCs w:val="16"/>
                                </w:rPr>
                                <w:t xml:space="preserve"> </w:t>
                              </w:r>
                              <w:r w:rsidRPr="006B319C">
                                <w:rPr>
                                  <w:rFonts w:ascii="Arial Narrow" w:hAnsi="Arial Narrow"/>
                                  <w:position w:val="4"/>
                                  <w:sz w:val="16"/>
                                  <w:szCs w:val="16"/>
                                </w:rPr>
                                <w:t>Geoff Rohrsheim and Stuart Whiley</w:t>
                              </w:r>
                            </w:p>
                            <w:p w14:paraId="24136F3E" w14:textId="77777777" w:rsidR="009E45BA" w:rsidRPr="009B1B37" w:rsidRDefault="009E45BA" w:rsidP="00AC6E1C">
                              <w:pPr>
                                <w:pStyle w:val="SingleParagraph"/>
                                <w:tabs>
                                  <w:tab w:val="left" w:pos="1080"/>
                                </w:tabs>
                                <w:ind w:left="1077" w:right="-113" w:hanging="1077"/>
                                <w:rPr>
                                  <w:rFonts w:ascii="Arial Narrow" w:hAnsi="Arial Narrow"/>
                                  <w:color w:val="000000"/>
                                  <w:sz w:val="16"/>
                                  <w:szCs w:val="16"/>
                                </w:rPr>
                              </w:pPr>
                              <w:r w:rsidRPr="009B1B37">
                                <w:rPr>
                                  <w:rFonts w:ascii="Arial Narrow" w:hAnsi="Arial Narrow"/>
                                  <w:b/>
                                  <w:color w:val="000000"/>
                                  <w:sz w:val="16"/>
                                  <w:szCs w:val="16"/>
                                </w:rPr>
                                <w:t>Purpose:</w:t>
                              </w:r>
                              <w:r w:rsidRPr="009B1B37">
                                <w:rPr>
                                  <w:rFonts w:ascii="Arial Narrow" w:hAnsi="Arial Narrow"/>
                                  <w:color w:val="000000"/>
                                  <w:sz w:val="16"/>
                                  <w:szCs w:val="16"/>
                                </w:rPr>
                                <w:t xml:space="preserve"> The objectives of the company, as set out in its constitution, are:</w:t>
                              </w:r>
                            </w:p>
                            <w:p w14:paraId="189F5858" w14:textId="77777777" w:rsidR="009E45BA" w:rsidRPr="009B1B37" w:rsidRDefault="009E45BA" w:rsidP="00AC6E1C">
                              <w:pPr>
                                <w:pStyle w:val="ChartandTableFootnoteAlphaSmall"/>
                                <w:rPr>
                                  <w:rFonts w:ascii="Arial Narrow" w:hAnsi="Arial Narrow"/>
                                  <w:sz w:val="16"/>
                                  <w:szCs w:val="16"/>
                                </w:rPr>
                              </w:pPr>
                              <w:r w:rsidRPr="009B1B37">
                                <w:rPr>
                                  <w:rFonts w:ascii="Arial Narrow" w:hAnsi="Arial Narrow"/>
                                  <w:sz w:val="16"/>
                                  <w:szCs w:val="16"/>
                                </w:rPr>
                                <w:t xml:space="preserve">to enhance and maintain the Australian Defence Force’s maritime defence capabilities; and </w:t>
                              </w:r>
                            </w:p>
                            <w:p w14:paraId="340CF200" w14:textId="77777777" w:rsidR="009E45BA" w:rsidRDefault="009E45BA" w:rsidP="00AC6E1C">
                              <w:pPr>
                                <w:pStyle w:val="ChartandTableFootnoteAlphaSmall"/>
                                <w:rPr>
                                  <w:rFonts w:ascii="Arial Narrow" w:hAnsi="Arial Narrow"/>
                                  <w:sz w:val="16"/>
                                  <w:szCs w:val="16"/>
                                </w:rPr>
                              </w:pPr>
                              <w:r w:rsidRPr="009B1B37">
                                <w:rPr>
                                  <w:rFonts w:ascii="Arial Narrow" w:hAnsi="Arial Narrow"/>
                                  <w:sz w:val="16"/>
                                  <w:szCs w:val="16"/>
                                </w:rPr>
                                <w:t>support Australian Government policies in relation to the Australian naval surface shipbuilding and repair industry and the submarine sustainment and construction industry.</w:t>
                              </w:r>
                            </w:p>
                            <w:p w14:paraId="6FACAF28" w14:textId="77777777" w:rsidR="009E45BA" w:rsidRDefault="009E45BA" w:rsidP="00AC6E1C">
                              <w:pPr>
                                <w:pStyle w:val="ChartandTableFootnoteAlphaSmall"/>
                                <w:rPr>
                                  <w:rFonts w:ascii="Arial Narrow" w:hAnsi="Arial Narrow"/>
                                  <w:sz w:val="16"/>
                                  <w:szCs w:val="16"/>
                                </w:rPr>
                              </w:pPr>
                            </w:p>
                          </w:txbxContent>
                        </wps:txbx>
                        <wps:bodyPr rot="0" vert="horz" wrap="square" lIns="88697" tIns="44348" rIns="88697" bIns="44348" anchor="t" anchorCtr="0" upright="1">
                          <a:noAutofit/>
                        </wps:bodyPr>
                      </wps:wsp>
                      <wps:wsp>
                        <wps:cNvPr id="31" name="Rectangle 243"/>
                        <wps:cNvSpPr>
                          <a:spLocks noChangeArrowheads="1"/>
                        </wps:cNvSpPr>
                        <wps:spPr bwMode="auto">
                          <a:xfrm>
                            <a:off x="3898" y="4495"/>
                            <a:ext cx="5582" cy="180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6C41D" id="Group 28" o:spid="_x0000_s1056" style="position:absolute;left:0;text-align:left;margin-left:55.8pt;margin-top:-1.8pt;width:324.3pt;height:117.1pt;z-index:251659264" coordorigin="3850,4495" coordsize="563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">
                <v:rect id="Rectangle 242" o:spid="_x0000_s1057" style="position:absolute;left:3850;top:4525;width:563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" stroked="f">
                  <v:textbox inset="2.46381mm,1.2319mm,2.46381mm,1.2319mm">
                    <w:txbxContent>
                      <w:p w14:paraId="035DC194" w14:textId="77777777" w:rsidR="009E45BA" w:rsidRPr="00335CAF" w:rsidRDefault="009E45BA" w:rsidP="00AC6E1C">
                        <w:pPr>
                          <w:pStyle w:val="SingleParagraph"/>
                          <w:tabs>
                            <w:tab w:val="left" w:pos="1080"/>
                          </w:tabs>
                          <w:ind w:left="1077" w:right="-113" w:hanging="1077"/>
                          <w:rPr>
                            <w:rFonts w:ascii="Arial Narrow" w:hAnsi="Arial Narrow"/>
                            <w:b/>
                            <w:color w:val="000000"/>
                            <w:sz w:val="16"/>
                            <w:szCs w:val="16"/>
                          </w:rPr>
                        </w:pPr>
                        <w:r w:rsidRPr="00335CAF">
                          <w:rPr>
                            <w:rFonts w:ascii="Arial Narrow" w:hAnsi="Arial Narrow"/>
                            <w:b/>
                            <w:color w:val="000000"/>
                            <w:sz w:val="16"/>
                            <w:szCs w:val="16"/>
                          </w:rPr>
                          <w:t>ASC Pty Ltd</w:t>
                        </w:r>
                      </w:p>
                      <w:p w14:paraId="3ED7FA58" w14:textId="77777777" w:rsidR="009E45BA" w:rsidRDefault="009E45BA" w:rsidP="00AC6E1C">
                        <w:pPr>
                          <w:spacing w:before="80" w:after="80"/>
                          <w:rPr>
                            <w:rFonts w:ascii="Arial Narrow" w:hAnsi="Arial Narrow" w:cs="Arial"/>
                            <w:position w:val="4"/>
                            <w:sz w:val="16"/>
                            <w:szCs w:val="16"/>
                          </w:rPr>
                        </w:pPr>
                        <w:r w:rsidRPr="00AE7049">
                          <w:rPr>
                            <w:rFonts w:ascii="Arial Narrow" w:hAnsi="Arial Narrow" w:cs="Arial"/>
                            <w:position w:val="4"/>
                            <w:sz w:val="16"/>
                            <w:szCs w:val="16"/>
                          </w:rPr>
                          <w:t>Chair: Bruce Carter</w:t>
                        </w:r>
                      </w:p>
                      <w:p w14:paraId="7EABE8EB" w14:textId="77777777" w:rsidR="009E45BA" w:rsidRPr="006B319C" w:rsidRDefault="009E45BA" w:rsidP="00AC6E1C">
                        <w:pPr>
                          <w:spacing w:before="80" w:after="80"/>
                          <w:rPr>
                            <w:rFonts w:ascii="Arial Narrow" w:hAnsi="Arial Narrow"/>
                            <w:position w:val="4"/>
                            <w:sz w:val="16"/>
                            <w:szCs w:val="16"/>
                          </w:rPr>
                        </w:pPr>
                        <w:r w:rsidRPr="006B319C">
                          <w:rPr>
                            <w:rFonts w:ascii="Arial Narrow" w:hAnsi="Arial Narrow"/>
                            <w:position w:val="4"/>
                            <w:sz w:val="16"/>
                            <w:szCs w:val="16"/>
                          </w:rPr>
                          <w:t>Directors:  Dr Rosalind Dubs, Joycelyn Morton, Loretta Reynolds, Paul Rizzo,</w:t>
                        </w:r>
                        <w:r>
                          <w:rPr>
                            <w:rFonts w:ascii="Arial Narrow" w:hAnsi="Arial Narrow"/>
                            <w:position w:val="4"/>
                            <w:sz w:val="16"/>
                            <w:szCs w:val="16"/>
                          </w:rPr>
                          <w:t xml:space="preserve"> </w:t>
                        </w:r>
                        <w:r w:rsidRPr="006B319C">
                          <w:rPr>
                            <w:rFonts w:ascii="Arial Narrow" w:hAnsi="Arial Narrow"/>
                            <w:position w:val="4"/>
                            <w:sz w:val="16"/>
                            <w:szCs w:val="16"/>
                          </w:rPr>
                          <w:t>Geoff Rohrsheim and Stuart Whiley</w:t>
                        </w:r>
                      </w:p>
                      <w:p w14:paraId="24136F3E" w14:textId="77777777" w:rsidR="009E45BA" w:rsidRPr="009B1B37" w:rsidRDefault="009E45BA" w:rsidP="00AC6E1C">
                        <w:pPr>
                          <w:pStyle w:val="SingleParagraph"/>
                          <w:tabs>
                            <w:tab w:val="left" w:pos="1080"/>
                          </w:tabs>
                          <w:ind w:left="1077" w:right="-113" w:hanging="1077"/>
                          <w:rPr>
                            <w:rFonts w:ascii="Arial Narrow" w:hAnsi="Arial Narrow"/>
                            <w:color w:val="000000"/>
                            <w:sz w:val="16"/>
                            <w:szCs w:val="16"/>
                          </w:rPr>
                        </w:pPr>
                        <w:r w:rsidRPr="009B1B37">
                          <w:rPr>
                            <w:rFonts w:ascii="Arial Narrow" w:hAnsi="Arial Narrow"/>
                            <w:b/>
                            <w:color w:val="000000"/>
                            <w:sz w:val="16"/>
                            <w:szCs w:val="16"/>
                          </w:rPr>
                          <w:t>Purpose:</w:t>
                        </w:r>
                        <w:r w:rsidRPr="009B1B37">
                          <w:rPr>
                            <w:rFonts w:ascii="Arial Narrow" w:hAnsi="Arial Narrow"/>
                            <w:color w:val="000000"/>
                            <w:sz w:val="16"/>
                            <w:szCs w:val="16"/>
                          </w:rPr>
                          <w:t xml:space="preserve"> The objectives of the company, as set out in its constitution, are:</w:t>
                        </w:r>
                      </w:p>
                      <w:p w14:paraId="189F5858" w14:textId="77777777" w:rsidR="009E45BA" w:rsidRPr="009B1B37" w:rsidRDefault="009E45BA" w:rsidP="00AC6E1C">
                        <w:pPr>
                          <w:pStyle w:val="ChartandTableFootnoteAlphaSmall"/>
                          <w:rPr>
                            <w:rFonts w:ascii="Arial Narrow" w:hAnsi="Arial Narrow"/>
                            <w:sz w:val="16"/>
                            <w:szCs w:val="16"/>
                          </w:rPr>
                        </w:pPr>
                        <w:r w:rsidRPr="009B1B37">
                          <w:rPr>
                            <w:rFonts w:ascii="Arial Narrow" w:hAnsi="Arial Narrow"/>
                            <w:sz w:val="16"/>
                            <w:szCs w:val="16"/>
                          </w:rPr>
                          <w:t xml:space="preserve">to enhance and maintain the Australian Defence Force’s maritime defence capabilities; and </w:t>
                        </w:r>
                      </w:p>
                      <w:p w14:paraId="340CF200" w14:textId="77777777" w:rsidR="009E45BA" w:rsidRDefault="009E45BA" w:rsidP="00AC6E1C">
                        <w:pPr>
                          <w:pStyle w:val="ChartandTableFootnoteAlphaSmall"/>
                          <w:rPr>
                            <w:rFonts w:ascii="Arial Narrow" w:hAnsi="Arial Narrow"/>
                            <w:sz w:val="16"/>
                            <w:szCs w:val="16"/>
                          </w:rPr>
                        </w:pPr>
                        <w:r w:rsidRPr="009B1B37">
                          <w:rPr>
                            <w:rFonts w:ascii="Arial Narrow" w:hAnsi="Arial Narrow"/>
                            <w:sz w:val="16"/>
                            <w:szCs w:val="16"/>
                          </w:rPr>
                          <w:t>support Australian Government policies in relation to the Australian naval surface shipbuilding and repair industry and the submarine sustainment and construction industry.</w:t>
                        </w:r>
                      </w:p>
                      <w:p w14:paraId="6FACAF28" w14:textId="77777777" w:rsidR="009E45BA" w:rsidRDefault="009E45BA" w:rsidP="00AC6E1C">
                        <w:pPr>
                          <w:pStyle w:val="ChartandTableFootnoteAlphaSmall"/>
                          <w:rPr>
                            <w:rFonts w:ascii="Arial Narrow" w:hAnsi="Arial Narrow"/>
                            <w:sz w:val="16"/>
                            <w:szCs w:val="16"/>
                          </w:rPr>
                        </w:pPr>
                      </w:p>
                    </w:txbxContent>
                  </v:textbox>
                </v:rect>
                <v:rect id="Rectangle 243" o:spid="_x0000_s1058" style="position:absolute;left:3898;top:4495;width:558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" filled="f" strokeweight=".25pt">
                  <v:stroke endcap="round"/>
                </v:rect>
              </v:group>
            </w:pict>
          </mc:Fallback>
        </mc:AlternateContent>
      </w:r>
      <w:r w:rsidRPr="00321EC0">
        <w:rPr>
          <w:noProof/>
        </w:rPr>
        <mc:AlternateContent>
          <mc:Choice Requires="wps">
            <w:drawing>
              <wp:anchor distT="0" distB="0" distL="114300" distR="114300" simplePos="0" relativeHeight="251662336" behindDoc="0" locked="0" layoutInCell="1" allowOverlap="1" wp14:anchorId="39FA023B" wp14:editId="47347709">
                <wp:simplePos x="0" y="0"/>
                <wp:positionH relativeFrom="column">
                  <wp:posOffset>294640</wp:posOffset>
                </wp:positionH>
                <wp:positionV relativeFrom="paragraph">
                  <wp:posOffset>531495</wp:posOffset>
                </wp:positionV>
                <wp:extent cx="635" cy="1477010"/>
                <wp:effectExtent l="7620" t="11430" r="10795" b="69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70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2457" dir="956724"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E3B544" id="Straight Arrow Connector 21" o:spid="_x0000_s1026" type="#_x0000_t32" style="position:absolute;margin-left:23.2pt;margin-top:41.85pt;width:.05pt;height:1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">
                <v:shadow offset="7pt"/>
              </v:shape>
            </w:pict>
          </mc:Fallback>
        </mc:AlternateContent>
      </w:r>
      <w:r w:rsidRPr="00321EC0">
        <w:rPr>
          <w:noProof/>
        </w:rPr>
        <mc:AlternateContent>
          <mc:Choice Requires="wps">
            <w:drawing>
              <wp:anchor distT="0" distB="0" distL="114300" distR="114300" simplePos="0" relativeHeight="251665408" behindDoc="0" locked="0" layoutInCell="1" allowOverlap="1" wp14:anchorId="42C779CC" wp14:editId="799865AA">
                <wp:simplePos x="0" y="0"/>
                <wp:positionH relativeFrom="column">
                  <wp:posOffset>299720</wp:posOffset>
                </wp:positionH>
                <wp:positionV relativeFrom="paragraph">
                  <wp:posOffset>2003425</wp:posOffset>
                </wp:positionV>
                <wp:extent cx="437515" cy="5080"/>
                <wp:effectExtent l="12700" t="6985" r="6985" b="69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EBA71" id="Straight Arrow Connector 20" o:spid="_x0000_s1026" type="#_x0000_t32" style="position:absolute;margin-left:23.6pt;margin-top:157.75pt;width:34.45pt;height:.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"/>
            </w:pict>
          </mc:Fallback>
        </mc:AlternateContent>
      </w:r>
      <w:r w:rsidRPr="00321EC0">
        <w:rPr>
          <w:noProof/>
        </w:rPr>
        <mc:AlternateContent>
          <mc:Choice Requires="wpg">
            <w:drawing>
              <wp:anchor distT="0" distB="0" distL="114300" distR="114300" simplePos="0" relativeHeight="251661312" behindDoc="0" locked="0" layoutInCell="1" allowOverlap="1" wp14:anchorId="668133CD" wp14:editId="05AD21DB">
                <wp:simplePos x="0" y="0"/>
                <wp:positionH relativeFrom="column">
                  <wp:posOffset>701040</wp:posOffset>
                </wp:positionH>
                <wp:positionV relativeFrom="paragraph">
                  <wp:posOffset>1507490</wp:posOffset>
                </wp:positionV>
                <wp:extent cx="4118610" cy="2166620"/>
                <wp:effectExtent l="4445" t="6350" r="10795" b="82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8610" cy="2166620"/>
                          <a:chOff x="3850" y="4495"/>
                          <a:chExt cx="5630" cy="1800"/>
                        </a:xfrm>
                      </wpg:grpSpPr>
                      <wps:wsp>
                        <wps:cNvPr id="18" name="Rectangle 242"/>
                        <wps:cNvSpPr>
                          <a:spLocks noChangeArrowheads="1"/>
                        </wps:cNvSpPr>
                        <wps:spPr bwMode="auto">
                          <a:xfrm>
                            <a:off x="3850" y="4525"/>
                            <a:ext cx="5630" cy="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EE201" w14:textId="77777777" w:rsidR="009E45BA" w:rsidRPr="00335CAF" w:rsidRDefault="009E45BA" w:rsidP="00AC6E1C">
                              <w:pPr>
                                <w:spacing w:before="80" w:after="80"/>
                                <w:rPr>
                                  <w:rFonts w:ascii="Arial Narrow" w:hAnsi="Arial Narrow" w:cs="Arial"/>
                                  <w:b/>
                                  <w:bCs/>
                                  <w:position w:val="4"/>
                                  <w:sz w:val="16"/>
                                  <w:szCs w:val="16"/>
                                </w:rPr>
                              </w:pPr>
                              <w:r w:rsidRPr="00335CAF">
                                <w:rPr>
                                  <w:rFonts w:ascii="Arial Narrow" w:hAnsi="Arial Narrow" w:cs="Arial"/>
                                  <w:b/>
                                  <w:bCs/>
                                  <w:position w:val="4"/>
                                  <w:sz w:val="16"/>
                                  <w:szCs w:val="16"/>
                                </w:rPr>
                                <w:t>Australian Naval Infrastructure Pty Ltd</w:t>
                              </w:r>
                            </w:p>
                            <w:p w14:paraId="6D814E93" w14:textId="77777777" w:rsidR="009E45BA" w:rsidRDefault="009E45BA" w:rsidP="00AC6E1C">
                              <w:pPr>
                                <w:spacing w:before="80" w:after="80"/>
                                <w:rPr>
                                  <w:rFonts w:ascii="Arial Narrow" w:hAnsi="Arial Narrow" w:cs="Arial"/>
                                  <w:position w:val="4"/>
                                  <w:sz w:val="16"/>
                                  <w:szCs w:val="16"/>
                                </w:rPr>
                              </w:pPr>
                              <w:r w:rsidRPr="00335CAF">
                                <w:rPr>
                                  <w:rFonts w:ascii="Arial Narrow" w:hAnsi="Arial Narrow" w:cs="Arial"/>
                                  <w:position w:val="4"/>
                                  <w:sz w:val="16"/>
                                  <w:szCs w:val="16"/>
                                </w:rPr>
                                <w:t>Chair: Lucio Di Bartolomeo</w:t>
                              </w:r>
                            </w:p>
                            <w:p w14:paraId="14B05451" w14:textId="77777777" w:rsidR="009E45BA" w:rsidRPr="006B319C" w:rsidRDefault="009E45BA" w:rsidP="00AC6E1C">
                              <w:pPr>
                                <w:spacing w:before="80" w:after="80"/>
                                <w:rPr>
                                  <w:rFonts w:ascii="Arial Narrow" w:hAnsi="Arial Narrow"/>
                                  <w:position w:val="4"/>
                                  <w:sz w:val="16"/>
                                  <w:szCs w:val="16"/>
                                </w:rPr>
                              </w:pPr>
                              <w:r w:rsidRPr="006B319C">
                                <w:rPr>
                                  <w:rFonts w:ascii="Arial Narrow" w:hAnsi="Arial Narrow"/>
                                  <w:position w:val="4"/>
                                  <w:sz w:val="16"/>
                                  <w:szCs w:val="16"/>
                                </w:rPr>
                                <w:t xml:space="preserve">Directors:  Janice Van Reyk, Peter Iancov, Jim Whalley, Jeremy Schultz and </w:t>
                              </w:r>
                              <w:r>
                                <w:rPr>
                                  <w:rFonts w:ascii="Arial Narrow" w:hAnsi="Arial Narrow"/>
                                  <w:position w:val="4"/>
                                  <w:sz w:val="16"/>
                                  <w:szCs w:val="16"/>
                                </w:rPr>
                                <w:t>Andrew Seaton</w:t>
                              </w:r>
                            </w:p>
                            <w:p w14:paraId="4B9F6517" w14:textId="77777777" w:rsidR="009E45BA" w:rsidRPr="00335CAF" w:rsidRDefault="009E45BA" w:rsidP="00AC6E1C">
                              <w:pPr>
                                <w:spacing w:before="80" w:after="80"/>
                                <w:rPr>
                                  <w:rFonts w:ascii="Arial Narrow" w:hAnsi="Arial Narrow" w:cs="Arial"/>
                                  <w:position w:val="4"/>
                                  <w:sz w:val="16"/>
                                  <w:szCs w:val="16"/>
                                </w:rPr>
                              </w:pPr>
                              <w:r w:rsidRPr="009B1B37">
                                <w:rPr>
                                  <w:rFonts w:ascii="Arial Narrow" w:hAnsi="Arial Narrow" w:cs="Arial"/>
                                  <w:b/>
                                  <w:position w:val="4"/>
                                  <w:sz w:val="16"/>
                                  <w:szCs w:val="16"/>
                                </w:rPr>
                                <w:t>Purpose:</w:t>
                              </w:r>
                              <w:r w:rsidRPr="00335CAF">
                                <w:rPr>
                                  <w:rFonts w:ascii="Arial Narrow" w:hAnsi="Arial Narrow" w:cs="Arial"/>
                                  <w:position w:val="4"/>
                                  <w:sz w:val="16"/>
                                  <w:szCs w:val="16"/>
                                </w:rPr>
                                <w:t xml:space="preserve"> The objectives of the company, as set out in its constitution, are:</w:t>
                              </w:r>
                            </w:p>
                            <w:p w14:paraId="3CF61001" w14:textId="77777777" w:rsidR="009E45BA" w:rsidRDefault="009E45BA" w:rsidP="00AC6E1C">
                              <w:pPr>
                                <w:pStyle w:val="ChartandTableFootnoteAlphaSmall"/>
                                <w:rPr>
                                  <w:rFonts w:ascii="Arial Narrow" w:hAnsi="Arial Narrow"/>
                                  <w:sz w:val="16"/>
                                  <w:szCs w:val="16"/>
                                </w:rPr>
                              </w:pPr>
                              <w:r w:rsidRPr="009B1B37">
                                <w:rPr>
                                  <w:rFonts w:ascii="Arial Narrow" w:hAnsi="Arial Narrow"/>
                                  <w:sz w:val="16"/>
                                  <w:szCs w:val="16"/>
                                </w:rPr>
                                <w:t>the primary object of the company is to support the Commonwealth’s continuous naval shipbuilding program through:</w:t>
                              </w:r>
                            </w:p>
                            <w:p w14:paraId="46D0B860" w14:textId="77777777" w:rsidR="009E45BA" w:rsidRPr="009B1B37" w:rsidRDefault="009E45BA" w:rsidP="00264523">
                              <w:pPr>
                                <w:pStyle w:val="ChartandTableFootnoteAlphaSmall"/>
                                <w:numPr>
                                  <w:ilvl w:val="1"/>
                                  <w:numId w:val="9"/>
                                </w:numPr>
                                <w:rPr>
                                  <w:rFonts w:ascii="Arial Narrow" w:hAnsi="Arial Narrow"/>
                                  <w:sz w:val="16"/>
                                  <w:szCs w:val="16"/>
                                </w:rPr>
                              </w:pPr>
                              <w:r w:rsidRPr="009B1B37">
                                <w:rPr>
                                  <w:rFonts w:ascii="Arial Narrow" w:hAnsi="Arial Narrow" w:cs="Arial"/>
                                  <w:position w:val="4"/>
                                  <w:sz w:val="16"/>
                                  <w:szCs w:val="16"/>
                                </w:rPr>
                                <w:t xml:space="preserve">acquiring, holding, managing and developing the infrastructure, and related facilities used in connection with this program; </w:t>
                              </w:r>
                            </w:p>
                            <w:p w14:paraId="503E15B0" w14:textId="77777777" w:rsidR="009E45BA" w:rsidRPr="009B1B37" w:rsidRDefault="009E45BA" w:rsidP="00264523">
                              <w:pPr>
                                <w:pStyle w:val="ChartandTableFootnoteAlphaSmall"/>
                                <w:numPr>
                                  <w:ilvl w:val="1"/>
                                  <w:numId w:val="9"/>
                                </w:numPr>
                                <w:rPr>
                                  <w:rFonts w:ascii="Arial Narrow" w:hAnsi="Arial Narrow"/>
                                  <w:sz w:val="16"/>
                                  <w:szCs w:val="16"/>
                                </w:rPr>
                              </w:pPr>
                              <w:r w:rsidRPr="009B1B37">
                                <w:rPr>
                                  <w:rFonts w:ascii="Arial Narrow" w:hAnsi="Arial Narrow" w:cs="Arial"/>
                                  <w:position w:val="4"/>
                                  <w:sz w:val="16"/>
                                  <w:szCs w:val="16"/>
                                </w:rPr>
                                <w:t>efficiently and effectively managing this infrastructure (including providing access) in a manner that ensures an integrated and co-ordinated approach to the delivery of all elements of this program; and</w:t>
                              </w:r>
                            </w:p>
                            <w:p w14:paraId="78D2E078" w14:textId="77777777" w:rsidR="009E45BA" w:rsidRPr="002D500A" w:rsidRDefault="009E45BA" w:rsidP="00AC6E1C">
                              <w:pPr>
                                <w:pStyle w:val="ChartandTableFootnoteAlphaSmall"/>
                                <w:rPr>
                                  <w:rFonts w:ascii="Arial Narrow" w:hAnsi="Arial Narrow"/>
                                  <w:sz w:val="16"/>
                                  <w:szCs w:val="16"/>
                                </w:rPr>
                              </w:pPr>
                              <w:r w:rsidRPr="009B1B37">
                                <w:rPr>
                                  <w:rFonts w:ascii="Arial Narrow" w:hAnsi="Arial Narrow"/>
                                  <w:sz w:val="16"/>
                                  <w:szCs w:val="16"/>
                                </w:rPr>
                                <w:t xml:space="preserve">the secondary object is to undertake commercial activities related to the primary object, while not </w:t>
                              </w:r>
                              <w:r w:rsidRPr="00815FFA">
                                <w:rPr>
                                  <w:rFonts w:ascii="Arial Narrow" w:hAnsi="Arial Narrow"/>
                                  <w:sz w:val="16"/>
                                  <w:szCs w:val="16"/>
                                </w:rPr>
                                <w:t>compromising achievement of the primary object.</w:t>
                              </w:r>
                            </w:p>
                          </w:txbxContent>
                        </wps:txbx>
                        <wps:bodyPr rot="0" vert="horz" wrap="square" lIns="88697" tIns="44348" rIns="88697" bIns="44348" anchor="t" anchorCtr="0" upright="1">
                          <a:noAutofit/>
                        </wps:bodyPr>
                      </wps:wsp>
                      <wps:wsp>
                        <wps:cNvPr id="19" name="Rectangle 243"/>
                        <wps:cNvSpPr>
                          <a:spLocks noChangeArrowheads="1"/>
                        </wps:cNvSpPr>
                        <wps:spPr bwMode="auto">
                          <a:xfrm>
                            <a:off x="3898" y="4495"/>
                            <a:ext cx="5582" cy="180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133CD" id="Group 17" o:spid="_x0000_s1059" style="position:absolute;left:0;text-align:left;margin-left:55.2pt;margin-top:118.7pt;width:324.3pt;height:170.6pt;z-index:251661312" coordorigin="3850,4495" coordsize="563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">
                <v:rect id="Rectangle 242" o:spid="_x0000_s1060" style="position:absolute;left:3850;top:4525;width:563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" stroked="f">
                  <v:textbox inset="2.46381mm,1.2319mm,2.46381mm,1.2319mm">
                    <w:txbxContent>
                      <w:p w14:paraId="7D8EE201" w14:textId="77777777" w:rsidR="009E45BA" w:rsidRPr="00335CAF" w:rsidRDefault="009E45BA" w:rsidP="00AC6E1C">
                        <w:pPr>
                          <w:spacing w:before="80" w:after="80"/>
                          <w:rPr>
                            <w:rFonts w:ascii="Arial Narrow" w:hAnsi="Arial Narrow" w:cs="Arial"/>
                            <w:b/>
                            <w:bCs/>
                            <w:position w:val="4"/>
                            <w:sz w:val="16"/>
                            <w:szCs w:val="16"/>
                          </w:rPr>
                        </w:pPr>
                        <w:r w:rsidRPr="00335CAF">
                          <w:rPr>
                            <w:rFonts w:ascii="Arial Narrow" w:hAnsi="Arial Narrow" w:cs="Arial"/>
                            <w:b/>
                            <w:bCs/>
                            <w:position w:val="4"/>
                            <w:sz w:val="16"/>
                            <w:szCs w:val="16"/>
                          </w:rPr>
                          <w:t>Australian Naval Infrastructure Pty Ltd</w:t>
                        </w:r>
                      </w:p>
                      <w:p w14:paraId="6D814E93" w14:textId="77777777" w:rsidR="009E45BA" w:rsidRDefault="009E45BA" w:rsidP="00AC6E1C">
                        <w:pPr>
                          <w:spacing w:before="80" w:after="80"/>
                          <w:rPr>
                            <w:rFonts w:ascii="Arial Narrow" w:hAnsi="Arial Narrow" w:cs="Arial"/>
                            <w:position w:val="4"/>
                            <w:sz w:val="16"/>
                            <w:szCs w:val="16"/>
                          </w:rPr>
                        </w:pPr>
                        <w:r w:rsidRPr="00335CAF">
                          <w:rPr>
                            <w:rFonts w:ascii="Arial Narrow" w:hAnsi="Arial Narrow" w:cs="Arial"/>
                            <w:position w:val="4"/>
                            <w:sz w:val="16"/>
                            <w:szCs w:val="16"/>
                          </w:rPr>
                          <w:t>Chair: Lucio Di Bartolomeo</w:t>
                        </w:r>
                      </w:p>
                      <w:p w14:paraId="14B05451" w14:textId="77777777" w:rsidR="009E45BA" w:rsidRPr="006B319C" w:rsidRDefault="009E45BA" w:rsidP="00AC6E1C">
                        <w:pPr>
                          <w:spacing w:before="80" w:after="80"/>
                          <w:rPr>
                            <w:rFonts w:ascii="Arial Narrow" w:hAnsi="Arial Narrow"/>
                            <w:position w:val="4"/>
                            <w:sz w:val="16"/>
                            <w:szCs w:val="16"/>
                          </w:rPr>
                        </w:pPr>
                        <w:r w:rsidRPr="006B319C">
                          <w:rPr>
                            <w:rFonts w:ascii="Arial Narrow" w:hAnsi="Arial Narrow"/>
                            <w:position w:val="4"/>
                            <w:sz w:val="16"/>
                            <w:szCs w:val="16"/>
                          </w:rPr>
                          <w:t xml:space="preserve">Directors:  Janice Van Reyk, Peter Iancov, Jim Whalley, Jeremy Schultz and </w:t>
                        </w:r>
                        <w:r>
                          <w:rPr>
                            <w:rFonts w:ascii="Arial Narrow" w:hAnsi="Arial Narrow"/>
                            <w:position w:val="4"/>
                            <w:sz w:val="16"/>
                            <w:szCs w:val="16"/>
                          </w:rPr>
                          <w:t>Andrew Seaton</w:t>
                        </w:r>
                      </w:p>
                      <w:p w14:paraId="4B9F6517" w14:textId="77777777" w:rsidR="009E45BA" w:rsidRPr="00335CAF" w:rsidRDefault="009E45BA" w:rsidP="00AC6E1C">
                        <w:pPr>
                          <w:spacing w:before="80" w:after="80"/>
                          <w:rPr>
                            <w:rFonts w:ascii="Arial Narrow" w:hAnsi="Arial Narrow" w:cs="Arial"/>
                            <w:position w:val="4"/>
                            <w:sz w:val="16"/>
                            <w:szCs w:val="16"/>
                          </w:rPr>
                        </w:pPr>
                        <w:r w:rsidRPr="009B1B37">
                          <w:rPr>
                            <w:rFonts w:ascii="Arial Narrow" w:hAnsi="Arial Narrow" w:cs="Arial"/>
                            <w:b/>
                            <w:position w:val="4"/>
                            <w:sz w:val="16"/>
                            <w:szCs w:val="16"/>
                          </w:rPr>
                          <w:t>Purpose:</w:t>
                        </w:r>
                        <w:r w:rsidRPr="00335CAF">
                          <w:rPr>
                            <w:rFonts w:ascii="Arial Narrow" w:hAnsi="Arial Narrow" w:cs="Arial"/>
                            <w:position w:val="4"/>
                            <w:sz w:val="16"/>
                            <w:szCs w:val="16"/>
                          </w:rPr>
                          <w:t xml:space="preserve"> The objectives of the company, as set out in its constitution, are:</w:t>
                        </w:r>
                      </w:p>
                      <w:p w14:paraId="3CF61001" w14:textId="77777777" w:rsidR="009E45BA" w:rsidRDefault="009E45BA" w:rsidP="00AC6E1C">
                        <w:pPr>
                          <w:pStyle w:val="ChartandTableFootnoteAlphaSmall"/>
                          <w:rPr>
                            <w:rFonts w:ascii="Arial Narrow" w:hAnsi="Arial Narrow"/>
                            <w:sz w:val="16"/>
                            <w:szCs w:val="16"/>
                          </w:rPr>
                        </w:pPr>
                        <w:r w:rsidRPr="009B1B37">
                          <w:rPr>
                            <w:rFonts w:ascii="Arial Narrow" w:hAnsi="Arial Narrow"/>
                            <w:sz w:val="16"/>
                            <w:szCs w:val="16"/>
                          </w:rPr>
                          <w:t>the primary object of the company is to support the Commonwealth’s continuous naval shipbuilding program through:</w:t>
                        </w:r>
                      </w:p>
                      <w:p w14:paraId="46D0B860" w14:textId="77777777" w:rsidR="009E45BA" w:rsidRPr="009B1B37" w:rsidRDefault="009E45BA" w:rsidP="00264523">
                        <w:pPr>
                          <w:pStyle w:val="ChartandTableFootnoteAlphaSmall"/>
                          <w:numPr>
                            <w:ilvl w:val="1"/>
                            <w:numId w:val="9"/>
                          </w:numPr>
                          <w:rPr>
                            <w:rFonts w:ascii="Arial Narrow" w:hAnsi="Arial Narrow"/>
                            <w:sz w:val="16"/>
                            <w:szCs w:val="16"/>
                          </w:rPr>
                        </w:pPr>
                        <w:r w:rsidRPr="009B1B37">
                          <w:rPr>
                            <w:rFonts w:ascii="Arial Narrow" w:hAnsi="Arial Narrow" w:cs="Arial"/>
                            <w:position w:val="4"/>
                            <w:sz w:val="16"/>
                            <w:szCs w:val="16"/>
                          </w:rPr>
                          <w:t xml:space="preserve">acquiring, holding, managing and developing the infrastructure, and related facilities used in connection with this program; </w:t>
                        </w:r>
                      </w:p>
                      <w:p w14:paraId="503E15B0" w14:textId="77777777" w:rsidR="009E45BA" w:rsidRPr="009B1B37" w:rsidRDefault="009E45BA" w:rsidP="00264523">
                        <w:pPr>
                          <w:pStyle w:val="ChartandTableFootnoteAlphaSmall"/>
                          <w:numPr>
                            <w:ilvl w:val="1"/>
                            <w:numId w:val="9"/>
                          </w:numPr>
                          <w:rPr>
                            <w:rFonts w:ascii="Arial Narrow" w:hAnsi="Arial Narrow"/>
                            <w:sz w:val="16"/>
                            <w:szCs w:val="16"/>
                          </w:rPr>
                        </w:pPr>
                        <w:r w:rsidRPr="009B1B37">
                          <w:rPr>
                            <w:rFonts w:ascii="Arial Narrow" w:hAnsi="Arial Narrow" w:cs="Arial"/>
                            <w:position w:val="4"/>
                            <w:sz w:val="16"/>
                            <w:szCs w:val="16"/>
                          </w:rPr>
                          <w:t>efficiently and effectively managing this infrastructure (including providing access) in a manner that ensures an integrated and co-ordinated approach to the delivery of all elements of this program; and</w:t>
                        </w:r>
                      </w:p>
                      <w:p w14:paraId="78D2E078" w14:textId="77777777" w:rsidR="009E45BA" w:rsidRPr="002D500A" w:rsidRDefault="009E45BA" w:rsidP="00AC6E1C">
                        <w:pPr>
                          <w:pStyle w:val="ChartandTableFootnoteAlphaSmall"/>
                          <w:rPr>
                            <w:rFonts w:ascii="Arial Narrow" w:hAnsi="Arial Narrow"/>
                            <w:sz w:val="16"/>
                            <w:szCs w:val="16"/>
                          </w:rPr>
                        </w:pPr>
                        <w:r w:rsidRPr="009B1B37">
                          <w:rPr>
                            <w:rFonts w:ascii="Arial Narrow" w:hAnsi="Arial Narrow"/>
                            <w:sz w:val="16"/>
                            <w:szCs w:val="16"/>
                          </w:rPr>
                          <w:t xml:space="preserve">the secondary object is to undertake commercial activities related to the primary object, while not </w:t>
                        </w:r>
                        <w:r w:rsidRPr="00815FFA">
                          <w:rPr>
                            <w:rFonts w:ascii="Arial Narrow" w:hAnsi="Arial Narrow"/>
                            <w:sz w:val="16"/>
                            <w:szCs w:val="16"/>
                          </w:rPr>
                          <w:t>compromising achievement of the primary object.</w:t>
                        </w:r>
                      </w:p>
                    </w:txbxContent>
                  </v:textbox>
                </v:rect>
                <v:rect id="Rectangle 243" o:spid="_x0000_s1061" style="position:absolute;left:3898;top:4495;width:558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" filled="f" strokeweight=".25pt">
                  <v:stroke endcap="round"/>
                </v:rect>
              </v:group>
            </w:pict>
          </mc:Fallback>
        </mc:AlternateContent>
      </w:r>
      <w:r w:rsidRPr="00321EC0">
        <w:rPr>
          <w:noProof/>
        </w:rPr>
        <mc:AlternateContent>
          <mc:Choice Requires="wps">
            <w:drawing>
              <wp:anchor distT="0" distB="0" distL="114300" distR="114300" simplePos="0" relativeHeight="251660288" behindDoc="0" locked="0" layoutInCell="1" allowOverlap="1" wp14:anchorId="5DF894FD" wp14:editId="2478A439">
                <wp:simplePos x="0" y="0"/>
                <wp:positionH relativeFrom="column">
                  <wp:posOffset>294005</wp:posOffset>
                </wp:positionH>
                <wp:positionV relativeFrom="paragraph">
                  <wp:posOffset>530860</wp:posOffset>
                </wp:positionV>
                <wp:extent cx="449580" cy="635"/>
                <wp:effectExtent l="6985" t="10795" r="10160"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D9782" id="Straight Arrow Connector 13" o:spid="_x0000_s1026" type="#_x0000_t32" style="position:absolute;margin-left:23.15pt;margin-top:41.8pt;width:35.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6JgIAAE0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"/>
            </w:pict>
          </mc:Fallback>
        </mc:AlternateContent>
      </w:r>
    </w:p>
    <w:p w14:paraId="1BC939C1" w14:textId="77777777" w:rsidR="00AC6E1C" w:rsidRPr="00321EC0" w:rsidRDefault="00AC6E1C" w:rsidP="00AC6E1C">
      <w:pPr>
        <w:pStyle w:val="ContentsHeading"/>
      </w:pPr>
    </w:p>
    <w:p w14:paraId="11B96321" w14:textId="77777777" w:rsidR="00AC6E1C" w:rsidRPr="00321EC0" w:rsidRDefault="00AC6E1C" w:rsidP="00AC6E1C">
      <w:pPr>
        <w:pStyle w:val="ContentsHeading"/>
      </w:pPr>
    </w:p>
    <w:p w14:paraId="101C9D71" w14:textId="77777777" w:rsidR="00AC6E1C" w:rsidRPr="00321EC0" w:rsidRDefault="00AC6E1C" w:rsidP="00AC6E1C">
      <w:pPr>
        <w:pStyle w:val="ContentsHeading"/>
      </w:pPr>
    </w:p>
    <w:p w14:paraId="34D0B139" w14:textId="77777777" w:rsidR="00AC6E1C" w:rsidRPr="00321EC0" w:rsidRDefault="00AC6E1C" w:rsidP="00AC6E1C">
      <w:pPr>
        <w:pStyle w:val="ContentsHeading"/>
      </w:pPr>
    </w:p>
    <w:p w14:paraId="452BA1E3" w14:textId="77777777" w:rsidR="00AC6E1C" w:rsidRPr="00321EC0" w:rsidRDefault="00AC6E1C" w:rsidP="00AC6E1C">
      <w:pPr>
        <w:pStyle w:val="ContentsHeading"/>
      </w:pPr>
    </w:p>
    <w:p w14:paraId="35EE5490" w14:textId="77777777" w:rsidR="00AC6E1C" w:rsidRPr="00321EC0" w:rsidRDefault="00AC6E1C" w:rsidP="00F51DAC">
      <w:pPr>
        <w:pStyle w:val="FigureHeading"/>
      </w:pPr>
    </w:p>
    <w:p w14:paraId="132EDCA6" w14:textId="77777777" w:rsidR="00AC6E1C" w:rsidRPr="00321EC0" w:rsidRDefault="00AC6E1C" w:rsidP="00F51DAC">
      <w:pPr>
        <w:pStyle w:val="FigureHeading"/>
      </w:pPr>
    </w:p>
    <w:p w14:paraId="07D398F6" w14:textId="77777777" w:rsidR="00AC6E1C" w:rsidRPr="00321EC0" w:rsidRDefault="00AC6E1C" w:rsidP="00F51DAC">
      <w:pPr>
        <w:pStyle w:val="FigureHeading"/>
      </w:pPr>
    </w:p>
    <w:p w14:paraId="5B9FC1E0" w14:textId="77777777" w:rsidR="00AC6E1C" w:rsidRPr="00321EC0" w:rsidRDefault="00AC6E1C" w:rsidP="00F51DAC">
      <w:pPr>
        <w:pStyle w:val="FigureHeading"/>
      </w:pPr>
    </w:p>
    <w:p w14:paraId="1ADD842C" w14:textId="77777777" w:rsidR="00AC6E1C" w:rsidRPr="00321EC0" w:rsidRDefault="00AC6E1C" w:rsidP="00F51DAC">
      <w:pPr>
        <w:pStyle w:val="FigureHeading"/>
      </w:pPr>
    </w:p>
    <w:p w14:paraId="3F243EA3" w14:textId="77777777" w:rsidR="00AC6E1C" w:rsidRPr="00321EC0" w:rsidRDefault="00AC6E1C" w:rsidP="00F51DAC">
      <w:pPr>
        <w:pStyle w:val="FigureHeading"/>
      </w:pPr>
    </w:p>
    <w:p w14:paraId="6C83C4F6" w14:textId="77777777" w:rsidR="00AC6E1C" w:rsidRPr="00321EC0" w:rsidRDefault="00AC6E1C" w:rsidP="00F51DAC">
      <w:pPr>
        <w:pStyle w:val="FigureHeading"/>
      </w:pPr>
    </w:p>
    <w:p w14:paraId="1627F1BA" w14:textId="77777777" w:rsidR="00AC6E1C" w:rsidRPr="00321EC0" w:rsidRDefault="00AC6E1C" w:rsidP="00F51DAC">
      <w:pPr>
        <w:pStyle w:val="FigureHeading"/>
      </w:pPr>
    </w:p>
    <w:p w14:paraId="157136D4" w14:textId="77777777" w:rsidR="00AC6E1C" w:rsidRPr="00321EC0" w:rsidRDefault="00AC6E1C" w:rsidP="00F51DAC">
      <w:pPr>
        <w:pStyle w:val="FigureHeading"/>
      </w:pPr>
    </w:p>
    <w:p w14:paraId="335116B8" w14:textId="77777777" w:rsidR="00AC6E1C" w:rsidRPr="00321EC0" w:rsidRDefault="00AC6E1C" w:rsidP="00F51DAC">
      <w:pPr>
        <w:pStyle w:val="FigureHeading"/>
      </w:pPr>
    </w:p>
    <w:p w14:paraId="48E1510F" w14:textId="77777777" w:rsidR="00AC6E1C" w:rsidRPr="00321EC0" w:rsidRDefault="00AC6E1C" w:rsidP="00F51DAC">
      <w:pPr>
        <w:pStyle w:val="FigureHeading"/>
      </w:pPr>
    </w:p>
    <w:p w14:paraId="06EF797B" w14:textId="77777777" w:rsidR="00AC6E1C" w:rsidRPr="00321EC0" w:rsidRDefault="00AC6E1C" w:rsidP="00F51DAC">
      <w:pPr>
        <w:pStyle w:val="FigureHeading"/>
      </w:pPr>
    </w:p>
    <w:p w14:paraId="2C140CAC" w14:textId="77777777" w:rsidR="00AC6E1C" w:rsidRPr="00321EC0" w:rsidRDefault="00AC6E1C" w:rsidP="00F51DAC">
      <w:pPr>
        <w:pStyle w:val="FigureHeading"/>
      </w:pPr>
    </w:p>
    <w:p w14:paraId="1836E3AD" w14:textId="77777777" w:rsidR="00AC6E1C" w:rsidRPr="00321EC0" w:rsidRDefault="00AC6E1C" w:rsidP="00F51DAC">
      <w:pPr>
        <w:pStyle w:val="FigureHeading"/>
      </w:pPr>
    </w:p>
    <w:p w14:paraId="0CC91860" w14:textId="77777777" w:rsidR="00AC6E1C" w:rsidRPr="00321EC0" w:rsidRDefault="00AC6E1C" w:rsidP="00F51DAC">
      <w:pPr>
        <w:pStyle w:val="FigureHeading"/>
      </w:pPr>
    </w:p>
    <w:p w14:paraId="19B8DB04" w14:textId="77777777" w:rsidR="00AC6E1C" w:rsidRPr="00321EC0" w:rsidRDefault="00AC6E1C" w:rsidP="00F51DAC">
      <w:pPr>
        <w:pStyle w:val="FigureHeading"/>
      </w:pPr>
    </w:p>
    <w:p w14:paraId="63B6EE82" w14:textId="77777777" w:rsidR="00AC6E1C" w:rsidRPr="00321EC0" w:rsidRDefault="00AC6E1C" w:rsidP="00F51DAC">
      <w:pPr>
        <w:pStyle w:val="FigureHeading"/>
      </w:pPr>
    </w:p>
    <w:p w14:paraId="7BE8EB0E" w14:textId="77777777" w:rsidR="00AC6E1C" w:rsidRPr="00321EC0" w:rsidRDefault="00AC6E1C" w:rsidP="00F51DAC">
      <w:pPr>
        <w:pStyle w:val="FigureHeading"/>
      </w:pPr>
    </w:p>
    <w:p w14:paraId="318E85A0" w14:textId="77777777" w:rsidR="00AC6E1C" w:rsidRPr="00321EC0" w:rsidRDefault="00AC6E1C" w:rsidP="00F51DAC">
      <w:pPr>
        <w:pStyle w:val="FigureHeading"/>
      </w:pPr>
    </w:p>
    <w:p w14:paraId="43A9299C" w14:textId="77777777" w:rsidR="00AC6E1C" w:rsidRPr="00321EC0" w:rsidRDefault="00AC6E1C" w:rsidP="00F51DAC">
      <w:pPr>
        <w:pStyle w:val="FigureHeading"/>
      </w:pPr>
    </w:p>
    <w:p w14:paraId="4B06720E" w14:textId="77777777" w:rsidR="00174C8A" w:rsidRPr="00321EC0" w:rsidRDefault="00174C8A" w:rsidP="00174C8A"/>
    <w:p w14:paraId="51526FCE" w14:textId="77777777" w:rsidR="00174C8A" w:rsidRPr="00321EC0" w:rsidRDefault="00174C8A" w:rsidP="00174C8A">
      <w:pPr>
        <w:sectPr w:rsidR="00174C8A" w:rsidRPr="00321EC0" w:rsidSect="00D37F3B">
          <w:headerReference w:type="even" r:id="rId46"/>
          <w:headerReference w:type="first" r:id="rId47"/>
          <w:footerReference w:type="first" r:id="rId48"/>
          <w:type w:val="oddPage"/>
          <w:pgSz w:w="11907" w:h="16840" w:code="9"/>
          <w:pgMar w:top="2466" w:right="2098" w:bottom="2466" w:left="2098" w:header="1899" w:footer="1899" w:gutter="0"/>
          <w:pgNumType w:start="5"/>
          <w:cols w:space="720"/>
          <w:titlePg/>
        </w:sectPr>
      </w:pPr>
    </w:p>
    <w:p w14:paraId="256C58FF" w14:textId="77777777" w:rsidR="0035086F" w:rsidRPr="00321EC0" w:rsidRDefault="00726A60" w:rsidP="006F7895">
      <w:pPr>
        <w:pStyle w:val="PartHeading"/>
      </w:pPr>
      <w:bookmarkStart w:id="142" w:name="_Toc97433671"/>
      <w:bookmarkStart w:id="143" w:name="_Toc97433760"/>
      <w:bookmarkStart w:id="144" w:name="_Toc97433860"/>
      <w:bookmarkStart w:id="145" w:name="_Toc97434209"/>
      <w:bookmarkStart w:id="146" w:name="_Toc97528986"/>
      <w:bookmarkStart w:id="147" w:name="_Toc97529025"/>
      <w:bookmarkStart w:id="148" w:name="_Toc112224373"/>
      <w:bookmarkStart w:id="149" w:name="_Toc63157718"/>
      <w:bookmarkStart w:id="150" w:name="_Toc63157965"/>
      <w:r w:rsidRPr="00321EC0">
        <w:t>Entity</w:t>
      </w:r>
      <w:r w:rsidR="00F51DAC" w:rsidRPr="00321EC0">
        <w:t xml:space="preserve"> </w:t>
      </w:r>
      <w:r w:rsidR="00F8568F" w:rsidRPr="00321EC0">
        <w:t>additional estimates statements</w:t>
      </w:r>
      <w:bookmarkStart w:id="151" w:name="_Toc210646446"/>
      <w:bookmarkStart w:id="152" w:name="_Toc210698425"/>
      <w:bookmarkEnd w:id="142"/>
      <w:bookmarkEnd w:id="143"/>
      <w:bookmarkEnd w:id="144"/>
      <w:bookmarkEnd w:id="145"/>
      <w:bookmarkEnd w:id="146"/>
      <w:bookmarkEnd w:id="147"/>
      <w:bookmarkEnd w:id="148"/>
      <w:bookmarkEnd w:id="149"/>
      <w:bookmarkEnd w:id="150"/>
    </w:p>
    <w:p w14:paraId="489F0661" w14:textId="77777777" w:rsidR="00881200" w:rsidRPr="00321EC0" w:rsidRDefault="00881200" w:rsidP="00881200">
      <w:pPr>
        <w:pStyle w:val="TOC1"/>
      </w:pPr>
    </w:p>
    <w:p w14:paraId="17C4859E" w14:textId="1504A5E6" w:rsidR="00881200" w:rsidRPr="00321EC0" w:rsidRDefault="00881200" w:rsidP="00881200">
      <w:pPr>
        <w:pStyle w:val="TOC1"/>
        <w:rPr>
          <w:rStyle w:val="Hyperlink"/>
          <w:noProof/>
        </w:rPr>
      </w:pPr>
      <w:r w:rsidRPr="00321EC0">
        <w:fldChar w:fldCharType="begin"/>
      </w:r>
      <w:r w:rsidRPr="00321EC0">
        <w:instrText xml:space="preserve"> TOC \h \z \t "Heading 1,1,Heading 2,2,Title,1,Part Heading,1,Heading 1 - LVL2,2" </w:instrText>
      </w:r>
      <w:r w:rsidRPr="00321EC0">
        <w:fldChar w:fldCharType="separate"/>
      </w:r>
      <w:hyperlink w:anchor="_Toc63157966" w:history="1">
        <w:r w:rsidRPr="00321EC0">
          <w:rPr>
            <w:rStyle w:val="Hyperlink"/>
            <w:noProof/>
          </w:rPr>
          <w:t>Department of Finance</w:t>
        </w:r>
        <w:r w:rsidRPr="00321EC0">
          <w:rPr>
            <w:rStyle w:val="Hyperlink"/>
            <w:noProof/>
            <w:webHidden/>
          </w:rPr>
          <w:tab/>
        </w:r>
        <w:r w:rsidRPr="00321EC0">
          <w:rPr>
            <w:rStyle w:val="Hyperlink"/>
            <w:noProof/>
            <w:webHidden/>
          </w:rPr>
          <w:fldChar w:fldCharType="begin"/>
        </w:r>
        <w:r w:rsidRPr="00321EC0">
          <w:rPr>
            <w:rStyle w:val="Hyperlink"/>
            <w:noProof/>
            <w:webHidden/>
          </w:rPr>
          <w:instrText xml:space="preserve"> PAGEREF _Toc63157966 \h </w:instrText>
        </w:r>
        <w:r w:rsidRPr="00321EC0">
          <w:rPr>
            <w:rStyle w:val="Hyperlink"/>
            <w:noProof/>
            <w:webHidden/>
          </w:rPr>
        </w:r>
        <w:r w:rsidRPr="00321EC0">
          <w:rPr>
            <w:rStyle w:val="Hyperlink"/>
            <w:noProof/>
            <w:webHidden/>
          </w:rPr>
          <w:fldChar w:fldCharType="separate"/>
        </w:r>
        <w:r w:rsidR="00CF6368">
          <w:rPr>
            <w:rStyle w:val="Hyperlink"/>
            <w:noProof/>
            <w:webHidden/>
          </w:rPr>
          <w:t>10</w:t>
        </w:r>
        <w:r w:rsidRPr="00321EC0">
          <w:rPr>
            <w:rStyle w:val="Hyperlink"/>
            <w:noProof/>
            <w:webHidden/>
          </w:rPr>
          <w:fldChar w:fldCharType="end"/>
        </w:r>
      </w:hyperlink>
    </w:p>
    <w:p w14:paraId="6946B1B9" w14:textId="0941FFF5" w:rsidR="00881200" w:rsidRPr="00321EC0" w:rsidRDefault="0019528E" w:rsidP="00881200">
      <w:pPr>
        <w:pStyle w:val="TOC1"/>
        <w:rPr>
          <w:rStyle w:val="Hyperlink"/>
          <w:noProof/>
        </w:rPr>
      </w:pPr>
      <w:hyperlink w:anchor="_Toc63157967" w:history="1">
        <w:r w:rsidR="00881200" w:rsidRPr="00321EC0">
          <w:rPr>
            <w:rStyle w:val="Hyperlink"/>
            <w:noProof/>
          </w:rPr>
          <w:t>Australian Electoral Commission</w:t>
        </w:r>
        <w:r w:rsidR="00881200" w:rsidRPr="00321EC0">
          <w:rPr>
            <w:rStyle w:val="Hyperlink"/>
            <w:noProof/>
            <w:webHidden/>
          </w:rPr>
          <w:tab/>
        </w:r>
        <w:r w:rsidR="00881200" w:rsidRPr="00321EC0">
          <w:rPr>
            <w:rStyle w:val="Hyperlink"/>
            <w:noProof/>
            <w:webHidden/>
          </w:rPr>
          <w:fldChar w:fldCharType="begin"/>
        </w:r>
        <w:r w:rsidR="00881200" w:rsidRPr="00321EC0">
          <w:rPr>
            <w:rStyle w:val="Hyperlink"/>
            <w:noProof/>
            <w:webHidden/>
          </w:rPr>
          <w:instrText xml:space="preserve"> PAGEREF _Toc63157967 \h </w:instrText>
        </w:r>
        <w:r w:rsidR="00881200" w:rsidRPr="00321EC0">
          <w:rPr>
            <w:rStyle w:val="Hyperlink"/>
            <w:noProof/>
            <w:webHidden/>
          </w:rPr>
        </w:r>
        <w:r w:rsidR="00881200" w:rsidRPr="00321EC0">
          <w:rPr>
            <w:rStyle w:val="Hyperlink"/>
            <w:noProof/>
            <w:webHidden/>
          </w:rPr>
          <w:fldChar w:fldCharType="separate"/>
        </w:r>
        <w:r w:rsidR="00CF6368">
          <w:rPr>
            <w:rStyle w:val="Hyperlink"/>
            <w:noProof/>
            <w:webHidden/>
          </w:rPr>
          <w:t>60</w:t>
        </w:r>
        <w:r w:rsidR="00881200" w:rsidRPr="00321EC0">
          <w:rPr>
            <w:rStyle w:val="Hyperlink"/>
            <w:noProof/>
            <w:webHidden/>
          </w:rPr>
          <w:fldChar w:fldCharType="end"/>
        </w:r>
      </w:hyperlink>
    </w:p>
    <w:p w14:paraId="581CF04E" w14:textId="0E9893BE" w:rsidR="00881200" w:rsidRPr="00321EC0" w:rsidRDefault="0019528E" w:rsidP="00881200">
      <w:pPr>
        <w:pStyle w:val="TOC1"/>
        <w:rPr>
          <w:rFonts w:asciiTheme="minorHAnsi" w:eastAsiaTheme="minorEastAsia" w:hAnsiTheme="minorHAnsi" w:cstheme="minorBidi"/>
          <w:noProof/>
          <w:sz w:val="22"/>
          <w:szCs w:val="22"/>
        </w:rPr>
      </w:pPr>
      <w:hyperlink w:anchor="_Toc63157968" w:history="1">
        <w:r w:rsidR="00881200" w:rsidRPr="00321EC0">
          <w:rPr>
            <w:rStyle w:val="Hyperlink"/>
            <w:noProof/>
          </w:rPr>
          <w:t>Independent Parliamentary Expenses Authority</w:t>
        </w:r>
        <w:r w:rsidR="00881200" w:rsidRPr="00321EC0">
          <w:rPr>
            <w:rStyle w:val="Hyperlink"/>
            <w:noProof/>
            <w:webHidden/>
          </w:rPr>
          <w:tab/>
        </w:r>
        <w:r w:rsidR="00881200" w:rsidRPr="00321EC0">
          <w:rPr>
            <w:rStyle w:val="Hyperlink"/>
            <w:noProof/>
            <w:webHidden/>
          </w:rPr>
          <w:fldChar w:fldCharType="begin"/>
        </w:r>
        <w:r w:rsidR="00881200" w:rsidRPr="00321EC0">
          <w:rPr>
            <w:rStyle w:val="Hyperlink"/>
            <w:noProof/>
            <w:webHidden/>
          </w:rPr>
          <w:instrText xml:space="preserve"> PAGEREF _Toc63157968 \h </w:instrText>
        </w:r>
        <w:r w:rsidR="00881200" w:rsidRPr="00321EC0">
          <w:rPr>
            <w:rStyle w:val="Hyperlink"/>
            <w:noProof/>
            <w:webHidden/>
          </w:rPr>
        </w:r>
        <w:r w:rsidR="00881200" w:rsidRPr="00321EC0">
          <w:rPr>
            <w:rStyle w:val="Hyperlink"/>
            <w:noProof/>
            <w:webHidden/>
          </w:rPr>
          <w:fldChar w:fldCharType="separate"/>
        </w:r>
        <w:r w:rsidR="00CF6368">
          <w:rPr>
            <w:rStyle w:val="Hyperlink"/>
            <w:noProof/>
            <w:webHidden/>
          </w:rPr>
          <w:t>80</w:t>
        </w:r>
        <w:r w:rsidR="00881200" w:rsidRPr="00321EC0">
          <w:rPr>
            <w:rStyle w:val="Hyperlink"/>
            <w:noProof/>
            <w:webHidden/>
          </w:rPr>
          <w:fldChar w:fldCharType="end"/>
        </w:r>
      </w:hyperlink>
    </w:p>
    <w:p w14:paraId="693BC1F7" w14:textId="77777777" w:rsidR="00881200" w:rsidRPr="00321EC0" w:rsidRDefault="00881200" w:rsidP="00881200">
      <w:pPr>
        <w:rPr>
          <w:rFonts w:ascii="Arial" w:hAnsi="Arial"/>
        </w:rPr>
      </w:pPr>
      <w:r w:rsidRPr="00321EC0">
        <w:rPr>
          <w:rFonts w:ascii="Arial" w:hAnsi="Arial"/>
        </w:rPr>
        <w:fldChar w:fldCharType="end"/>
      </w:r>
    </w:p>
    <w:p w14:paraId="348D1492" w14:textId="77777777" w:rsidR="00881200" w:rsidRPr="00321EC0" w:rsidRDefault="00881200" w:rsidP="00881200"/>
    <w:p w14:paraId="1B1A9A0B" w14:textId="77777777" w:rsidR="006D67EF" w:rsidRPr="00321EC0" w:rsidRDefault="006D67EF" w:rsidP="006D67EF"/>
    <w:p w14:paraId="66946612" w14:textId="77777777" w:rsidR="006D67EF" w:rsidRPr="00321EC0" w:rsidRDefault="006D67EF" w:rsidP="006D67EF">
      <w:pPr>
        <w:sectPr w:rsidR="006D67EF" w:rsidRPr="00321EC0" w:rsidSect="006D67EF">
          <w:headerReference w:type="first" r:id="rId49"/>
          <w:footerReference w:type="first" r:id="rId50"/>
          <w:pgSz w:w="11907" w:h="16840" w:code="9"/>
          <w:pgMar w:top="2466" w:right="2098" w:bottom="2466" w:left="2098" w:header="1899" w:footer="1899" w:gutter="0"/>
          <w:cols w:space="720"/>
          <w:titlePg/>
        </w:sectPr>
      </w:pPr>
    </w:p>
    <w:p w14:paraId="73E29B90" w14:textId="2C60353C" w:rsidR="00F51DAC" w:rsidRPr="00321EC0" w:rsidRDefault="000D6E2A" w:rsidP="00E95DE7">
      <w:pPr>
        <w:pStyle w:val="Heading1-NoTOC"/>
      </w:pPr>
      <w:r w:rsidRPr="00321EC0">
        <w:rPr>
          <w:lang w:val="en-AU"/>
        </w:rPr>
        <w:t>Department of Finance</w:t>
      </w:r>
      <w:bookmarkEnd w:id="151"/>
      <w:bookmarkEnd w:id="152"/>
    </w:p>
    <w:bookmarkStart w:id="153" w:name="_Toc23559338"/>
    <w:bookmarkStart w:id="154" w:name="_Toc23559372"/>
    <w:bookmarkStart w:id="155" w:name="_Toc23559663"/>
    <w:bookmarkStart w:id="156" w:name="_Toc23560126"/>
    <w:bookmarkStart w:id="157" w:name="_Toc23563421"/>
    <w:bookmarkStart w:id="158" w:name="_Toc77998675"/>
    <w:bookmarkStart w:id="159" w:name="_Toc436624136"/>
    <w:bookmarkStart w:id="160" w:name="_Toc436625437"/>
    <w:bookmarkStart w:id="161" w:name="_Toc449255757"/>
    <w:p w14:paraId="5776E6D0" w14:textId="3D8F9596" w:rsidR="00666127" w:rsidRPr="00321EC0" w:rsidRDefault="00050FE6">
      <w:pPr>
        <w:pStyle w:val="TOC1"/>
        <w:rPr>
          <w:rFonts w:asciiTheme="minorHAnsi" w:eastAsiaTheme="minorEastAsia" w:hAnsiTheme="minorHAnsi" w:cstheme="minorBidi"/>
          <w:b w:val="0"/>
          <w:noProof/>
          <w:sz w:val="22"/>
          <w:szCs w:val="22"/>
        </w:rPr>
      </w:pPr>
      <w:r w:rsidRPr="00321EC0">
        <w:fldChar w:fldCharType="begin"/>
      </w:r>
      <w:r w:rsidRPr="00321EC0">
        <w:instrText xml:space="preserve"> TOC \h \z \t "Heading 3,2,Heading 2 - TOC,1" </w:instrText>
      </w:r>
      <w:r w:rsidRPr="00321EC0">
        <w:fldChar w:fldCharType="separate"/>
      </w:r>
      <w:hyperlink w:anchor="_Toc62835707" w:history="1">
        <w:r w:rsidR="00666127" w:rsidRPr="00321EC0">
          <w:rPr>
            <w:rStyle w:val="Hyperlink"/>
            <w:noProof/>
          </w:rPr>
          <w:t>Section 1: Entity overview and resources</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_Toc62835707 \h </w:instrText>
        </w:r>
        <w:r w:rsidR="00666127" w:rsidRPr="00321EC0">
          <w:rPr>
            <w:noProof/>
            <w:webHidden/>
          </w:rPr>
        </w:r>
        <w:r w:rsidR="00666127" w:rsidRPr="00321EC0">
          <w:rPr>
            <w:noProof/>
            <w:webHidden/>
          </w:rPr>
          <w:fldChar w:fldCharType="separate"/>
        </w:r>
        <w:r w:rsidR="00CF6368">
          <w:rPr>
            <w:noProof/>
            <w:webHidden/>
          </w:rPr>
          <w:t>10</w:t>
        </w:r>
        <w:r w:rsidR="00666127" w:rsidRPr="00321EC0">
          <w:rPr>
            <w:noProof/>
            <w:webHidden/>
          </w:rPr>
          <w:fldChar w:fldCharType="end"/>
        </w:r>
      </w:hyperlink>
    </w:p>
    <w:p w14:paraId="07818B03" w14:textId="35B4201B"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08" w:history="1">
        <w:r w:rsidR="00666127" w:rsidRPr="00321EC0">
          <w:rPr>
            <w:rStyle w:val="Hyperlink"/>
            <w:noProof/>
          </w:rPr>
          <w:t>1.1</w:t>
        </w:r>
        <w:r w:rsidR="00666127" w:rsidRPr="00321EC0">
          <w:rPr>
            <w:rFonts w:asciiTheme="minorHAnsi" w:eastAsiaTheme="minorEastAsia" w:hAnsiTheme="minorHAnsi" w:cstheme="minorBidi"/>
            <w:noProof/>
            <w:sz w:val="22"/>
            <w:szCs w:val="22"/>
          </w:rPr>
          <w:tab/>
        </w:r>
        <w:r w:rsidR="00666127" w:rsidRPr="00321EC0">
          <w:rPr>
            <w:rStyle w:val="Hyperlink"/>
            <w:noProof/>
          </w:rPr>
          <w:t>Strategic direction statement</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_Toc62835708 \h </w:instrText>
        </w:r>
        <w:r w:rsidR="00666127" w:rsidRPr="00321EC0">
          <w:rPr>
            <w:noProof/>
            <w:webHidden/>
          </w:rPr>
        </w:r>
        <w:r w:rsidR="00666127" w:rsidRPr="00321EC0">
          <w:rPr>
            <w:noProof/>
            <w:webHidden/>
          </w:rPr>
          <w:fldChar w:fldCharType="separate"/>
        </w:r>
        <w:r w:rsidR="00CF6368">
          <w:rPr>
            <w:noProof/>
            <w:webHidden/>
          </w:rPr>
          <w:t>10</w:t>
        </w:r>
        <w:r w:rsidR="00666127" w:rsidRPr="00321EC0">
          <w:rPr>
            <w:noProof/>
            <w:webHidden/>
          </w:rPr>
          <w:fldChar w:fldCharType="end"/>
        </w:r>
      </w:hyperlink>
    </w:p>
    <w:p w14:paraId="0FBEB694" w14:textId="76D2D44E"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09" w:history="1">
        <w:r w:rsidR="00666127" w:rsidRPr="00321EC0">
          <w:rPr>
            <w:rStyle w:val="Hyperlink"/>
            <w:noProof/>
          </w:rPr>
          <w:t>1.2</w:t>
        </w:r>
        <w:r w:rsidR="00666127" w:rsidRPr="00321EC0">
          <w:rPr>
            <w:rFonts w:asciiTheme="minorHAnsi" w:eastAsiaTheme="minorEastAsia" w:hAnsiTheme="minorHAnsi" w:cstheme="minorBidi"/>
            <w:noProof/>
            <w:sz w:val="22"/>
            <w:szCs w:val="22"/>
          </w:rPr>
          <w:tab/>
        </w:r>
        <w:r w:rsidR="00666127" w:rsidRPr="00321EC0">
          <w:rPr>
            <w:rStyle w:val="Hyperlink"/>
            <w:noProof/>
          </w:rPr>
          <w:t>Entity resource statement</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_Toc62835709 \h </w:instrText>
        </w:r>
        <w:r w:rsidR="00666127" w:rsidRPr="00321EC0">
          <w:rPr>
            <w:noProof/>
            <w:webHidden/>
          </w:rPr>
        </w:r>
        <w:r w:rsidR="00666127" w:rsidRPr="00321EC0">
          <w:rPr>
            <w:noProof/>
            <w:webHidden/>
          </w:rPr>
          <w:fldChar w:fldCharType="separate"/>
        </w:r>
        <w:r w:rsidR="00CF6368">
          <w:rPr>
            <w:noProof/>
            <w:webHidden/>
          </w:rPr>
          <w:t>10</w:t>
        </w:r>
        <w:r w:rsidR="00666127" w:rsidRPr="00321EC0">
          <w:rPr>
            <w:noProof/>
            <w:webHidden/>
          </w:rPr>
          <w:fldChar w:fldCharType="end"/>
        </w:r>
      </w:hyperlink>
    </w:p>
    <w:p w14:paraId="226EFFFE" w14:textId="37B98CBF"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10" w:history="1">
        <w:r w:rsidR="00666127" w:rsidRPr="00321EC0">
          <w:rPr>
            <w:rStyle w:val="Hyperlink"/>
            <w:noProof/>
          </w:rPr>
          <w:t>1.3</w:t>
        </w:r>
        <w:r w:rsidR="00666127" w:rsidRPr="00321EC0">
          <w:rPr>
            <w:rFonts w:asciiTheme="minorHAnsi" w:eastAsiaTheme="minorEastAsia" w:hAnsiTheme="minorHAnsi" w:cstheme="minorBidi"/>
            <w:noProof/>
            <w:sz w:val="22"/>
            <w:szCs w:val="22"/>
          </w:rPr>
          <w:tab/>
        </w:r>
        <w:r w:rsidR="00666127" w:rsidRPr="00321EC0">
          <w:rPr>
            <w:rStyle w:val="Hyperlink"/>
            <w:noProof/>
          </w:rPr>
          <w:t>Entity measures</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_Toc62835710 \h </w:instrText>
        </w:r>
        <w:r w:rsidR="00666127" w:rsidRPr="00321EC0">
          <w:rPr>
            <w:noProof/>
            <w:webHidden/>
          </w:rPr>
        </w:r>
        <w:r w:rsidR="00666127" w:rsidRPr="00321EC0">
          <w:rPr>
            <w:noProof/>
            <w:webHidden/>
          </w:rPr>
          <w:fldChar w:fldCharType="separate"/>
        </w:r>
        <w:r w:rsidR="00CF6368">
          <w:rPr>
            <w:noProof/>
            <w:webHidden/>
          </w:rPr>
          <w:t>14</w:t>
        </w:r>
        <w:r w:rsidR="00666127" w:rsidRPr="00321EC0">
          <w:rPr>
            <w:noProof/>
            <w:webHidden/>
          </w:rPr>
          <w:fldChar w:fldCharType="end"/>
        </w:r>
      </w:hyperlink>
    </w:p>
    <w:p w14:paraId="175F7DE8" w14:textId="52D0FC1C"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11" w:history="1">
        <w:r w:rsidR="00666127" w:rsidRPr="00321EC0">
          <w:rPr>
            <w:rStyle w:val="Hyperlink"/>
            <w:noProof/>
          </w:rPr>
          <w:t>1.4</w:t>
        </w:r>
        <w:r w:rsidR="00666127" w:rsidRPr="00321EC0">
          <w:rPr>
            <w:rFonts w:asciiTheme="minorHAnsi" w:eastAsiaTheme="minorEastAsia" w:hAnsiTheme="minorHAnsi" w:cstheme="minorBidi"/>
            <w:noProof/>
            <w:sz w:val="22"/>
            <w:szCs w:val="22"/>
          </w:rPr>
          <w:tab/>
        </w:r>
        <w:r w:rsidR="00666127" w:rsidRPr="00321EC0">
          <w:rPr>
            <w:rStyle w:val="Hyperlink"/>
            <w:noProof/>
          </w:rPr>
          <w:t>Additional estimates, resourcing and variations to outcomes</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_Toc62835711 \h </w:instrText>
        </w:r>
        <w:r w:rsidR="00666127" w:rsidRPr="00321EC0">
          <w:rPr>
            <w:noProof/>
            <w:webHidden/>
          </w:rPr>
        </w:r>
        <w:r w:rsidR="00666127" w:rsidRPr="00321EC0">
          <w:rPr>
            <w:noProof/>
            <w:webHidden/>
          </w:rPr>
          <w:fldChar w:fldCharType="separate"/>
        </w:r>
        <w:r w:rsidR="00CF6368">
          <w:rPr>
            <w:noProof/>
            <w:webHidden/>
          </w:rPr>
          <w:t>15</w:t>
        </w:r>
        <w:r w:rsidR="00666127" w:rsidRPr="00321EC0">
          <w:rPr>
            <w:noProof/>
            <w:webHidden/>
          </w:rPr>
          <w:fldChar w:fldCharType="end"/>
        </w:r>
      </w:hyperlink>
    </w:p>
    <w:p w14:paraId="456DDD76" w14:textId="4FE5B1B2"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12" w:history="1">
        <w:r w:rsidR="00666127" w:rsidRPr="00321EC0">
          <w:rPr>
            <w:rStyle w:val="Hyperlink"/>
            <w:noProof/>
          </w:rPr>
          <w:t>1.5</w:t>
        </w:r>
        <w:r w:rsidR="00666127" w:rsidRPr="00321EC0">
          <w:rPr>
            <w:rFonts w:asciiTheme="minorHAnsi" w:eastAsiaTheme="minorEastAsia" w:hAnsiTheme="minorHAnsi" w:cstheme="minorBidi"/>
            <w:noProof/>
            <w:sz w:val="22"/>
            <w:szCs w:val="22"/>
          </w:rPr>
          <w:tab/>
        </w:r>
        <w:r w:rsidR="00666127" w:rsidRPr="00321EC0">
          <w:rPr>
            <w:rStyle w:val="Hyperlink"/>
            <w:noProof/>
          </w:rPr>
          <w:t>Breakdown of additional estimates by appropriation bill</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_Toc62835712 \h </w:instrText>
        </w:r>
        <w:r w:rsidR="00666127" w:rsidRPr="00321EC0">
          <w:rPr>
            <w:noProof/>
            <w:webHidden/>
          </w:rPr>
        </w:r>
        <w:r w:rsidR="00666127" w:rsidRPr="00321EC0">
          <w:rPr>
            <w:noProof/>
            <w:webHidden/>
          </w:rPr>
          <w:fldChar w:fldCharType="separate"/>
        </w:r>
        <w:r w:rsidR="00CF6368">
          <w:rPr>
            <w:noProof/>
            <w:webHidden/>
          </w:rPr>
          <w:t>17</w:t>
        </w:r>
        <w:r w:rsidR="00666127" w:rsidRPr="00321EC0">
          <w:rPr>
            <w:noProof/>
            <w:webHidden/>
          </w:rPr>
          <w:fldChar w:fldCharType="end"/>
        </w:r>
      </w:hyperlink>
    </w:p>
    <w:p w14:paraId="22D5C9D7" w14:textId="35A3DF2E" w:rsidR="00666127" w:rsidRPr="00321EC0" w:rsidRDefault="0019528E">
      <w:pPr>
        <w:pStyle w:val="TOC1"/>
        <w:rPr>
          <w:rFonts w:asciiTheme="minorHAnsi" w:eastAsiaTheme="minorEastAsia" w:hAnsiTheme="minorHAnsi" w:cstheme="minorBidi"/>
          <w:b w:val="0"/>
          <w:noProof/>
          <w:sz w:val="22"/>
          <w:szCs w:val="22"/>
        </w:rPr>
      </w:pPr>
      <w:hyperlink w:anchor="_Toc62835713" w:history="1">
        <w:r w:rsidR="00666127" w:rsidRPr="00321EC0">
          <w:rPr>
            <w:rStyle w:val="Hyperlink"/>
            <w:noProof/>
          </w:rPr>
          <w:t>Section 2: Revisions to outcomes and planned performance</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_Toc62835713 \h </w:instrText>
        </w:r>
        <w:r w:rsidR="00666127" w:rsidRPr="00321EC0">
          <w:rPr>
            <w:noProof/>
            <w:webHidden/>
          </w:rPr>
        </w:r>
        <w:r w:rsidR="00666127" w:rsidRPr="00321EC0">
          <w:rPr>
            <w:noProof/>
            <w:webHidden/>
          </w:rPr>
          <w:fldChar w:fldCharType="separate"/>
        </w:r>
        <w:r w:rsidR="00CF6368">
          <w:rPr>
            <w:noProof/>
            <w:webHidden/>
          </w:rPr>
          <w:t>19</w:t>
        </w:r>
        <w:r w:rsidR="00666127" w:rsidRPr="00321EC0">
          <w:rPr>
            <w:noProof/>
            <w:webHidden/>
          </w:rPr>
          <w:fldChar w:fldCharType="end"/>
        </w:r>
      </w:hyperlink>
    </w:p>
    <w:p w14:paraId="7EAD0C00" w14:textId="5A2DEBA0" w:rsidR="00666127" w:rsidRPr="00321EC0" w:rsidRDefault="0019528E">
      <w:pPr>
        <w:pStyle w:val="TOC2"/>
        <w:tabs>
          <w:tab w:val="left" w:pos="400"/>
        </w:tabs>
        <w:rPr>
          <w:rFonts w:asciiTheme="minorHAnsi" w:eastAsiaTheme="minorEastAsia" w:hAnsiTheme="minorHAnsi" w:cstheme="minorBidi"/>
          <w:noProof/>
          <w:sz w:val="22"/>
          <w:szCs w:val="22"/>
        </w:rPr>
      </w:pPr>
      <w:hyperlink w:anchor="_Toc62835714" w:history="1">
        <w:r w:rsidR="00666127" w:rsidRPr="00321EC0">
          <w:rPr>
            <w:rStyle w:val="Hyperlink"/>
            <w:noProof/>
          </w:rPr>
          <w:t>2</w:t>
        </w:r>
        <w:r w:rsidR="00666127" w:rsidRPr="00321EC0">
          <w:rPr>
            <w:rFonts w:asciiTheme="minorHAnsi" w:eastAsiaTheme="minorEastAsia" w:hAnsiTheme="minorHAnsi" w:cstheme="minorBidi"/>
            <w:noProof/>
            <w:sz w:val="22"/>
            <w:szCs w:val="22"/>
          </w:rPr>
          <w:tab/>
        </w:r>
        <w:r w:rsidR="00666127" w:rsidRPr="00321EC0">
          <w:rPr>
            <w:rStyle w:val="Hyperlink"/>
            <w:noProof/>
          </w:rPr>
          <w:t>Changes to outcome and program structures</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_Toc62835714 \h </w:instrText>
        </w:r>
        <w:r w:rsidR="00666127" w:rsidRPr="00321EC0">
          <w:rPr>
            <w:noProof/>
            <w:webHidden/>
          </w:rPr>
        </w:r>
        <w:r w:rsidR="00666127" w:rsidRPr="00321EC0">
          <w:rPr>
            <w:noProof/>
            <w:webHidden/>
          </w:rPr>
          <w:fldChar w:fldCharType="separate"/>
        </w:r>
        <w:r w:rsidR="00CF6368">
          <w:rPr>
            <w:noProof/>
            <w:webHidden/>
          </w:rPr>
          <w:t>19</w:t>
        </w:r>
        <w:r w:rsidR="00666127" w:rsidRPr="00321EC0">
          <w:rPr>
            <w:noProof/>
            <w:webHidden/>
          </w:rPr>
          <w:fldChar w:fldCharType="end"/>
        </w:r>
      </w:hyperlink>
    </w:p>
    <w:p w14:paraId="4FB26678" w14:textId="7AFD820B"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15" w:history="1">
        <w:r w:rsidR="00666127" w:rsidRPr="00321EC0">
          <w:rPr>
            <w:rStyle w:val="Hyperlink"/>
            <w:noProof/>
          </w:rPr>
          <w:t>2.1</w:t>
        </w:r>
        <w:r w:rsidR="00666127" w:rsidRPr="00321EC0">
          <w:rPr>
            <w:rFonts w:asciiTheme="minorHAnsi" w:eastAsiaTheme="minorEastAsia" w:hAnsiTheme="minorHAnsi" w:cstheme="minorBidi"/>
            <w:noProof/>
            <w:sz w:val="22"/>
            <w:szCs w:val="22"/>
          </w:rPr>
          <w:tab/>
        </w:r>
        <w:r w:rsidR="00666127" w:rsidRPr="00321EC0">
          <w:rPr>
            <w:rStyle w:val="Hyperlink"/>
            <w:noProof/>
          </w:rPr>
          <w:t>Budgeted expenses and performance for Outcome 1</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_Toc62835715 \h </w:instrText>
        </w:r>
        <w:r w:rsidR="00666127" w:rsidRPr="00321EC0">
          <w:rPr>
            <w:noProof/>
            <w:webHidden/>
          </w:rPr>
        </w:r>
        <w:r w:rsidR="00666127" w:rsidRPr="00321EC0">
          <w:rPr>
            <w:noProof/>
            <w:webHidden/>
          </w:rPr>
          <w:fldChar w:fldCharType="separate"/>
        </w:r>
        <w:r w:rsidR="00CF6368">
          <w:rPr>
            <w:noProof/>
            <w:webHidden/>
          </w:rPr>
          <w:t>20</w:t>
        </w:r>
        <w:r w:rsidR="00666127" w:rsidRPr="00321EC0">
          <w:rPr>
            <w:noProof/>
            <w:webHidden/>
          </w:rPr>
          <w:fldChar w:fldCharType="end"/>
        </w:r>
      </w:hyperlink>
    </w:p>
    <w:p w14:paraId="0A11D6D9" w14:textId="51C85074"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16" w:history="1">
        <w:r w:rsidR="00666127" w:rsidRPr="00321EC0">
          <w:rPr>
            <w:rStyle w:val="Hyperlink"/>
            <w:noProof/>
          </w:rPr>
          <w:t>2.2</w:t>
        </w:r>
        <w:r w:rsidR="00666127" w:rsidRPr="00321EC0">
          <w:rPr>
            <w:rFonts w:asciiTheme="minorHAnsi" w:eastAsiaTheme="minorEastAsia" w:hAnsiTheme="minorHAnsi" w:cstheme="minorBidi"/>
            <w:noProof/>
            <w:sz w:val="22"/>
            <w:szCs w:val="22"/>
          </w:rPr>
          <w:tab/>
        </w:r>
        <w:r w:rsidR="00666127" w:rsidRPr="00321EC0">
          <w:rPr>
            <w:rStyle w:val="Hyperlink"/>
            <w:noProof/>
          </w:rPr>
          <w:t>Budgeted expenses and performance for Outcome 2</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_Toc62835716 \h </w:instrText>
        </w:r>
        <w:r w:rsidR="00666127" w:rsidRPr="00321EC0">
          <w:rPr>
            <w:noProof/>
            <w:webHidden/>
          </w:rPr>
        </w:r>
        <w:r w:rsidR="00666127" w:rsidRPr="00321EC0">
          <w:rPr>
            <w:noProof/>
            <w:webHidden/>
          </w:rPr>
          <w:fldChar w:fldCharType="separate"/>
        </w:r>
        <w:r w:rsidR="00CF6368">
          <w:rPr>
            <w:noProof/>
            <w:webHidden/>
          </w:rPr>
          <w:t>22</w:t>
        </w:r>
        <w:r w:rsidR="00666127" w:rsidRPr="00321EC0">
          <w:rPr>
            <w:noProof/>
            <w:webHidden/>
          </w:rPr>
          <w:fldChar w:fldCharType="end"/>
        </w:r>
      </w:hyperlink>
    </w:p>
    <w:p w14:paraId="696C00B8" w14:textId="3A18DB6F"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17" w:history="1">
        <w:r w:rsidR="00666127" w:rsidRPr="00321EC0">
          <w:rPr>
            <w:rStyle w:val="Hyperlink"/>
            <w:noProof/>
          </w:rPr>
          <w:t>2.3</w:t>
        </w:r>
        <w:r w:rsidR="00666127" w:rsidRPr="00321EC0">
          <w:rPr>
            <w:rFonts w:asciiTheme="minorHAnsi" w:eastAsiaTheme="minorEastAsia" w:hAnsiTheme="minorHAnsi" w:cstheme="minorBidi"/>
            <w:noProof/>
            <w:sz w:val="22"/>
            <w:szCs w:val="22"/>
          </w:rPr>
          <w:tab/>
        </w:r>
        <w:r w:rsidR="00666127" w:rsidRPr="00321EC0">
          <w:rPr>
            <w:rStyle w:val="Hyperlink"/>
            <w:noProof/>
          </w:rPr>
          <w:t>Budgeted expenses and performance for Outcome 3</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_Toc62835717 \h </w:instrText>
        </w:r>
        <w:r w:rsidR="00666127" w:rsidRPr="00321EC0">
          <w:rPr>
            <w:noProof/>
            <w:webHidden/>
          </w:rPr>
        </w:r>
        <w:r w:rsidR="00666127" w:rsidRPr="00321EC0">
          <w:rPr>
            <w:noProof/>
            <w:webHidden/>
          </w:rPr>
          <w:fldChar w:fldCharType="separate"/>
        </w:r>
        <w:r w:rsidR="00CF6368">
          <w:rPr>
            <w:noProof/>
            <w:webHidden/>
          </w:rPr>
          <w:t>36</w:t>
        </w:r>
        <w:r w:rsidR="00666127" w:rsidRPr="00321EC0">
          <w:rPr>
            <w:noProof/>
            <w:webHidden/>
          </w:rPr>
          <w:fldChar w:fldCharType="end"/>
        </w:r>
      </w:hyperlink>
    </w:p>
    <w:p w14:paraId="6F649464" w14:textId="32EDEA37" w:rsidR="00666127" w:rsidRPr="00321EC0" w:rsidRDefault="0019528E">
      <w:pPr>
        <w:pStyle w:val="TOC1"/>
        <w:rPr>
          <w:rFonts w:asciiTheme="minorHAnsi" w:eastAsiaTheme="minorEastAsia" w:hAnsiTheme="minorHAnsi" w:cstheme="minorBidi"/>
          <w:b w:val="0"/>
          <w:noProof/>
          <w:sz w:val="22"/>
          <w:szCs w:val="22"/>
        </w:rPr>
      </w:pPr>
      <w:hyperlink w:anchor="_Toc62835718" w:history="1">
        <w:r w:rsidR="00666127" w:rsidRPr="00321EC0">
          <w:rPr>
            <w:rStyle w:val="Hyperlink"/>
            <w:noProof/>
          </w:rPr>
          <w:t>Section 3: Special account flows and budgeted financial statements</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_Toc62835718 \h </w:instrText>
        </w:r>
        <w:r w:rsidR="00666127" w:rsidRPr="00321EC0">
          <w:rPr>
            <w:noProof/>
            <w:webHidden/>
          </w:rPr>
        </w:r>
        <w:r w:rsidR="00666127" w:rsidRPr="00321EC0">
          <w:rPr>
            <w:noProof/>
            <w:webHidden/>
          </w:rPr>
          <w:fldChar w:fldCharType="separate"/>
        </w:r>
        <w:r w:rsidR="00CF6368">
          <w:rPr>
            <w:noProof/>
            <w:webHidden/>
          </w:rPr>
          <w:t>39</w:t>
        </w:r>
        <w:r w:rsidR="00666127" w:rsidRPr="00321EC0">
          <w:rPr>
            <w:noProof/>
            <w:webHidden/>
          </w:rPr>
          <w:fldChar w:fldCharType="end"/>
        </w:r>
      </w:hyperlink>
    </w:p>
    <w:p w14:paraId="009DC2B5" w14:textId="479E2F33"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19" w:history="1">
        <w:r w:rsidR="00666127" w:rsidRPr="00321EC0">
          <w:rPr>
            <w:rStyle w:val="Hyperlink"/>
            <w:noProof/>
          </w:rPr>
          <w:t>3.1</w:t>
        </w:r>
        <w:r w:rsidR="00666127" w:rsidRPr="00321EC0">
          <w:rPr>
            <w:rFonts w:asciiTheme="minorHAnsi" w:eastAsiaTheme="minorEastAsia" w:hAnsiTheme="minorHAnsi" w:cstheme="minorBidi"/>
            <w:noProof/>
            <w:sz w:val="22"/>
            <w:szCs w:val="22"/>
          </w:rPr>
          <w:tab/>
        </w:r>
        <w:r w:rsidR="00666127" w:rsidRPr="00321EC0">
          <w:rPr>
            <w:rStyle w:val="Hyperlink"/>
            <w:noProof/>
          </w:rPr>
          <w:t>Special account flows</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_Toc62835719 \h </w:instrText>
        </w:r>
        <w:r w:rsidR="00666127" w:rsidRPr="00321EC0">
          <w:rPr>
            <w:noProof/>
            <w:webHidden/>
          </w:rPr>
        </w:r>
        <w:r w:rsidR="00666127" w:rsidRPr="00321EC0">
          <w:rPr>
            <w:noProof/>
            <w:webHidden/>
          </w:rPr>
          <w:fldChar w:fldCharType="separate"/>
        </w:r>
        <w:r w:rsidR="00CF6368">
          <w:rPr>
            <w:noProof/>
            <w:webHidden/>
          </w:rPr>
          <w:t>39</w:t>
        </w:r>
        <w:r w:rsidR="00666127" w:rsidRPr="00321EC0">
          <w:rPr>
            <w:noProof/>
            <w:webHidden/>
          </w:rPr>
          <w:fldChar w:fldCharType="end"/>
        </w:r>
      </w:hyperlink>
    </w:p>
    <w:p w14:paraId="3F434F54" w14:textId="117CD0F2" w:rsidR="00666127" w:rsidRPr="00321EC0" w:rsidRDefault="0019528E">
      <w:pPr>
        <w:pStyle w:val="TOC2"/>
        <w:tabs>
          <w:tab w:val="left" w:pos="660"/>
        </w:tabs>
        <w:rPr>
          <w:rFonts w:asciiTheme="minorHAnsi" w:eastAsiaTheme="minorEastAsia" w:hAnsiTheme="minorHAnsi" w:cstheme="minorBidi"/>
          <w:noProof/>
          <w:sz w:val="22"/>
          <w:szCs w:val="22"/>
        </w:rPr>
      </w:pPr>
      <w:hyperlink w:anchor="_Toc62835720" w:history="1">
        <w:r w:rsidR="00666127" w:rsidRPr="00321EC0">
          <w:rPr>
            <w:rStyle w:val="Hyperlink"/>
            <w:noProof/>
          </w:rPr>
          <w:t>3.2</w:t>
        </w:r>
        <w:r w:rsidR="00666127" w:rsidRPr="00321EC0">
          <w:rPr>
            <w:rFonts w:asciiTheme="minorHAnsi" w:eastAsiaTheme="minorEastAsia" w:hAnsiTheme="minorHAnsi" w:cstheme="minorBidi"/>
            <w:noProof/>
            <w:sz w:val="22"/>
            <w:szCs w:val="22"/>
          </w:rPr>
          <w:tab/>
        </w:r>
        <w:r w:rsidR="00666127" w:rsidRPr="00321EC0">
          <w:rPr>
            <w:rStyle w:val="Hyperlink"/>
            <w:noProof/>
          </w:rPr>
          <w:t>Budgeted financial statements</w:t>
        </w:r>
        <w:r w:rsidR="00666127" w:rsidRPr="00321EC0">
          <w:rPr>
            <w:noProof/>
            <w:webHidden/>
          </w:rPr>
          <w:tab/>
        </w:r>
        <w:r w:rsidR="00666127" w:rsidRPr="00321EC0">
          <w:rPr>
            <w:noProof/>
            <w:webHidden/>
          </w:rPr>
          <w:fldChar w:fldCharType="begin"/>
        </w:r>
        <w:r w:rsidR="00666127" w:rsidRPr="00321EC0">
          <w:rPr>
            <w:noProof/>
            <w:webHidden/>
          </w:rPr>
          <w:instrText xml:space="preserve"> PAGEREF _Toc62835720 \h </w:instrText>
        </w:r>
        <w:r w:rsidR="00666127" w:rsidRPr="00321EC0">
          <w:rPr>
            <w:noProof/>
            <w:webHidden/>
          </w:rPr>
        </w:r>
        <w:r w:rsidR="00666127" w:rsidRPr="00321EC0">
          <w:rPr>
            <w:noProof/>
            <w:webHidden/>
          </w:rPr>
          <w:fldChar w:fldCharType="separate"/>
        </w:r>
        <w:r w:rsidR="00CF6368">
          <w:rPr>
            <w:noProof/>
            <w:webHidden/>
          </w:rPr>
          <w:t>42</w:t>
        </w:r>
        <w:r w:rsidR="00666127" w:rsidRPr="00321EC0">
          <w:rPr>
            <w:noProof/>
            <w:webHidden/>
          </w:rPr>
          <w:fldChar w:fldCharType="end"/>
        </w:r>
      </w:hyperlink>
    </w:p>
    <w:p w14:paraId="14471E7D" w14:textId="77777777" w:rsidR="00050FE6" w:rsidRPr="00321EC0" w:rsidRDefault="00050FE6" w:rsidP="0035086F">
      <w:r w:rsidRPr="00321EC0">
        <w:fldChar w:fldCharType="end"/>
      </w:r>
    </w:p>
    <w:p w14:paraId="07695F9B" w14:textId="0EF4F027" w:rsidR="00855105" w:rsidRDefault="00855105" w:rsidP="0035086F">
      <w:r>
        <w:br w:type="page"/>
      </w:r>
    </w:p>
    <w:p w14:paraId="38470908" w14:textId="77777777" w:rsidR="00F51DAC" w:rsidRPr="00321EC0" w:rsidRDefault="0089686B" w:rsidP="00E95DE7">
      <w:pPr>
        <w:pStyle w:val="Heading1-LVL2"/>
      </w:pPr>
      <w:bookmarkStart w:id="162" w:name="_Toc210646447"/>
      <w:bookmarkStart w:id="163" w:name="_Toc210698426"/>
      <w:bookmarkStart w:id="164" w:name="_Toc63157719"/>
      <w:bookmarkStart w:id="165" w:name="_Toc63157966"/>
      <w:bookmarkStart w:id="166" w:name="OLE_LINK12"/>
      <w:bookmarkStart w:id="167" w:name="OLE_LINK13"/>
      <w:bookmarkEnd w:id="153"/>
      <w:bookmarkEnd w:id="154"/>
      <w:bookmarkEnd w:id="155"/>
      <w:bookmarkEnd w:id="156"/>
      <w:bookmarkEnd w:id="157"/>
      <w:bookmarkEnd w:id="158"/>
      <w:r w:rsidRPr="00321EC0">
        <w:rPr>
          <w:lang w:val="en-AU"/>
        </w:rPr>
        <w:t>Department of Finance</w:t>
      </w:r>
      <w:bookmarkEnd w:id="162"/>
      <w:bookmarkEnd w:id="163"/>
      <w:bookmarkEnd w:id="164"/>
      <w:bookmarkEnd w:id="165"/>
    </w:p>
    <w:p w14:paraId="18323ECB" w14:textId="77777777" w:rsidR="0090206F" w:rsidRPr="00321EC0" w:rsidRDefault="0090206F" w:rsidP="00E41681">
      <w:pPr>
        <w:pStyle w:val="Heading2-TOC"/>
      </w:pPr>
      <w:bookmarkStart w:id="168" w:name="_Toc62835707"/>
      <w:bookmarkStart w:id="169" w:name="_Toc63158588"/>
      <w:bookmarkStart w:id="170" w:name="_Toc490972399"/>
      <w:bookmarkStart w:id="171" w:name="_Toc491014616"/>
      <w:bookmarkStart w:id="172" w:name="_Toc491014758"/>
      <w:bookmarkStart w:id="173" w:name="_Toc491014938"/>
      <w:bookmarkStart w:id="174" w:name="_Toc491015085"/>
      <w:bookmarkStart w:id="175" w:name="_Toc491029232"/>
      <w:bookmarkStart w:id="176" w:name="_Toc491030321"/>
      <w:bookmarkStart w:id="177" w:name="_Toc491030781"/>
      <w:bookmarkStart w:id="178" w:name="_Toc491031344"/>
      <w:bookmarkStart w:id="179" w:name="_Toc491031931"/>
      <w:bookmarkStart w:id="180" w:name="_Toc491032101"/>
      <w:bookmarkStart w:id="181" w:name="_Toc491032212"/>
      <w:bookmarkStart w:id="182" w:name="_Toc491032319"/>
      <w:bookmarkStart w:id="183" w:name="_Toc491771706"/>
      <w:bookmarkStart w:id="184" w:name="_Toc491773281"/>
      <w:bookmarkStart w:id="185" w:name="_Toc23559340"/>
      <w:bookmarkStart w:id="186" w:name="_Toc23559374"/>
      <w:bookmarkStart w:id="187" w:name="_Toc23559665"/>
      <w:bookmarkStart w:id="188" w:name="_Toc23560128"/>
      <w:bookmarkStart w:id="189" w:name="_Toc23563423"/>
      <w:bookmarkStart w:id="190" w:name="_Toc77998677"/>
      <w:bookmarkStart w:id="191" w:name="_Toc79399716"/>
      <w:bookmarkStart w:id="192" w:name="_Toc112211956"/>
      <w:bookmarkStart w:id="193" w:name="_Toc112212050"/>
      <w:bookmarkStart w:id="194" w:name="_Toc112137868"/>
      <w:bookmarkStart w:id="195" w:name="_Toc112137890"/>
      <w:bookmarkStart w:id="196" w:name="_Toc210646448"/>
      <w:bookmarkStart w:id="197" w:name="_Toc210698427"/>
      <w:bookmarkStart w:id="198" w:name="_Toc210703208"/>
      <w:bookmarkStart w:id="199" w:name="_Toc436624138"/>
      <w:bookmarkStart w:id="200" w:name="_Toc436625439"/>
      <w:bookmarkStart w:id="201" w:name="_Toc449255759"/>
      <w:bookmarkStart w:id="202" w:name="_Toc490972400"/>
      <w:bookmarkStart w:id="203" w:name="_Toc491014617"/>
      <w:bookmarkStart w:id="204" w:name="_Toc491014759"/>
      <w:bookmarkStart w:id="205" w:name="_Toc491014939"/>
      <w:bookmarkStart w:id="206" w:name="_Toc491015086"/>
      <w:bookmarkStart w:id="207" w:name="_Toc491029233"/>
      <w:bookmarkStart w:id="208" w:name="_Toc491030322"/>
      <w:bookmarkStart w:id="209" w:name="_Toc491030782"/>
      <w:bookmarkStart w:id="210" w:name="_Toc491031345"/>
      <w:bookmarkStart w:id="211" w:name="_Toc491031932"/>
      <w:bookmarkStart w:id="212" w:name="_Toc491032102"/>
      <w:bookmarkStart w:id="213" w:name="_Toc491032213"/>
      <w:bookmarkStart w:id="214" w:name="_Toc491032320"/>
      <w:bookmarkStart w:id="215" w:name="_Toc491771707"/>
      <w:bookmarkStart w:id="216" w:name="_Toc491773282"/>
      <w:bookmarkStart w:id="217" w:name="_Toc23559341"/>
      <w:bookmarkStart w:id="218" w:name="_Toc23559375"/>
      <w:bookmarkStart w:id="219" w:name="_Toc23559666"/>
      <w:bookmarkStart w:id="220" w:name="_Toc23560129"/>
      <w:bookmarkStart w:id="221" w:name="_Toc23563424"/>
      <w:bookmarkStart w:id="222" w:name="_Toc77998678"/>
      <w:bookmarkStart w:id="223" w:name="_Toc79406107"/>
      <w:bookmarkStart w:id="224" w:name="_Toc79467809"/>
      <w:bookmarkStart w:id="225" w:name="_Toc112211957"/>
      <w:bookmarkStart w:id="226" w:name="_Toc112212051"/>
      <w:bookmarkStart w:id="227" w:name="_Toc112137869"/>
      <w:bookmarkStart w:id="228" w:name="_Toc112137891"/>
      <w:bookmarkEnd w:id="159"/>
      <w:bookmarkEnd w:id="160"/>
      <w:bookmarkEnd w:id="161"/>
      <w:r w:rsidRPr="00321EC0">
        <w:t xml:space="preserve">Section 1: </w:t>
      </w:r>
      <w:r w:rsidR="00726A60" w:rsidRPr="00321EC0">
        <w:t>Entity</w:t>
      </w:r>
      <w:r w:rsidRPr="00321EC0">
        <w:t xml:space="preserve"> </w:t>
      </w:r>
      <w:r w:rsidR="002322E9" w:rsidRPr="00321EC0">
        <w:t>overview and resources</w:t>
      </w:r>
      <w:bookmarkEnd w:id="168"/>
      <w:bookmarkEnd w:id="169"/>
    </w:p>
    <w:p w14:paraId="5A9F9EC7" w14:textId="77777777" w:rsidR="00F51DAC" w:rsidRPr="00321EC0" w:rsidRDefault="00F51DAC" w:rsidP="00F51DAC">
      <w:pPr>
        <w:pStyle w:val="Heading3"/>
        <w:rPr>
          <w:lang w:val="en-AU"/>
        </w:rPr>
      </w:pPr>
      <w:bookmarkStart w:id="229" w:name="_Toc210703209"/>
      <w:bookmarkStart w:id="230" w:name="_Toc531094583"/>
      <w:bookmarkStart w:id="231" w:name="_Toc531095062"/>
      <w:bookmarkStart w:id="232" w:name="_Toc62835708"/>
      <w:bookmarkStart w:id="233" w:name="_Toc6315858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321EC0">
        <w:t>1.1</w:t>
      </w:r>
      <w:r w:rsidRPr="00321EC0">
        <w:tab/>
      </w:r>
      <w:bookmarkStart w:id="234" w:name="_Toc210646449"/>
      <w:bookmarkStart w:id="235" w:name="_Toc21069842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21EC0">
        <w:t xml:space="preserve">Strategic </w:t>
      </w:r>
      <w:r w:rsidR="002322E9" w:rsidRPr="00321EC0">
        <w:t>direction</w:t>
      </w:r>
      <w:bookmarkEnd w:id="229"/>
      <w:bookmarkEnd w:id="234"/>
      <w:bookmarkEnd w:id="235"/>
      <w:r w:rsidR="002322E9" w:rsidRPr="00321EC0">
        <w:rPr>
          <w:lang w:val="en-AU"/>
        </w:rPr>
        <w:t xml:space="preserve"> statement</w:t>
      </w:r>
      <w:bookmarkEnd w:id="230"/>
      <w:bookmarkEnd w:id="231"/>
      <w:bookmarkEnd w:id="232"/>
      <w:bookmarkEnd w:id="233"/>
    </w:p>
    <w:p w14:paraId="389B1880" w14:textId="77777777" w:rsidR="0089686B" w:rsidRDefault="0089686B" w:rsidP="0089686B">
      <w:pPr>
        <w:autoSpaceDE w:val="0"/>
        <w:autoSpaceDN w:val="0"/>
        <w:adjustRightInd w:val="0"/>
        <w:spacing w:after="0" w:line="240" w:lineRule="auto"/>
        <w:jc w:val="left"/>
      </w:pPr>
      <w:bookmarkStart w:id="236" w:name="_Toc436624139"/>
      <w:bookmarkStart w:id="237" w:name="_Toc436625440"/>
      <w:bookmarkStart w:id="238" w:name="_Toc449255760"/>
      <w:r w:rsidRPr="00321EC0">
        <w:t xml:space="preserve">As part of the 2020-21 Mid-Year Economic and Fiscal Outlook, the Government announced a number of government decisions with impacts for the Department of Finance. No decisions have been announced as part of the </w:t>
      </w:r>
      <w:r w:rsidR="00132748" w:rsidRPr="00321EC0">
        <w:t>2020</w:t>
      </w:r>
      <w:r w:rsidRPr="00321EC0">
        <w:t>-2</w:t>
      </w:r>
      <w:r w:rsidR="00132748" w:rsidRPr="00321EC0">
        <w:t>1</w:t>
      </w:r>
      <w:r w:rsidRPr="00321EC0">
        <w:t xml:space="preserve"> Additional Estimates. </w:t>
      </w:r>
    </w:p>
    <w:p w14:paraId="3107C908" w14:textId="77777777" w:rsidR="001A3F6B" w:rsidRDefault="001A3F6B" w:rsidP="0089686B">
      <w:pPr>
        <w:autoSpaceDE w:val="0"/>
        <w:autoSpaceDN w:val="0"/>
        <w:adjustRightInd w:val="0"/>
        <w:spacing w:after="0" w:line="240" w:lineRule="auto"/>
        <w:jc w:val="left"/>
      </w:pPr>
    </w:p>
    <w:p w14:paraId="12B80C47" w14:textId="77777777" w:rsidR="001A3F6B" w:rsidRDefault="001A3F6B" w:rsidP="00280D94">
      <w:pPr>
        <w:pStyle w:val="TableHeading"/>
        <w:spacing w:after="120"/>
        <w:rPr>
          <w:lang w:val="en-AU"/>
        </w:rPr>
      </w:pPr>
      <w:bookmarkStart w:id="239" w:name="_Toc210703210"/>
      <w:bookmarkStart w:id="240" w:name="_Toc531094584"/>
      <w:bookmarkStart w:id="241" w:name="_Toc531095063"/>
      <w:bookmarkStart w:id="242" w:name="_Toc62835709"/>
      <w:bookmarkStart w:id="243" w:name="_Toc63158590"/>
      <w:bookmarkEnd w:id="166"/>
      <w:bookmarkEnd w:id="167"/>
      <w:r>
        <w:t xml:space="preserve">Australian Electoral Commission – Polling </w:t>
      </w:r>
      <w:r>
        <w:rPr>
          <w:lang w:val="en-AU"/>
        </w:rPr>
        <w:t>Place Technology</w:t>
      </w:r>
    </w:p>
    <w:p w14:paraId="39BBC780" w14:textId="77777777" w:rsidR="00280D94" w:rsidRPr="00280D94" w:rsidRDefault="001A3F6B" w:rsidP="00280D94">
      <w:pPr>
        <w:pStyle w:val="TableGraphic"/>
        <w:spacing w:after="120"/>
        <w:rPr>
          <w:i w:val="0"/>
          <w:color w:val="auto"/>
        </w:rPr>
      </w:pPr>
      <w:r w:rsidRPr="001A3F6B">
        <w:rPr>
          <w:i w:val="0"/>
          <w:color w:val="auto"/>
        </w:rPr>
        <w:t xml:space="preserve">The Government will provide $26.8 million over four years (including $9.3 million in capital funding) to enfranchise voters, mitigate against multiple voting and enhance </w:t>
      </w:r>
      <w:r>
        <w:rPr>
          <w:i w:val="0"/>
          <w:color w:val="auto"/>
        </w:rPr>
        <w:t xml:space="preserve">coordination of elections by:  </w:t>
      </w:r>
    </w:p>
    <w:p w14:paraId="73E14CD1" w14:textId="77777777" w:rsidR="00280D94" w:rsidRPr="00280D94" w:rsidRDefault="001A3F6B" w:rsidP="00280D94">
      <w:pPr>
        <w:pStyle w:val="TableGraphic"/>
        <w:numPr>
          <w:ilvl w:val="0"/>
          <w:numId w:val="39"/>
        </w:numPr>
        <w:spacing w:after="120"/>
        <w:rPr>
          <w:i w:val="0"/>
          <w:color w:val="auto"/>
        </w:rPr>
      </w:pPr>
      <w:r w:rsidRPr="001A3F6B">
        <w:rPr>
          <w:i w:val="0"/>
          <w:color w:val="auto"/>
        </w:rPr>
        <w:t xml:space="preserve">modernising the technology supporting Electronic Certified Lists, to support deployment at more vote issuing points </w:t>
      </w:r>
    </w:p>
    <w:p w14:paraId="254CED88" w14:textId="77777777" w:rsidR="00280D94" w:rsidRPr="00280D94" w:rsidRDefault="001A3F6B" w:rsidP="00280D94">
      <w:pPr>
        <w:pStyle w:val="TableGraphic"/>
        <w:numPr>
          <w:ilvl w:val="0"/>
          <w:numId w:val="39"/>
        </w:numPr>
        <w:spacing w:after="120"/>
        <w:rPr>
          <w:i w:val="0"/>
          <w:color w:val="auto"/>
        </w:rPr>
      </w:pPr>
      <w:r w:rsidRPr="001A3F6B">
        <w:rPr>
          <w:i w:val="0"/>
          <w:color w:val="auto"/>
        </w:rPr>
        <w:t xml:space="preserve">developing and piloting a secure communications tool to connect selected Officers in Charge located at polling places with the Australian Electoral Commission coordination centre and support faster </w:t>
      </w:r>
      <w:r>
        <w:rPr>
          <w:i w:val="0"/>
          <w:color w:val="auto"/>
        </w:rPr>
        <w:t>reporting of polling activities</w:t>
      </w:r>
    </w:p>
    <w:p w14:paraId="13413AC6" w14:textId="77777777" w:rsidR="00280D94" w:rsidRPr="00280D94" w:rsidRDefault="001A3F6B" w:rsidP="00280D94">
      <w:pPr>
        <w:pStyle w:val="TableGraphic"/>
        <w:numPr>
          <w:ilvl w:val="0"/>
          <w:numId w:val="39"/>
        </w:numPr>
        <w:spacing w:after="240"/>
        <w:ind w:left="714" w:hanging="357"/>
        <w:rPr>
          <w:i w:val="0"/>
          <w:color w:val="auto"/>
        </w:rPr>
      </w:pPr>
      <w:r w:rsidRPr="001A3F6B">
        <w:rPr>
          <w:i w:val="0"/>
          <w:color w:val="auto"/>
        </w:rPr>
        <w:t xml:space="preserve">undertaking a scoping study into complementary solutions that help maintain the integrity of Australia’s electoral system.  </w:t>
      </w:r>
    </w:p>
    <w:p w14:paraId="48787287" w14:textId="77777777" w:rsidR="00A37941" w:rsidRPr="005E6794" w:rsidRDefault="005E6794" w:rsidP="00280D94">
      <w:pPr>
        <w:pStyle w:val="TableHeading"/>
        <w:spacing w:after="120"/>
        <w:rPr>
          <w:lang w:val="en-AU"/>
        </w:rPr>
      </w:pPr>
      <w:r>
        <w:rPr>
          <w:lang w:val="en-AU"/>
        </w:rPr>
        <w:t>Northern Endeavour Decommission</w:t>
      </w:r>
    </w:p>
    <w:p w14:paraId="4FCE9283" w14:textId="77777777" w:rsidR="001A3F6B" w:rsidRDefault="00A37941" w:rsidP="00280D94">
      <w:pPr>
        <w:spacing w:after="120"/>
      </w:pPr>
      <w:r w:rsidRPr="00A37941">
        <w:t>The Government will provide funding over three years from 2020-21 to decommission the Northern Endeavour floating production storage and offtake facility and remediate the Laminaria-Corallina oil fields.</w:t>
      </w:r>
    </w:p>
    <w:p w14:paraId="42D793E4" w14:textId="77777777" w:rsidR="00BC2363" w:rsidRDefault="00BC2363" w:rsidP="00280D94">
      <w:pPr>
        <w:spacing w:after="120"/>
      </w:pPr>
      <w:r>
        <w:t xml:space="preserve">This measure is required to avoid possible catastrophic environmental damage as a commercial restart of the facility is not viable.  </w:t>
      </w:r>
    </w:p>
    <w:p w14:paraId="635165AC" w14:textId="77777777" w:rsidR="00BC2363" w:rsidRDefault="00BC2363" w:rsidP="00280D94">
      <w:pPr>
        <w:spacing w:after="120"/>
      </w:pPr>
      <w:r>
        <w:t xml:space="preserve">The financial implications for the Department of Industry, Science, Energy and Resources is not for publication (nfp) due to commercial sensitivities.  </w:t>
      </w:r>
    </w:p>
    <w:p w14:paraId="44B65B24" w14:textId="77777777" w:rsidR="00BC2363" w:rsidRDefault="00BC2363" w:rsidP="00280D94">
      <w:pPr>
        <w:spacing w:after="120"/>
      </w:pPr>
      <w:r>
        <w:t xml:space="preserve">This measure builds on the July 2020 Economic and Fiscal Update measure titled </w:t>
      </w:r>
      <w:r w:rsidRPr="00280D94">
        <w:rPr>
          <w:i/>
        </w:rPr>
        <w:t>Northern Endeavour Temporary Operations Program</w:t>
      </w:r>
      <w:r>
        <w:t>.</w:t>
      </w:r>
    </w:p>
    <w:p w14:paraId="22D33DE2" w14:textId="77777777" w:rsidR="00F51DAC" w:rsidRPr="00321EC0" w:rsidRDefault="00F51DAC" w:rsidP="00F51DAC">
      <w:pPr>
        <w:pStyle w:val="Heading3"/>
      </w:pPr>
      <w:r w:rsidRPr="00321EC0">
        <w:t>1.2</w:t>
      </w:r>
      <w:bookmarkEnd w:id="239"/>
      <w:r w:rsidRPr="00321EC0">
        <w:tab/>
      </w:r>
      <w:bookmarkStart w:id="244" w:name="_Toc490972403"/>
      <w:bookmarkStart w:id="245" w:name="_Toc491014620"/>
      <w:bookmarkStart w:id="246" w:name="_Toc491014762"/>
      <w:bookmarkStart w:id="247" w:name="_Toc491014942"/>
      <w:bookmarkStart w:id="248" w:name="_Toc491015089"/>
      <w:bookmarkStart w:id="249" w:name="_Toc491032105"/>
      <w:bookmarkEnd w:id="236"/>
      <w:bookmarkEnd w:id="237"/>
      <w:bookmarkEnd w:id="238"/>
      <w:r w:rsidR="00726A60" w:rsidRPr="00321EC0">
        <w:t>Entity</w:t>
      </w:r>
      <w:r w:rsidRPr="00321EC0">
        <w:t xml:space="preserve"> </w:t>
      </w:r>
      <w:r w:rsidR="002322E9" w:rsidRPr="00321EC0">
        <w:t>resource statement</w:t>
      </w:r>
      <w:bookmarkEnd w:id="240"/>
      <w:bookmarkEnd w:id="241"/>
      <w:bookmarkEnd w:id="242"/>
      <w:bookmarkEnd w:id="243"/>
    </w:p>
    <w:p w14:paraId="1CF9DDB9" w14:textId="77777777" w:rsidR="00F51DAC" w:rsidRPr="00321EC0" w:rsidRDefault="00F51DAC" w:rsidP="00F51DAC">
      <w:r w:rsidRPr="00321EC0">
        <w:t xml:space="preserve">The </w:t>
      </w:r>
      <w:r w:rsidR="00726A60" w:rsidRPr="00321EC0">
        <w:t>Entity</w:t>
      </w:r>
      <w:r w:rsidRPr="00321EC0">
        <w:t xml:space="preserve"> Resource Statement details the resourcing for </w:t>
      </w:r>
      <w:r w:rsidR="00726A60" w:rsidRPr="00321EC0">
        <w:t>entity</w:t>
      </w:r>
      <w:r w:rsidRPr="00321EC0">
        <w:t xml:space="preserve"> </w:t>
      </w:r>
      <w:r w:rsidR="00132748" w:rsidRPr="00321EC0">
        <w:t>Finance</w:t>
      </w:r>
      <w:r w:rsidRPr="00321EC0">
        <w:t xml:space="preserve"> at Additional Estimates</w:t>
      </w:r>
      <w:r w:rsidR="00E15CF3" w:rsidRPr="00321EC0">
        <w:t xml:space="preserve">. </w:t>
      </w:r>
      <w:r w:rsidRPr="00321EC0">
        <w:t xml:space="preserve">Table 1.1 outlines the total resourcing available from all sources for the </w:t>
      </w:r>
      <w:r w:rsidR="007C0692" w:rsidRPr="00321EC0">
        <w:t>2020</w:t>
      </w:r>
      <w:r w:rsidR="007D74C9" w:rsidRPr="00321EC0">
        <w:noBreakHyphen/>
      </w:r>
      <w:r w:rsidR="007C0692" w:rsidRPr="00321EC0">
        <w:t>21</w:t>
      </w:r>
      <w:r w:rsidRPr="00321EC0">
        <w:t xml:space="preserve"> Budget year, including variations through Appropriation Bill</w:t>
      </w:r>
      <w:r w:rsidR="00A156A3" w:rsidRPr="00321EC0">
        <w:t>s</w:t>
      </w:r>
      <w:r w:rsidRPr="00321EC0">
        <w:t xml:space="preserve"> No.</w:t>
      </w:r>
      <w:r w:rsidR="00B7550E" w:rsidRPr="00321EC0">
        <w:t xml:space="preserve"> </w:t>
      </w:r>
      <w:r w:rsidRPr="00321EC0">
        <w:t xml:space="preserve">3 </w:t>
      </w:r>
      <w:r w:rsidR="001A1C55" w:rsidRPr="00321EC0">
        <w:t>and</w:t>
      </w:r>
      <w:r w:rsidR="00B7550E" w:rsidRPr="00321EC0">
        <w:t xml:space="preserve"> </w:t>
      </w:r>
      <w:r w:rsidRPr="00321EC0">
        <w:t>No.</w:t>
      </w:r>
      <w:r w:rsidR="00B7550E" w:rsidRPr="00321EC0">
        <w:t xml:space="preserve"> </w:t>
      </w:r>
      <w:r w:rsidRPr="00321EC0">
        <w:t>4</w:t>
      </w:r>
      <w:r w:rsidRPr="00321EC0">
        <w:rPr>
          <w:i/>
        </w:rPr>
        <w:t>,</w:t>
      </w:r>
      <w:r w:rsidRPr="00321EC0">
        <w:t xml:space="preserve"> </w:t>
      </w:r>
      <w:r w:rsidR="00272B20" w:rsidRPr="00321EC0">
        <w:t>S</w:t>
      </w:r>
      <w:r w:rsidRPr="00321EC0">
        <w:t xml:space="preserve">pecial </w:t>
      </w:r>
      <w:r w:rsidR="00272B20" w:rsidRPr="00321EC0">
        <w:t>A</w:t>
      </w:r>
      <w:r w:rsidRPr="00321EC0">
        <w:t xml:space="preserve">ppropriations and </w:t>
      </w:r>
      <w:r w:rsidR="00272B20" w:rsidRPr="00321EC0">
        <w:t>S</w:t>
      </w:r>
      <w:r w:rsidRPr="00321EC0">
        <w:t xml:space="preserve">pecial </w:t>
      </w:r>
      <w:r w:rsidR="00272B20" w:rsidRPr="00321EC0">
        <w:t>A</w:t>
      </w:r>
      <w:r w:rsidRPr="00321EC0">
        <w:t xml:space="preserve">ccounts. </w:t>
      </w:r>
    </w:p>
    <w:p w14:paraId="38BBB4C9" w14:textId="77777777" w:rsidR="0073762B" w:rsidRPr="00321EC0" w:rsidRDefault="00F51DAC" w:rsidP="006A4182">
      <w:pPr>
        <w:pStyle w:val="TableHeading"/>
        <w:rPr>
          <w:lang w:val="en-AU"/>
        </w:rPr>
      </w:pPr>
      <w:r w:rsidRPr="00321EC0">
        <w:br w:type="page"/>
      </w:r>
      <w:bookmarkStart w:id="250" w:name="OLE_LINK9"/>
      <w:r w:rsidRPr="00321EC0">
        <w:t xml:space="preserve">Table 1.1: </w:t>
      </w:r>
      <w:r w:rsidR="00D0497B" w:rsidRPr="00321EC0">
        <w:rPr>
          <w:lang w:val="en-AU"/>
        </w:rPr>
        <w:t>Department of Finance</w:t>
      </w:r>
      <w:r w:rsidRPr="00321EC0">
        <w:t xml:space="preserve"> </w:t>
      </w:r>
      <w:r w:rsidR="0039259E" w:rsidRPr="00321EC0">
        <w:t xml:space="preserve">resource statement </w:t>
      </w:r>
      <w:r w:rsidR="00E15CF3" w:rsidRPr="00321EC0">
        <w:t xml:space="preserve">— </w:t>
      </w:r>
      <w:r w:rsidRPr="00321EC0">
        <w:t xml:space="preserve">Additional </w:t>
      </w:r>
      <w:r w:rsidR="00B7550E" w:rsidRPr="00321EC0">
        <w:t>E</w:t>
      </w:r>
      <w:r w:rsidRPr="00321EC0">
        <w:t xml:space="preserve">stimates for </w:t>
      </w:r>
      <w:r w:rsidRPr="00321EC0">
        <w:br/>
      </w:r>
      <w:r w:rsidR="008A6813" w:rsidRPr="00321EC0">
        <w:rPr>
          <w:lang w:val="en-AU"/>
        </w:rPr>
        <w:t>2020-21</w:t>
      </w:r>
      <w:r w:rsidRPr="00321EC0">
        <w:t xml:space="preserve"> as at </w:t>
      </w:r>
      <w:r w:rsidR="00195563" w:rsidRPr="00321EC0">
        <w:t>February</w:t>
      </w:r>
      <w:r w:rsidRPr="00321EC0">
        <w:t xml:space="preserve"> </w:t>
      </w:r>
      <w:bookmarkEnd w:id="250"/>
      <w:r w:rsidR="008A6813" w:rsidRPr="00321EC0">
        <w:rPr>
          <w:lang w:val="en-AU"/>
        </w:rPr>
        <w:t>2021</w:t>
      </w:r>
    </w:p>
    <w:p w14:paraId="14134DCD" w14:textId="4E433B63" w:rsidR="00C12315" w:rsidRPr="00321EC0" w:rsidRDefault="00226BC6" w:rsidP="00D948BC">
      <w:pPr>
        <w:pStyle w:val="TableGraphic"/>
      </w:pPr>
      <w:r w:rsidRPr="00226BC6">
        <w:rPr>
          <w:noProof/>
        </w:rPr>
        <w:drawing>
          <wp:inline distT="0" distB="0" distL="0" distR="0" wp14:anchorId="07EF4A26" wp14:editId="62FC7C72">
            <wp:extent cx="4896485" cy="6517344"/>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96485" cy="6517344"/>
                    </a:xfrm>
                    <a:prstGeom prst="rect">
                      <a:avLst/>
                    </a:prstGeom>
                    <a:noFill/>
                    <a:ln>
                      <a:noFill/>
                    </a:ln>
                  </pic:spPr>
                </pic:pic>
              </a:graphicData>
            </a:graphic>
          </wp:inline>
        </w:drawing>
      </w:r>
    </w:p>
    <w:p w14:paraId="439C6F97" w14:textId="77777777" w:rsidR="001222F0" w:rsidRPr="00321EC0" w:rsidRDefault="001222F0" w:rsidP="001222F0">
      <w:pPr>
        <w:spacing w:line="240" w:lineRule="auto"/>
        <w:rPr>
          <w:rFonts w:ascii="Arial" w:hAnsi="Arial" w:cs="Arial"/>
          <w:sz w:val="16"/>
        </w:rPr>
      </w:pPr>
      <w:r w:rsidRPr="00321EC0">
        <w:rPr>
          <w:rFonts w:ascii="Arial" w:hAnsi="Arial" w:cs="Arial"/>
          <w:sz w:val="16"/>
        </w:rPr>
        <w:t>Table continues on next page</w:t>
      </w:r>
    </w:p>
    <w:p w14:paraId="6371BD95" w14:textId="77777777" w:rsidR="00F045E6" w:rsidRPr="00321EC0" w:rsidRDefault="00F045E6" w:rsidP="00F045E6"/>
    <w:p w14:paraId="1D82F325" w14:textId="77777777" w:rsidR="00F51DAC" w:rsidRPr="00321EC0" w:rsidRDefault="00F51DAC" w:rsidP="00F51DAC">
      <w:pPr>
        <w:pStyle w:val="TableHeading"/>
        <w:rPr>
          <w:lang w:val="en-AU"/>
        </w:rPr>
      </w:pPr>
      <w:r w:rsidRPr="00321EC0">
        <w:br w:type="page"/>
      </w:r>
      <w:bookmarkStart w:id="251" w:name="OLE_LINK10"/>
      <w:bookmarkStart w:id="252" w:name="OLE_LINK11"/>
      <w:r w:rsidR="00C12315" w:rsidRPr="00321EC0">
        <w:t xml:space="preserve">Table 1.1: </w:t>
      </w:r>
      <w:r w:rsidR="00D0497B" w:rsidRPr="00321EC0">
        <w:rPr>
          <w:lang w:val="en-AU"/>
        </w:rPr>
        <w:t>Department of Finance</w:t>
      </w:r>
      <w:r w:rsidR="00D0497B" w:rsidRPr="00321EC0">
        <w:t xml:space="preserve"> </w:t>
      </w:r>
      <w:r w:rsidR="00C12315" w:rsidRPr="00321EC0">
        <w:t xml:space="preserve">resource statement — Additional Estimates for </w:t>
      </w:r>
      <w:r w:rsidR="00C12315" w:rsidRPr="00321EC0">
        <w:br/>
      </w:r>
      <w:r w:rsidR="008A6813" w:rsidRPr="00321EC0">
        <w:rPr>
          <w:lang w:val="en-AU"/>
        </w:rPr>
        <w:t>2020-21</w:t>
      </w:r>
      <w:r w:rsidR="00C12315" w:rsidRPr="00321EC0">
        <w:t xml:space="preserve"> as at February </w:t>
      </w:r>
      <w:r w:rsidR="008A6813" w:rsidRPr="00321EC0">
        <w:rPr>
          <w:lang w:val="en-AU"/>
        </w:rPr>
        <w:t>2021</w:t>
      </w:r>
    </w:p>
    <w:p w14:paraId="43B68924" w14:textId="044A32BD" w:rsidR="006C7442" w:rsidRPr="00321EC0" w:rsidRDefault="00226BC6" w:rsidP="006C7442">
      <w:pPr>
        <w:pStyle w:val="TableGraphic"/>
      </w:pPr>
      <w:r w:rsidRPr="00226BC6">
        <w:rPr>
          <w:noProof/>
        </w:rPr>
        <w:drawing>
          <wp:inline distT="0" distB="0" distL="0" distR="0" wp14:anchorId="0752F167" wp14:editId="79D30FFE">
            <wp:extent cx="4896485" cy="2888726"/>
            <wp:effectExtent l="0" t="0" r="0" b="698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96485" cy="2888726"/>
                    </a:xfrm>
                    <a:prstGeom prst="rect">
                      <a:avLst/>
                    </a:prstGeom>
                    <a:noFill/>
                    <a:ln>
                      <a:noFill/>
                    </a:ln>
                  </pic:spPr>
                </pic:pic>
              </a:graphicData>
            </a:graphic>
          </wp:inline>
        </w:drawing>
      </w:r>
    </w:p>
    <w:p w14:paraId="4CB7F47B" w14:textId="77777777" w:rsidR="00A310B1" w:rsidRPr="00321EC0" w:rsidRDefault="00A310B1" w:rsidP="00A310B1">
      <w:pPr>
        <w:pStyle w:val="ChartandTableFootnote"/>
      </w:pPr>
      <w:r w:rsidRPr="00321EC0">
        <w:t>Prepared on a resourcing (i.e. appropriations available) basis.</w:t>
      </w:r>
    </w:p>
    <w:p w14:paraId="482AFAAF" w14:textId="77777777" w:rsidR="00A310B1" w:rsidRPr="00321EC0" w:rsidRDefault="00A310B1" w:rsidP="00A310B1">
      <w:pPr>
        <w:pStyle w:val="ChartandTableFootnoteAlpha"/>
        <w:numPr>
          <w:ilvl w:val="0"/>
          <w:numId w:val="0"/>
        </w:numPr>
        <w:ind w:left="397"/>
      </w:pPr>
    </w:p>
    <w:p w14:paraId="33DFE9E9" w14:textId="77777777" w:rsidR="00982DEC" w:rsidRDefault="00982DEC" w:rsidP="00982DEC">
      <w:pPr>
        <w:pStyle w:val="ChartandTableFootnoteAlpha"/>
      </w:pPr>
      <w:r w:rsidRPr="00EC2120">
        <w:rPr>
          <w:i/>
        </w:rPr>
        <w:t>Appropriation Act (No. 1) 2020-21</w:t>
      </w:r>
      <w:r>
        <w:t xml:space="preserve"> and Appropriation Bill (No. 3) 2020-21</w:t>
      </w:r>
      <w:r w:rsidR="008104D4">
        <w:t>.</w:t>
      </w:r>
      <w:r>
        <w:tab/>
      </w:r>
      <w:r>
        <w:tab/>
      </w:r>
      <w:r>
        <w:tab/>
      </w:r>
    </w:p>
    <w:p w14:paraId="301D5D6C" w14:textId="77777777" w:rsidR="00982DEC" w:rsidRDefault="00EC2120" w:rsidP="00982DEC">
      <w:pPr>
        <w:pStyle w:val="ChartandTableFootnoteAlpha"/>
      </w:pPr>
      <w:r>
        <w:t>Represents actual</w:t>
      </w:r>
      <w:r w:rsidR="00982DEC">
        <w:t xml:space="preserve"> unspent ap</w:t>
      </w:r>
      <w:r w:rsidR="008104D4">
        <w:t>propriations available from 2018-19</w:t>
      </w:r>
      <w:r w:rsidR="00982DEC">
        <w:t>.</w:t>
      </w:r>
      <w:r w:rsidR="00982DEC">
        <w:tab/>
      </w:r>
      <w:r w:rsidR="00982DEC">
        <w:tab/>
      </w:r>
      <w:r w:rsidR="00982DEC">
        <w:tab/>
      </w:r>
    </w:p>
    <w:p w14:paraId="7195C08A" w14:textId="77777777" w:rsidR="00982DEC" w:rsidRDefault="00982DEC" w:rsidP="00982DEC">
      <w:pPr>
        <w:pStyle w:val="ChartandTableFootnoteAlpha"/>
      </w:pPr>
      <w:r>
        <w:t>Excludes departmental capital budget (DCB).</w:t>
      </w:r>
      <w:r>
        <w:tab/>
      </w:r>
      <w:r>
        <w:tab/>
      </w:r>
      <w:r>
        <w:tab/>
      </w:r>
      <w:r>
        <w:tab/>
      </w:r>
    </w:p>
    <w:p w14:paraId="190852D7" w14:textId="77777777" w:rsidR="00982DEC" w:rsidRDefault="00982DEC" w:rsidP="00982DEC">
      <w:pPr>
        <w:pStyle w:val="ChartandTableFootnoteAlpha"/>
      </w:pPr>
      <w:r>
        <w:t xml:space="preserve">Estimated retained revenue receipts under section 74 of the </w:t>
      </w:r>
      <w:r w:rsidRPr="00FD5C75">
        <w:rPr>
          <w:i/>
        </w:rPr>
        <w:t>Public Governance, Performance and Accountability Act 2013</w:t>
      </w:r>
      <w:r>
        <w:t xml:space="preserve"> (PGPA Act).</w:t>
      </w:r>
      <w:r>
        <w:tab/>
      </w:r>
      <w:r>
        <w:tab/>
      </w:r>
      <w:r>
        <w:tab/>
      </w:r>
      <w:r>
        <w:tab/>
      </w:r>
    </w:p>
    <w:p w14:paraId="6F5EBA60" w14:textId="2751BB14" w:rsidR="00982DEC" w:rsidRDefault="00982DEC" w:rsidP="00982DEC">
      <w:pPr>
        <w:pStyle w:val="ChartandTableFootnoteAlpha"/>
      </w:pPr>
      <w:r>
        <w:t>Departmental capital budgets are not separate</w:t>
      </w:r>
      <w:r w:rsidR="00E84034">
        <w:t>ly identified in Appropriation</w:t>
      </w:r>
      <w:r w:rsidR="00E84034" w:rsidRPr="00E84034">
        <w:t xml:space="preserve"> </w:t>
      </w:r>
      <w:r w:rsidR="00E84034">
        <w:t>Act</w:t>
      </w:r>
      <w:r w:rsidR="00E84034" w:rsidRPr="00321EC0">
        <w:t xml:space="preserve"> </w:t>
      </w:r>
      <w:r>
        <w:t>(No.</w:t>
      </w:r>
      <w:r w:rsidR="007D4D53">
        <w:t xml:space="preserve"> </w:t>
      </w:r>
      <w:r>
        <w:t xml:space="preserve">1) </w:t>
      </w:r>
      <w:r w:rsidR="008104D4">
        <w:t xml:space="preserve">and Appropriation Bill (No. 3) </w:t>
      </w:r>
      <w:r>
        <w:t>and form part of ordinary annual services items. Please refer to Table 3.6 for further details. For accounting purposes, this amount has been designated as a 'c</w:t>
      </w:r>
      <w:r w:rsidR="008104D4">
        <w:t>ontribution by owner'.</w:t>
      </w:r>
      <w:r>
        <w:tab/>
      </w:r>
    </w:p>
    <w:p w14:paraId="2020DE87" w14:textId="21D46389" w:rsidR="00982DEC" w:rsidRDefault="00982DEC" w:rsidP="00982DEC">
      <w:pPr>
        <w:pStyle w:val="ChartandTableFootnoteAlpha"/>
      </w:pPr>
      <w:r w:rsidRPr="00EC2120">
        <w:rPr>
          <w:i/>
        </w:rPr>
        <w:t xml:space="preserve">Appropriation </w:t>
      </w:r>
      <w:r w:rsidR="00E84034" w:rsidRPr="00EC2120">
        <w:rPr>
          <w:i/>
        </w:rPr>
        <w:t xml:space="preserve">Act </w:t>
      </w:r>
      <w:r w:rsidRPr="00EC2120">
        <w:rPr>
          <w:i/>
        </w:rPr>
        <w:t>(No.</w:t>
      </w:r>
      <w:r w:rsidR="007D4D53">
        <w:rPr>
          <w:i/>
        </w:rPr>
        <w:t xml:space="preserve"> </w:t>
      </w:r>
      <w:r w:rsidRPr="00EC2120">
        <w:rPr>
          <w:i/>
        </w:rPr>
        <w:t xml:space="preserve"> 2) </w:t>
      </w:r>
      <w:r w:rsidR="00EC2120" w:rsidRPr="00EC2120">
        <w:rPr>
          <w:i/>
        </w:rPr>
        <w:t xml:space="preserve">2020-21 </w:t>
      </w:r>
      <w:r w:rsidR="008104D4">
        <w:t>and Appropriation Bill (No.</w:t>
      </w:r>
      <w:r w:rsidR="007D4D53">
        <w:t xml:space="preserve"> </w:t>
      </w:r>
      <w:r w:rsidR="008104D4">
        <w:t xml:space="preserve">4) </w:t>
      </w:r>
      <w:r>
        <w:t>20</w:t>
      </w:r>
      <w:r w:rsidR="009C73E0">
        <w:t>20-21</w:t>
      </w:r>
      <w:r w:rsidR="008D79D6">
        <w:t>.</w:t>
      </w:r>
      <w:r w:rsidR="008D79D6">
        <w:tab/>
      </w:r>
      <w:r w:rsidR="008D79D6">
        <w:tab/>
      </w:r>
      <w:r w:rsidR="008D79D6">
        <w:tab/>
      </w:r>
    </w:p>
    <w:p w14:paraId="28059904" w14:textId="77777777" w:rsidR="00982DEC" w:rsidRDefault="00982DEC" w:rsidP="00982DEC">
      <w:pPr>
        <w:pStyle w:val="ChartandTableFootnoteAlpha"/>
      </w:pPr>
      <w:r>
        <w:t xml:space="preserve">For further information on special </w:t>
      </w:r>
      <w:r w:rsidR="008104D4">
        <w:t>accounts, see Table 3.1</w:t>
      </w:r>
      <w:r>
        <w:t>.</w:t>
      </w:r>
      <w:r>
        <w:tab/>
      </w:r>
      <w:r>
        <w:tab/>
      </w:r>
      <w:r>
        <w:tab/>
      </w:r>
      <w:r>
        <w:tab/>
      </w:r>
    </w:p>
    <w:p w14:paraId="79CBFC3A" w14:textId="77777777" w:rsidR="00982DEC" w:rsidRDefault="00982DEC" w:rsidP="00982DEC">
      <w:pPr>
        <w:pStyle w:val="ChartandTableFootnoteAlpha"/>
      </w:pPr>
      <w:r w:rsidRPr="00982DEC">
        <w:t xml:space="preserve">Amounts credited to the special account(s) from </w:t>
      </w:r>
      <w:r w:rsidR="00EC2120">
        <w:t>Finance’s</w:t>
      </w:r>
      <w:r w:rsidRPr="00982DEC">
        <w:t xml:space="preserve"> annual and special appropriations. </w:t>
      </w:r>
    </w:p>
    <w:p w14:paraId="21982BBE" w14:textId="11E48885" w:rsidR="00A310B1" w:rsidRPr="00321EC0" w:rsidRDefault="00982DEC" w:rsidP="00982DEC">
      <w:pPr>
        <w:pStyle w:val="ChartandTableFootnoteAlpha"/>
      </w:pPr>
      <w:r>
        <w:t>Administered capital budgets are not separately identified in Appropriation Act (No. 1)</w:t>
      </w:r>
      <w:r w:rsidR="008104D4">
        <w:t xml:space="preserve"> and Appropriation Bill (No.</w:t>
      </w:r>
      <w:r w:rsidR="007D4D53">
        <w:t xml:space="preserve"> </w:t>
      </w:r>
      <w:r w:rsidR="008104D4">
        <w:t>3)</w:t>
      </w:r>
      <w:r>
        <w:t xml:space="preserve"> and form part of ordinary annual services items. Please refer to Table 3.11 for further details. For accounting purposes, this amount is designated as a 'contribution by owner'.</w:t>
      </w:r>
    </w:p>
    <w:p w14:paraId="65D2D670" w14:textId="77777777" w:rsidR="00A310B1" w:rsidRPr="00321EC0" w:rsidRDefault="00A310B1" w:rsidP="00A310B1">
      <w:pPr>
        <w:pStyle w:val="ChartandTableFootnoteAlpha"/>
        <w:numPr>
          <w:ilvl w:val="0"/>
          <w:numId w:val="0"/>
        </w:numPr>
        <w:ind w:left="397"/>
      </w:pPr>
    </w:p>
    <w:p w14:paraId="64796C4A" w14:textId="77777777" w:rsidR="00A310B1" w:rsidRPr="00321EC0" w:rsidRDefault="00A310B1" w:rsidP="00A310B1">
      <w:pPr>
        <w:pStyle w:val="ChartandTableFootnoteAlpha"/>
        <w:numPr>
          <w:ilvl w:val="0"/>
          <w:numId w:val="0"/>
        </w:numPr>
        <w:ind w:left="397"/>
      </w:pPr>
      <w:r w:rsidRPr="00321EC0">
        <w:t xml:space="preserve">Note: </w:t>
      </w:r>
      <w:r w:rsidR="00B3269D" w:rsidRPr="00B3269D">
        <w:t>All figures shown above are GST exclusive – these may not match figures in the cash flow statement.</w:t>
      </w:r>
    </w:p>
    <w:p w14:paraId="213C386A" w14:textId="77777777" w:rsidR="00776C93" w:rsidRPr="00321EC0" w:rsidRDefault="00776C93">
      <w:pPr>
        <w:spacing w:after="0" w:line="240" w:lineRule="auto"/>
        <w:jc w:val="left"/>
        <w:rPr>
          <w:rFonts w:ascii="Arial" w:hAnsi="Arial"/>
          <w:b/>
          <w:lang w:val="x-none"/>
        </w:rPr>
      </w:pPr>
      <w:r w:rsidRPr="00321EC0">
        <w:br w:type="page"/>
      </w:r>
    </w:p>
    <w:p w14:paraId="1E4CF2B5" w14:textId="77777777" w:rsidR="00F51DAC" w:rsidRPr="00321EC0" w:rsidRDefault="00F51DAC" w:rsidP="00F51DAC">
      <w:pPr>
        <w:pStyle w:val="TableHeading"/>
        <w:rPr>
          <w:lang w:val="en-AU"/>
        </w:rPr>
      </w:pPr>
      <w:r w:rsidRPr="00321EC0">
        <w:t xml:space="preserve">Table 1.1: </w:t>
      </w:r>
      <w:r w:rsidR="001E3E83" w:rsidRPr="00321EC0">
        <w:rPr>
          <w:lang w:val="en-AU"/>
        </w:rPr>
        <w:t>Department of Finance</w:t>
      </w:r>
      <w:r w:rsidR="001E3E83" w:rsidRPr="00321EC0">
        <w:t xml:space="preserve"> </w:t>
      </w:r>
      <w:r w:rsidR="00237790" w:rsidRPr="00321EC0">
        <w:t xml:space="preserve">resource statement — Additional Estimates for </w:t>
      </w:r>
      <w:r w:rsidR="00237790" w:rsidRPr="00321EC0">
        <w:br/>
      </w:r>
      <w:r w:rsidR="002E692E" w:rsidRPr="00321EC0">
        <w:rPr>
          <w:lang w:val="en-AU"/>
        </w:rPr>
        <w:t>2020-21</w:t>
      </w:r>
      <w:r w:rsidR="00237790" w:rsidRPr="00321EC0">
        <w:t xml:space="preserve"> as at February</w:t>
      </w:r>
      <w:r w:rsidR="00237790" w:rsidRPr="00321EC0" w:rsidDel="00237790">
        <w:t xml:space="preserve"> </w:t>
      </w:r>
      <w:r w:rsidR="002E692E" w:rsidRPr="00321EC0">
        <w:rPr>
          <w:lang w:val="en-AU"/>
        </w:rPr>
        <w:t>2021</w:t>
      </w:r>
      <w:r w:rsidR="002E692E" w:rsidRPr="00321EC0">
        <w:t xml:space="preserve"> </w:t>
      </w:r>
      <w:r w:rsidRPr="00321EC0">
        <w:t>(continued)</w:t>
      </w:r>
    </w:p>
    <w:p w14:paraId="0907C613" w14:textId="77777777" w:rsidR="00F51DAC" w:rsidRPr="00321EC0" w:rsidRDefault="00F51DAC" w:rsidP="00F51DAC">
      <w:pPr>
        <w:pStyle w:val="TableHeading"/>
      </w:pPr>
      <w:r w:rsidRPr="00321EC0">
        <w:t xml:space="preserve">Third </w:t>
      </w:r>
      <w:r w:rsidR="00643B7D" w:rsidRPr="00321EC0">
        <w:t xml:space="preserve">party payments </w:t>
      </w:r>
      <w:r w:rsidR="00755EB5" w:rsidRPr="00321EC0">
        <w:t>f</w:t>
      </w:r>
      <w:r w:rsidRPr="00321EC0">
        <w:t xml:space="preserve">rom and on </w:t>
      </w:r>
      <w:r w:rsidR="001D491D" w:rsidRPr="00321EC0">
        <w:t>behalf</w:t>
      </w:r>
      <w:r w:rsidRPr="00321EC0">
        <w:t xml:space="preserve"> of </w:t>
      </w:r>
      <w:r w:rsidR="001D491D" w:rsidRPr="00321EC0">
        <w:t>o</w:t>
      </w:r>
      <w:r w:rsidRPr="00321EC0">
        <w:t xml:space="preserve">ther </w:t>
      </w:r>
      <w:r w:rsidR="00726A60" w:rsidRPr="00321EC0">
        <w:t>entities</w:t>
      </w:r>
    </w:p>
    <w:p w14:paraId="0A4682D9" w14:textId="3D384BBF" w:rsidR="0073762B" w:rsidRPr="00321EC0" w:rsidRDefault="000B4F23" w:rsidP="008D3959">
      <w:pPr>
        <w:pStyle w:val="TableGraphic"/>
      </w:pPr>
      <w:r w:rsidRPr="00321EC0">
        <w:rPr>
          <w:i w:val="0"/>
        </w:rPr>
        <w:t xml:space="preserve"> </w:t>
      </w:r>
      <w:r w:rsidR="00FD2A26" w:rsidRPr="00FD2A26">
        <w:rPr>
          <w:noProof/>
        </w:rPr>
        <w:drawing>
          <wp:inline distT="0" distB="0" distL="0" distR="0" wp14:anchorId="3AADF48D" wp14:editId="7A8B5E39">
            <wp:extent cx="4896485" cy="617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96485" cy="6176750"/>
                    </a:xfrm>
                    <a:prstGeom prst="rect">
                      <a:avLst/>
                    </a:prstGeom>
                    <a:noFill/>
                    <a:ln>
                      <a:noFill/>
                    </a:ln>
                  </pic:spPr>
                </pic:pic>
              </a:graphicData>
            </a:graphic>
          </wp:inline>
        </w:drawing>
      </w:r>
    </w:p>
    <w:p w14:paraId="4E167E4C" w14:textId="77777777" w:rsidR="001222F0" w:rsidRPr="00321EC0" w:rsidRDefault="001222F0" w:rsidP="00264523">
      <w:pPr>
        <w:pStyle w:val="ChartandTableFootnoteAlpha"/>
        <w:numPr>
          <w:ilvl w:val="0"/>
          <w:numId w:val="3"/>
        </w:numPr>
      </w:pPr>
      <w:r w:rsidRPr="00321EC0">
        <w:t xml:space="preserve">Compensation and legal payments. </w:t>
      </w:r>
    </w:p>
    <w:p w14:paraId="4FF7FDAE" w14:textId="77777777" w:rsidR="001222F0" w:rsidRPr="00321EC0" w:rsidRDefault="001222F0" w:rsidP="00264523">
      <w:pPr>
        <w:pStyle w:val="ChartandTableFootnoteAlpha"/>
        <w:numPr>
          <w:ilvl w:val="0"/>
          <w:numId w:val="3"/>
        </w:numPr>
      </w:pPr>
      <w:r w:rsidRPr="00321EC0">
        <w:t xml:space="preserve">Act of grace payments.  </w:t>
      </w:r>
    </w:p>
    <w:p w14:paraId="77CBCE67" w14:textId="77777777" w:rsidR="001222F0" w:rsidRPr="00321EC0" w:rsidRDefault="001222F0" w:rsidP="001222F0">
      <w:pPr>
        <w:pStyle w:val="ChartandTableFootnoteAlpha"/>
        <w:numPr>
          <w:ilvl w:val="0"/>
          <w:numId w:val="0"/>
        </w:numPr>
      </w:pPr>
    </w:p>
    <w:p w14:paraId="60BA4F96" w14:textId="77777777" w:rsidR="001222F0" w:rsidRPr="00321EC0" w:rsidRDefault="001222F0" w:rsidP="001222F0">
      <w:pPr>
        <w:pStyle w:val="ChartandTableFootnoteAlpha"/>
        <w:numPr>
          <w:ilvl w:val="0"/>
          <w:numId w:val="0"/>
        </w:numPr>
      </w:pPr>
      <w:r w:rsidRPr="00321EC0">
        <w:t xml:space="preserve">Note: Figures presented on a payment (cash) basis. </w:t>
      </w:r>
    </w:p>
    <w:p w14:paraId="668C053B" w14:textId="77777777" w:rsidR="001222F0" w:rsidRPr="00321EC0" w:rsidRDefault="001222F0" w:rsidP="001222F0"/>
    <w:p w14:paraId="24B19D2D" w14:textId="77777777" w:rsidR="00F51DAC" w:rsidRPr="00321EC0" w:rsidRDefault="00E15CF3" w:rsidP="00F51DAC">
      <w:pPr>
        <w:pStyle w:val="Heading3"/>
        <w:rPr>
          <w:lang w:val="en-AU"/>
        </w:rPr>
      </w:pPr>
      <w:bookmarkStart w:id="253" w:name="_Toc531094585"/>
      <w:bookmarkStart w:id="254" w:name="_Toc531095064"/>
      <w:bookmarkStart w:id="255" w:name="_Toc62835710"/>
      <w:bookmarkStart w:id="256" w:name="_Toc63158591"/>
      <w:bookmarkStart w:id="257" w:name="OLE_LINK14"/>
      <w:bookmarkStart w:id="258" w:name="OLE_LINK15"/>
      <w:bookmarkEnd w:id="251"/>
      <w:bookmarkEnd w:id="252"/>
      <w:r w:rsidRPr="00321EC0">
        <w:t>1.3</w:t>
      </w:r>
      <w:r w:rsidRPr="00321EC0">
        <w:tab/>
      </w:r>
      <w:r w:rsidR="00726A60" w:rsidRPr="00321EC0">
        <w:t>Entity</w:t>
      </w:r>
      <w:r w:rsidR="00643B7D" w:rsidRPr="00321EC0">
        <w:t xml:space="preserve"> </w:t>
      </w:r>
      <w:r w:rsidR="004825D1" w:rsidRPr="00321EC0">
        <w:rPr>
          <w:lang w:val="en-AU"/>
        </w:rPr>
        <w:t>m</w:t>
      </w:r>
      <w:r w:rsidR="00A73170" w:rsidRPr="00321EC0">
        <w:rPr>
          <w:lang w:val="en-AU"/>
        </w:rPr>
        <w:t>easures</w:t>
      </w:r>
      <w:bookmarkEnd w:id="253"/>
      <w:bookmarkEnd w:id="254"/>
      <w:bookmarkEnd w:id="255"/>
      <w:bookmarkEnd w:id="256"/>
    </w:p>
    <w:p w14:paraId="4CE77AAC" w14:textId="77777777" w:rsidR="00F51DAC" w:rsidRPr="00321EC0" w:rsidRDefault="00F51DAC" w:rsidP="00F51DAC">
      <w:r w:rsidRPr="00321EC0">
        <w:t xml:space="preserve">Table 1.2 summarises new Government measures taken since the </w:t>
      </w:r>
      <w:r w:rsidR="00654B5B" w:rsidRPr="00321EC0">
        <w:t>2020-21</w:t>
      </w:r>
      <w:r w:rsidRPr="00321EC0">
        <w:t xml:space="preserve"> Budget</w:t>
      </w:r>
      <w:r w:rsidR="00E15CF3" w:rsidRPr="00321EC0">
        <w:t xml:space="preserve">. </w:t>
      </w:r>
      <w:r w:rsidRPr="00321EC0">
        <w:t xml:space="preserve">The table is split into </w:t>
      </w:r>
      <w:r w:rsidR="006030AA" w:rsidRPr="00321EC0">
        <w:t xml:space="preserve">receipt </w:t>
      </w:r>
      <w:r w:rsidRPr="00321EC0">
        <w:t xml:space="preserve">and </w:t>
      </w:r>
      <w:r w:rsidR="006030AA" w:rsidRPr="00321EC0">
        <w:t xml:space="preserve">payment </w:t>
      </w:r>
      <w:r w:rsidRPr="00321EC0">
        <w:t xml:space="preserve">measures, with the affected </w:t>
      </w:r>
      <w:r w:rsidR="00A81E21" w:rsidRPr="00321EC0">
        <w:t>program</w:t>
      </w:r>
      <w:r w:rsidR="009D4B20" w:rsidRPr="00321EC0">
        <w:t xml:space="preserve"> </w:t>
      </w:r>
      <w:r w:rsidRPr="00321EC0">
        <w:t>identified.</w:t>
      </w:r>
    </w:p>
    <w:p w14:paraId="675A0295" w14:textId="77777777" w:rsidR="00F51DAC" w:rsidRPr="00321EC0" w:rsidRDefault="00F51DAC" w:rsidP="00F51DAC">
      <w:pPr>
        <w:pStyle w:val="TableHeading"/>
      </w:pPr>
      <w:r w:rsidRPr="00321EC0">
        <w:t xml:space="preserve">Table 1.2: </w:t>
      </w:r>
      <w:r w:rsidR="001E3E83" w:rsidRPr="00321EC0">
        <w:rPr>
          <w:lang w:val="en-AU"/>
        </w:rPr>
        <w:t>Department of Finance</w:t>
      </w:r>
      <w:r w:rsidR="001E3E83" w:rsidRPr="00321EC0">
        <w:t xml:space="preserve"> </w:t>
      </w:r>
      <w:r w:rsidR="00654B5B" w:rsidRPr="00321EC0">
        <w:rPr>
          <w:lang w:val="en-AU"/>
        </w:rPr>
        <w:t>2020-21</w:t>
      </w:r>
      <w:r w:rsidRPr="00321EC0">
        <w:t xml:space="preserve"> </w:t>
      </w:r>
      <w:r w:rsidR="00643B7D" w:rsidRPr="00321EC0">
        <w:t xml:space="preserve">measures </w:t>
      </w:r>
      <w:r w:rsidRPr="00321EC0">
        <w:t>since Budget</w:t>
      </w:r>
    </w:p>
    <w:p w14:paraId="0321EFC4" w14:textId="03A0D989" w:rsidR="00706A98" w:rsidRPr="00321EC0" w:rsidRDefault="00393289" w:rsidP="008D3959">
      <w:pPr>
        <w:pStyle w:val="TableGraphic"/>
      </w:pPr>
      <w:r w:rsidRPr="00321EC0">
        <w:rPr>
          <w:i w:val="0"/>
        </w:rPr>
        <w:t xml:space="preserve"> </w:t>
      </w:r>
      <w:r w:rsidR="00226BC6" w:rsidRPr="00226BC6">
        <w:rPr>
          <w:noProof/>
        </w:rPr>
        <w:drawing>
          <wp:inline distT="0" distB="0" distL="0" distR="0" wp14:anchorId="0F79673F" wp14:editId="2396BC8C">
            <wp:extent cx="4896485" cy="1859681"/>
            <wp:effectExtent l="0" t="0" r="0" b="762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96485" cy="1859681"/>
                    </a:xfrm>
                    <a:prstGeom prst="rect">
                      <a:avLst/>
                    </a:prstGeom>
                    <a:noFill/>
                    <a:ln>
                      <a:noFill/>
                    </a:ln>
                  </pic:spPr>
                </pic:pic>
              </a:graphicData>
            </a:graphic>
          </wp:inline>
        </w:drawing>
      </w:r>
    </w:p>
    <w:p w14:paraId="47F7D951" w14:textId="77777777" w:rsidR="0073762B" w:rsidRPr="00321EC0" w:rsidRDefault="008846DB" w:rsidP="00654B5B">
      <w:pPr>
        <w:pStyle w:val="Source"/>
      </w:pPr>
      <w:bookmarkStart w:id="259" w:name="OLE_LINK2"/>
      <w:r w:rsidRPr="00321EC0">
        <w:t>Prepared on a Government Financial Statistics (</w:t>
      </w:r>
      <w:r w:rsidR="00654B5B" w:rsidRPr="00321EC0">
        <w:t>Underlying Cash</w:t>
      </w:r>
      <w:r w:rsidRPr="00321EC0">
        <w:t>) basis</w:t>
      </w:r>
      <w:r w:rsidR="00136507" w:rsidRPr="00321EC0">
        <w:t>.</w:t>
      </w:r>
      <w:r w:rsidR="00654B5B" w:rsidRPr="00321EC0">
        <w:t xml:space="preserve"> Figures displayed as a negative (-) represent a decrease in funds and a positive (+) represent an increase in funds</w:t>
      </w:r>
      <w:bookmarkEnd w:id="259"/>
    </w:p>
    <w:p w14:paraId="0A58CB3A" w14:textId="77777777" w:rsidR="00136507" w:rsidRPr="00321EC0" w:rsidRDefault="00136507" w:rsidP="009C33E9">
      <w:pPr>
        <w:pStyle w:val="Source"/>
      </w:pPr>
    </w:p>
    <w:p w14:paraId="0B792F8A" w14:textId="77777777" w:rsidR="008215CF" w:rsidRPr="00321EC0" w:rsidRDefault="008215CF" w:rsidP="00264523">
      <w:pPr>
        <w:pStyle w:val="ChartandTableFootnoteAlpha"/>
        <w:numPr>
          <w:ilvl w:val="0"/>
          <w:numId w:val="27"/>
        </w:numPr>
      </w:pPr>
      <w:r w:rsidRPr="00321EC0">
        <w:t xml:space="preserve">The lead entity for measure </w:t>
      </w:r>
      <w:r w:rsidRPr="00B35B01">
        <w:rPr>
          <w:i/>
        </w:rPr>
        <w:t>Australian Electoral Commission — Polling Place Technology</w:t>
      </w:r>
      <w:r w:rsidRPr="00321EC0">
        <w:t xml:space="preserve"> is the Australian Electoral Commission. The full measure description and package details appear in MYEFO under the Finance portfolio.</w:t>
      </w:r>
    </w:p>
    <w:p w14:paraId="43216ED7" w14:textId="77777777" w:rsidR="00F045E6" w:rsidRPr="00321EC0" w:rsidRDefault="008215CF" w:rsidP="007336FC">
      <w:pPr>
        <w:pStyle w:val="ChartandTableFootnoteAlpha"/>
        <w:numPr>
          <w:ilvl w:val="0"/>
          <w:numId w:val="3"/>
        </w:numPr>
      </w:pPr>
      <w:r w:rsidRPr="00321EC0">
        <w:t>The lead entity for me</w:t>
      </w:r>
      <w:r w:rsidRPr="007336FC">
        <w:t xml:space="preserve">asure </w:t>
      </w:r>
      <w:r w:rsidRPr="00B35B01">
        <w:rPr>
          <w:i/>
        </w:rPr>
        <w:t xml:space="preserve">Northern Endeavour Decommission </w:t>
      </w:r>
      <w:r w:rsidRPr="007336FC">
        <w:t xml:space="preserve">is the Department of </w:t>
      </w:r>
      <w:r w:rsidR="007336FC" w:rsidRPr="007336FC">
        <w:t>Industry, Science, Energy and Resources.</w:t>
      </w:r>
      <w:r w:rsidRPr="007336FC">
        <w:t xml:space="preserve"> The</w:t>
      </w:r>
      <w:r w:rsidRPr="00321EC0">
        <w:t xml:space="preserve"> full measure description and package details appear in MYE</w:t>
      </w:r>
      <w:r w:rsidR="007703A4" w:rsidRPr="00321EC0">
        <w:t xml:space="preserve">FO under the </w:t>
      </w:r>
      <w:r w:rsidR="007336FC" w:rsidRPr="007336FC">
        <w:t>Industry, Science, Energy and Resources</w:t>
      </w:r>
      <w:r w:rsidR="007336FC">
        <w:t xml:space="preserve"> </w:t>
      </w:r>
      <w:r w:rsidR="007703A4" w:rsidRPr="00321EC0">
        <w:t>portfolio.</w:t>
      </w:r>
    </w:p>
    <w:p w14:paraId="74A6004D" w14:textId="77777777" w:rsidR="00F045E6" w:rsidRPr="00321EC0" w:rsidRDefault="00F045E6" w:rsidP="00F045E6"/>
    <w:p w14:paraId="1F666DC8" w14:textId="77777777" w:rsidR="00F51DAC" w:rsidRPr="00321EC0" w:rsidRDefault="00693269" w:rsidP="001E1BB6">
      <w:pPr>
        <w:pStyle w:val="Heading3"/>
        <w:ind w:left="567" w:hanging="567"/>
        <w:rPr>
          <w:lang w:val="en-AU"/>
        </w:rPr>
      </w:pPr>
      <w:r w:rsidRPr="00321EC0">
        <w:br w:type="page"/>
      </w:r>
      <w:bookmarkStart w:id="260" w:name="_Toc531095065"/>
      <w:bookmarkStart w:id="261" w:name="_Toc62835711"/>
      <w:bookmarkStart w:id="262" w:name="_Toc63158592"/>
      <w:r w:rsidR="000B5844" w:rsidRPr="00321EC0">
        <w:t>1.4</w:t>
      </w:r>
      <w:r w:rsidR="000B5844" w:rsidRPr="00321EC0">
        <w:tab/>
        <w:t xml:space="preserve">Additional </w:t>
      </w:r>
      <w:r w:rsidR="000D06B5" w:rsidRPr="00321EC0">
        <w:t>estimates</w:t>
      </w:r>
      <w:r w:rsidR="001E1BB6" w:rsidRPr="00321EC0">
        <w:rPr>
          <w:lang w:val="en-AU"/>
        </w:rPr>
        <w:t>, resourcing</w:t>
      </w:r>
      <w:r w:rsidR="000D06B5" w:rsidRPr="00321EC0">
        <w:t xml:space="preserve"> </w:t>
      </w:r>
      <w:r w:rsidR="000B5844" w:rsidRPr="00321EC0">
        <w:t>and v</w:t>
      </w:r>
      <w:r w:rsidR="00F51DAC" w:rsidRPr="00321EC0">
        <w:t>ariations</w:t>
      </w:r>
      <w:r w:rsidR="001E1BB6" w:rsidRPr="00321EC0">
        <w:rPr>
          <w:lang w:val="en-AU"/>
        </w:rPr>
        <w:t xml:space="preserve"> to outcomes</w:t>
      </w:r>
      <w:bookmarkEnd w:id="260"/>
      <w:bookmarkEnd w:id="261"/>
      <w:bookmarkEnd w:id="262"/>
    </w:p>
    <w:p w14:paraId="378E4309" w14:textId="77777777" w:rsidR="00F51DAC" w:rsidRPr="00321EC0" w:rsidRDefault="00F51DAC" w:rsidP="00F51DAC">
      <w:r w:rsidRPr="00321EC0">
        <w:t xml:space="preserve">The following tables detail the changes to the resourcing for </w:t>
      </w:r>
      <w:r w:rsidR="001E3E83" w:rsidRPr="00321EC0">
        <w:t xml:space="preserve">Department of Finance </w:t>
      </w:r>
      <w:r w:rsidRPr="00321EC0">
        <w:t>at Additional Estimates, by outcome</w:t>
      </w:r>
      <w:r w:rsidR="00E15CF3" w:rsidRPr="00321EC0">
        <w:t xml:space="preserve">. </w:t>
      </w:r>
      <w:r w:rsidRPr="00321EC0">
        <w:t xml:space="preserve">Table 1.3 details the Additional Estimates resulting from new measures </w:t>
      </w:r>
      <w:r w:rsidR="00541613" w:rsidRPr="00321EC0">
        <w:t xml:space="preserve">and other variations </w:t>
      </w:r>
      <w:r w:rsidRPr="00321EC0">
        <w:t xml:space="preserve">since the </w:t>
      </w:r>
      <w:r w:rsidR="00A920F2" w:rsidRPr="00321EC0">
        <w:t>2020-21</w:t>
      </w:r>
      <w:r w:rsidRPr="00321EC0">
        <w:t xml:space="preserve"> Budget </w:t>
      </w:r>
      <w:r w:rsidRPr="0023233B">
        <w:t>in</w:t>
      </w:r>
      <w:r w:rsidRPr="00321EC0">
        <w:rPr>
          <w:i/>
        </w:rPr>
        <w:t xml:space="preserve"> Appropriation Bills No</w:t>
      </w:r>
      <w:r w:rsidR="007644BB" w:rsidRPr="00321EC0">
        <w:rPr>
          <w:i/>
        </w:rPr>
        <w:t>s</w:t>
      </w:r>
      <w:r w:rsidRPr="00321EC0">
        <w:rPr>
          <w:i/>
        </w:rPr>
        <w:t>.</w:t>
      </w:r>
      <w:r w:rsidR="00BF696F" w:rsidRPr="00321EC0">
        <w:rPr>
          <w:i/>
        </w:rPr>
        <w:t xml:space="preserve"> </w:t>
      </w:r>
      <w:r w:rsidRPr="00321EC0">
        <w:rPr>
          <w:i/>
        </w:rPr>
        <w:t>3</w:t>
      </w:r>
      <w:r w:rsidRPr="00321EC0">
        <w:t xml:space="preserve"> </w:t>
      </w:r>
      <w:r w:rsidR="001A1C55" w:rsidRPr="00321EC0">
        <w:t>and</w:t>
      </w:r>
      <w:r w:rsidR="0095283F" w:rsidRPr="00321EC0">
        <w:t> </w:t>
      </w:r>
      <w:r w:rsidRPr="00321EC0">
        <w:rPr>
          <w:i/>
        </w:rPr>
        <w:t>4</w:t>
      </w:r>
      <w:r w:rsidR="00F045E6" w:rsidRPr="00321EC0">
        <w:t>.</w:t>
      </w:r>
    </w:p>
    <w:p w14:paraId="67AE7EA4" w14:textId="77777777" w:rsidR="00F51DAC" w:rsidRPr="00321EC0" w:rsidRDefault="00F51DAC" w:rsidP="00F51DAC">
      <w:pPr>
        <w:pStyle w:val="TableHeading"/>
      </w:pPr>
      <w:r w:rsidRPr="00321EC0">
        <w:t xml:space="preserve">Table 1.3: Additional </w:t>
      </w:r>
      <w:r w:rsidR="00447FEF" w:rsidRPr="00321EC0">
        <w:t>estimates</w:t>
      </w:r>
      <w:r w:rsidR="00F95E91" w:rsidRPr="00321EC0">
        <w:rPr>
          <w:lang w:val="en-AU"/>
        </w:rPr>
        <w:t xml:space="preserve"> </w:t>
      </w:r>
      <w:r w:rsidRPr="00321EC0">
        <w:t xml:space="preserve">and </w:t>
      </w:r>
      <w:r w:rsidR="00F95E91" w:rsidRPr="00321EC0">
        <w:rPr>
          <w:lang w:val="en-AU"/>
        </w:rPr>
        <w:t xml:space="preserve">other </w:t>
      </w:r>
      <w:r w:rsidR="00447FEF" w:rsidRPr="00321EC0">
        <w:t xml:space="preserve">variations </w:t>
      </w:r>
      <w:r w:rsidRPr="00321EC0">
        <w:t xml:space="preserve">to </w:t>
      </w:r>
      <w:r w:rsidR="00447FEF" w:rsidRPr="00321EC0">
        <w:t xml:space="preserve">outcomes </w:t>
      </w:r>
      <w:r w:rsidRPr="00321EC0">
        <w:t xml:space="preserve">since </w:t>
      </w:r>
      <w:r w:rsidR="00A920F2" w:rsidRPr="00321EC0">
        <w:rPr>
          <w:lang w:val="en-AU"/>
        </w:rPr>
        <w:t>2020-21</w:t>
      </w:r>
      <w:r w:rsidRPr="00321EC0">
        <w:t xml:space="preserve"> Budget</w:t>
      </w:r>
    </w:p>
    <w:bookmarkEnd w:id="244"/>
    <w:bookmarkEnd w:id="245"/>
    <w:bookmarkEnd w:id="246"/>
    <w:bookmarkEnd w:id="247"/>
    <w:bookmarkEnd w:id="248"/>
    <w:bookmarkEnd w:id="249"/>
    <w:bookmarkEnd w:id="257"/>
    <w:bookmarkEnd w:id="258"/>
    <w:p w14:paraId="2C3D59A2" w14:textId="22CABA34" w:rsidR="00BF696F" w:rsidRPr="00321EC0" w:rsidRDefault="00393289" w:rsidP="008D3959">
      <w:pPr>
        <w:pStyle w:val="TableGraphic"/>
      </w:pPr>
      <w:r w:rsidRPr="00321EC0">
        <w:rPr>
          <w:i w:val="0"/>
        </w:rPr>
        <w:t xml:space="preserve"> </w:t>
      </w:r>
      <w:r w:rsidR="00226BC6" w:rsidRPr="00226BC6">
        <w:rPr>
          <w:noProof/>
        </w:rPr>
        <w:drawing>
          <wp:inline distT="0" distB="0" distL="0" distR="0" wp14:anchorId="6E05F209" wp14:editId="1B3D1D68">
            <wp:extent cx="4896485" cy="381331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96485" cy="3813315"/>
                    </a:xfrm>
                    <a:prstGeom prst="rect">
                      <a:avLst/>
                    </a:prstGeom>
                    <a:noFill/>
                    <a:ln>
                      <a:noFill/>
                    </a:ln>
                  </pic:spPr>
                </pic:pic>
              </a:graphicData>
            </a:graphic>
          </wp:inline>
        </w:drawing>
      </w:r>
    </w:p>
    <w:p w14:paraId="48A45F96" w14:textId="77777777" w:rsidR="00B12ED5" w:rsidRPr="00321EC0" w:rsidRDefault="007703A4" w:rsidP="007703A4">
      <w:pPr>
        <w:pStyle w:val="Source"/>
      </w:pPr>
      <w:r w:rsidRPr="00321EC0">
        <w:t>Table continues on next page</w:t>
      </w:r>
    </w:p>
    <w:p w14:paraId="64F3DF1F" w14:textId="77777777" w:rsidR="00DE0C3B" w:rsidRPr="00321EC0" w:rsidRDefault="00F51DAC" w:rsidP="007703A4">
      <w:pPr>
        <w:pStyle w:val="Source"/>
      </w:pPr>
      <w:bookmarkStart w:id="263" w:name="_Toc490972407"/>
      <w:bookmarkStart w:id="264" w:name="_Toc491014627"/>
      <w:bookmarkStart w:id="265" w:name="_Toc491014769"/>
      <w:bookmarkStart w:id="266" w:name="_Toc491014949"/>
      <w:bookmarkStart w:id="267" w:name="_Toc491015096"/>
      <w:bookmarkStart w:id="268" w:name="_Toc491029237"/>
      <w:bookmarkStart w:id="269" w:name="_Toc491030326"/>
      <w:bookmarkStart w:id="270" w:name="_Toc491030786"/>
      <w:bookmarkStart w:id="271" w:name="_Toc491031349"/>
      <w:bookmarkStart w:id="272" w:name="_Toc491031936"/>
      <w:bookmarkStart w:id="273" w:name="_Toc491032108"/>
      <w:bookmarkStart w:id="274" w:name="_Toc491032217"/>
      <w:bookmarkStart w:id="275" w:name="_Toc491032324"/>
      <w:bookmarkStart w:id="276" w:name="_Toc491771712"/>
      <w:bookmarkStart w:id="277" w:name="_Toc491773287"/>
      <w:bookmarkStart w:id="278" w:name="_Toc23559345"/>
      <w:bookmarkStart w:id="279" w:name="_Toc23559379"/>
      <w:bookmarkStart w:id="280" w:name="_Toc23559670"/>
      <w:bookmarkStart w:id="281" w:name="_Toc23560134"/>
      <w:bookmarkStart w:id="282" w:name="_Toc23563428"/>
      <w:bookmarkStart w:id="283" w:name="_Toc77998681"/>
      <w:bookmarkStart w:id="284" w:name="_Toc79406110"/>
      <w:bookmarkStart w:id="285" w:name="_Toc79467812"/>
      <w:bookmarkStart w:id="286" w:name="_Toc112211960"/>
      <w:bookmarkStart w:id="287" w:name="_Toc112212054"/>
      <w:bookmarkStart w:id="288" w:name="_Toc112137872"/>
      <w:bookmarkStart w:id="289" w:name="_Toc112137894"/>
      <w:r w:rsidRPr="00321EC0">
        <w:br w:type="page"/>
      </w:r>
      <w:bookmarkStart w:id="290" w:name="_Toc436624143"/>
      <w:bookmarkStart w:id="291" w:name="_Toc436625444"/>
      <w:bookmarkStart w:id="292" w:name="_Toc446237032"/>
      <w:bookmarkStart w:id="293" w:name="_Toc449255764"/>
      <w:bookmarkStart w:id="294" w:name="_Toc490972409"/>
      <w:bookmarkStart w:id="295" w:name="_Toc491014629"/>
      <w:bookmarkStart w:id="296" w:name="_Toc491014771"/>
      <w:bookmarkStart w:id="297" w:name="_Toc491014951"/>
      <w:bookmarkStart w:id="298" w:name="_Toc491015098"/>
      <w:bookmarkStart w:id="299" w:name="_Toc491029242"/>
      <w:bookmarkStart w:id="300" w:name="_Toc491030331"/>
      <w:bookmarkStart w:id="301" w:name="_Toc491030790"/>
      <w:bookmarkStart w:id="302" w:name="_Toc491031353"/>
      <w:bookmarkStart w:id="303" w:name="_Toc491031940"/>
      <w:bookmarkStart w:id="304" w:name="_Toc491032113"/>
      <w:bookmarkStart w:id="305" w:name="_Toc491032221"/>
      <w:bookmarkStart w:id="306" w:name="_Toc491032328"/>
      <w:bookmarkStart w:id="307" w:name="_Toc491771720"/>
      <w:bookmarkStart w:id="308" w:name="_Toc491773295"/>
      <w:bookmarkStart w:id="309" w:name="_Toc23559353"/>
      <w:bookmarkStart w:id="310" w:name="_Toc23559387"/>
      <w:bookmarkStart w:id="311" w:name="_Toc23559674"/>
      <w:bookmarkStart w:id="312" w:name="_Toc23560142"/>
      <w:bookmarkStart w:id="313" w:name="_Toc23563436"/>
      <w:bookmarkStart w:id="314" w:name="_Toc77998688"/>
      <w:bookmarkStart w:id="315" w:name="_Toc79399717"/>
      <w:bookmarkStart w:id="316" w:name="_Toc112211966"/>
      <w:bookmarkStart w:id="317" w:name="_Toc112212060"/>
      <w:bookmarkStart w:id="318" w:name="_Toc112137878"/>
      <w:bookmarkStart w:id="319" w:name="_Toc112137900"/>
      <w:bookmarkStart w:id="320" w:name="_Toc210646453"/>
      <w:bookmarkStart w:id="321" w:name="_Toc210698432"/>
      <w:bookmarkStart w:id="322" w:name="_Toc21070321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AC39C19" w14:textId="77777777" w:rsidR="00DE0C3B" w:rsidRPr="00321EC0" w:rsidRDefault="00DE0C3B" w:rsidP="00DE0C3B">
      <w:pPr>
        <w:pStyle w:val="TableHeading"/>
      </w:pPr>
      <w:r w:rsidRPr="00321EC0">
        <w:t>Table 1.3: Additional estimates</w:t>
      </w:r>
      <w:r w:rsidRPr="00321EC0">
        <w:rPr>
          <w:lang w:val="en-AU"/>
        </w:rPr>
        <w:t xml:space="preserve"> </w:t>
      </w:r>
      <w:r w:rsidRPr="00321EC0">
        <w:t xml:space="preserve">and </w:t>
      </w:r>
      <w:r w:rsidRPr="00321EC0">
        <w:rPr>
          <w:lang w:val="en-AU"/>
        </w:rPr>
        <w:t xml:space="preserve">other </w:t>
      </w:r>
      <w:r w:rsidRPr="00321EC0">
        <w:t xml:space="preserve">variations to outcomes since </w:t>
      </w:r>
      <w:r w:rsidRPr="00321EC0">
        <w:rPr>
          <w:lang w:val="en-AU"/>
        </w:rPr>
        <w:t xml:space="preserve">2020-21 </w:t>
      </w:r>
      <w:r w:rsidRPr="00321EC0">
        <w:t>Budget</w:t>
      </w:r>
      <w:r w:rsidRPr="00321EC0">
        <w:rPr>
          <w:lang w:val="en-AU"/>
        </w:rPr>
        <w:t xml:space="preserve"> (continued)</w:t>
      </w:r>
      <w:r w:rsidRPr="00321EC0">
        <w:rPr>
          <w:b w:val="0"/>
        </w:rPr>
        <w:t xml:space="preserve"> </w:t>
      </w:r>
      <w:r w:rsidR="00422E0D" w:rsidRPr="00321EC0">
        <w:t xml:space="preserve"> </w:t>
      </w:r>
    </w:p>
    <w:p w14:paraId="3D48643E" w14:textId="6DD5A860" w:rsidR="00D95DEB" w:rsidRPr="00321EC0" w:rsidRDefault="00393289" w:rsidP="008D3959">
      <w:pPr>
        <w:pStyle w:val="TableGraphic"/>
      </w:pPr>
      <w:r w:rsidRPr="00321EC0">
        <w:rPr>
          <w:i w:val="0"/>
        </w:rPr>
        <w:t xml:space="preserve"> </w:t>
      </w:r>
      <w:r w:rsidR="00226BC6" w:rsidRPr="00226BC6">
        <w:rPr>
          <w:noProof/>
        </w:rPr>
        <w:drawing>
          <wp:inline distT="0" distB="0" distL="0" distR="0" wp14:anchorId="61C475B4" wp14:editId="74EB66A2">
            <wp:extent cx="4896485" cy="3070093"/>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96485" cy="3070093"/>
                    </a:xfrm>
                    <a:prstGeom prst="rect">
                      <a:avLst/>
                    </a:prstGeom>
                    <a:noFill/>
                    <a:ln>
                      <a:noFill/>
                    </a:ln>
                  </pic:spPr>
                </pic:pic>
              </a:graphicData>
            </a:graphic>
          </wp:inline>
        </w:drawing>
      </w:r>
    </w:p>
    <w:p w14:paraId="1D3A6D6D" w14:textId="77777777" w:rsidR="00F045E6" w:rsidRPr="00321EC0" w:rsidRDefault="007703A4" w:rsidP="007703A4">
      <w:pPr>
        <w:pStyle w:val="Source"/>
      </w:pPr>
      <w:r w:rsidRPr="00321EC0">
        <w:t>Prepared on a resourcing (i.e. appropriations available) basis.</w:t>
      </w:r>
    </w:p>
    <w:p w14:paraId="6584AC56" w14:textId="77777777" w:rsidR="007703A4" w:rsidRPr="00321EC0" w:rsidRDefault="007703A4" w:rsidP="007703A4">
      <w:pPr>
        <w:pStyle w:val="Source"/>
      </w:pPr>
    </w:p>
    <w:p w14:paraId="2DD452DC" w14:textId="77777777" w:rsidR="007703A4" w:rsidRPr="00321EC0" w:rsidRDefault="007703A4" w:rsidP="007703A4">
      <w:pPr>
        <w:pStyle w:val="Source"/>
      </w:pPr>
    </w:p>
    <w:p w14:paraId="457B7FD0" w14:textId="77777777" w:rsidR="000A3249" w:rsidRPr="00321EC0" w:rsidRDefault="00081A0B" w:rsidP="00BB60DD">
      <w:pPr>
        <w:pStyle w:val="Heading3"/>
        <w:ind w:right="-156"/>
      </w:pPr>
      <w:r w:rsidRPr="00321EC0">
        <w:br w:type="page"/>
      </w:r>
      <w:bookmarkStart w:id="323" w:name="_Toc531095066"/>
      <w:bookmarkStart w:id="324" w:name="_Toc62835712"/>
      <w:bookmarkStart w:id="325" w:name="_Toc63158593"/>
      <w:r w:rsidR="000A3249" w:rsidRPr="00321EC0">
        <w:rPr>
          <w:lang w:val="en-AU"/>
        </w:rPr>
        <w:t>1</w:t>
      </w:r>
      <w:r w:rsidR="000A3249" w:rsidRPr="00321EC0">
        <w:t>.</w:t>
      </w:r>
      <w:r w:rsidR="00F045E6" w:rsidRPr="00321EC0">
        <w:rPr>
          <w:lang w:val="en-AU"/>
        </w:rPr>
        <w:t>5</w:t>
      </w:r>
      <w:r w:rsidR="000A3249" w:rsidRPr="00321EC0">
        <w:tab/>
      </w:r>
      <w:bookmarkStart w:id="326" w:name="_Toc210646451"/>
      <w:bookmarkStart w:id="327" w:name="_Toc210698430"/>
      <w:bookmarkStart w:id="328" w:name="_Toc210703213"/>
      <w:r w:rsidR="000A3249" w:rsidRPr="00321EC0">
        <w:t>Breakdown of additional estimates by appropriation bill</w:t>
      </w:r>
      <w:bookmarkEnd w:id="323"/>
      <w:bookmarkEnd w:id="324"/>
      <w:bookmarkEnd w:id="325"/>
      <w:bookmarkEnd w:id="326"/>
      <w:bookmarkEnd w:id="327"/>
      <w:bookmarkEnd w:id="328"/>
    </w:p>
    <w:p w14:paraId="2DE329C0" w14:textId="77777777" w:rsidR="00081A0B" w:rsidRPr="00321EC0" w:rsidRDefault="00081A0B" w:rsidP="00081A0B">
      <w:r w:rsidRPr="00321EC0">
        <w:t xml:space="preserve">The following tables detail the Additional Estimates sought for </w:t>
      </w:r>
      <w:r w:rsidR="001E3E83" w:rsidRPr="00321EC0">
        <w:t xml:space="preserve">Department of Finance </w:t>
      </w:r>
      <w:r w:rsidRPr="00321EC0">
        <w:t xml:space="preserve">through </w:t>
      </w:r>
      <w:r w:rsidRPr="00321EC0">
        <w:rPr>
          <w:i/>
        </w:rPr>
        <w:t>Appropriation Bills Nos. 3</w:t>
      </w:r>
      <w:r w:rsidRPr="00321EC0">
        <w:t xml:space="preserve"> and </w:t>
      </w:r>
      <w:r w:rsidRPr="00321EC0">
        <w:rPr>
          <w:i/>
        </w:rPr>
        <w:t>4</w:t>
      </w:r>
      <w:r w:rsidRPr="00321EC0">
        <w:t>.</w:t>
      </w:r>
    </w:p>
    <w:p w14:paraId="7EC586C2" w14:textId="77777777" w:rsidR="00081A0B" w:rsidRPr="00321EC0" w:rsidRDefault="00081A0B" w:rsidP="00081A0B">
      <w:pPr>
        <w:pStyle w:val="TableHeading"/>
        <w:rPr>
          <w:lang w:val="en-AU"/>
        </w:rPr>
      </w:pPr>
      <w:bookmarkStart w:id="329" w:name="_Toc491771713"/>
      <w:bookmarkStart w:id="330" w:name="_Toc491773288"/>
      <w:bookmarkStart w:id="331" w:name="_Toc23559346"/>
      <w:bookmarkStart w:id="332" w:name="_Toc23559380"/>
      <w:bookmarkStart w:id="333" w:name="_Toc23560135"/>
      <w:bookmarkStart w:id="334" w:name="_Toc23563429"/>
      <w:r w:rsidRPr="00321EC0">
        <w:t>Table 1.</w:t>
      </w:r>
      <w:r w:rsidRPr="00321EC0">
        <w:rPr>
          <w:lang w:val="en-AU"/>
        </w:rPr>
        <w:t>4</w:t>
      </w:r>
      <w:r w:rsidRPr="00321EC0">
        <w:t xml:space="preserve">: Appropriation Bill (No. 3) </w:t>
      </w:r>
      <w:bookmarkEnd w:id="329"/>
      <w:bookmarkEnd w:id="330"/>
      <w:bookmarkEnd w:id="331"/>
      <w:bookmarkEnd w:id="332"/>
      <w:bookmarkEnd w:id="333"/>
      <w:bookmarkEnd w:id="334"/>
      <w:r w:rsidR="00F54D50" w:rsidRPr="00321EC0">
        <w:rPr>
          <w:lang w:val="en-AU"/>
        </w:rPr>
        <w:t>2020-21</w:t>
      </w:r>
    </w:p>
    <w:p w14:paraId="7ACFC2C6" w14:textId="18A4ABE1" w:rsidR="00081A0B" w:rsidRPr="00321EC0" w:rsidRDefault="00CD6FA0" w:rsidP="008D3959">
      <w:pPr>
        <w:pStyle w:val="TableGraphic"/>
      </w:pPr>
      <w:r w:rsidRPr="00321EC0">
        <w:rPr>
          <w:i w:val="0"/>
        </w:rPr>
        <w:t xml:space="preserve"> </w:t>
      </w:r>
      <w:r w:rsidR="00BD3CA0" w:rsidRPr="00BD3CA0">
        <w:rPr>
          <w:noProof/>
        </w:rPr>
        <w:drawing>
          <wp:inline distT="0" distB="0" distL="0" distR="0" wp14:anchorId="2F17FBEE" wp14:editId="4444A617">
            <wp:extent cx="4865370" cy="40455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65370" cy="4045585"/>
                    </a:xfrm>
                    <a:prstGeom prst="rect">
                      <a:avLst/>
                    </a:prstGeom>
                    <a:noFill/>
                    <a:ln>
                      <a:noFill/>
                    </a:ln>
                  </pic:spPr>
                </pic:pic>
              </a:graphicData>
            </a:graphic>
          </wp:inline>
        </w:drawing>
      </w:r>
    </w:p>
    <w:p w14:paraId="0F702157" w14:textId="77777777" w:rsidR="007703A4" w:rsidRPr="00321EC0" w:rsidRDefault="007703A4" w:rsidP="007703A4">
      <w:pPr>
        <w:spacing w:line="240" w:lineRule="auto"/>
        <w:rPr>
          <w:rFonts w:ascii="Arial" w:hAnsi="Arial" w:cs="Arial"/>
          <w:sz w:val="16"/>
        </w:rPr>
      </w:pPr>
      <w:r w:rsidRPr="00321EC0">
        <w:rPr>
          <w:rFonts w:ascii="Arial" w:hAnsi="Arial" w:cs="Arial"/>
          <w:sz w:val="16"/>
        </w:rPr>
        <w:t>Table continues on next page</w:t>
      </w:r>
    </w:p>
    <w:p w14:paraId="5BBBC060" w14:textId="567D3E66" w:rsidR="00D47649" w:rsidRPr="00321EC0" w:rsidRDefault="00A455A0" w:rsidP="00D37F3B">
      <w:pPr>
        <w:pStyle w:val="ChartandTableFootnoteAlpha"/>
        <w:numPr>
          <w:ilvl w:val="0"/>
          <w:numId w:val="0"/>
        </w:numPr>
      </w:pPr>
      <w:r>
        <w:t>Note: 2019-20</w:t>
      </w:r>
      <w:r w:rsidRPr="00A455A0">
        <w:t xml:space="preserve"> available appropriation is included to allow a comparison of this year's appropriation with what was made available for use in the previous year.</w:t>
      </w:r>
    </w:p>
    <w:p w14:paraId="4CCFFE70" w14:textId="77777777" w:rsidR="00D47649" w:rsidRPr="00321EC0" w:rsidRDefault="00D47649">
      <w:pPr>
        <w:spacing w:after="0" w:line="240" w:lineRule="auto"/>
        <w:jc w:val="left"/>
      </w:pPr>
    </w:p>
    <w:p w14:paraId="6260E72D" w14:textId="77777777" w:rsidR="00D47649" w:rsidRPr="00321EC0" w:rsidRDefault="00D47649">
      <w:pPr>
        <w:spacing w:after="0" w:line="240" w:lineRule="auto"/>
        <w:jc w:val="left"/>
      </w:pPr>
    </w:p>
    <w:p w14:paraId="3A91970B" w14:textId="77777777" w:rsidR="00D47649" w:rsidRPr="00321EC0" w:rsidRDefault="00D47649">
      <w:pPr>
        <w:spacing w:after="0" w:line="240" w:lineRule="auto"/>
        <w:jc w:val="left"/>
      </w:pPr>
    </w:p>
    <w:p w14:paraId="7E5C57D6" w14:textId="77777777" w:rsidR="00D47649" w:rsidRPr="00321EC0" w:rsidRDefault="00D47649">
      <w:pPr>
        <w:spacing w:after="0" w:line="240" w:lineRule="auto"/>
        <w:jc w:val="left"/>
      </w:pPr>
    </w:p>
    <w:p w14:paraId="37A29A97" w14:textId="77777777" w:rsidR="00D47649" w:rsidRPr="00321EC0" w:rsidRDefault="00D47649">
      <w:pPr>
        <w:spacing w:after="0" w:line="240" w:lineRule="auto"/>
        <w:jc w:val="left"/>
      </w:pPr>
    </w:p>
    <w:p w14:paraId="7411516B" w14:textId="77777777" w:rsidR="00D47649" w:rsidRPr="00321EC0" w:rsidRDefault="00D47649">
      <w:pPr>
        <w:spacing w:after="0" w:line="240" w:lineRule="auto"/>
        <w:jc w:val="left"/>
      </w:pPr>
    </w:p>
    <w:p w14:paraId="576D6969" w14:textId="77777777" w:rsidR="00D47649" w:rsidRPr="00321EC0" w:rsidRDefault="00D47649">
      <w:pPr>
        <w:spacing w:after="0" w:line="240" w:lineRule="auto"/>
        <w:jc w:val="left"/>
      </w:pPr>
    </w:p>
    <w:p w14:paraId="1B71BE95" w14:textId="77777777" w:rsidR="00D47649" w:rsidRPr="00321EC0" w:rsidRDefault="00D47649">
      <w:pPr>
        <w:spacing w:after="0" w:line="240" w:lineRule="auto"/>
        <w:jc w:val="left"/>
      </w:pPr>
    </w:p>
    <w:p w14:paraId="75A92102" w14:textId="77777777" w:rsidR="00D47649" w:rsidRPr="00321EC0" w:rsidRDefault="00D47649">
      <w:pPr>
        <w:spacing w:after="0" w:line="240" w:lineRule="auto"/>
        <w:jc w:val="left"/>
      </w:pPr>
    </w:p>
    <w:p w14:paraId="7464437B" w14:textId="77777777" w:rsidR="00D47649" w:rsidRPr="00321EC0" w:rsidRDefault="00D47649">
      <w:pPr>
        <w:spacing w:after="0" w:line="240" w:lineRule="auto"/>
        <w:jc w:val="left"/>
      </w:pPr>
    </w:p>
    <w:p w14:paraId="457DCC54" w14:textId="77777777" w:rsidR="00D47649" w:rsidRPr="00321EC0" w:rsidRDefault="00D47649">
      <w:pPr>
        <w:spacing w:after="0" w:line="240" w:lineRule="auto"/>
        <w:jc w:val="left"/>
        <w:sectPr w:rsidR="00D47649" w:rsidRPr="00321EC0" w:rsidSect="006127D0">
          <w:headerReference w:type="even" r:id="rId58"/>
          <w:headerReference w:type="default" r:id="rId59"/>
          <w:headerReference w:type="first" r:id="rId60"/>
          <w:footerReference w:type="first" r:id="rId61"/>
          <w:type w:val="oddPage"/>
          <w:pgSz w:w="11907" w:h="16840" w:code="9"/>
          <w:pgMar w:top="2466" w:right="2098" w:bottom="2269" w:left="2098" w:header="1899" w:footer="1899" w:gutter="0"/>
          <w:cols w:space="708"/>
          <w:titlePg/>
          <w:docGrid w:linePitch="360"/>
        </w:sectPr>
      </w:pPr>
    </w:p>
    <w:p w14:paraId="06149C18" w14:textId="77777777" w:rsidR="00D47649" w:rsidRPr="00321EC0" w:rsidRDefault="00077F00" w:rsidP="00081A0B">
      <w:pPr>
        <w:pStyle w:val="TableHeading"/>
        <w:rPr>
          <w:lang w:val="en-AU"/>
        </w:rPr>
      </w:pPr>
      <w:r w:rsidRPr="00321EC0">
        <w:t>Table 1.</w:t>
      </w:r>
      <w:r w:rsidRPr="00321EC0">
        <w:rPr>
          <w:lang w:val="en-AU"/>
        </w:rPr>
        <w:t>4</w:t>
      </w:r>
      <w:r w:rsidRPr="00321EC0">
        <w:t xml:space="preserve">: Appropriation Bill (No. 3) </w:t>
      </w:r>
      <w:r w:rsidRPr="00321EC0">
        <w:rPr>
          <w:lang w:val="en-AU"/>
        </w:rPr>
        <w:t>2020-21 (Continued)</w:t>
      </w:r>
      <w:r w:rsidR="006C7442" w:rsidRPr="00321EC0">
        <w:rPr>
          <w:b w:val="0"/>
        </w:rPr>
        <w:t xml:space="preserve"> </w:t>
      </w:r>
    </w:p>
    <w:p w14:paraId="5FB4F592" w14:textId="4B833CE5" w:rsidR="00D47649" w:rsidRPr="00321EC0" w:rsidRDefault="00BD3CA0" w:rsidP="00081A0B">
      <w:pPr>
        <w:pStyle w:val="TableHeading"/>
      </w:pPr>
      <w:r w:rsidRPr="00BD3CA0">
        <w:rPr>
          <w:b w:val="0"/>
        </w:rPr>
        <w:t xml:space="preserve"> </w:t>
      </w:r>
      <w:r w:rsidRPr="00BD3CA0">
        <w:rPr>
          <w:noProof/>
          <w:lang w:val="en-AU"/>
        </w:rPr>
        <w:drawing>
          <wp:inline distT="0" distB="0" distL="0" distR="0" wp14:anchorId="5CC1D953" wp14:editId="35928D13">
            <wp:extent cx="4865370" cy="406273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65370" cy="4062730"/>
                    </a:xfrm>
                    <a:prstGeom prst="rect">
                      <a:avLst/>
                    </a:prstGeom>
                    <a:noFill/>
                    <a:ln>
                      <a:noFill/>
                    </a:ln>
                  </pic:spPr>
                </pic:pic>
              </a:graphicData>
            </a:graphic>
          </wp:inline>
        </w:drawing>
      </w:r>
    </w:p>
    <w:p w14:paraId="3C3DCC5D" w14:textId="77777777" w:rsidR="00D47649" w:rsidRPr="00321EC0" w:rsidRDefault="00D47649" w:rsidP="00081A0B">
      <w:pPr>
        <w:pStyle w:val="TableHeading"/>
      </w:pPr>
    </w:p>
    <w:p w14:paraId="29D5DBF6" w14:textId="77777777" w:rsidR="00081A0B" w:rsidRPr="00321EC0" w:rsidRDefault="00081A0B" w:rsidP="00081A0B">
      <w:pPr>
        <w:pStyle w:val="TableHeading"/>
        <w:rPr>
          <w:lang w:val="en-AU"/>
        </w:rPr>
      </w:pPr>
      <w:r w:rsidRPr="00321EC0">
        <w:t>Table 1.5: Appropriation B</w:t>
      </w:r>
      <w:r w:rsidR="007651FA" w:rsidRPr="00321EC0">
        <w:t>ill (No. 4</w:t>
      </w:r>
      <w:r w:rsidRPr="00321EC0">
        <w:t xml:space="preserve">) </w:t>
      </w:r>
      <w:r w:rsidR="00F54D50" w:rsidRPr="00321EC0">
        <w:rPr>
          <w:lang w:val="en-AU"/>
        </w:rPr>
        <w:t>2020-21</w:t>
      </w:r>
    </w:p>
    <w:p w14:paraId="0C642D7C" w14:textId="77777777" w:rsidR="00081A0B" w:rsidRPr="00321EC0" w:rsidRDefault="00313371" w:rsidP="008D3959">
      <w:pPr>
        <w:pStyle w:val="TableGraphic"/>
      </w:pPr>
      <w:r w:rsidRPr="00313371">
        <w:rPr>
          <w:noProof/>
        </w:rPr>
        <w:drawing>
          <wp:inline distT="0" distB="0" distL="0" distR="0" wp14:anchorId="02116D8F" wp14:editId="71A4BD6B">
            <wp:extent cx="4896485" cy="11876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96485" cy="1187637"/>
                    </a:xfrm>
                    <a:prstGeom prst="rect">
                      <a:avLst/>
                    </a:prstGeom>
                    <a:noFill/>
                    <a:ln>
                      <a:noFill/>
                    </a:ln>
                  </pic:spPr>
                </pic:pic>
              </a:graphicData>
            </a:graphic>
          </wp:inline>
        </w:drawing>
      </w:r>
      <w:r w:rsidR="00CD6FA0" w:rsidRPr="00321EC0">
        <w:rPr>
          <w:i w:val="0"/>
        </w:rPr>
        <w:t xml:space="preserve"> </w:t>
      </w:r>
    </w:p>
    <w:p w14:paraId="28061755" w14:textId="77777777" w:rsidR="00D82CBA" w:rsidRDefault="00D82CBA" w:rsidP="00D82CBA">
      <w:pPr>
        <w:pStyle w:val="ChartandTableFootnoteAlpha"/>
        <w:numPr>
          <w:ilvl w:val="0"/>
          <w:numId w:val="0"/>
        </w:numPr>
      </w:pPr>
    </w:p>
    <w:p w14:paraId="2B87876F" w14:textId="3180749A" w:rsidR="00D82CBA" w:rsidRPr="00321EC0" w:rsidRDefault="00D82CBA" w:rsidP="00D82CBA">
      <w:pPr>
        <w:pStyle w:val="ChartandTableFootnoteAlpha"/>
        <w:numPr>
          <w:ilvl w:val="0"/>
          <w:numId w:val="0"/>
        </w:numPr>
      </w:pPr>
      <w:r>
        <w:t>Note: 2019-20</w:t>
      </w:r>
      <w:r w:rsidRPr="00A455A0">
        <w:t xml:space="preserve"> available appropriation is included to allow a comparison of this year's appropriation with what was made available for use in the previous year.</w:t>
      </w:r>
    </w:p>
    <w:p w14:paraId="7A319B9A" w14:textId="77777777" w:rsidR="00F045E6" w:rsidRPr="00321EC0" w:rsidRDefault="00F045E6" w:rsidP="00F045E6"/>
    <w:p w14:paraId="5C2B4D91" w14:textId="77777777" w:rsidR="00F51DAC" w:rsidRPr="00321EC0" w:rsidRDefault="00422E0D" w:rsidP="00E41681">
      <w:pPr>
        <w:pStyle w:val="Heading2-TOC"/>
      </w:pPr>
      <w:r w:rsidRPr="00321EC0">
        <w:br w:type="page"/>
      </w:r>
      <w:bookmarkStart w:id="335" w:name="_Toc62835713"/>
      <w:bookmarkStart w:id="336" w:name="_Toc63158594"/>
      <w:r w:rsidR="00F51DAC" w:rsidRPr="00321EC0">
        <w:t>Section 2</w:t>
      </w:r>
      <w:bookmarkEnd w:id="290"/>
      <w:bookmarkEnd w:id="291"/>
      <w:bookmarkEnd w:id="292"/>
      <w:bookmarkEnd w:id="293"/>
      <w:r w:rsidR="00F51DAC" w:rsidRPr="00321EC0">
        <w:t xml:space="preserve">: </w:t>
      </w:r>
      <w:bookmarkStart w:id="337" w:name="_Toc436624144"/>
      <w:bookmarkStart w:id="338" w:name="_Toc436625445"/>
      <w:bookmarkStart w:id="339" w:name="_Toc436626790"/>
      <w:bookmarkStart w:id="340" w:name="_Toc446237033"/>
      <w:bookmarkStart w:id="341" w:name="_Toc449255765"/>
      <w:r w:rsidR="00F51DAC" w:rsidRPr="00321EC0">
        <w:t xml:space="preserve">Revisions to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37"/>
      <w:bookmarkEnd w:id="338"/>
      <w:bookmarkEnd w:id="339"/>
      <w:bookmarkEnd w:id="340"/>
      <w:bookmarkEnd w:id="341"/>
      <w:r w:rsidR="001436E5" w:rsidRPr="00321EC0">
        <w:t>outcomes</w:t>
      </w:r>
      <w:r w:rsidR="00F51DAC" w:rsidRPr="00321EC0">
        <w:t xml:space="preserve"> and </w:t>
      </w:r>
      <w:r w:rsidR="001436E5" w:rsidRPr="00321EC0">
        <w:t>planned performance</w:t>
      </w:r>
      <w:bookmarkEnd w:id="321"/>
      <w:bookmarkEnd w:id="322"/>
      <w:bookmarkEnd w:id="335"/>
      <w:bookmarkEnd w:id="336"/>
    </w:p>
    <w:p w14:paraId="044B9FCD" w14:textId="77777777" w:rsidR="006E7CCA" w:rsidRPr="00321EC0" w:rsidRDefault="00535BEC" w:rsidP="00617C2B">
      <w:pPr>
        <w:pStyle w:val="Heading3"/>
        <w:ind w:left="708" w:hanging="708"/>
        <w:rPr>
          <w:lang w:val="en-AU"/>
        </w:rPr>
      </w:pPr>
      <w:bookmarkStart w:id="342" w:name="_Toc531095067"/>
      <w:bookmarkStart w:id="343" w:name="_Toc62835714"/>
      <w:bookmarkStart w:id="344" w:name="_Toc63158595"/>
      <w:bookmarkStart w:id="345" w:name="_Toc436624145"/>
      <w:bookmarkStart w:id="346" w:name="_Toc436625446"/>
      <w:bookmarkStart w:id="347" w:name="_Toc449255766"/>
      <w:bookmarkStart w:id="348" w:name="_Toc490972410"/>
      <w:bookmarkStart w:id="349" w:name="_Toc491014630"/>
      <w:bookmarkStart w:id="350" w:name="_Toc491014772"/>
      <w:bookmarkStart w:id="351" w:name="_Toc491014952"/>
      <w:bookmarkStart w:id="352" w:name="_Toc491015099"/>
      <w:bookmarkStart w:id="353" w:name="_Toc491029243"/>
      <w:bookmarkStart w:id="354" w:name="_Toc491030332"/>
      <w:bookmarkStart w:id="355" w:name="_Toc491030791"/>
      <w:bookmarkStart w:id="356" w:name="_Toc491031354"/>
      <w:bookmarkStart w:id="357" w:name="_Toc491031941"/>
      <w:bookmarkStart w:id="358" w:name="_Toc491032114"/>
      <w:bookmarkStart w:id="359" w:name="_Toc491032222"/>
      <w:bookmarkStart w:id="360" w:name="_Toc491032329"/>
      <w:bookmarkStart w:id="361" w:name="_Toc491771721"/>
      <w:bookmarkStart w:id="362" w:name="_Toc491773296"/>
      <w:bookmarkStart w:id="363" w:name="_Toc23559354"/>
      <w:bookmarkStart w:id="364" w:name="_Toc23559388"/>
      <w:bookmarkStart w:id="365" w:name="_Toc23559675"/>
      <w:bookmarkStart w:id="366" w:name="_Toc23560143"/>
      <w:bookmarkStart w:id="367" w:name="_Toc23563437"/>
      <w:bookmarkStart w:id="368" w:name="_Toc77998689"/>
      <w:bookmarkStart w:id="369" w:name="_Toc79406118"/>
      <w:bookmarkStart w:id="370" w:name="_Toc79467820"/>
      <w:bookmarkStart w:id="371" w:name="_Toc112211967"/>
      <w:bookmarkStart w:id="372" w:name="_Toc112212061"/>
      <w:bookmarkStart w:id="373" w:name="_Toc112137879"/>
      <w:bookmarkStart w:id="374" w:name="_Toc112137901"/>
      <w:bookmarkStart w:id="375" w:name="_Toc210646454"/>
      <w:bookmarkStart w:id="376" w:name="_Toc210698433"/>
      <w:bookmarkStart w:id="377" w:name="_Toc210703215"/>
      <w:r w:rsidRPr="00321EC0">
        <w:t>2</w:t>
      </w:r>
      <w:r w:rsidR="006E7CCA" w:rsidRPr="00321EC0">
        <w:tab/>
      </w:r>
      <w:r w:rsidR="004C0BD7" w:rsidRPr="00321EC0">
        <w:rPr>
          <w:lang w:val="en-AU"/>
        </w:rPr>
        <w:t>C</w:t>
      </w:r>
      <w:r w:rsidR="006E7CCA" w:rsidRPr="00321EC0">
        <w:rPr>
          <w:lang w:val="en-AU"/>
        </w:rPr>
        <w:t>hanges to</w:t>
      </w:r>
      <w:r w:rsidR="00842C17" w:rsidRPr="00321EC0">
        <w:rPr>
          <w:lang w:val="en-AU"/>
        </w:rPr>
        <w:t xml:space="preserve"> outcome and program structures</w:t>
      </w:r>
      <w:bookmarkEnd w:id="342"/>
      <w:bookmarkEnd w:id="343"/>
      <w:bookmarkEnd w:id="344"/>
    </w:p>
    <w:p w14:paraId="643E3311" w14:textId="77777777" w:rsidR="00FB6D56" w:rsidRPr="00321EC0" w:rsidRDefault="001E3E83" w:rsidP="00535BEC">
      <w:pPr>
        <w:pStyle w:val="ExampleText"/>
      </w:pPr>
      <w:r w:rsidRPr="00321EC0">
        <w:rPr>
          <w:i w:val="0"/>
          <w:color w:val="auto"/>
        </w:rPr>
        <w:t>There have been no changes to outcomes or programs since the 2020-21 Portfolio Budget Statements.</w:t>
      </w:r>
    </w:p>
    <w:p w14:paraId="413A0AD6" w14:textId="77777777" w:rsidR="00D5737A" w:rsidRPr="00321EC0" w:rsidRDefault="00D5737A" w:rsidP="00D5737A"/>
    <w:p w14:paraId="6ABE90A7" w14:textId="77777777" w:rsidR="00D5737A" w:rsidRPr="00321EC0" w:rsidRDefault="00D5737A" w:rsidP="00D5737A"/>
    <w:p w14:paraId="2BC03980" w14:textId="77777777" w:rsidR="001E3E83" w:rsidRPr="00321EC0" w:rsidRDefault="00FB6D56" w:rsidP="001E3E83">
      <w:pPr>
        <w:pStyle w:val="Heading3"/>
        <w:rPr>
          <w:lang w:val="en-AU"/>
        </w:rPr>
      </w:pPr>
      <w:r w:rsidRPr="00321EC0">
        <w:br w:type="page"/>
      </w:r>
      <w:bookmarkStart w:id="378" w:name="_Toc531095068"/>
      <w:bookmarkStart w:id="379" w:name="_Toc62835715"/>
      <w:bookmarkStart w:id="380" w:name="_Toc63158596"/>
      <w:bookmarkStart w:id="381" w:name="_Toc112137880"/>
      <w:bookmarkStart w:id="382" w:name="_Toc112137902"/>
      <w:bookmarkStart w:id="383" w:name="_Toc210646455"/>
      <w:bookmarkStart w:id="384" w:name="_Toc210698434"/>
      <w:bookmarkStart w:id="385" w:name="_Toc210703217"/>
      <w:bookmarkStart w:id="386" w:name="_Toc143309827"/>
      <w:bookmarkStart w:id="387" w:name="OLE_LINK7"/>
      <w:bookmarkStart w:id="388" w:name="OLE_LINK8"/>
      <w:bookmarkStart w:id="389" w:name="_Toc35936966"/>
      <w:bookmarkStart w:id="390" w:name="_Toc77998691"/>
      <w:bookmarkStart w:id="391" w:name="_Toc79406120"/>
      <w:bookmarkStart w:id="392" w:name="_Toc79467822"/>
      <w:bookmarkStart w:id="393" w:name="_Toc112137881"/>
      <w:bookmarkStart w:id="394" w:name="_Toc112137903"/>
      <w:bookmarkStart w:id="395" w:name="_Toc210646456"/>
      <w:bookmarkStart w:id="396" w:name="_Toc210698435"/>
      <w:bookmarkStart w:id="397" w:name="_Toc492800629"/>
      <w:bookmarkStart w:id="398" w:name="_Toc436624160"/>
      <w:bookmarkStart w:id="399" w:name="_Toc436625461"/>
      <w:bookmarkStart w:id="400" w:name="_Toc449255783"/>
      <w:bookmarkStart w:id="401" w:name="_Toc490972415"/>
      <w:bookmarkStart w:id="402" w:name="_Toc491014635"/>
      <w:bookmarkStart w:id="403" w:name="_Toc491014777"/>
      <w:bookmarkStart w:id="404" w:name="_Toc491014957"/>
      <w:bookmarkStart w:id="405" w:name="_Toc491015104"/>
      <w:bookmarkStart w:id="406" w:name="_Toc491029247"/>
      <w:bookmarkStart w:id="407" w:name="_Toc491030336"/>
      <w:bookmarkStart w:id="408" w:name="_Toc491030795"/>
      <w:bookmarkStart w:id="409" w:name="_Toc491031358"/>
      <w:bookmarkStart w:id="410" w:name="_Toc491031945"/>
      <w:bookmarkStart w:id="411" w:name="_Toc491032124"/>
      <w:bookmarkStart w:id="412" w:name="_Toc491032226"/>
      <w:bookmarkStart w:id="413" w:name="_Toc491032333"/>
      <w:bookmarkStart w:id="414" w:name="_Toc491771728"/>
      <w:bookmarkStart w:id="415" w:name="_Toc491773303"/>
      <w:bookmarkStart w:id="416" w:name="_Toc23559358"/>
      <w:bookmarkStart w:id="417" w:name="_Toc23559392"/>
      <w:bookmarkStart w:id="418" w:name="_Toc23559679"/>
      <w:bookmarkStart w:id="419" w:name="_Toc23560148"/>
      <w:bookmarkStart w:id="420" w:name="_Toc23563441"/>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001E3E83" w:rsidRPr="00321EC0">
        <w:t>2.</w:t>
      </w:r>
      <w:r w:rsidR="002B0C37" w:rsidRPr="00321EC0">
        <w:rPr>
          <w:lang w:val="en-AU"/>
        </w:rPr>
        <w:t>1</w:t>
      </w:r>
      <w:r w:rsidR="001E3E83" w:rsidRPr="00321EC0">
        <w:tab/>
      </w:r>
      <w:r w:rsidR="001E3E83" w:rsidRPr="00321EC0">
        <w:rPr>
          <w:lang w:val="en-AU"/>
        </w:rPr>
        <w:t>Budgete</w:t>
      </w:r>
      <w:r w:rsidR="00FE7685" w:rsidRPr="00321EC0">
        <w:rPr>
          <w:lang w:val="en-AU"/>
        </w:rPr>
        <w:t>d expenses and performance for O</w:t>
      </w:r>
      <w:r w:rsidR="001E3E83" w:rsidRPr="00321EC0">
        <w:rPr>
          <w:lang w:val="en-AU"/>
        </w:rPr>
        <w:t xml:space="preserve">utcome </w:t>
      </w:r>
      <w:bookmarkEnd w:id="378"/>
      <w:r w:rsidR="002B0C37" w:rsidRPr="00321EC0">
        <w:rPr>
          <w:lang w:val="en-AU"/>
        </w:rPr>
        <w:t>1</w:t>
      </w:r>
      <w:bookmarkEnd w:id="379"/>
      <w:bookmarkEnd w:id="38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1E3E83" w:rsidRPr="00321EC0" w14:paraId="7F8A3FD2" w14:textId="77777777" w:rsidTr="00535BEC">
        <w:tc>
          <w:tcPr>
            <w:tcW w:w="7597" w:type="dxa"/>
            <w:shd w:val="clear" w:color="auto" w:fill="E6E6E6"/>
          </w:tcPr>
          <w:p w14:paraId="086AAD62" w14:textId="77777777" w:rsidR="001E3E83" w:rsidRPr="00321EC0" w:rsidRDefault="002B0C37" w:rsidP="002B0C37">
            <w:pPr>
              <w:pStyle w:val="TableColumnHeadingLeft"/>
            </w:pPr>
            <w:r w:rsidRPr="00321EC0">
              <w:rPr>
                <w:sz w:val="20"/>
              </w:rPr>
              <w:t>Outcome 1: Support sustainable Australian Government finances through providing high quality policy advice and operational support to the government and Commonwealth entities to maintain effective and efficient use of public resources.</w:t>
            </w:r>
          </w:p>
        </w:tc>
      </w:tr>
    </w:tbl>
    <w:p w14:paraId="75BF5678" w14:textId="77777777" w:rsidR="001E3E83" w:rsidRPr="00321EC0" w:rsidRDefault="001E3E83" w:rsidP="001E3E83">
      <w:pPr>
        <w:pStyle w:val="NoSpacing"/>
      </w:pPr>
    </w:p>
    <w:p w14:paraId="48652B1C" w14:textId="77777777" w:rsidR="001E3E83" w:rsidRPr="00321EC0" w:rsidRDefault="001E3E83" w:rsidP="001E3E83">
      <w:pPr>
        <w:pStyle w:val="Heading5"/>
      </w:pPr>
      <w:r w:rsidRPr="00321EC0">
        <w:t xml:space="preserve">Budgeted expenses for Outcome </w:t>
      </w:r>
      <w:r w:rsidR="002B0C37" w:rsidRPr="00321EC0">
        <w:rPr>
          <w:lang w:val="en-AU"/>
        </w:rPr>
        <w:t>1</w:t>
      </w:r>
    </w:p>
    <w:p w14:paraId="6C33B234" w14:textId="77777777" w:rsidR="001E3E83" w:rsidRPr="00321EC0" w:rsidRDefault="001E3E83" w:rsidP="001E3E83">
      <w:r w:rsidRPr="00321EC0">
        <w:t xml:space="preserve">This table shows how much the entity intends to spend (on an accrual basis) on achieving the outcome, broken down by program, as well as by Administered and Departmental funding sources. </w:t>
      </w:r>
    </w:p>
    <w:p w14:paraId="16485759" w14:textId="77777777" w:rsidR="001E3E83" w:rsidRPr="00321EC0" w:rsidRDefault="001E3E83" w:rsidP="001E3E83">
      <w:pPr>
        <w:pStyle w:val="TableHeading"/>
        <w:rPr>
          <w:lang w:val="en-AU"/>
        </w:rPr>
      </w:pPr>
      <w:r w:rsidRPr="00321EC0">
        <w:t>Table 2.</w:t>
      </w:r>
      <w:r w:rsidR="002B0C37" w:rsidRPr="00321EC0">
        <w:rPr>
          <w:lang w:val="en-AU"/>
        </w:rPr>
        <w:t>1</w:t>
      </w:r>
      <w:r w:rsidRPr="00321EC0">
        <w:rPr>
          <w:lang w:val="en-AU"/>
        </w:rPr>
        <w:t>.</w:t>
      </w:r>
      <w:r w:rsidRPr="00321EC0">
        <w:t>1 Budgeted expenses</w:t>
      </w:r>
      <w:r w:rsidRPr="00321EC0">
        <w:rPr>
          <w:lang w:val="en-AU"/>
        </w:rPr>
        <w:t xml:space="preserve"> for</w:t>
      </w:r>
      <w:r w:rsidRPr="00321EC0">
        <w:t xml:space="preserve"> Outcome </w:t>
      </w:r>
      <w:r w:rsidR="002B0C37" w:rsidRPr="00321EC0">
        <w:rPr>
          <w:lang w:val="en-AU"/>
        </w:rPr>
        <w:t>1</w:t>
      </w:r>
    </w:p>
    <w:p w14:paraId="704BBEE1" w14:textId="349CC8E7" w:rsidR="001E3E83" w:rsidRPr="00321EC0" w:rsidRDefault="001E3E83" w:rsidP="001E3E83">
      <w:pPr>
        <w:pStyle w:val="TableGraphic"/>
        <w:rPr>
          <w:iCs/>
        </w:rPr>
      </w:pPr>
      <w:r w:rsidRPr="00321EC0">
        <w:rPr>
          <w:i w:val="0"/>
        </w:rPr>
        <w:t xml:space="preserve"> </w:t>
      </w:r>
      <w:r w:rsidR="00226BC6" w:rsidRPr="00226BC6">
        <w:rPr>
          <w:noProof/>
        </w:rPr>
        <w:drawing>
          <wp:inline distT="0" distB="0" distL="0" distR="0" wp14:anchorId="2AECE280" wp14:editId="26085107">
            <wp:extent cx="4636770" cy="3537585"/>
            <wp:effectExtent l="0" t="0" r="0" b="571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36770" cy="3537585"/>
                    </a:xfrm>
                    <a:prstGeom prst="rect">
                      <a:avLst/>
                    </a:prstGeom>
                    <a:noFill/>
                    <a:ln>
                      <a:noFill/>
                    </a:ln>
                  </pic:spPr>
                </pic:pic>
              </a:graphicData>
            </a:graphic>
          </wp:inline>
        </w:drawing>
      </w:r>
    </w:p>
    <w:p w14:paraId="24E6BDDE" w14:textId="77777777" w:rsidR="007703A4" w:rsidRPr="00321EC0" w:rsidRDefault="007703A4" w:rsidP="00264523">
      <w:pPr>
        <w:pStyle w:val="ChartandTableFootnoteAlpha"/>
        <w:numPr>
          <w:ilvl w:val="0"/>
          <w:numId w:val="4"/>
        </w:numPr>
      </w:pPr>
      <w:r w:rsidRPr="00321EC0">
        <w:t xml:space="preserve">Departmental appropriation combines 'Ordinary annual services (Appropriation </w:t>
      </w:r>
      <w:r w:rsidR="00E84034">
        <w:t>Act</w:t>
      </w:r>
      <w:r w:rsidR="0039046F">
        <w:t xml:space="preserve"> No. 1 and </w:t>
      </w:r>
      <w:r w:rsidR="007E69CB">
        <w:t xml:space="preserve">Bill No. 3)' and </w:t>
      </w:r>
      <w:r w:rsidR="005E6794">
        <w:t xml:space="preserve">estimated receipts </w:t>
      </w:r>
      <w:r w:rsidR="007E69CB">
        <w:t>retained under s74 of the PGPA Act</w:t>
      </w:r>
      <w:r w:rsidRPr="00321EC0">
        <w:t>.</w:t>
      </w:r>
    </w:p>
    <w:p w14:paraId="430EB880" w14:textId="2FA1189C" w:rsidR="007703A4" w:rsidRPr="00321EC0" w:rsidRDefault="007703A4" w:rsidP="00264523">
      <w:pPr>
        <w:pStyle w:val="ChartandTableFootnoteAlpha"/>
        <w:numPr>
          <w:ilvl w:val="0"/>
          <w:numId w:val="4"/>
        </w:numPr>
      </w:pPr>
      <w:r w:rsidRPr="00321EC0">
        <w:t xml:space="preserve">Expenses not requiring appropriation in the Budget year is made up of </w:t>
      </w:r>
      <w:r w:rsidR="002A6A15">
        <w:t>d</w:t>
      </w:r>
      <w:r w:rsidRPr="00321EC0">
        <w:t xml:space="preserve">epreciation </w:t>
      </w:r>
      <w:r w:rsidR="002A6A15">
        <w:t>e</w:t>
      </w:r>
      <w:r w:rsidRPr="00321EC0">
        <w:t>xpenses</w:t>
      </w:r>
      <w:r w:rsidR="002A6A15">
        <w:t>,</w:t>
      </w:r>
      <w:r w:rsidRPr="00321EC0">
        <w:t xml:space="preserve"> </w:t>
      </w:r>
      <w:r w:rsidR="002A6A15">
        <w:t>a</w:t>
      </w:r>
      <w:r w:rsidRPr="00321EC0">
        <w:t xml:space="preserve">mortisation </w:t>
      </w:r>
      <w:r w:rsidR="002A6A15">
        <w:t>e</w:t>
      </w:r>
      <w:r w:rsidRPr="00321EC0">
        <w:t>xpenses</w:t>
      </w:r>
      <w:r w:rsidR="002A6A15">
        <w:t xml:space="preserve"> and resources received free of charge</w:t>
      </w:r>
      <w:r w:rsidRPr="00321EC0">
        <w:t>.</w:t>
      </w:r>
    </w:p>
    <w:p w14:paraId="26C8F1F3" w14:textId="77777777" w:rsidR="006050E7" w:rsidRPr="00321EC0" w:rsidRDefault="006050E7" w:rsidP="006050E7">
      <w:pPr>
        <w:pStyle w:val="ChartandTableFootnoteAlpha"/>
        <w:numPr>
          <w:ilvl w:val="0"/>
          <w:numId w:val="0"/>
        </w:numPr>
      </w:pPr>
    </w:p>
    <w:p w14:paraId="05F6BCE4" w14:textId="77777777" w:rsidR="00043BFF" w:rsidRPr="00321EC0" w:rsidRDefault="007703A4" w:rsidP="006050E7">
      <w:pPr>
        <w:pStyle w:val="ChartandTableFootnoteAlpha"/>
        <w:numPr>
          <w:ilvl w:val="0"/>
          <w:numId w:val="0"/>
        </w:numPr>
      </w:pPr>
      <w:r w:rsidRPr="00321EC0">
        <w:t>Note: Departmental appropriation splits and totals are indicative estimates and may change in the course of the budget year as government priorities change.</w:t>
      </w:r>
      <w:r w:rsidRPr="00321EC0">
        <w:tab/>
      </w:r>
      <w:r w:rsidRPr="00321EC0">
        <w:tab/>
      </w:r>
      <w:r w:rsidRPr="00321EC0">
        <w:tab/>
      </w:r>
      <w:r w:rsidRPr="00321EC0">
        <w:tab/>
      </w:r>
      <w:r w:rsidRPr="00321EC0">
        <w:tab/>
      </w:r>
    </w:p>
    <w:p w14:paraId="65B9207C" w14:textId="77777777" w:rsidR="001E3E83" w:rsidRPr="00321EC0" w:rsidRDefault="001E3E83" w:rsidP="00043BFF">
      <w:pPr>
        <w:pStyle w:val="ChartandTableFootnoteAlpha"/>
        <w:numPr>
          <w:ilvl w:val="0"/>
          <w:numId w:val="0"/>
        </w:numPr>
        <w:ind w:left="397"/>
        <w:rPr>
          <w:b/>
          <w:bCs/>
          <w:iCs/>
          <w:szCs w:val="26"/>
          <w:lang w:val="x-none"/>
        </w:rPr>
      </w:pPr>
      <w:r w:rsidRPr="00321EC0">
        <w:br w:type="page"/>
      </w:r>
    </w:p>
    <w:p w14:paraId="0A2034F4" w14:textId="77777777" w:rsidR="001E3E83" w:rsidRPr="00321EC0" w:rsidRDefault="001E3E83" w:rsidP="001E3E83">
      <w:pPr>
        <w:pStyle w:val="Heading5"/>
      </w:pPr>
      <w:r w:rsidRPr="00321EC0">
        <w:t>Table 2.</w:t>
      </w:r>
      <w:r w:rsidR="002B0C37" w:rsidRPr="00321EC0">
        <w:rPr>
          <w:lang w:val="en-AU"/>
        </w:rPr>
        <w:t>1</w:t>
      </w:r>
      <w:r w:rsidR="00E563A4" w:rsidRPr="00321EC0">
        <w:t>.2</w:t>
      </w:r>
      <w:r w:rsidRPr="00321EC0">
        <w:t>: Performance criteria for Outcome</w:t>
      </w:r>
      <w:r w:rsidR="002B0C37" w:rsidRPr="00321EC0">
        <w:t xml:space="preserve"> 1</w:t>
      </w:r>
    </w:p>
    <w:p w14:paraId="109C2A71" w14:textId="77777777" w:rsidR="001E3E83" w:rsidRPr="00321EC0" w:rsidRDefault="003137E5" w:rsidP="001E3E83">
      <w:r w:rsidRPr="00321EC0">
        <w:t>Table 2.1</w:t>
      </w:r>
      <w:r w:rsidR="00081CBA">
        <w:t>.2</w:t>
      </w:r>
      <w:r w:rsidR="001E3E83" w:rsidRPr="00321EC0">
        <w:t xml:space="preserve"> below details the performance criteria for each program associated with Outcome </w:t>
      </w:r>
      <w:r w:rsidRPr="00321EC0">
        <w:t>1</w:t>
      </w:r>
      <w:r w:rsidR="001E3E83" w:rsidRPr="00321EC0">
        <w:t>. It is to be used by entities to describe the results they plan to achieve with the resources provided for new programs, or materially changed existing programs resulting from decisions made since the 2020-21 Budget.</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1E3E83" w:rsidRPr="00321EC0" w14:paraId="08F7050B" w14:textId="77777777" w:rsidTr="008D79D6">
        <w:trPr>
          <w:tblHeader/>
        </w:trPr>
        <w:tc>
          <w:tcPr>
            <w:tcW w:w="7797" w:type="dxa"/>
            <w:shd w:val="clear" w:color="auto" w:fill="F2F2F2"/>
            <w:vAlign w:val="center"/>
          </w:tcPr>
          <w:p w14:paraId="5214F48F" w14:textId="77777777" w:rsidR="001E3E83" w:rsidRPr="00321EC0" w:rsidRDefault="007F72B0" w:rsidP="008F3986">
            <w:pPr>
              <w:pStyle w:val="TableColumnHeadingLeft"/>
              <w:spacing w:before="120" w:after="120" w:line="240" w:lineRule="auto"/>
              <w:jc w:val="left"/>
            </w:pPr>
            <w:r w:rsidRPr="00321EC0">
              <w:t xml:space="preserve">Outcome 1 </w:t>
            </w:r>
            <w:r w:rsidRPr="00321EC0">
              <w:rPr>
                <w:b w:val="0"/>
              </w:rPr>
              <w:t>– Support sustainable Australian Government finances through providing high quality policy advice and operational support to the Government and Commonwealth entities to maintain effective and efficient use of public resources.</w:t>
            </w:r>
          </w:p>
        </w:tc>
      </w:tr>
      <w:tr w:rsidR="001E3E83" w:rsidRPr="00321EC0" w14:paraId="12293AE1" w14:textId="77777777" w:rsidTr="008D79D6">
        <w:trPr>
          <w:tblHeader/>
        </w:trPr>
        <w:tc>
          <w:tcPr>
            <w:tcW w:w="7797" w:type="dxa"/>
            <w:shd w:val="clear" w:color="auto" w:fill="F2F2F2"/>
            <w:vAlign w:val="center"/>
          </w:tcPr>
          <w:p w14:paraId="07892A7A" w14:textId="77777777" w:rsidR="007F72B0" w:rsidRPr="00D37F3B" w:rsidRDefault="007F72B0" w:rsidP="007F72B0">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1.1</w:t>
            </w:r>
            <w:r w:rsidRPr="00D37F3B">
              <w:rPr>
                <w:rFonts w:ascii="Arial" w:hAnsi="Arial" w:cs="Arial"/>
                <w:b/>
                <w:sz w:val="16"/>
                <w:szCs w:val="16"/>
              </w:rPr>
              <w:t xml:space="preserve"> – </w:t>
            </w:r>
            <w:r w:rsidRPr="00321EC0">
              <w:rPr>
                <w:rFonts w:ascii="Arial" w:hAnsi="Arial" w:cs="Arial"/>
                <w:b/>
                <w:sz w:val="16"/>
                <w:szCs w:val="16"/>
              </w:rPr>
              <w:t>Budget and Financial Management</w:t>
            </w:r>
            <w:r w:rsidRPr="00D37F3B">
              <w:rPr>
                <w:rFonts w:ascii="Arial" w:hAnsi="Arial" w:cs="Arial"/>
                <w:b/>
                <w:sz w:val="16"/>
                <w:szCs w:val="16"/>
              </w:rPr>
              <w:t xml:space="preserve"> </w:t>
            </w:r>
          </w:p>
          <w:p w14:paraId="342F35A1" w14:textId="77777777" w:rsidR="001E3E83" w:rsidRPr="00321EC0" w:rsidRDefault="00F92F68" w:rsidP="00D37F3B">
            <w:pPr>
              <w:tabs>
                <w:tab w:val="left" w:pos="709"/>
              </w:tabs>
              <w:spacing w:before="60" w:after="60" w:line="240" w:lineRule="auto"/>
              <w:jc w:val="left"/>
              <w:rPr>
                <w:rFonts w:ascii="Arial" w:hAnsi="Arial" w:cs="Arial"/>
                <w:sz w:val="16"/>
                <w:szCs w:val="16"/>
              </w:rPr>
            </w:pPr>
            <w:r w:rsidRPr="00E74F9F">
              <w:rPr>
                <w:rFonts w:ascii="Arial" w:hAnsi="Arial" w:cs="Arial"/>
                <w:sz w:val="16"/>
                <w:szCs w:val="16"/>
              </w:rPr>
              <w:t>No</w:t>
            </w:r>
            <w:r w:rsidRPr="00321EC0">
              <w:rPr>
                <w:rFonts w:ascii="Arial" w:hAnsi="Arial" w:cs="Arial"/>
                <w:sz w:val="16"/>
                <w:szCs w:val="16"/>
              </w:rPr>
              <w:t xml:space="preserve"> changes have been made to the performance criteria for this program since the 2020-21 Portfolio Budget Statements.</w:t>
            </w:r>
          </w:p>
        </w:tc>
      </w:tr>
    </w:tbl>
    <w:p w14:paraId="52C497F6" w14:textId="77777777" w:rsidR="001E3E83" w:rsidRPr="00321EC0" w:rsidRDefault="001E3E83" w:rsidP="001E3E83"/>
    <w:p w14:paraId="5B06AA7B" w14:textId="77777777" w:rsidR="001E3E83" w:rsidRPr="00321EC0" w:rsidRDefault="001E3E83" w:rsidP="001E3E83"/>
    <w:p w14:paraId="29C72307" w14:textId="77777777" w:rsidR="001E3E83" w:rsidRPr="00321EC0" w:rsidRDefault="001E3E83" w:rsidP="001E3E83">
      <w:pPr>
        <w:pStyle w:val="Heading3"/>
        <w:rPr>
          <w:lang w:val="en-AU"/>
        </w:rPr>
      </w:pPr>
      <w:r w:rsidRPr="00321EC0">
        <w:rPr>
          <w:lang w:val="en-GB"/>
        </w:rPr>
        <w:br w:type="page"/>
      </w:r>
      <w:bookmarkStart w:id="421" w:name="_Toc62835716"/>
      <w:bookmarkStart w:id="422" w:name="_Toc63158597"/>
      <w:r w:rsidRPr="00321EC0">
        <w:t>2.</w:t>
      </w:r>
      <w:r w:rsidR="00FE7685" w:rsidRPr="00321EC0">
        <w:rPr>
          <w:lang w:val="en-AU"/>
        </w:rPr>
        <w:t>2</w:t>
      </w:r>
      <w:r w:rsidRPr="00321EC0">
        <w:tab/>
      </w:r>
      <w:r w:rsidRPr="00321EC0">
        <w:rPr>
          <w:lang w:val="en-AU"/>
        </w:rPr>
        <w:t>Budgeted expens</w:t>
      </w:r>
      <w:r w:rsidR="00FE7685" w:rsidRPr="00321EC0">
        <w:rPr>
          <w:lang w:val="en-AU"/>
        </w:rPr>
        <w:t>es and performance for Outcome 2</w:t>
      </w:r>
      <w:bookmarkEnd w:id="421"/>
      <w:bookmarkEnd w:id="42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1E3E83" w:rsidRPr="00321EC0" w14:paraId="69CC0054" w14:textId="77777777" w:rsidTr="00013B41">
        <w:tc>
          <w:tcPr>
            <w:tcW w:w="7597" w:type="dxa"/>
            <w:shd w:val="clear" w:color="auto" w:fill="E6E6E6"/>
          </w:tcPr>
          <w:p w14:paraId="57977E10" w14:textId="77777777" w:rsidR="001E3E83" w:rsidRPr="00321EC0" w:rsidRDefault="00FE7685" w:rsidP="00FE7685">
            <w:pPr>
              <w:pStyle w:val="TableColumnHeadingLeft"/>
            </w:pPr>
            <w:r w:rsidRPr="00321EC0">
              <w:rPr>
                <w:sz w:val="20"/>
              </w:rPr>
              <w:t>Outcome 2: Support an efficient and high-performing public sector through providing leadership to Commonwealth entities in ongoing improvements to public sector governance, including through systems, frameworks, policy, advice, and service delivery.</w:t>
            </w:r>
          </w:p>
        </w:tc>
      </w:tr>
    </w:tbl>
    <w:p w14:paraId="52359285" w14:textId="77777777" w:rsidR="001E3E83" w:rsidRPr="00321EC0" w:rsidRDefault="001E3E83" w:rsidP="001E3E83">
      <w:pPr>
        <w:pStyle w:val="NoSpacing"/>
      </w:pPr>
    </w:p>
    <w:p w14:paraId="6C42E9C1" w14:textId="77777777" w:rsidR="001E3E83" w:rsidRPr="00321EC0" w:rsidRDefault="001E3E83" w:rsidP="001E3E83">
      <w:pPr>
        <w:pStyle w:val="Heading4"/>
      </w:pPr>
      <w:r w:rsidRPr="00321EC0">
        <w:rPr>
          <w:sz w:val="22"/>
          <w:szCs w:val="22"/>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1E3E83" w:rsidRPr="00321EC0" w14:paraId="6FEF61E9" w14:textId="77777777" w:rsidTr="008F3986">
        <w:trPr>
          <w:trHeight w:val="113"/>
          <w:tblHeader/>
        </w:trPr>
        <w:tc>
          <w:tcPr>
            <w:tcW w:w="7711" w:type="dxa"/>
            <w:tcBorders>
              <w:bottom w:val="dotted" w:sz="4" w:space="0" w:color="auto"/>
            </w:tcBorders>
          </w:tcPr>
          <w:p w14:paraId="5E0E9177" w14:textId="77777777" w:rsidR="001E3E83" w:rsidRPr="00321EC0" w:rsidRDefault="00FE7685" w:rsidP="00FE7685">
            <w:pPr>
              <w:pStyle w:val="ExampleText"/>
              <w:spacing w:before="60" w:after="60" w:line="240" w:lineRule="auto"/>
            </w:pPr>
            <w:r w:rsidRPr="00321EC0">
              <w:rPr>
                <w:rStyle w:val="ExampletextCharChar"/>
                <w:b/>
                <w:color w:val="auto"/>
              </w:rPr>
              <w:t xml:space="preserve">Commonwealth Superannuation Corporation </w:t>
            </w:r>
          </w:p>
        </w:tc>
      </w:tr>
      <w:tr w:rsidR="001E3E83" w:rsidRPr="00321EC0" w14:paraId="41DE87C5" w14:textId="77777777" w:rsidTr="008F3986">
        <w:trPr>
          <w:trHeight w:val="113"/>
        </w:trPr>
        <w:tc>
          <w:tcPr>
            <w:tcW w:w="7711" w:type="dxa"/>
            <w:tcBorders>
              <w:top w:val="dotted" w:sz="4" w:space="0" w:color="auto"/>
              <w:bottom w:val="single" w:sz="4" w:space="0" w:color="auto"/>
            </w:tcBorders>
          </w:tcPr>
          <w:p w14:paraId="4D8C261F" w14:textId="77777777" w:rsidR="00FE7685" w:rsidRPr="00321EC0" w:rsidRDefault="00FE7685" w:rsidP="00FE7685">
            <w:pPr>
              <w:spacing w:before="60" w:after="60" w:line="240" w:lineRule="auto"/>
              <w:rPr>
                <w:rStyle w:val="ExampletextCharChar"/>
                <w:b/>
                <w:i w:val="0"/>
                <w:color w:val="000000"/>
              </w:rPr>
            </w:pPr>
            <w:r w:rsidRPr="00321EC0">
              <w:rPr>
                <w:rStyle w:val="ExampletextCharChar"/>
                <w:b/>
                <w:i w:val="0"/>
                <w:color w:val="000000"/>
              </w:rPr>
              <w:t>Programs</w:t>
            </w:r>
          </w:p>
          <w:p w14:paraId="149F647B" w14:textId="77777777" w:rsidR="001E3E83" w:rsidRPr="00321EC0" w:rsidRDefault="00FE7685" w:rsidP="00264523">
            <w:pPr>
              <w:numPr>
                <w:ilvl w:val="0"/>
                <w:numId w:val="2"/>
              </w:numPr>
              <w:spacing w:before="60" w:after="60" w:line="240" w:lineRule="auto"/>
              <w:ind w:left="714" w:hanging="357"/>
              <w:rPr>
                <w:rStyle w:val="ExampletextCharChar"/>
              </w:rPr>
            </w:pPr>
            <w:r w:rsidRPr="00321EC0">
              <w:rPr>
                <w:rStyle w:val="ExampletextCharChar"/>
                <w:i w:val="0"/>
                <w:color w:val="000000"/>
              </w:rPr>
              <w:t>Program 1.1 – Superannuation Scheme Governance</w:t>
            </w:r>
          </w:p>
        </w:tc>
      </w:tr>
      <w:tr w:rsidR="001E3E83" w:rsidRPr="00321EC0" w14:paraId="7AF5CC5E" w14:textId="77777777" w:rsidTr="008F3986">
        <w:trPr>
          <w:trHeight w:val="113"/>
        </w:trPr>
        <w:tc>
          <w:tcPr>
            <w:tcW w:w="7711" w:type="dxa"/>
            <w:tcBorders>
              <w:bottom w:val="dotted" w:sz="4" w:space="0" w:color="auto"/>
            </w:tcBorders>
          </w:tcPr>
          <w:p w14:paraId="110B562E" w14:textId="77777777" w:rsidR="001E3E83" w:rsidRPr="00321EC0" w:rsidRDefault="00FE7685" w:rsidP="008F3986">
            <w:pPr>
              <w:pStyle w:val="ExampleText"/>
              <w:spacing w:before="60" w:after="60" w:line="240" w:lineRule="auto"/>
            </w:pPr>
            <w:r w:rsidRPr="00321EC0">
              <w:rPr>
                <w:rStyle w:val="ExampletextCharChar"/>
                <w:b/>
                <w:color w:val="auto"/>
              </w:rPr>
              <w:t>Future Fund Management Agency</w:t>
            </w:r>
          </w:p>
        </w:tc>
      </w:tr>
      <w:tr w:rsidR="001E3E83" w:rsidRPr="00321EC0" w14:paraId="542DB070" w14:textId="77777777" w:rsidTr="008F3986">
        <w:trPr>
          <w:trHeight w:val="113"/>
        </w:trPr>
        <w:tc>
          <w:tcPr>
            <w:tcW w:w="7711" w:type="dxa"/>
            <w:tcBorders>
              <w:top w:val="dotted" w:sz="4" w:space="0" w:color="auto"/>
              <w:bottom w:val="single" w:sz="4" w:space="0" w:color="auto"/>
            </w:tcBorders>
          </w:tcPr>
          <w:p w14:paraId="42AE320D" w14:textId="77777777" w:rsidR="00FE7685" w:rsidRPr="00321EC0" w:rsidRDefault="00FE7685" w:rsidP="00FE7685">
            <w:pPr>
              <w:spacing w:before="60" w:after="60" w:line="240" w:lineRule="auto"/>
              <w:rPr>
                <w:rStyle w:val="ExampletextCharChar"/>
                <w:b/>
                <w:i w:val="0"/>
                <w:color w:val="000000"/>
              </w:rPr>
            </w:pPr>
            <w:r w:rsidRPr="00321EC0">
              <w:rPr>
                <w:rStyle w:val="ExampletextCharChar"/>
                <w:b/>
                <w:i w:val="0"/>
                <w:color w:val="000000"/>
              </w:rPr>
              <w:t>Programs</w:t>
            </w:r>
          </w:p>
          <w:p w14:paraId="2FC2F8F6" w14:textId="77777777" w:rsidR="00FE7685" w:rsidRPr="00321EC0" w:rsidRDefault="00FE7685" w:rsidP="00264523">
            <w:pPr>
              <w:numPr>
                <w:ilvl w:val="0"/>
                <w:numId w:val="2"/>
              </w:numPr>
              <w:spacing w:before="60" w:after="60" w:line="240" w:lineRule="auto"/>
              <w:rPr>
                <w:rStyle w:val="ExampletextCharChar"/>
                <w:i w:val="0"/>
                <w:color w:val="000000"/>
              </w:rPr>
            </w:pPr>
            <w:r w:rsidRPr="00321EC0">
              <w:rPr>
                <w:rStyle w:val="ExampletextCharChar"/>
                <w:i w:val="0"/>
                <w:color w:val="000000"/>
              </w:rPr>
              <w:t>Program 1.1 – Management of the Investment of the Future Fund</w:t>
            </w:r>
          </w:p>
          <w:p w14:paraId="65D5BFD8" w14:textId="77777777" w:rsidR="001E3E83" w:rsidRPr="00321EC0" w:rsidRDefault="00FE7685" w:rsidP="00264523">
            <w:pPr>
              <w:numPr>
                <w:ilvl w:val="0"/>
                <w:numId w:val="2"/>
              </w:numPr>
              <w:spacing w:before="60" w:after="60" w:line="240" w:lineRule="auto"/>
              <w:rPr>
                <w:rStyle w:val="ExampletextCharChar"/>
                <w:i w:val="0"/>
              </w:rPr>
            </w:pPr>
            <w:r w:rsidRPr="00321EC0">
              <w:rPr>
                <w:rStyle w:val="ExampletextCharChar"/>
                <w:i w:val="0"/>
                <w:color w:val="000000"/>
              </w:rPr>
              <w:t>Program 1.2 – Management of the Investment of the Australian Government Investment Funds</w:t>
            </w:r>
          </w:p>
        </w:tc>
      </w:tr>
      <w:tr w:rsidR="001E3E83" w:rsidRPr="00321EC0" w14:paraId="1743BE99" w14:textId="77777777" w:rsidTr="008F3986">
        <w:trPr>
          <w:trHeight w:val="113"/>
        </w:trPr>
        <w:tc>
          <w:tcPr>
            <w:tcW w:w="7711" w:type="dxa"/>
            <w:tcBorders>
              <w:bottom w:val="single" w:sz="4" w:space="0" w:color="auto"/>
            </w:tcBorders>
          </w:tcPr>
          <w:p w14:paraId="77D692E6" w14:textId="77777777" w:rsidR="00FE7685" w:rsidRPr="00321EC0" w:rsidRDefault="00FE7685" w:rsidP="00FE7685">
            <w:pPr>
              <w:spacing w:before="60" w:after="60" w:line="240" w:lineRule="auto"/>
              <w:rPr>
                <w:rStyle w:val="ExampletextCharChar"/>
                <w:b/>
                <w:i w:val="0"/>
                <w:color w:val="000000"/>
              </w:rPr>
            </w:pPr>
            <w:r w:rsidRPr="00321EC0">
              <w:rPr>
                <w:rStyle w:val="ExampletextCharChar"/>
                <w:b/>
                <w:i w:val="0"/>
                <w:color w:val="000000"/>
              </w:rPr>
              <w:t>Contribution to Outcome 2 made by linked programs</w:t>
            </w:r>
          </w:p>
          <w:p w14:paraId="7DCE7611" w14:textId="77777777" w:rsidR="00FE7685" w:rsidRPr="00321EC0" w:rsidRDefault="00FE7685" w:rsidP="00FE7685">
            <w:pPr>
              <w:pStyle w:val="Heading5"/>
              <w:spacing w:after="0"/>
              <w:jc w:val="both"/>
              <w:rPr>
                <w:rStyle w:val="ExampletextCharChar"/>
                <w:b w:val="0"/>
                <w:bCs w:val="0"/>
                <w:i w:val="0"/>
                <w:iCs w:val="0"/>
                <w:color w:val="000000"/>
              </w:rPr>
            </w:pPr>
            <w:r w:rsidRPr="00321EC0">
              <w:rPr>
                <w:rStyle w:val="ExampletextCharChar"/>
                <w:b w:val="0"/>
                <w:bCs w:val="0"/>
                <w:i w:val="0"/>
                <w:iCs w:val="0"/>
                <w:color w:val="000000"/>
              </w:rPr>
              <w:t>The Department of Finance works with the Commonwealth Superannuation Corporation to ensure that the management of public sector superannuation is consistent with legislative obligations.</w:t>
            </w:r>
          </w:p>
          <w:p w14:paraId="74945565" w14:textId="77777777" w:rsidR="00FE7685" w:rsidRPr="00321EC0" w:rsidRDefault="00FE7685" w:rsidP="00FE7685">
            <w:pPr>
              <w:spacing w:after="0"/>
              <w:rPr>
                <w:rStyle w:val="ExampletextCharChar"/>
                <w:i w:val="0"/>
                <w:color w:val="000000"/>
              </w:rPr>
            </w:pPr>
          </w:p>
          <w:p w14:paraId="799D0131" w14:textId="77777777" w:rsidR="001E3E83" w:rsidRPr="00321EC0" w:rsidRDefault="00FE7685" w:rsidP="00FE7685">
            <w:pPr>
              <w:spacing w:before="60" w:after="60" w:line="240" w:lineRule="auto"/>
              <w:rPr>
                <w:rStyle w:val="ExampletextCharChar"/>
              </w:rPr>
            </w:pPr>
            <w:r w:rsidRPr="00321EC0">
              <w:rPr>
                <w:rStyle w:val="ExampletextCharChar"/>
                <w:i w:val="0"/>
                <w:color w:val="000000"/>
              </w:rPr>
              <w:t>The Department of Finance works with the Future Fund Management Agency to ensure that the management of the Future Fund and the Australian Government Investment Funds is consistent with legislation and maximises returns to taxpayers.</w:t>
            </w:r>
          </w:p>
        </w:tc>
      </w:tr>
    </w:tbl>
    <w:p w14:paraId="1CF3A88F" w14:textId="77777777" w:rsidR="001E3E83" w:rsidRPr="00321EC0" w:rsidRDefault="001E3E83" w:rsidP="001E3E83">
      <w:pPr>
        <w:pStyle w:val="SingleParagraph"/>
      </w:pPr>
    </w:p>
    <w:p w14:paraId="4A963989" w14:textId="77777777" w:rsidR="00E563A4" w:rsidRPr="00321EC0" w:rsidRDefault="00E563A4" w:rsidP="001E3E83">
      <w:pPr>
        <w:pStyle w:val="SingleParagraph"/>
      </w:pPr>
    </w:p>
    <w:p w14:paraId="002A1078" w14:textId="77777777" w:rsidR="00E563A4" w:rsidRPr="00321EC0" w:rsidRDefault="00E563A4" w:rsidP="001E3E83">
      <w:pPr>
        <w:pStyle w:val="SingleParagraph"/>
      </w:pPr>
    </w:p>
    <w:p w14:paraId="68C67AF2" w14:textId="77777777" w:rsidR="00E563A4" w:rsidRPr="00321EC0" w:rsidRDefault="00E563A4" w:rsidP="001E3E83">
      <w:pPr>
        <w:pStyle w:val="SingleParagraph"/>
      </w:pPr>
    </w:p>
    <w:p w14:paraId="21678E54" w14:textId="77777777" w:rsidR="00E563A4" w:rsidRPr="00321EC0" w:rsidRDefault="00E563A4" w:rsidP="001E3E83">
      <w:pPr>
        <w:pStyle w:val="SingleParagraph"/>
      </w:pPr>
    </w:p>
    <w:p w14:paraId="1CCBEA69" w14:textId="77777777" w:rsidR="00E563A4" w:rsidRPr="00321EC0" w:rsidRDefault="00E563A4" w:rsidP="001E3E83">
      <w:pPr>
        <w:pStyle w:val="SingleParagraph"/>
      </w:pPr>
    </w:p>
    <w:p w14:paraId="55EC72F8" w14:textId="77777777" w:rsidR="00E563A4" w:rsidRPr="00321EC0" w:rsidRDefault="00E563A4" w:rsidP="001E3E83">
      <w:pPr>
        <w:pStyle w:val="SingleParagraph"/>
      </w:pPr>
    </w:p>
    <w:p w14:paraId="6B03701A" w14:textId="77777777" w:rsidR="00E563A4" w:rsidRPr="00321EC0" w:rsidRDefault="00E563A4" w:rsidP="001E3E83">
      <w:pPr>
        <w:pStyle w:val="SingleParagraph"/>
      </w:pPr>
    </w:p>
    <w:p w14:paraId="7DF097BE" w14:textId="77777777" w:rsidR="00E563A4" w:rsidRPr="00321EC0" w:rsidRDefault="00E563A4" w:rsidP="001E3E83">
      <w:pPr>
        <w:pStyle w:val="SingleParagraph"/>
      </w:pPr>
    </w:p>
    <w:p w14:paraId="11FA4F6F" w14:textId="77777777" w:rsidR="00E563A4" w:rsidRPr="00321EC0" w:rsidRDefault="00E563A4" w:rsidP="001E3E83">
      <w:pPr>
        <w:pStyle w:val="SingleParagraph"/>
      </w:pPr>
    </w:p>
    <w:p w14:paraId="4AC60F18" w14:textId="77777777" w:rsidR="00E563A4" w:rsidRPr="00321EC0" w:rsidRDefault="00E563A4" w:rsidP="001E3E83">
      <w:pPr>
        <w:pStyle w:val="SingleParagraph"/>
      </w:pPr>
    </w:p>
    <w:p w14:paraId="2B3DE748" w14:textId="77777777" w:rsidR="00E563A4" w:rsidRPr="00321EC0" w:rsidRDefault="00E563A4" w:rsidP="001E3E83">
      <w:pPr>
        <w:pStyle w:val="SingleParagraph"/>
      </w:pPr>
    </w:p>
    <w:p w14:paraId="00DE8DA7" w14:textId="77777777" w:rsidR="00E563A4" w:rsidRPr="00321EC0" w:rsidRDefault="00E563A4" w:rsidP="001E3E83">
      <w:pPr>
        <w:pStyle w:val="SingleParagraph"/>
      </w:pPr>
    </w:p>
    <w:p w14:paraId="74ECE0A2" w14:textId="77777777" w:rsidR="00E563A4" w:rsidRPr="00321EC0" w:rsidRDefault="00E563A4" w:rsidP="001E3E83">
      <w:pPr>
        <w:pStyle w:val="SingleParagraph"/>
      </w:pPr>
    </w:p>
    <w:p w14:paraId="3E72A40F" w14:textId="77777777" w:rsidR="00881200" w:rsidRPr="00321EC0" w:rsidRDefault="00881200" w:rsidP="001E3E83">
      <w:pPr>
        <w:pStyle w:val="SingleParagraph"/>
        <w:sectPr w:rsidR="00881200" w:rsidRPr="00321EC0" w:rsidSect="00230BD3">
          <w:headerReference w:type="even" r:id="rId65"/>
          <w:headerReference w:type="default" r:id="rId66"/>
          <w:headerReference w:type="first" r:id="rId67"/>
          <w:pgSz w:w="11907" w:h="16840" w:code="9"/>
          <w:pgMar w:top="2466" w:right="2098" w:bottom="2269" w:left="2098" w:header="1899" w:footer="1899" w:gutter="0"/>
          <w:cols w:space="708"/>
          <w:titlePg/>
          <w:docGrid w:linePitch="360"/>
        </w:sectPr>
      </w:pPr>
    </w:p>
    <w:p w14:paraId="4F0CA68B" w14:textId="77777777" w:rsidR="001E3E83" w:rsidRPr="00321EC0" w:rsidRDefault="00013B41" w:rsidP="001E3E83">
      <w:pPr>
        <w:pStyle w:val="Heading5"/>
      </w:pPr>
      <w:r w:rsidRPr="00321EC0">
        <w:t>Budgeted expenses for Outcome 2</w:t>
      </w:r>
    </w:p>
    <w:p w14:paraId="335E0D32" w14:textId="77777777" w:rsidR="001E3E83" w:rsidRPr="00321EC0" w:rsidRDefault="001E3E83" w:rsidP="001E3E83">
      <w:r w:rsidRPr="00321EC0">
        <w:t xml:space="preserve">This table shows how much the entity intends to spend (on an accrual basis) on achieving the outcome, broken down by program, as well as by Administered and Departmental funding sources. </w:t>
      </w:r>
    </w:p>
    <w:p w14:paraId="3A2D03D1" w14:textId="77777777" w:rsidR="001E3E83" w:rsidRPr="00321EC0" w:rsidRDefault="001E3E83" w:rsidP="001E3E83">
      <w:pPr>
        <w:pStyle w:val="TableHeading"/>
        <w:rPr>
          <w:lang w:val="en-AU"/>
        </w:rPr>
      </w:pPr>
      <w:r w:rsidRPr="00321EC0">
        <w:t>Table 2.</w:t>
      </w:r>
      <w:r w:rsidR="00013B41" w:rsidRPr="00321EC0">
        <w:rPr>
          <w:lang w:val="en-AU"/>
        </w:rPr>
        <w:t>2</w:t>
      </w:r>
      <w:r w:rsidRPr="00321EC0">
        <w:rPr>
          <w:lang w:val="en-AU"/>
        </w:rPr>
        <w:t>.</w:t>
      </w:r>
      <w:r w:rsidRPr="00321EC0">
        <w:t>1 Budgeted expenses</w:t>
      </w:r>
      <w:r w:rsidRPr="00321EC0">
        <w:rPr>
          <w:lang w:val="en-AU"/>
        </w:rPr>
        <w:t xml:space="preserve"> for</w:t>
      </w:r>
      <w:r w:rsidRPr="00321EC0">
        <w:t xml:space="preserve"> Outcome </w:t>
      </w:r>
      <w:r w:rsidR="00013B41" w:rsidRPr="00321EC0">
        <w:rPr>
          <w:lang w:val="en-AU"/>
        </w:rPr>
        <w:t>2</w:t>
      </w:r>
    </w:p>
    <w:p w14:paraId="6BF83BCB" w14:textId="7DD403CE" w:rsidR="001E3E83" w:rsidRPr="00321EC0" w:rsidRDefault="001E3E83" w:rsidP="001E3E83">
      <w:pPr>
        <w:pStyle w:val="TableGraphic"/>
        <w:rPr>
          <w:iCs/>
        </w:rPr>
      </w:pPr>
      <w:r w:rsidRPr="00321EC0">
        <w:rPr>
          <w:i w:val="0"/>
        </w:rPr>
        <w:t xml:space="preserve"> </w:t>
      </w:r>
      <w:r w:rsidR="00226BC6" w:rsidRPr="00226BC6">
        <w:rPr>
          <w:noProof/>
        </w:rPr>
        <w:drawing>
          <wp:inline distT="0" distB="0" distL="0" distR="0" wp14:anchorId="5BEDA231" wp14:editId="6EE872FA">
            <wp:extent cx="4896485" cy="4765431"/>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6485" cy="4765431"/>
                    </a:xfrm>
                    <a:prstGeom prst="rect">
                      <a:avLst/>
                    </a:prstGeom>
                    <a:noFill/>
                    <a:ln>
                      <a:noFill/>
                    </a:ln>
                  </pic:spPr>
                </pic:pic>
              </a:graphicData>
            </a:graphic>
          </wp:inline>
        </w:drawing>
      </w:r>
    </w:p>
    <w:p w14:paraId="2D1AD6E7" w14:textId="77777777" w:rsidR="006050E7" w:rsidRPr="00321EC0" w:rsidRDefault="006050E7" w:rsidP="006050E7">
      <w:pPr>
        <w:spacing w:line="240" w:lineRule="auto"/>
        <w:rPr>
          <w:rFonts w:ascii="Arial" w:hAnsi="Arial" w:cs="Arial"/>
          <w:sz w:val="16"/>
        </w:rPr>
      </w:pPr>
      <w:r w:rsidRPr="00321EC0">
        <w:rPr>
          <w:rFonts w:ascii="Arial" w:hAnsi="Arial" w:cs="Arial"/>
          <w:sz w:val="16"/>
        </w:rPr>
        <w:t>Table continues on next page</w:t>
      </w:r>
    </w:p>
    <w:p w14:paraId="79B33501" w14:textId="77777777" w:rsidR="001E3E83" w:rsidRPr="00321EC0" w:rsidRDefault="001E3E83" w:rsidP="001E3E83"/>
    <w:p w14:paraId="6B056670" w14:textId="77777777" w:rsidR="001E3E83" w:rsidRPr="00321EC0" w:rsidRDefault="001E3E83" w:rsidP="001E3E83"/>
    <w:p w14:paraId="4937D94A" w14:textId="77777777" w:rsidR="001E3E83" w:rsidRPr="00321EC0" w:rsidRDefault="001E3E83" w:rsidP="001E3E83">
      <w:pPr>
        <w:pStyle w:val="TableHeading"/>
        <w:rPr>
          <w:lang w:val="en-AU"/>
        </w:rPr>
      </w:pPr>
      <w:r w:rsidRPr="00321EC0">
        <w:br w:type="page"/>
        <w:t>Table 2.</w:t>
      </w:r>
      <w:r w:rsidR="00013B41" w:rsidRPr="00321EC0">
        <w:rPr>
          <w:lang w:val="en-AU"/>
        </w:rPr>
        <w:t>2</w:t>
      </w:r>
      <w:r w:rsidRPr="00321EC0">
        <w:rPr>
          <w:lang w:val="en-AU"/>
        </w:rPr>
        <w:t>.</w:t>
      </w:r>
      <w:r w:rsidRPr="00321EC0">
        <w:t>1 Budgeted expenses</w:t>
      </w:r>
      <w:r w:rsidRPr="00321EC0">
        <w:rPr>
          <w:lang w:val="en-AU"/>
        </w:rPr>
        <w:t xml:space="preserve"> for</w:t>
      </w:r>
      <w:r w:rsidRPr="00321EC0">
        <w:t xml:space="preserve"> Outcome </w:t>
      </w:r>
      <w:r w:rsidR="00C21B40" w:rsidRPr="00321EC0">
        <w:rPr>
          <w:lang w:val="en-AU"/>
        </w:rPr>
        <w:t>2</w:t>
      </w:r>
      <w:r w:rsidRPr="00321EC0">
        <w:rPr>
          <w:lang w:val="en-AU"/>
        </w:rPr>
        <w:t xml:space="preserve"> (continued)</w:t>
      </w:r>
    </w:p>
    <w:p w14:paraId="7E97B66F" w14:textId="49A2F763" w:rsidR="001E3E83" w:rsidRPr="00321EC0" w:rsidRDefault="001E3E83" w:rsidP="001E3E83">
      <w:pPr>
        <w:pStyle w:val="TableGraphic"/>
        <w:rPr>
          <w:iCs/>
        </w:rPr>
      </w:pPr>
      <w:r w:rsidRPr="00321EC0">
        <w:rPr>
          <w:i w:val="0"/>
        </w:rPr>
        <w:t xml:space="preserve"> </w:t>
      </w:r>
      <w:r w:rsidR="00226BC6" w:rsidRPr="00226BC6">
        <w:rPr>
          <w:noProof/>
        </w:rPr>
        <w:drawing>
          <wp:inline distT="0" distB="0" distL="0" distR="0" wp14:anchorId="15482728" wp14:editId="735A3425">
            <wp:extent cx="4896485" cy="6873114"/>
            <wp:effectExtent l="0" t="0" r="0" b="444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96485" cy="6873114"/>
                    </a:xfrm>
                    <a:prstGeom prst="rect">
                      <a:avLst/>
                    </a:prstGeom>
                    <a:noFill/>
                    <a:ln>
                      <a:noFill/>
                    </a:ln>
                  </pic:spPr>
                </pic:pic>
              </a:graphicData>
            </a:graphic>
          </wp:inline>
        </w:drawing>
      </w:r>
    </w:p>
    <w:p w14:paraId="1D3EB644" w14:textId="77777777" w:rsidR="006050E7" w:rsidRPr="00321EC0" w:rsidRDefault="006050E7" w:rsidP="006050E7">
      <w:pPr>
        <w:spacing w:line="240" w:lineRule="auto"/>
        <w:rPr>
          <w:rFonts w:ascii="Arial" w:hAnsi="Arial" w:cs="Arial"/>
          <w:sz w:val="16"/>
        </w:rPr>
      </w:pPr>
      <w:r w:rsidRPr="00321EC0">
        <w:rPr>
          <w:rFonts w:ascii="Arial" w:hAnsi="Arial" w:cs="Arial"/>
          <w:sz w:val="16"/>
        </w:rPr>
        <w:t>Table continues on next page</w:t>
      </w:r>
    </w:p>
    <w:p w14:paraId="09E2FE96" w14:textId="77777777" w:rsidR="001E3E83" w:rsidRPr="00321EC0" w:rsidRDefault="001E3E83" w:rsidP="001E3E83">
      <w:pPr>
        <w:pStyle w:val="TableHeading"/>
        <w:rPr>
          <w:lang w:val="en-AU"/>
        </w:rPr>
      </w:pPr>
      <w:r w:rsidRPr="00321EC0">
        <w:t>Table 2.</w:t>
      </w:r>
      <w:r w:rsidR="00013B41" w:rsidRPr="00321EC0">
        <w:rPr>
          <w:lang w:val="en-AU"/>
        </w:rPr>
        <w:t>2</w:t>
      </w:r>
      <w:r w:rsidRPr="00321EC0">
        <w:rPr>
          <w:lang w:val="en-AU"/>
        </w:rPr>
        <w:t>.</w:t>
      </w:r>
      <w:r w:rsidRPr="00321EC0">
        <w:t>1 Budgeted expenses</w:t>
      </w:r>
      <w:r w:rsidRPr="00321EC0">
        <w:rPr>
          <w:lang w:val="en-AU"/>
        </w:rPr>
        <w:t xml:space="preserve"> for</w:t>
      </w:r>
      <w:r w:rsidRPr="00321EC0">
        <w:t xml:space="preserve"> Outcome </w:t>
      </w:r>
      <w:r w:rsidR="00C21B40" w:rsidRPr="00321EC0">
        <w:rPr>
          <w:lang w:val="en-AU"/>
        </w:rPr>
        <w:t>2</w:t>
      </w:r>
      <w:r w:rsidRPr="00321EC0">
        <w:rPr>
          <w:lang w:val="en-AU"/>
        </w:rPr>
        <w:t xml:space="preserve"> (continued)</w:t>
      </w:r>
    </w:p>
    <w:p w14:paraId="644D7697" w14:textId="0BF96D0E" w:rsidR="001E3E83" w:rsidRPr="00321EC0" w:rsidRDefault="001E3E83" w:rsidP="001E3E83">
      <w:pPr>
        <w:pStyle w:val="TableGraphic"/>
        <w:rPr>
          <w:i w:val="0"/>
        </w:rPr>
      </w:pPr>
      <w:r w:rsidRPr="00321EC0">
        <w:rPr>
          <w:i w:val="0"/>
        </w:rPr>
        <w:t xml:space="preserve"> </w:t>
      </w:r>
      <w:r w:rsidR="00226BC6" w:rsidRPr="00226BC6">
        <w:rPr>
          <w:noProof/>
        </w:rPr>
        <w:drawing>
          <wp:inline distT="0" distB="0" distL="0" distR="0" wp14:anchorId="0A946E23" wp14:editId="6C25EDF4">
            <wp:extent cx="4896485" cy="5395452"/>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96485" cy="5395452"/>
                    </a:xfrm>
                    <a:prstGeom prst="rect">
                      <a:avLst/>
                    </a:prstGeom>
                    <a:noFill/>
                    <a:ln>
                      <a:noFill/>
                    </a:ln>
                  </pic:spPr>
                </pic:pic>
              </a:graphicData>
            </a:graphic>
          </wp:inline>
        </w:drawing>
      </w:r>
    </w:p>
    <w:p w14:paraId="0ACB5E3E" w14:textId="77777777" w:rsidR="006050E7" w:rsidRPr="00321EC0" w:rsidRDefault="006050E7" w:rsidP="006050E7">
      <w:pPr>
        <w:spacing w:line="240" w:lineRule="auto"/>
        <w:rPr>
          <w:rFonts w:ascii="Arial" w:hAnsi="Arial" w:cs="Arial"/>
          <w:sz w:val="16"/>
        </w:rPr>
      </w:pPr>
      <w:r w:rsidRPr="00321EC0">
        <w:rPr>
          <w:rFonts w:ascii="Arial" w:hAnsi="Arial" w:cs="Arial"/>
          <w:sz w:val="16"/>
        </w:rPr>
        <w:t>Table continues on next page</w:t>
      </w:r>
    </w:p>
    <w:p w14:paraId="36EB2CC4" w14:textId="77777777" w:rsidR="00C21B40" w:rsidRPr="00321EC0" w:rsidRDefault="00C21B40" w:rsidP="00C21B40"/>
    <w:p w14:paraId="7721368A" w14:textId="77777777" w:rsidR="00C21B40" w:rsidRPr="00321EC0" w:rsidRDefault="00C21B40" w:rsidP="00C21B40"/>
    <w:p w14:paraId="50363615" w14:textId="77777777" w:rsidR="00C21B40" w:rsidRPr="00321EC0" w:rsidRDefault="00C21B40" w:rsidP="00C21B40">
      <w:pPr>
        <w:sectPr w:rsidR="00C21B40" w:rsidRPr="00321EC0" w:rsidSect="00230BD3">
          <w:headerReference w:type="first" r:id="rId71"/>
          <w:pgSz w:w="11907" w:h="16840" w:code="9"/>
          <w:pgMar w:top="2466" w:right="2098" w:bottom="2269" w:left="2098" w:header="1899" w:footer="1899" w:gutter="0"/>
          <w:cols w:space="708"/>
          <w:titlePg/>
          <w:docGrid w:linePitch="360"/>
        </w:sectPr>
      </w:pPr>
    </w:p>
    <w:p w14:paraId="4AC59779" w14:textId="77777777" w:rsidR="00C21B40" w:rsidRPr="00321EC0" w:rsidRDefault="00C21B40" w:rsidP="00C21B40">
      <w:pPr>
        <w:pStyle w:val="TableHeading"/>
      </w:pPr>
      <w:r w:rsidRPr="00321EC0">
        <w:t>Table 2.2.1 Budgeted expenses for Outcome 2 (continued)</w:t>
      </w:r>
    </w:p>
    <w:p w14:paraId="1950E09D" w14:textId="7AD96EA0" w:rsidR="001E3E83" w:rsidRPr="00321EC0" w:rsidRDefault="001E3E83" w:rsidP="001E3E83">
      <w:pPr>
        <w:pStyle w:val="TableGraphic"/>
      </w:pPr>
      <w:r w:rsidRPr="00321EC0">
        <w:rPr>
          <w:i w:val="0"/>
        </w:rPr>
        <w:t xml:space="preserve"> </w:t>
      </w:r>
      <w:r w:rsidR="007E5A21" w:rsidRPr="007E5A21">
        <w:rPr>
          <w:noProof/>
        </w:rPr>
        <w:drawing>
          <wp:inline distT="0" distB="0" distL="0" distR="0" wp14:anchorId="42B4B2C7" wp14:editId="7B9AA398">
            <wp:extent cx="4896485" cy="5631108"/>
            <wp:effectExtent l="0" t="0" r="0" b="825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96485" cy="5631108"/>
                    </a:xfrm>
                    <a:prstGeom prst="rect">
                      <a:avLst/>
                    </a:prstGeom>
                    <a:noFill/>
                    <a:ln>
                      <a:noFill/>
                    </a:ln>
                  </pic:spPr>
                </pic:pic>
              </a:graphicData>
            </a:graphic>
          </wp:inline>
        </w:drawing>
      </w:r>
    </w:p>
    <w:p w14:paraId="4EC5B0D7" w14:textId="5A70AB0A" w:rsidR="00C21B40" w:rsidRPr="00321EC0" w:rsidRDefault="00C21B40" w:rsidP="00264523">
      <w:pPr>
        <w:pStyle w:val="ChartandTableFootnoteAlpha"/>
        <w:numPr>
          <w:ilvl w:val="0"/>
          <w:numId w:val="12"/>
        </w:numPr>
      </w:pPr>
      <w:r w:rsidRPr="00321EC0">
        <w:t xml:space="preserve">Departmental appropriation combines 'Ordinary annual services (Appropriation </w:t>
      </w:r>
      <w:r w:rsidR="00E84034">
        <w:t>Act</w:t>
      </w:r>
      <w:r w:rsidR="007E69CB">
        <w:t xml:space="preserve"> (No. 1) and Appropriation Bill (No. 3)) and</w:t>
      </w:r>
      <w:r w:rsidR="004316D1" w:rsidRPr="004316D1">
        <w:t xml:space="preserve"> </w:t>
      </w:r>
      <w:r w:rsidR="004316D1">
        <w:t>estimated r</w:t>
      </w:r>
      <w:r w:rsidR="004316D1" w:rsidRPr="00321EC0">
        <w:t>eceipts</w:t>
      </w:r>
      <w:r w:rsidR="004316D1">
        <w:t xml:space="preserve"> retained under s74 of the PGPA Act</w:t>
      </w:r>
      <w:r w:rsidR="004316D1" w:rsidRPr="00321EC0">
        <w:t>.</w:t>
      </w:r>
    </w:p>
    <w:p w14:paraId="111DFEBA" w14:textId="0FD50E69" w:rsidR="00C21B40" w:rsidRPr="00321EC0" w:rsidRDefault="00DF7380" w:rsidP="00264523">
      <w:pPr>
        <w:pStyle w:val="ChartandTableFootnoteAlpha"/>
        <w:numPr>
          <w:ilvl w:val="0"/>
          <w:numId w:val="4"/>
        </w:numPr>
      </w:pPr>
      <w:r w:rsidRPr="00321EC0">
        <w:t xml:space="preserve">Expenses not requiring appropriation in the Budget year is made up of </w:t>
      </w:r>
      <w:r>
        <w:t>d</w:t>
      </w:r>
      <w:r w:rsidRPr="00321EC0">
        <w:t xml:space="preserve">epreciation </w:t>
      </w:r>
      <w:r>
        <w:t>e</w:t>
      </w:r>
      <w:r w:rsidRPr="00321EC0">
        <w:t>xpenses</w:t>
      </w:r>
      <w:r>
        <w:t>,</w:t>
      </w:r>
      <w:r w:rsidRPr="00321EC0">
        <w:t xml:space="preserve"> </w:t>
      </w:r>
      <w:r>
        <w:t>a</w:t>
      </w:r>
      <w:r w:rsidRPr="00321EC0">
        <w:t xml:space="preserve">mortisation </w:t>
      </w:r>
      <w:r>
        <w:t>e</w:t>
      </w:r>
      <w:r w:rsidRPr="00321EC0">
        <w:t>xpenses</w:t>
      </w:r>
      <w:r>
        <w:t xml:space="preserve"> and resources received free of charge</w:t>
      </w:r>
      <w:r w:rsidR="007E69CB">
        <w:t>.</w:t>
      </w:r>
    </w:p>
    <w:p w14:paraId="46C1D826" w14:textId="7B967E46" w:rsidR="00C21B40" w:rsidRPr="003472B3" w:rsidRDefault="00C21B40" w:rsidP="00264523">
      <w:pPr>
        <w:pStyle w:val="ChartandTableFootnoteAlpha"/>
        <w:numPr>
          <w:ilvl w:val="0"/>
          <w:numId w:val="4"/>
        </w:numPr>
      </w:pPr>
      <w:r w:rsidRPr="00321EC0">
        <w:t>More information on the DisabilityCare Australia Fund can be found in Table 2.2.1</w:t>
      </w:r>
      <w:r w:rsidRPr="003472B3">
        <w:t xml:space="preserve">.1 on page </w:t>
      </w:r>
      <w:r w:rsidR="00C00A07" w:rsidRPr="003472B3">
        <w:t>2</w:t>
      </w:r>
      <w:r w:rsidR="003472B3" w:rsidRPr="003472B3">
        <w:t>8</w:t>
      </w:r>
      <w:r w:rsidRPr="003472B3">
        <w:t>.</w:t>
      </w:r>
    </w:p>
    <w:p w14:paraId="158DF496" w14:textId="1556506E" w:rsidR="00C21B40" w:rsidRPr="003472B3" w:rsidRDefault="00C21B40" w:rsidP="00264523">
      <w:pPr>
        <w:pStyle w:val="ChartandTableFootnoteAlpha"/>
        <w:numPr>
          <w:ilvl w:val="0"/>
          <w:numId w:val="4"/>
        </w:numPr>
      </w:pPr>
      <w:r w:rsidRPr="003472B3">
        <w:t xml:space="preserve">More information on the Medical Research Future Fund can be found in Table 2.2.1.2 on </w:t>
      </w:r>
      <w:r w:rsidR="00C00A07" w:rsidRPr="003472B3">
        <w:t xml:space="preserve">page </w:t>
      </w:r>
      <w:r w:rsidR="003472B3" w:rsidRPr="003472B3">
        <w:t>29</w:t>
      </w:r>
      <w:r w:rsidRPr="003472B3">
        <w:t>.</w:t>
      </w:r>
    </w:p>
    <w:p w14:paraId="01ECDC9D" w14:textId="2B585BD6" w:rsidR="00C21B40" w:rsidRPr="003472B3" w:rsidRDefault="00C21B40" w:rsidP="00264523">
      <w:pPr>
        <w:pStyle w:val="ChartandTableFootnoteAlpha"/>
        <w:numPr>
          <w:ilvl w:val="0"/>
          <w:numId w:val="4"/>
        </w:numPr>
      </w:pPr>
      <w:r w:rsidRPr="003472B3">
        <w:t>The Building Australia Fund</w:t>
      </w:r>
      <w:r w:rsidR="00983995" w:rsidRPr="003472B3">
        <w:t xml:space="preserve"> was abolished on</w:t>
      </w:r>
      <w:r w:rsidRPr="003472B3">
        <w:t xml:space="preserve"> </w:t>
      </w:r>
      <w:r w:rsidR="00983995" w:rsidRPr="003472B3">
        <w:t>1</w:t>
      </w:r>
      <w:r w:rsidRPr="003472B3">
        <w:t xml:space="preserve"> </w:t>
      </w:r>
      <w:r w:rsidR="00983995" w:rsidRPr="003472B3">
        <w:t>September</w:t>
      </w:r>
      <w:r w:rsidRPr="003472B3">
        <w:t xml:space="preserve"> 20</w:t>
      </w:r>
      <w:r w:rsidR="00983995" w:rsidRPr="003472B3">
        <w:t>19</w:t>
      </w:r>
      <w:r w:rsidRPr="003472B3">
        <w:t xml:space="preserve">. More information can be found in Table 2.2.1.3 on page </w:t>
      </w:r>
      <w:r w:rsidR="006B4634" w:rsidRPr="003472B3">
        <w:t>3</w:t>
      </w:r>
      <w:r w:rsidR="003472B3" w:rsidRPr="003472B3">
        <w:t>0</w:t>
      </w:r>
      <w:r w:rsidRPr="003472B3">
        <w:t>.</w:t>
      </w:r>
    </w:p>
    <w:p w14:paraId="76D81666" w14:textId="0E302FCD" w:rsidR="00C21B40" w:rsidRPr="003472B3" w:rsidRDefault="00C21B40" w:rsidP="00264523">
      <w:pPr>
        <w:pStyle w:val="ChartandTableFootnoteAlpha"/>
        <w:numPr>
          <w:ilvl w:val="0"/>
          <w:numId w:val="4"/>
        </w:numPr>
      </w:pPr>
      <w:r w:rsidRPr="003472B3">
        <w:t xml:space="preserve">The Education Investment Fund </w:t>
      </w:r>
      <w:r w:rsidR="00983995" w:rsidRPr="003472B3">
        <w:t>was abolished on 12</w:t>
      </w:r>
      <w:r w:rsidRPr="003472B3">
        <w:t xml:space="preserve"> </w:t>
      </w:r>
      <w:r w:rsidR="00983995" w:rsidRPr="003472B3">
        <w:t>December 2019</w:t>
      </w:r>
      <w:r w:rsidRPr="003472B3">
        <w:t xml:space="preserve">. More information can be found in Table 2.2.1.4 on page </w:t>
      </w:r>
      <w:r w:rsidR="00C00A07" w:rsidRPr="003472B3">
        <w:t>3</w:t>
      </w:r>
      <w:r w:rsidR="003472B3" w:rsidRPr="003472B3">
        <w:t>1</w:t>
      </w:r>
      <w:r w:rsidRPr="003472B3">
        <w:t>.</w:t>
      </w:r>
    </w:p>
    <w:p w14:paraId="5AE03D11" w14:textId="77C7EC57" w:rsidR="00C21B40" w:rsidRPr="003472B3" w:rsidRDefault="00C21B40" w:rsidP="00264523">
      <w:pPr>
        <w:pStyle w:val="ChartandTableFootnoteAlpha"/>
        <w:numPr>
          <w:ilvl w:val="0"/>
          <w:numId w:val="4"/>
        </w:numPr>
      </w:pPr>
      <w:r w:rsidRPr="003472B3">
        <w:t xml:space="preserve">More information on the Aboriginal and Torres Strait Islander Land and Sea Future Fund can be found in Table 2.2.1.5 on page </w:t>
      </w:r>
      <w:r w:rsidR="00C00A07" w:rsidRPr="003472B3">
        <w:t>3</w:t>
      </w:r>
      <w:r w:rsidR="003472B3" w:rsidRPr="003472B3">
        <w:t>2</w:t>
      </w:r>
      <w:r w:rsidRPr="003472B3">
        <w:t>.</w:t>
      </w:r>
    </w:p>
    <w:p w14:paraId="6793A93D" w14:textId="4BC2D05F" w:rsidR="00C21B40" w:rsidRPr="003472B3" w:rsidRDefault="00C21B40" w:rsidP="00264523">
      <w:pPr>
        <w:pStyle w:val="ChartandTableFootnoteAlpha"/>
        <w:numPr>
          <w:ilvl w:val="0"/>
          <w:numId w:val="4"/>
        </w:numPr>
      </w:pPr>
      <w:r w:rsidRPr="003472B3">
        <w:t xml:space="preserve">More information on the Future Drought Fund can be found in Table 2.2.1.6 on page </w:t>
      </w:r>
      <w:r w:rsidR="00C00A07" w:rsidRPr="003472B3">
        <w:t>3</w:t>
      </w:r>
      <w:r w:rsidR="003472B3" w:rsidRPr="003472B3">
        <w:t>3</w:t>
      </w:r>
      <w:r w:rsidRPr="003472B3">
        <w:t>.</w:t>
      </w:r>
    </w:p>
    <w:p w14:paraId="26D070DD" w14:textId="0BC0B5A4" w:rsidR="00C21B40" w:rsidRPr="003472B3" w:rsidRDefault="00C21B40" w:rsidP="00264523">
      <w:pPr>
        <w:pStyle w:val="ChartandTableFootnoteAlpha"/>
        <w:numPr>
          <w:ilvl w:val="0"/>
          <w:numId w:val="4"/>
        </w:numPr>
      </w:pPr>
      <w:r w:rsidRPr="003472B3">
        <w:t>More information on the Emergency Response Fu</w:t>
      </w:r>
      <w:r w:rsidR="006050E7" w:rsidRPr="003472B3">
        <w:t>nd can be found in Table 2.2.1.7</w:t>
      </w:r>
      <w:r w:rsidRPr="003472B3">
        <w:t xml:space="preserve"> on page </w:t>
      </w:r>
      <w:r w:rsidR="00C00A07" w:rsidRPr="003472B3">
        <w:t>3</w:t>
      </w:r>
      <w:r w:rsidR="003472B3" w:rsidRPr="003472B3">
        <w:t>4</w:t>
      </w:r>
      <w:r w:rsidRPr="003472B3">
        <w:t>.</w:t>
      </w:r>
    </w:p>
    <w:p w14:paraId="258690C0" w14:textId="77777777" w:rsidR="00C21B40" w:rsidRPr="00321EC0" w:rsidRDefault="00C21B40" w:rsidP="00CD62D7">
      <w:pPr>
        <w:pStyle w:val="ChartandTableFootnoteAlpha"/>
        <w:numPr>
          <w:ilvl w:val="0"/>
          <w:numId w:val="0"/>
        </w:numPr>
      </w:pPr>
      <w:r w:rsidRPr="00321EC0">
        <w:t>Note: Departmental appropriation splits and totals are indicative estimates and may change in the course of the budget year as government priorities change.</w:t>
      </w:r>
    </w:p>
    <w:p w14:paraId="366BCDA6" w14:textId="77777777" w:rsidR="00C21B40" w:rsidRPr="00321EC0" w:rsidRDefault="00C21B40" w:rsidP="001E3E83">
      <w:pPr>
        <w:sectPr w:rsidR="00C21B40" w:rsidRPr="00321EC0" w:rsidSect="00230BD3">
          <w:headerReference w:type="first" r:id="rId73"/>
          <w:pgSz w:w="11907" w:h="16840" w:code="9"/>
          <w:pgMar w:top="2466" w:right="2098" w:bottom="2269" w:left="2098" w:header="1899" w:footer="1899" w:gutter="0"/>
          <w:cols w:space="708"/>
          <w:titlePg/>
          <w:docGrid w:linePitch="360"/>
        </w:sectPr>
      </w:pPr>
    </w:p>
    <w:p w14:paraId="60BD201C" w14:textId="77777777" w:rsidR="00EE0D8E" w:rsidRPr="00321EC0" w:rsidRDefault="00EE0D8E" w:rsidP="001E3E83">
      <w:pPr>
        <w:pStyle w:val="Heading5"/>
      </w:pPr>
      <w:r w:rsidRPr="00321EC0">
        <w:t>Table 2.2.1.1: DisabilityCare Australia Fund (DCAF) – Estimates of fund balances</w:t>
      </w:r>
    </w:p>
    <w:p w14:paraId="5285C4F6" w14:textId="77777777" w:rsidR="006050E7" w:rsidRPr="00321EC0" w:rsidRDefault="00193FEB" w:rsidP="006050E7">
      <w:pPr>
        <w:pStyle w:val="ChartandTableFootnoteAlpha"/>
        <w:numPr>
          <w:ilvl w:val="0"/>
          <w:numId w:val="0"/>
        </w:numPr>
        <w:ind w:left="397" w:hanging="397"/>
      </w:pPr>
      <w:r w:rsidRPr="00193FEB">
        <w:rPr>
          <w:noProof/>
        </w:rPr>
        <w:drawing>
          <wp:inline distT="0" distB="0" distL="0" distR="0" wp14:anchorId="12C63B86" wp14:editId="59E62EFD">
            <wp:extent cx="4896485" cy="2316541"/>
            <wp:effectExtent l="0" t="0" r="0" b="762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96485" cy="2316541"/>
                    </a:xfrm>
                    <a:prstGeom prst="rect">
                      <a:avLst/>
                    </a:prstGeom>
                    <a:noFill/>
                    <a:ln>
                      <a:noFill/>
                    </a:ln>
                  </pic:spPr>
                </pic:pic>
              </a:graphicData>
            </a:graphic>
          </wp:inline>
        </w:drawing>
      </w:r>
    </w:p>
    <w:p w14:paraId="70E1F5B2" w14:textId="77777777" w:rsidR="006050E7" w:rsidRPr="00321EC0" w:rsidRDefault="006050E7" w:rsidP="00264523">
      <w:pPr>
        <w:pStyle w:val="ChartandTableFootnoteAlpha"/>
        <w:numPr>
          <w:ilvl w:val="0"/>
          <w:numId w:val="13"/>
        </w:numPr>
      </w:pPr>
      <w:r w:rsidRPr="00321EC0">
        <w:t>The DCAF consists of the DCAF Special Account and investments of the DCAF. The investments are managed by the Future Fund Board of Guardians. The special account is used to record all transactions relating to the DCAF, including interest</w:t>
      </w:r>
      <w:r w:rsidR="003D740D">
        <w:t>, payments</w:t>
      </w:r>
      <w:r w:rsidRPr="00321EC0">
        <w:t xml:space="preserve"> and Medicare Levy proceeds received.</w:t>
      </w:r>
    </w:p>
    <w:p w14:paraId="279B8FD2" w14:textId="77777777" w:rsidR="006050E7" w:rsidRPr="00321EC0" w:rsidRDefault="006050E7" w:rsidP="00264523">
      <w:pPr>
        <w:pStyle w:val="ChartandTableFootnoteAlpha"/>
        <w:numPr>
          <w:ilvl w:val="0"/>
          <w:numId w:val="12"/>
        </w:numPr>
      </w:pPr>
      <w:r w:rsidRPr="00321EC0">
        <w:t>The transfers relate to reimbursing the Commonwealth and the States and Territories for the costs of the operations of the National Disability Insurance Scheme (NDIS).</w:t>
      </w:r>
    </w:p>
    <w:p w14:paraId="15E94355" w14:textId="77777777" w:rsidR="006050E7" w:rsidRPr="00321EC0" w:rsidRDefault="006050E7" w:rsidP="006050E7">
      <w:pPr>
        <w:pStyle w:val="ChartandTableFootnoteAlpha"/>
        <w:numPr>
          <w:ilvl w:val="0"/>
          <w:numId w:val="0"/>
        </w:numPr>
      </w:pPr>
    </w:p>
    <w:p w14:paraId="30C8D7C4" w14:textId="77777777" w:rsidR="00EE0D8E" w:rsidRPr="00321EC0" w:rsidRDefault="006050E7" w:rsidP="006050E7">
      <w:pPr>
        <w:pStyle w:val="ChartandTableFootnoteAlpha"/>
        <w:numPr>
          <w:ilvl w:val="0"/>
          <w:numId w:val="0"/>
        </w:numPr>
      </w:pPr>
      <w:r w:rsidRPr="00321EC0">
        <w:t>Note: The expenses figure does not include losses made on investments; rather this amount has been applied against investment earnings and gains</w:t>
      </w:r>
      <w:r w:rsidR="00081CBA">
        <w:t>.</w:t>
      </w:r>
    </w:p>
    <w:p w14:paraId="240A4369" w14:textId="77777777" w:rsidR="006050E7" w:rsidRPr="00321EC0" w:rsidRDefault="006050E7" w:rsidP="00EE0D8E">
      <w:pPr>
        <w:rPr>
          <w:lang w:val="x-none"/>
        </w:rPr>
      </w:pPr>
    </w:p>
    <w:p w14:paraId="38C8D861" w14:textId="77777777" w:rsidR="006050E7" w:rsidRPr="00321EC0" w:rsidRDefault="006050E7" w:rsidP="00EE0D8E">
      <w:pPr>
        <w:rPr>
          <w:lang w:val="x-none"/>
        </w:rPr>
        <w:sectPr w:rsidR="006050E7" w:rsidRPr="00321EC0" w:rsidSect="00230BD3">
          <w:headerReference w:type="first" r:id="rId75"/>
          <w:pgSz w:w="11907" w:h="16840" w:code="9"/>
          <w:pgMar w:top="2466" w:right="2098" w:bottom="2269" w:left="2098" w:header="1899" w:footer="1899" w:gutter="0"/>
          <w:cols w:space="708"/>
          <w:titlePg/>
          <w:docGrid w:linePitch="360"/>
        </w:sectPr>
      </w:pPr>
    </w:p>
    <w:p w14:paraId="0C21D4C9" w14:textId="77777777" w:rsidR="00EE0D8E" w:rsidRPr="00321EC0" w:rsidRDefault="00EE0D8E" w:rsidP="001E3E83">
      <w:pPr>
        <w:pStyle w:val="Heading5"/>
      </w:pPr>
      <w:r w:rsidRPr="00321EC0">
        <w:t>Table 2.2.1.2: Medical Research Future Fund (MRFF) – Estimates of fund balances</w:t>
      </w:r>
    </w:p>
    <w:p w14:paraId="08ECEACE" w14:textId="77777777" w:rsidR="006050E7" w:rsidRPr="00321EC0" w:rsidRDefault="0039046F" w:rsidP="006050E7">
      <w:pPr>
        <w:pStyle w:val="ChartandTableFootnoteAlpha"/>
        <w:numPr>
          <w:ilvl w:val="0"/>
          <w:numId w:val="0"/>
        </w:numPr>
        <w:ind w:left="397" w:hanging="397"/>
      </w:pPr>
      <w:r w:rsidRPr="0039046F">
        <w:rPr>
          <w:noProof/>
        </w:rPr>
        <w:drawing>
          <wp:inline distT="0" distB="0" distL="0" distR="0" wp14:anchorId="6EA5794C" wp14:editId="5D2B4D32">
            <wp:extent cx="4896485" cy="2247191"/>
            <wp:effectExtent l="0" t="0" r="0" b="127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96485" cy="2247191"/>
                    </a:xfrm>
                    <a:prstGeom prst="rect">
                      <a:avLst/>
                    </a:prstGeom>
                    <a:noFill/>
                    <a:ln>
                      <a:noFill/>
                    </a:ln>
                  </pic:spPr>
                </pic:pic>
              </a:graphicData>
            </a:graphic>
          </wp:inline>
        </w:drawing>
      </w:r>
      <w:r w:rsidR="006050E7" w:rsidRPr="00321EC0">
        <w:t xml:space="preserve"> </w:t>
      </w:r>
    </w:p>
    <w:p w14:paraId="03F894C4" w14:textId="77777777" w:rsidR="00454041" w:rsidRPr="00321EC0" w:rsidRDefault="00454041" w:rsidP="00264523">
      <w:pPr>
        <w:pStyle w:val="ChartandTableFootnoteAlpha"/>
        <w:numPr>
          <w:ilvl w:val="0"/>
          <w:numId w:val="15"/>
        </w:numPr>
        <w:rPr>
          <w:rFonts w:cs="Arial"/>
          <w:szCs w:val="16"/>
        </w:rPr>
      </w:pPr>
      <w:r w:rsidRPr="00321EC0">
        <w:rPr>
          <w:rFonts w:cs="Arial"/>
          <w:szCs w:val="16"/>
        </w:rPr>
        <w:t>The MRFF consists of the MRFF Special Account and investments of the MRFF. The investments are managed by the Future Fund Board of Guardians. The special account is used to record all transactions relating to the MRFF, including interest received and payments.</w:t>
      </w:r>
    </w:p>
    <w:p w14:paraId="726FD1F5" w14:textId="16BE5B65" w:rsidR="00AF3A66" w:rsidRPr="00321EC0" w:rsidRDefault="00454041" w:rsidP="00750272">
      <w:pPr>
        <w:pStyle w:val="ChartandTableFootnoteAlpha"/>
        <w:numPr>
          <w:ilvl w:val="0"/>
          <w:numId w:val="12"/>
        </w:numPr>
      </w:pPr>
      <w:r w:rsidRPr="00750272">
        <w:rPr>
          <w:rFonts w:cs="Arial"/>
          <w:szCs w:val="16"/>
        </w:rPr>
        <w:t>Credits consist of uncommitted funds from the Health and Hospitals Fund (HHF), plus further contributions consisting of amounts equivalent to the estimated value of health function savings published in the 2014-15 Budget adjusted for any subsequent associated government decisions, until the capital value of the MRFF reached $20 billion</w:t>
      </w:r>
      <w:r w:rsidR="006050E7" w:rsidRPr="00750272">
        <w:rPr>
          <w:rFonts w:cs="Arial"/>
          <w:szCs w:val="16"/>
        </w:rPr>
        <w:t>.</w:t>
      </w:r>
    </w:p>
    <w:p w14:paraId="46D68B08" w14:textId="77777777" w:rsidR="006050E7" w:rsidRPr="00321EC0" w:rsidRDefault="006050E7" w:rsidP="006050E7">
      <w:pPr>
        <w:spacing w:after="0" w:line="240" w:lineRule="auto"/>
        <w:rPr>
          <w:rFonts w:ascii="Arial" w:hAnsi="Arial" w:cs="Arial"/>
          <w:sz w:val="16"/>
          <w:szCs w:val="16"/>
        </w:rPr>
      </w:pPr>
    </w:p>
    <w:p w14:paraId="2FA08275" w14:textId="77777777" w:rsidR="006050E7" w:rsidRPr="00321EC0" w:rsidRDefault="006050E7" w:rsidP="006050E7">
      <w:pPr>
        <w:spacing w:after="0" w:line="240" w:lineRule="auto"/>
        <w:rPr>
          <w:rFonts w:ascii="Arial" w:hAnsi="Arial" w:cs="Arial"/>
          <w:sz w:val="16"/>
          <w:szCs w:val="16"/>
        </w:rPr>
      </w:pPr>
      <w:r w:rsidRPr="00321EC0">
        <w:rPr>
          <w:rFonts w:ascii="Arial" w:hAnsi="Arial" w:cs="Arial"/>
          <w:sz w:val="16"/>
          <w:szCs w:val="16"/>
        </w:rPr>
        <w:t>Note: The expenses figure does not include losses made on investments; rather this amount has been applied against investment earnings and gains.</w:t>
      </w:r>
    </w:p>
    <w:p w14:paraId="3BB98018" w14:textId="77777777" w:rsidR="006050E7" w:rsidRPr="00321EC0" w:rsidRDefault="006050E7" w:rsidP="006050E7">
      <w:pPr>
        <w:spacing w:after="0" w:line="240" w:lineRule="auto"/>
        <w:rPr>
          <w:rFonts w:ascii="Arial" w:hAnsi="Arial" w:cs="Arial"/>
          <w:sz w:val="16"/>
          <w:szCs w:val="16"/>
        </w:rPr>
      </w:pPr>
    </w:p>
    <w:p w14:paraId="5673FE65" w14:textId="77777777" w:rsidR="00AF3A66" w:rsidRPr="00321EC0" w:rsidRDefault="00AF3A66" w:rsidP="00AF3A66">
      <w:pPr>
        <w:rPr>
          <w:lang w:val="x-none"/>
        </w:rPr>
        <w:sectPr w:rsidR="00AF3A66" w:rsidRPr="00321EC0" w:rsidSect="00230BD3">
          <w:headerReference w:type="first" r:id="rId77"/>
          <w:pgSz w:w="11907" w:h="16840" w:code="9"/>
          <w:pgMar w:top="2466" w:right="2098" w:bottom="2269" w:left="2098" w:header="1899" w:footer="1899" w:gutter="0"/>
          <w:cols w:space="708"/>
          <w:titlePg/>
          <w:docGrid w:linePitch="360"/>
        </w:sectPr>
      </w:pPr>
    </w:p>
    <w:p w14:paraId="3AF35530" w14:textId="77777777" w:rsidR="00EE0D8E" w:rsidRPr="00321EC0" w:rsidRDefault="00EE0D8E" w:rsidP="001E3E83">
      <w:pPr>
        <w:pStyle w:val="Heading5"/>
      </w:pPr>
      <w:r w:rsidRPr="00321EC0">
        <w:t xml:space="preserve">Table 2.2.1.3: Building Australia Fund (BAF) – Estimates of fund balances </w:t>
      </w:r>
    </w:p>
    <w:p w14:paraId="2417ECE1" w14:textId="77777777" w:rsidR="006050E7" w:rsidRPr="00321EC0" w:rsidRDefault="0039046F" w:rsidP="0039046F">
      <w:pPr>
        <w:pStyle w:val="ChartandTableFootnoteAlpha"/>
        <w:numPr>
          <w:ilvl w:val="0"/>
          <w:numId w:val="0"/>
        </w:numPr>
        <w:ind w:left="397" w:hanging="397"/>
        <w:jc w:val="center"/>
      </w:pPr>
      <w:r w:rsidRPr="0039046F">
        <w:rPr>
          <w:noProof/>
        </w:rPr>
        <w:drawing>
          <wp:inline distT="0" distB="0" distL="0" distR="0" wp14:anchorId="613D6947" wp14:editId="0BFCBB23">
            <wp:extent cx="4896485" cy="1960405"/>
            <wp:effectExtent l="0" t="0" r="0" b="190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96485" cy="1960405"/>
                    </a:xfrm>
                    <a:prstGeom prst="rect">
                      <a:avLst/>
                    </a:prstGeom>
                    <a:noFill/>
                    <a:ln>
                      <a:noFill/>
                    </a:ln>
                  </pic:spPr>
                </pic:pic>
              </a:graphicData>
            </a:graphic>
          </wp:inline>
        </w:drawing>
      </w:r>
    </w:p>
    <w:p w14:paraId="44E7306E" w14:textId="77777777" w:rsidR="006050E7" w:rsidRPr="00321EC0" w:rsidRDefault="006050E7" w:rsidP="00264523">
      <w:pPr>
        <w:pStyle w:val="ChartandTableFootnoteAlpha"/>
        <w:numPr>
          <w:ilvl w:val="0"/>
          <w:numId w:val="14"/>
        </w:numPr>
      </w:pPr>
      <w:r w:rsidRPr="00321EC0">
        <w:rPr>
          <w:rFonts w:cs="Arial"/>
          <w:szCs w:val="16"/>
        </w:rPr>
        <w:t>The BAF was abolished on 1 September 2019. The fund's balance was subsequently transferred to the Future Drought Fund. At the time of its closure, the BAF had no commitments.</w:t>
      </w:r>
    </w:p>
    <w:p w14:paraId="7439CABE" w14:textId="77777777" w:rsidR="00454041" w:rsidRPr="00321EC0" w:rsidRDefault="00454041" w:rsidP="00454041">
      <w:pPr>
        <w:pStyle w:val="ChartandTableFootnoteAlpha"/>
        <w:numPr>
          <w:ilvl w:val="0"/>
          <w:numId w:val="0"/>
        </w:numPr>
        <w:ind w:left="397"/>
        <w:rPr>
          <w:rFonts w:cs="Arial"/>
          <w:szCs w:val="16"/>
        </w:rPr>
      </w:pPr>
    </w:p>
    <w:p w14:paraId="6823D29B" w14:textId="77777777" w:rsidR="00AF3A66" w:rsidRPr="00321EC0" w:rsidRDefault="006050E7" w:rsidP="00081CBA">
      <w:pPr>
        <w:pStyle w:val="ChartandTableFootnoteAlpha"/>
        <w:numPr>
          <w:ilvl w:val="0"/>
          <w:numId w:val="0"/>
        </w:numPr>
      </w:pPr>
      <w:r w:rsidRPr="00321EC0">
        <w:rPr>
          <w:rFonts w:cs="Arial"/>
          <w:szCs w:val="16"/>
        </w:rPr>
        <w:t>Note: The expenses figure does not include losses made on investments; rath</w:t>
      </w:r>
      <w:r w:rsidR="00081CBA">
        <w:rPr>
          <w:rFonts w:cs="Arial"/>
          <w:szCs w:val="16"/>
        </w:rPr>
        <w:t xml:space="preserve">er this amount has been applied </w:t>
      </w:r>
      <w:r w:rsidRPr="00321EC0">
        <w:rPr>
          <w:rFonts w:cs="Arial"/>
          <w:szCs w:val="16"/>
        </w:rPr>
        <w:t>against investment earnings and gains.</w:t>
      </w:r>
      <w:r w:rsidR="00454041" w:rsidRPr="00321EC0">
        <w:t xml:space="preserve"> </w:t>
      </w:r>
    </w:p>
    <w:p w14:paraId="4153809D" w14:textId="77777777" w:rsidR="00AF3A66" w:rsidRPr="00321EC0" w:rsidRDefault="00AF3A66" w:rsidP="001E3E83">
      <w:pPr>
        <w:pStyle w:val="Heading5"/>
      </w:pPr>
    </w:p>
    <w:p w14:paraId="3B79EDFD" w14:textId="77777777" w:rsidR="00AF3A66" w:rsidRPr="00321EC0" w:rsidRDefault="00AF3A66" w:rsidP="001E3E83">
      <w:pPr>
        <w:pStyle w:val="Heading5"/>
        <w:sectPr w:rsidR="00AF3A66" w:rsidRPr="00321EC0" w:rsidSect="00230BD3">
          <w:headerReference w:type="first" r:id="rId79"/>
          <w:pgSz w:w="11907" w:h="16840" w:code="9"/>
          <w:pgMar w:top="2466" w:right="2098" w:bottom="2269" w:left="2098" w:header="1899" w:footer="1899" w:gutter="0"/>
          <w:cols w:space="708"/>
          <w:titlePg/>
          <w:docGrid w:linePitch="360"/>
        </w:sectPr>
      </w:pPr>
    </w:p>
    <w:p w14:paraId="4FABCC6A" w14:textId="77777777" w:rsidR="00EE0D8E" w:rsidRPr="00321EC0" w:rsidRDefault="00EE0D8E" w:rsidP="001E3E83">
      <w:pPr>
        <w:pStyle w:val="Heading5"/>
      </w:pPr>
      <w:r w:rsidRPr="00321EC0">
        <w:t xml:space="preserve">Table 2.2.1.4: Education Investment Fund (EIF) – Estimates of fund balances </w:t>
      </w:r>
    </w:p>
    <w:p w14:paraId="0CCDDF9E" w14:textId="77777777" w:rsidR="006050E7" w:rsidRPr="00321EC0" w:rsidRDefault="00193FEB" w:rsidP="0039046F">
      <w:pPr>
        <w:pStyle w:val="ChartandTableFootnoteAlpha"/>
        <w:numPr>
          <w:ilvl w:val="0"/>
          <w:numId w:val="0"/>
        </w:numPr>
        <w:ind w:left="397" w:hanging="397"/>
        <w:jc w:val="center"/>
      </w:pPr>
      <w:r w:rsidRPr="00193FEB">
        <w:rPr>
          <w:noProof/>
        </w:rPr>
        <w:drawing>
          <wp:inline distT="0" distB="0" distL="0" distR="0" wp14:anchorId="79A3E83B" wp14:editId="20111A51">
            <wp:extent cx="4896485" cy="2259478"/>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96485" cy="2259478"/>
                    </a:xfrm>
                    <a:prstGeom prst="rect">
                      <a:avLst/>
                    </a:prstGeom>
                    <a:noFill/>
                    <a:ln>
                      <a:noFill/>
                    </a:ln>
                  </pic:spPr>
                </pic:pic>
              </a:graphicData>
            </a:graphic>
          </wp:inline>
        </w:drawing>
      </w:r>
    </w:p>
    <w:p w14:paraId="51087375" w14:textId="77777777" w:rsidR="00454041" w:rsidRPr="00321EC0" w:rsidRDefault="00454041" w:rsidP="00264523">
      <w:pPr>
        <w:pStyle w:val="ChartandTableFootnoteAlpha"/>
        <w:numPr>
          <w:ilvl w:val="0"/>
          <w:numId w:val="16"/>
        </w:numPr>
        <w:rPr>
          <w:rFonts w:cs="Arial"/>
          <w:szCs w:val="16"/>
        </w:rPr>
      </w:pPr>
      <w:r w:rsidRPr="00321EC0">
        <w:t xml:space="preserve">The EIF was abolished on 12 December 2019, through a repeal of the </w:t>
      </w:r>
      <w:r w:rsidRPr="009E45BA">
        <w:rPr>
          <w:i/>
        </w:rPr>
        <w:t>Nation-building Funds Act 2008</w:t>
      </w:r>
      <w:r w:rsidRPr="00321EC0">
        <w:t>.</w:t>
      </w:r>
      <w:r w:rsidR="000B7B84">
        <w:t xml:space="preserve"> </w:t>
      </w:r>
      <w:r w:rsidRPr="00321EC0">
        <w:t>The fund's balance was transferred to the CRF and subsequently provided to the Emergency Response Fund. At the time of its closure, the EIF had no commitments.</w:t>
      </w:r>
      <w:r w:rsidRPr="00321EC0">
        <w:rPr>
          <w:rFonts w:cs="Arial"/>
          <w:szCs w:val="16"/>
        </w:rPr>
        <w:t xml:space="preserve"> </w:t>
      </w:r>
    </w:p>
    <w:p w14:paraId="4C423F26" w14:textId="77777777" w:rsidR="00454041" w:rsidRPr="00321EC0" w:rsidRDefault="00454041" w:rsidP="00454041">
      <w:pPr>
        <w:pStyle w:val="ChartandTableFootnoteAlpha"/>
        <w:numPr>
          <w:ilvl w:val="0"/>
          <w:numId w:val="0"/>
        </w:numPr>
        <w:spacing w:after="0"/>
        <w:rPr>
          <w:rFonts w:cs="Arial"/>
          <w:szCs w:val="16"/>
        </w:rPr>
      </w:pPr>
    </w:p>
    <w:p w14:paraId="247D6102" w14:textId="77777777" w:rsidR="006050E7" w:rsidRPr="00321EC0" w:rsidRDefault="006050E7" w:rsidP="00454041">
      <w:pPr>
        <w:pStyle w:val="ChartandTableFootnoteAlpha"/>
        <w:numPr>
          <w:ilvl w:val="0"/>
          <w:numId w:val="0"/>
        </w:numPr>
        <w:spacing w:after="0"/>
        <w:rPr>
          <w:rFonts w:cs="Arial"/>
          <w:szCs w:val="16"/>
        </w:rPr>
      </w:pPr>
      <w:r w:rsidRPr="00321EC0">
        <w:rPr>
          <w:rFonts w:cs="Arial"/>
          <w:szCs w:val="16"/>
        </w:rPr>
        <w:t>Note: The expenses figure does not include losses made on investments; rather this amount has been applied against investment earnings and gains.</w:t>
      </w:r>
    </w:p>
    <w:p w14:paraId="78FF5926" w14:textId="77777777" w:rsidR="00AF3A66" w:rsidRPr="00321EC0" w:rsidRDefault="00AF3A66" w:rsidP="001E3E83">
      <w:pPr>
        <w:pStyle w:val="Heading5"/>
      </w:pPr>
    </w:p>
    <w:p w14:paraId="770BF552" w14:textId="77777777" w:rsidR="00AF3A66" w:rsidRPr="00321EC0" w:rsidRDefault="00AF3A66" w:rsidP="00AF3A66">
      <w:pPr>
        <w:rPr>
          <w:lang w:val="x-none"/>
        </w:rPr>
      </w:pPr>
    </w:p>
    <w:p w14:paraId="20CF47FF" w14:textId="77777777" w:rsidR="00AF3A66" w:rsidRPr="00321EC0" w:rsidRDefault="00AF3A66" w:rsidP="00AF3A66">
      <w:pPr>
        <w:rPr>
          <w:lang w:val="x-none"/>
        </w:rPr>
      </w:pPr>
    </w:p>
    <w:p w14:paraId="4B09C931" w14:textId="77777777" w:rsidR="00AF3A66" w:rsidRPr="00321EC0" w:rsidRDefault="00AF3A66" w:rsidP="001E3E83">
      <w:pPr>
        <w:pStyle w:val="Heading5"/>
        <w:sectPr w:rsidR="00AF3A66" w:rsidRPr="00321EC0" w:rsidSect="00230BD3">
          <w:headerReference w:type="first" r:id="rId81"/>
          <w:pgSz w:w="11907" w:h="16840" w:code="9"/>
          <w:pgMar w:top="2466" w:right="2098" w:bottom="2269" w:left="2098" w:header="1899" w:footer="1899" w:gutter="0"/>
          <w:cols w:space="708"/>
          <w:titlePg/>
          <w:docGrid w:linePitch="360"/>
        </w:sectPr>
      </w:pPr>
    </w:p>
    <w:p w14:paraId="5178488C" w14:textId="77777777" w:rsidR="00EE0D8E" w:rsidRPr="00321EC0" w:rsidRDefault="00EE0D8E" w:rsidP="001E3E83">
      <w:pPr>
        <w:pStyle w:val="Heading5"/>
      </w:pPr>
      <w:r w:rsidRPr="00321EC0">
        <w:t xml:space="preserve">Table 2.2.1.5: Aboriginal and Torres Strait Islander Land and Sea Future Fund (ATSILSFF) – Estimates of fund balances </w:t>
      </w:r>
    </w:p>
    <w:p w14:paraId="0E840458" w14:textId="0EBC6A1D" w:rsidR="006050E7" w:rsidRPr="00321EC0" w:rsidRDefault="00A71638" w:rsidP="006050E7">
      <w:pPr>
        <w:pStyle w:val="ChartandTableFootnoteAlpha"/>
        <w:numPr>
          <w:ilvl w:val="0"/>
          <w:numId w:val="0"/>
        </w:numPr>
        <w:ind w:left="397" w:hanging="397"/>
      </w:pPr>
      <w:r w:rsidRPr="00A71638">
        <w:rPr>
          <w:noProof/>
        </w:rPr>
        <w:drawing>
          <wp:inline distT="0" distB="0" distL="0" distR="0" wp14:anchorId="316641F0" wp14:editId="30FDA6EC">
            <wp:extent cx="4896485" cy="2886738"/>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96485" cy="2886738"/>
                    </a:xfrm>
                    <a:prstGeom prst="rect">
                      <a:avLst/>
                    </a:prstGeom>
                    <a:noFill/>
                    <a:ln>
                      <a:noFill/>
                    </a:ln>
                  </pic:spPr>
                </pic:pic>
              </a:graphicData>
            </a:graphic>
          </wp:inline>
        </w:drawing>
      </w:r>
      <w:r w:rsidR="006050E7" w:rsidRPr="00321EC0">
        <w:t xml:space="preserve"> </w:t>
      </w:r>
    </w:p>
    <w:p w14:paraId="79A76381" w14:textId="77777777" w:rsidR="006050E7" w:rsidRPr="00321EC0" w:rsidRDefault="00454041" w:rsidP="00264523">
      <w:pPr>
        <w:pStyle w:val="ChartandTableFootnoteAlpha"/>
        <w:numPr>
          <w:ilvl w:val="0"/>
          <w:numId w:val="17"/>
        </w:numPr>
      </w:pPr>
      <w:r w:rsidRPr="00321EC0">
        <w:t xml:space="preserve">The ATSILSFF consists of the ATSILSFF Special Account and the investments of the ATSILSFF. The investments are managed by the Future Fund Board of Guardians. The special account is used to record all transactions relating to the ATSILSFF, including interest and payments. </w:t>
      </w:r>
    </w:p>
    <w:p w14:paraId="25A14D44" w14:textId="77777777" w:rsidR="00454041" w:rsidRPr="00321EC0" w:rsidRDefault="00454041" w:rsidP="00454041">
      <w:pPr>
        <w:pStyle w:val="ChartandTableFootnoteAlpha"/>
        <w:numPr>
          <w:ilvl w:val="0"/>
          <w:numId w:val="0"/>
        </w:numPr>
        <w:spacing w:after="0"/>
        <w:rPr>
          <w:rFonts w:cs="Arial"/>
          <w:szCs w:val="16"/>
        </w:rPr>
      </w:pPr>
    </w:p>
    <w:p w14:paraId="381DF7DB" w14:textId="77777777" w:rsidR="006050E7" w:rsidRPr="00321EC0" w:rsidRDefault="006050E7" w:rsidP="00454041">
      <w:pPr>
        <w:pStyle w:val="ChartandTableFootnoteAlpha"/>
        <w:numPr>
          <w:ilvl w:val="0"/>
          <w:numId w:val="0"/>
        </w:numPr>
        <w:spacing w:after="0"/>
        <w:rPr>
          <w:rFonts w:cs="Arial"/>
          <w:szCs w:val="16"/>
        </w:rPr>
      </w:pPr>
      <w:r w:rsidRPr="00321EC0">
        <w:rPr>
          <w:rFonts w:cs="Arial"/>
          <w:szCs w:val="16"/>
        </w:rPr>
        <w:t>Note: The expenses figure does not include losses made on investments; rather this amount has been applied against investment earnings and gains.</w:t>
      </w:r>
    </w:p>
    <w:p w14:paraId="70BA5157" w14:textId="77777777" w:rsidR="00EE0D8E" w:rsidRPr="00321EC0" w:rsidRDefault="00EE0D8E" w:rsidP="001E3E83">
      <w:pPr>
        <w:pStyle w:val="Heading5"/>
      </w:pPr>
    </w:p>
    <w:p w14:paraId="36CF6D11" w14:textId="77777777" w:rsidR="00AF3A66" w:rsidRPr="00321EC0" w:rsidRDefault="00AF3A66" w:rsidP="00AF3A66">
      <w:pPr>
        <w:rPr>
          <w:lang w:val="x-none"/>
        </w:rPr>
      </w:pPr>
    </w:p>
    <w:p w14:paraId="4E9805C2" w14:textId="77777777" w:rsidR="00AF3A66" w:rsidRPr="00321EC0" w:rsidRDefault="00AF3A66" w:rsidP="00AF3A66">
      <w:pPr>
        <w:rPr>
          <w:lang w:val="x-none"/>
        </w:rPr>
        <w:sectPr w:rsidR="00AF3A66" w:rsidRPr="00321EC0" w:rsidSect="00230BD3">
          <w:headerReference w:type="first" r:id="rId83"/>
          <w:pgSz w:w="11907" w:h="16840" w:code="9"/>
          <w:pgMar w:top="2466" w:right="2098" w:bottom="2269" w:left="2098" w:header="1899" w:footer="1899" w:gutter="0"/>
          <w:cols w:space="708"/>
          <w:titlePg/>
          <w:docGrid w:linePitch="360"/>
        </w:sectPr>
      </w:pPr>
    </w:p>
    <w:p w14:paraId="3921C27D" w14:textId="77777777" w:rsidR="00EE0D8E" w:rsidRPr="00321EC0" w:rsidRDefault="00EE0D8E" w:rsidP="001E3E83">
      <w:pPr>
        <w:pStyle w:val="Heading5"/>
      </w:pPr>
      <w:r w:rsidRPr="00321EC0">
        <w:t xml:space="preserve">Table 2.2.1.6: Future Drought Fund (FDF) – Estimates of fund balances </w:t>
      </w:r>
    </w:p>
    <w:p w14:paraId="5F2EF52C" w14:textId="77777777" w:rsidR="006050E7" w:rsidRPr="00321EC0" w:rsidRDefault="00193FEB" w:rsidP="006050E7">
      <w:pPr>
        <w:pStyle w:val="ChartandTableFootnoteAlpha"/>
        <w:numPr>
          <w:ilvl w:val="0"/>
          <w:numId w:val="0"/>
        </w:numPr>
        <w:ind w:left="397" w:hanging="397"/>
      </w:pPr>
      <w:r w:rsidRPr="00193FEB">
        <w:rPr>
          <w:noProof/>
        </w:rPr>
        <w:drawing>
          <wp:inline distT="0" distB="0" distL="0" distR="0" wp14:anchorId="2468F364" wp14:editId="694DFC92">
            <wp:extent cx="4896485" cy="2350112"/>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96485" cy="2350112"/>
                    </a:xfrm>
                    <a:prstGeom prst="rect">
                      <a:avLst/>
                    </a:prstGeom>
                    <a:noFill/>
                    <a:ln>
                      <a:noFill/>
                    </a:ln>
                  </pic:spPr>
                </pic:pic>
              </a:graphicData>
            </a:graphic>
          </wp:inline>
        </w:drawing>
      </w:r>
      <w:r w:rsidR="006050E7" w:rsidRPr="00321EC0">
        <w:t xml:space="preserve"> </w:t>
      </w:r>
    </w:p>
    <w:p w14:paraId="278088EE" w14:textId="77777777" w:rsidR="006050E7" w:rsidRPr="00321EC0" w:rsidRDefault="00454041" w:rsidP="00264523">
      <w:pPr>
        <w:pStyle w:val="ChartandTableFootnoteAlpha"/>
        <w:numPr>
          <w:ilvl w:val="0"/>
          <w:numId w:val="18"/>
        </w:numPr>
      </w:pPr>
      <w:r w:rsidRPr="00321EC0">
        <w:t>The FDF consists of the FDF Special Account and investments of the FDF. The investments are managed by the Future Fund Board of Guardians. The special account is used to record all transactions relating to the FDF, including interest and payments.  The FDF was established on 1 September 2019 and was credited with the balance of the BAF.</w:t>
      </w:r>
    </w:p>
    <w:p w14:paraId="0911D42D" w14:textId="77777777" w:rsidR="00454041" w:rsidRPr="00321EC0" w:rsidRDefault="00454041" w:rsidP="00454041">
      <w:pPr>
        <w:pStyle w:val="ChartandTableFootnoteAlpha"/>
        <w:numPr>
          <w:ilvl w:val="0"/>
          <w:numId w:val="0"/>
        </w:numPr>
        <w:spacing w:after="0"/>
        <w:rPr>
          <w:rFonts w:cs="Arial"/>
          <w:szCs w:val="16"/>
        </w:rPr>
      </w:pPr>
    </w:p>
    <w:p w14:paraId="0C05814A" w14:textId="77777777" w:rsidR="006050E7" w:rsidRPr="00321EC0" w:rsidRDefault="006050E7" w:rsidP="00454041">
      <w:pPr>
        <w:pStyle w:val="ChartandTableFootnoteAlpha"/>
        <w:numPr>
          <w:ilvl w:val="0"/>
          <w:numId w:val="0"/>
        </w:numPr>
        <w:spacing w:after="0"/>
        <w:rPr>
          <w:rFonts w:cs="Arial"/>
          <w:szCs w:val="16"/>
        </w:rPr>
      </w:pPr>
      <w:r w:rsidRPr="00321EC0">
        <w:rPr>
          <w:rFonts w:cs="Arial"/>
          <w:szCs w:val="16"/>
        </w:rPr>
        <w:t>Note: The expenses figure does not include losses made on investments; rather this amount has been applied against investment earnings and gains.</w:t>
      </w:r>
    </w:p>
    <w:p w14:paraId="4A3DBD89" w14:textId="77777777" w:rsidR="00EE0D8E" w:rsidRPr="00321EC0" w:rsidRDefault="00EE0D8E" w:rsidP="001E3E83">
      <w:pPr>
        <w:pStyle w:val="Heading5"/>
      </w:pPr>
    </w:p>
    <w:p w14:paraId="3D9D1FD0" w14:textId="77777777" w:rsidR="00AF3A66" w:rsidRPr="00321EC0" w:rsidRDefault="00AF3A66" w:rsidP="00AF3A66">
      <w:pPr>
        <w:rPr>
          <w:lang w:val="x-none"/>
        </w:rPr>
      </w:pPr>
    </w:p>
    <w:p w14:paraId="4FDA4FBE" w14:textId="77777777" w:rsidR="00AF3A66" w:rsidRPr="00321EC0" w:rsidRDefault="00AF3A66" w:rsidP="00AF3A66">
      <w:pPr>
        <w:rPr>
          <w:lang w:val="x-none"/>
        </w:rPr>
        <w:sectPr w:rsidR="00AF3A66" w:rsidRPr="00321EC0" w:rsidSect="00230BD3">
          <w:headerReference w:type="first" r:id="rId85"/>
          <w:pgSz w:w="11907" w:h="16840" w:code="9"/>
          <w:pgMar w:top="2466" w:right="2098" w:bottom="2269" w:left="2098" w:header="1899" w:footer="1899" w:gutter="0"/>
          <w:cols w:space="708"/>
          <w:titlePg/>
          <w:docGrid w:linePitch="360"/>
        </w:sectPr>
      </w:pPr>
    </w:p>
    <w:p w14:paraId="05321C6B" w14:textId="77777777" w:rsidR="00EE0D8E" w:rsidRPr="00321EC0" w:rsidRDefault="00EE0D8E" w:rsidP="001E3E83">
      <w:pPr>
        <w:pStyle w:val="Heading5"/>
      </w:pPr>
      <w:r w:rsidRPr="00321EC0">
        <w:t>Table 2.2.1.7: Emergency Response Fund</w:t>
      </w:r>
      <w:r w:rsidR="006839FC">
        <w:rPr>
          <w:lang w:val="en-AU"/>
        </w:rPr>
        <w:t xml:space="preserve"> (ERF)</w:t>
      </w:r>
      <w:r w:rsidRPr="00321EC0">
        <w:t xml:space="preserve"> - Estimates of Fund Balances</w:t>
      </w:r>
    </w:p>
    <w:p w14:paraId="6E78FA07" w14:textId="77777777" w:rsidR="006050E7" w:rsidRPr="00321EC0" w:rsidRDefault="00193FEB" w:rsidP="0039046F">
      <w:pPr>
        <w:pStyle w:val="ChartandTableFootnoteAlpha"/>
        <w:numPr>
          <w:ilvl w:val="0"/>
          <w:numId w:val="0"/>
        </w:numPr>
        <w:ind w:left="397" w:hanging="397"/>
        <w:jc w:val="center"/>
      </w:pPr>
      <w:r w:rsidRPr="00193FEB">
        <w:rPr>
          <w:noProof/>
        </w:rPr>
        <w:drawing>
          <wp:inline distT="0" distB="0" distL="0" distR="0" wp14:anchorId="6FDF648C" wp14:editId="68214432">
            <wp:extent cx="4896485" cy="2316143"/>
            <wp:effectExtent l="0" t="0" r="0" b="825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96485" cy="2316143"/>
                    </a:xfrm>
                    <a:prstGeom prst="rect">
                      <a:avLst/>
                    </a:prstGeom>
                    <a:noFill/>
                    <a:ln>
                      <a:noFill/>
                    </a:ln>
                  </pic:spPr>
                </pic:pic>
              </a:graphicData>
            </a:graphic>
          </wp:inline>
        </w:drawing>
      </w:r>
    </w:p>
    <w:p w14:paraId="321CD17C" w14:textId="77777777" w:rsidR="006050E7" w:rsidRPr="00321EC0" w:rsidRDefault="00454041" w:rsidP="00264523">
      <w:pPr>
        <w:pStyle w:val="ChartandTableFootnoteAlpha"/>
        <w:numPr>
          <w:ilvl w:val="0"/>
          <w:numId w:val="19"/>
        </w:numPr>
      </w:pPr>
      <w:r w:rsidRPr="00321EC0">
        <w:t>The ERF consists of the ERF Special Account and investments of the ERF. The investments are managed by the Future Fund Board of Guardians. The special account is used to record all transactions relating to the ERF, including interest and payments.  The ERF was established on 12 December 2019 and was credited with the balance of the EIF.</w:t>
      </w:r>
    </w:p>
    <w:p w14:paraId="169D4E1A" w14:textId="77777777" w:rsidR="00454041" w:rsidRPr="00321EC0" w:rsidRDefault="00454041" w:rsidP="00454041">
      <w:pPr>
        <w:pStyle w:val="ChartandTableFootnoteAlpha"/>
        <w:numPr>
          <w:ilvl w:val="0"/>
          <w:numId w:val="0"/>
        </w:numPr>
        <w:spacing w:after="0"/>
        <w:rPr>
          <w:rFonts w:cs="Arial"/>
          <w:szCs w:val="16"/>
        </w:rPr>
      </w:pPr>
    </w:p>
    <w:p w14:paraId="2BC9FCEF" w14:textId="77777777" w:rsidR="006050E7" w:rsidRPr="00321EC0" w:rsidRDefault="006050E7" w:rsidP="00454041">
      <w:pPr>
        <w:pStyle w:val="ChartandTableFootnoteAlpha"/>
        <w:numPr>
          <w:ilvl w:val="0"/>
          <w:numId w:val="0"/>
        </w:numPr>
        <w:spacing w:after="0"/>
        <w:rPr>
          <w:rFonts w:cs="Arial"/>
          <w:szCs w:val="16"/>
        </w:rPr>
      </w:pPr>
      <w:r w:rsidRPr="00321EC0">
        <w:rPr>
          <w:rFonts w:cs="Arial"/>
          <w:szCs w:val="16"/>
        </w:rPr>
        <w:t>Note: The expenses figure does not include losses made on investments; rather this amount has been applied against investment earnings and gains.</w:t>
      </w:r>
    </w:p>
    <w:p w14:paraId="7EF92D38" w14:textId="77777777" w:rsidR="00EE0D8E" w:rsidRPr="00321EC0" w:rsidRDefault="00EE0D8E" w:rsidP="00EE0D8E">
      <w:pPr>
        <w:rPr>
          <w:lang w:val="x-none"/>
        </w:rPr>
      </w:pPr>
    </w:p>
    <w:p w14:paraId="3848B9BA" w14:textId="77777777" w:rsidR="00EE0D8E" w:rsidRPr="00321EC0" w:rsidRDefault="00EE0D8E" w:rsidP="00EE0D8E">
      <w:pPr>
        <w:rPr>
          <w:lang w:val="x-none"/>
        </w:rPr>
      </w:pPr>
    </w:p>
    <w:p w14:paraId="5909DC20" w14:textId="77777777" w:rsidR="00EE0D8E" w:rsidRPr="00321EC0" w:rsidRDefault="00EE0D8E" w:rsidP="00EE0D8E">
      <w:pPr>
        <w:rPr>
          <w:lang w:val="x-none"/>
        </w:rPr>
      </w:pPr>
    </w:p>
    <w:p w14:paraId="6A4EA35F" w14:textId="77777777" w:rsidR="00EE0D8E" w:rsidRPr="00321EC0" w:rsidRDefault="00EE0D8E" w:rsidP="00EE0D8E">
      <w:pPr>
        <w:rPr>
          <w:lang w:val="x-none"/>
        </w:rPr>
      </w:pPr>
    </w:p>
    <w:p w14:paraId="65DE54FE" w14:textId="77777777" w:rsidR="00EE0D8E" w:rsidRPr="00321EC0" w:rsidRDefault="00EE0D8E" w:rsidP="00EE0D8E">
      <w:pPr>
        <w:rPr>
          <w:lang w:val="x-none"/>
        </w:rPr>
      </w:pPr>
    </w:p>
    <w:p w14:paraId="1D6F7A2E" w14:textId="77777777" w:rsidR="00EE0D8E" w:rsidRPr="00321EC0" w:rsidRDefault="00EE0D8E" w:rsidP="00EE0D8E">
      <w:pPr>
        <w:rPr>
          <w:lang w:val="x-none"/>
        </w:rPr>
      </w:pPr>
    </w:p>
    <w:p w14:paraId="58AEEB62" w14:textId="77777777" w:rsidR="00EE0D8E" w:rsidRPr="00321EC0" w:rsidRDefault="00EE0D8E" w:rsidP="00EE0D8E">
      <w:pPr>
        <w:rPr>
          <w:lang w:val="x-none"/>
        </w:rPr>
        <w:sectPr w:rsidR="00EE0D8E" w:rsidRPr="00321EC0" w:rsidSect="00230BD3">
          <w:headerReference w:type="first" r:id="rId87"/>
          <w:pgSz w:w="11907" w:h="16840" w:code="9"/>
          <w:pgMar w:top="2466" w:right="2098" w:bottom="2269" w:left="2098" w:header="1899" w:footer="1899" w:gutter="0"/>
          <w:cols w:space="708"/>
          <w:titlePg/>
          <w:docGrid w:linePitch="360"/>
        </w:sectPr>
      </w:pPr>
    </w:p>
    <w:p w14:paraId="4989030A" w14:textId="77777777" w:rsidR="001E3E83" w:rsidRPr="00321EC0" w:rsidRDefault="003137E5" w:rsidP="001E3E83">
      <w:pPr>
        <w:pStyle w:val="Heading5"/>
      </w:pPr>
      <w:r w:rsidRPr="00321EC0">
        <w:t>Table 2.2</w:t>
      </w:r>
      <w:r w:rsidR="00E563A4" w:rsidRPr="00321EC0">
        <w:t>.2</w:t>
      </w:r>
      <w:r w:rsidR="001E3E83" w:rsidRPr="00321EC0">
        <w:t>: Performance criteria for Outcome</w:t>
      </w:r>
      <w:r w:rsidRPr="00321EC0">
        <w:t xml:space="preserve"> 2</w:t>
      </w:r>
    </w:p>
    <w:p w14:paraId="28467AD0" w14:textId="77777777" w:rsidR="001E3E83" w:rsidRPr="00321EC0" w:rsidRDefault="003137E5" w:rsidP="008E0E73">
      <w:r w:rsidRPr="00321EC0">
        <w:t>Table 2.2</w:t>
      </w:r>
      <w:r w:rsidR="00E563A4" w:rsidRPr="00321EC0">
        <w:t>.2</w:t>
      </w:r>
      <w:r w:rsidR="001E3E83" w:rsidRPr="00321EC0">
        <w:t xml:space="preserve"> below details the performance criteria for each p</w:t>
      </w:r>
      <w:r w:rsidRPr="00321EC0">
        <w:t>rogram associated with Outcome 2</w:t>
      </w:r>
      <w:r w:rsidR="001E3E83" w:rsidRPr="00321EC0">
        <w:t>. It is to be used by entities to describe the results they plan to achieve with the resources provided for new programs, or materially changed existing programs resulting from decisions made since the 2020-21</w:t>
      </w:r>
      <w:r w:rsidR="008E0E73" w:rsidRPr="00321EC0">
        <w:t xml:space="preserve"> Budget.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6"/>
      </w:tblGrid>
      <w:tr w:rsidR="001E3E83" w:rsidRPr="00321EC0" w14:paraId="2F6845CA" w14:textId="77777777" w:rsidTr="007F7130">
        <w:trPr>
          <w:tblHeader/>
        </w:trPr>
        <w:tc>
          <w:tcPr>
            <w:tcW w:w="7706" w:type="dxa"/>
            <w:shd w:val="clear" w:color="auto" w:fill="F2F2F2"/>
            <w:vAlign w:val="center"/>
          </w:tcPr>
          <w:p w14:paraId="32E251C8" w14:textId="77777777" w:rsidR="001E3E83" w:rsidRPr="00321EC0" w:rsidRDefault="003137E5" w:rsidP="008F3986">
            <w:pPr>
              <w:pStyle w:val="TableColumnHeadingLeft"/>
              <w:spacing w:before="120" w:after="120" w:line="240" w:lineRule="auto"/>
              <w:jc w:val="left"/>
            </w:pPr>
            <w:r w:rsidRPr="00321EC0">
              <w:t xml:space="preserve">Outcome 2 – </w:t>
            </w:r>
            <w:r w:rsidRPr="00321EC0">
              <w:rPr>
                <w:b w:val="0"/>
              </w:rPr>
              <w:t>Support an efficient and high-performing public sector through providing leadership to Commonwealth entities in ongoing improvements to public sector governance, including through systems, frameworks, policy, advice and service delivery.</w:t>
            </w:r>
          </w:p>
        </w:tc>
      </w:tr>
      <w:tr w:rsidR="00E563A4" w:rsidRPr="00321EC0" w14:paraId="1389021E" w14:textId="77777777" w:rsidTr="007F7130">
        <w:trPr>
          <w:tblHeader/>
        </w:trPr>
        <w:tc>
          <w:tcPr>
            <w:tcW w:w="7706" w:type="dxa"/>
            <w:shd w:val="clear" w:color="auto" w:fill="F2F2F2"/>
            <w:vAlign w:val="center"/>
          </w:tcPr>
          <w:p w14:paraId="4E4A31F2" w14:textId="77777777" w:rsidR="00E563A4" w:rsidRPr="00321EC0" w:rsidRDefault="00E563A4" w:rsidP="00E563A4">
            <w:pPr>
              <w:tabs>
                <w:tab w:val="left" w:pos="709"/>
              </w:tabs>
              <w:spacing w:before="60" w:after="60" w:line="240" w:lineRule="auto"/>
              <w:jc w:val="left"/>
              <w:rPr>
                <w:rFonts w:ascii="Arial" w:hAnsi="Arial" w:cs="Arial"/>
                <w:sz w:val="16"/>
                <w:szCs w:val="16"/>
              </w:rPr>
            </w:pPr>
            <w:r w:rsidRPr="00321EC0">
              <w:rPr>
                <w:rFonts w:ascii="Arial" w:hAnsi="Arial" w:cs="Arial"/>
                <w:b/>
                <w:sz w:val="16"/>
                <w:szCs w:val="16"/>
              </w:rPr>
              <w:t>Program 2.1</w:t>
            </w:r>
            <w:r w:rsidRPr="00321EC0">
              <w:rPr>
                <w:rFonts w:ascii="Arial" w:hAnsi="Arial" w:cs="Arial"/>
                <w:sz w:val="16"/>
                <w:szCs w:val="16"/>
              </w:rPr>
              <w:t xml:space="preserve"> – </w:t>
            </w:r>
            <w:r w:rsidRPr="00321EC0">
              <w:rPr>
                <w:rFonts w:ascii="Arial" w:hAnsi="Arial" w:cs="Arial"/>
                <w:b/>
                <w:sz w:val="16"/>
                <w:szCs w:val="16"/>
              </w:rPr>
              <w:t>Public Sector Governance</w:t>
            </w:r>
          </w:p>
          <w:p w14:paraId="0F6AE968" w14:textId="77777777" w:rsidR="00E563A4" w:rsidRPr="00321EC0" w:rsidRDefault="00F92F68" w:rsidP="00F92F68">
            <w:pPr>
              <w:tabs>
                <w:tab w:val="left" w:pos="709"/>
              </w:tabs>
              <w:spacing w:before="60" w:after="60" w:line="240" w:lineRule="auto"/>
              <w:jc w:val="left"/>
              <w:rPr>
                <w:rFonts w:ascii="Arial" w:hAnsi="Arial" w:cs="Arial"/>
                <w:sz w:val="16"/>
                <w:szCs w:val="16"/>
              </w:rPr>
            </w:pPr>
            <w:r w:rsidRPr="00321EC0">
              <w:rPr>
                <w:rFonts w:ascii="Arial" w:hAnsi="Arial" w:cs="Arial"/>
                <w:sz w:val="16"/>
                <w:szCs w:val="16"/>
              </w:rPr>
              <w:t>No changes have been made to the performance criteria for this program since the 2020-21 Portfolio Budget Statements.</w:t>
            </w:r>
          </w:p>
        </w:tc>
      </w:tr>
      <w:tr w:rsidR="00E563A4" w:rsidRPr="00321EC0" w14:paraId="146278A0" w14:textId="77777777" w:rsidTr="007F7130">
        <w:trPr>
          <w:tblHeader/>
        </w:trPr>
        <w:tc>
          <w:tcPr>
            <w:tcW w:w="7706" w:type="dxa"/>
            <w:shd w:val="clear" w:color="auto" w:fill="F2F2F2"/>
            <w:vAlign w:val="center"/>
          </w:tcPr>
          <w:p w14:paraId="0A22E961" w14:textId="77777777" w:rsidR="00E563A4" w:rsidRPr="00321EC0" w:rsidRDefault="00E563A4" w:rsidP="003137E5">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2.2 – Transforming Government</w:t>
            </w:r>
          </w:p>
          <w:p w14:paraId="785FF5B7" w14:textId="77777777" w:rsidR="00E563A4" w:rsidRPr="00321EC0" w:rsidRDefault="004673EC" w:rsidP="003137E5">
            <w:pPr>
              <w:tabs>
                <w:tab w:val="left" w:pos="709"/>
              </w:tabs>
              <w:spacing w:before="60" w:after="60" w:line="240" w:lineRule="auto"/>
              <w:jc w:val="left"/>
              <w:rPr>
                <w:rFonts w:ascii="Arial" w:hAnsi="Arial" w:cs="Arial"/>
                <w:b/>
                <w:sz w:val="16"/>
                <w:szCs w:val="16"/>
              </w:rPr>
            </w:pPr>
            <w:r w:rsidRPr="00321EC0">
              <w:rPr>
                <w:rFonts w:ascii="Arial" w:hAnsi="Arial" w:cs="Arial"/>
                <w:sz w:val="16"/>
                <w:szCs w:val="16"/>
              </w:rPr>
              <w:t>No changes have been made to the performance criteria for this program since the 2020-21 Portfolio Budget Statements.</w:t>
            </w:r>
          </w:p>
        </w:tc>
      </w:tr>
      <w:tr w:rsidR="00E563A4" w:rsidRPr="00321EC0" w14:paraId="0CD33F84" w14:textId="77777777" w:rsidTr="007F7130">
        <w:trPr>
          <w:tblHeader/>
        </w:trPr>
        <w:tc>
          <w:tcPr>
            <w:tcW w:w="7706" w:type="dxa"/>
            <w:shd w:val="clear" w:color="auto" w:fill="F2F2F2"/>
            <w:vAlign w:val="center"/>
          </w:tcPr>
          <w:p w14:paraId="20BA5171" w14:textId="77777777" w:rsidR="00E563A4" w:rsidRPr="00321EC0" w:rsidRDefault="00E563A4" w:rsidP="003137E5">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2.3 – Property and Construction</w:t>
            </w:r>
          </w:p>
          <w:p w14:paraId="26D3222F" w14:textId="77777777" w:rsidR="00E563A4" w:rsidRPr="00321EC0" w:rsidRDefault="004673EC" w:rsidP="003137E5">
            <w:pPr>
              <w:tabs>
                <w:tab w:val="left" w:pos="709"/>
              </w:tabs>
              <w:spacing w:before="60" w:after="60" w:line="240" w:lineRule="auto"/>
              <w:jc w:val="left"/>
              <w:rPr>
                <w:rFonts w:ascii="Arial" w:hAnsi="Arial" w:cs="Arial"/>
                <w:b/>
                <w:sz w:val="16"/>
                <w:szCs w:val="16"/>
              </w:rPr>
            </w:pPr>
            <w:r w:rsidRPr="00321EC0">
              <w:rPr>
                <w:rFonts w:ascii="Arial" w:hAnsi="Arial" w:cs="Arial"/>
                <w:sz w:val="16"/>
                <w:szCs w:val="16"/>
              </w:rPr>
              <w:t>No changes have been made to the performance criteria for this program since the 2020-21 Portfolio Budget Statements.</w:t>
            </w:r>
          </w:p>
        </w:tc>
      </w:tr>
      <w:tr w:rsidR="00E563A4" w:rsidRPr="00321EC0" w14:paraId="0CB4C7CC" w14:textId="77777777" w:rsidTr="007F7130">
        <w:trPr>
          <w:tblHeader/>
        </w:trPr>
        <w:tc>
          <w:tcPr>
            <w:tcW w:w="7706" w:type="dxa"/>
            <w:shd w:val="clear" w:color="auto" w:fill="F2F2F2"/>
            <w:vAlign w:val="center"/>
          </w:tcPr>
          <w:p w14:paraId="1F3867A6" w14:textId="77777777" w:rsidR="00E563A4" w:rsidRPr="00321EC0" w:rsidRDefault="00E563A4" w:rsidP="003137E5">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2.4 – Insurance and Risk Management</w:t>
            </w:r>
          </w:p>
          <w:p w14:paraId="51ED03BA" w14:textId="77777777" w:rsidR="00E563A4" w:rsidRPr="00321EC0" w:rsidRDefault="004673EC" w:rsidP="003137E5">
            <w:pPr>
              <w:tabs>
                <w:tab w:val="left" w:pos="709"/>
              </w:tabs>
              <w:spacing w:before="60" w:after="60" w:line="240" w:lineRule="auto"/>
              <w:jc w:val="left"/>
              <w:rPr>
                <w:rFonts w:ascii="Arial" w:hAnsi="Arial" w:cs="Arial"/>
                <w:b/>
                <w:sz w:val="16"/>
                <w:szCs w:val="16"/>
              </w:rPr>
            </w:pPr>
            <w:r w:rsidRPr="00321EC0">
              <w:rPr>
                <w:rFonts w:ascii="Arial" w:hAnsi="Arial" w:cs="Arial"/>
                <w:sz w:val="16"/>
                <w:szCs w:val="16"/>
              </w:rPr>
              <w:t>No changes have been made to the performance criteria for this program since the 2020-21 Portfolio Budget Statements.</w:t>
            </w:r>
          </w:p>
        </w:tc>
      </w:tr>
      <w:tr w:rsidR="00E563A4" w:rsidRPr="00321EC0" w14:paraId="0FCA4E56" w14:textId="77777777" w:rsidTr="007F7130">
        <w:trPr>
          <w:tblHeader/>
        </w:trPr>
        <w:tc>
          <w:tcPr>
            <w:tcW w:w="7706" w:type="dxa"/>
            <w:shd w:val="clear" w:color="auto" w:fill="F2F2F2"/>
            <w:vAlign w:val="center"/>
          </w:tcPr>
          <w:p w14:paraId="0E618CB1" w14:textId="77777777" w:rsidR="00E563A4" w:rsidRPr="00321EC0" w:rsidRDefault="00E563A4" w:rsidP="003137E5">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2.5 – Technology and Procurement Services</w:t>
            </w:r>
          </w:p>
          <w:p w14:paraId="4F5F22E3" w14:textId="77777777" w:rsidR="00E563A4" w:rsidRPr="00321EC0" w:rsidRDefault="004673EC" w:rsidP="003137E5">
            <w:pPr>
              <w:tabs>
                <w:tab w:val="left" w:pos="709"/>
              </w:tabs>
              <w:spacing w:before="60" w:after="60" w:line="240" w:lineRule="auto"/>
              <w:jc w:val="left"/>
              <w:rPr>
                <w:rFonts w:ascii="Arial" w:hAnsi="Arial" w:cs="Arial"/>
                <w:b/>
                <w:sz w:val="16"/>
                <w:szCs w:val="16"/>
              </w:rPr>
            </w:pPr>
            <w:r w:rsidRPr="00321EC0">
              <w:rPr>
                <w:rFonts w:ascii="Arial" w:hAnsi="Arial" w:cs="Arial"/>
                <w:sz w:val="16"/>
                <w:szCs w:val="16"/>
              </w:rPr>
              <w:t>No changes have been made to the performance criteria for this program since the 2020-21 Portfolio Budget Statements.</w:t>
            </w:r>
          </w:p>
        </w:tc>
      </w:tr>
      <w:tr w:rsidR="00E563A4" w:rsidRPr="00321EC0" w14:paraId="7B0B60BC" w14:textId="77777777" w:rsidTr="007F7130">
        <w:trPr>
          <w:tblHeader/>
        </w:trPr>
        <w:tc>
          <w:tcPr>
            <w:tcW w:w="7706" w:type="dxa"/>
            <w:shd w:val="clear" w:color="auto" w:fill="F2F2F2"/>
            <w:vAlign w:val="center"/>
          </w:tcPr>
          <w:p w14:paraId="5F2BF3FC" w14:textId="77777777" w:rsidR="00E563A4" w:rsidRPr="00321EC0" w:rsidRDefault="00E563A4" w:rsidP="003137E5">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2.6 – Service Delivery Office</w:t>
            </w:r>
          </w:p>
          <w:p w14:paraId="343BF3F9" w14:textId="77777777" w:rsidR="00E563A4" w:rsidRPr="00321EC0" w:rsidRDefault="004673EC" w:rsidP="003137E5">
            <w:pPr>
              <w:tabs>
                <w:tab w:val="left" w:pos="709"/>
              </w:tabs>
              <w:spacing w:before="60" w:after="60" w:line="240" w:lineRule="auto"/>
              <w:jc w:val="left"/>
              <w:rPr>
                <w:rFonts w:ascii="Arial" w:hAnsi="Arial" w:cs="Arial"/>
                <w:b/>
                <w:sz w:val="16"/>
                <w:szCs w:val="16"/>
              </w:rPr>
            </w:pPr>
            <w:r w:rsidRPr="00321EC0">
              <w:rPr>
                <w:rFonts w:ascii="Arial" w:hAnsi="Arial" w:cs="Arial"/>
                <w:sz w:val="16"/>
                <w:szCs w:val="16"/>
              </w:rPr>
              <w:t>No changes have been made to the performance criteria for this program since the 2020-21 Portfolio Budget Statements.</w:t>
            </w:r>
          </w:p>
        </w:tc>
      </w:tr>
      <w:tr w:rsidR="00E563A4" w:rsidRPr="00321EC0" w14:paraId="46AF7538" w14:textId="77777777" w:rsidTr="007F7130">
        <w:trPr>
          <w:tblHeader/>
        </w:trPr>
        <w:tc>
          <w:tcPr>
            <w:tcW w:w="7706" w:type="dxa"/>
            <w:shd w:val="clear" w:color="auto" w:fill="F2F2F2"/>
            <w:vAlign w:val="center"/>
          </w:tcPr>
          <w:p w14:paraId="7E8AFEDC" w14:textId="77777777" w:rsidR="00E563A4" w:rsidRPr="00321EC0" w:rsidRDefault="00E563A4" w:rsidP="003137E5">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2.7 – Public Sector Superannuation</w:t>
            </w:r>
          </w:p>
          <w:p w14:paraId="356033C9" w14:textId="77777777" w:rsidR="00E563A4" w:rsidRPr="00321EC0" w:rsidRDefault="004673EC" w:rsidP="003137E5">
            <w:pPr>
              <w:tabs>
                <w:tab w:val="left" w:pos="709"/>
              </w:tabs>
              <w:spacing w:before="60" w:after="60" w:line="240" w:lineRule="auto"/>
              <w:jc w:val="left"/>
              <w:rPr>
                <w:rFonts w:ascii="Arial" w:hAnsi="Arial" w:cs="Arial"/>
                <w:b/>
                <w:sz w:val="16"/>
                <w:szCs w:val="16"/>
              </w:rPr>
            </w:pPr>
            <w:r w:rsidRPr="00321EC0">
              <w:rPr>
                <w:rFonts w:ascii="Arial" w:hAnsi="Arial" w:cs="Arial"/>
                <w:sz w:val="16"/>
                <w:szCs w:val="16"/>
              </w:rPr>
              <w:t>No changes have been made to the performance criteria for this program since the 2020-21 Portfolio Budget Statements.</w:t>
            </w:r>
          </w:p>
        </w:tc>
      </w:tr>
      <w:tr w:rsidR="001E3E83" w:rsidRPr="00321EC0" w14:paraId="317E1E1B" w14:textId="77777777" w:rsidTr="007F7130">
        <w:trPr>
          <w:tblHeader/>
        </w:trPr>
        <w:tc>
          <w:tcPr>
            <w:tcW w:w="7706" w:type="dxa"/>
            <w:shd w:val="clear" w:color="auto" w:fill="F2F2F2"/>
            <w:vAlign w:val="center"/>
          </w:tcPr>
          <w:p w14:paraId="5430BEF5" w14:textId="77777777" w:rsidR="001E3E83" w:rsidRPr="00321EC0" w:rsidRDefault="00E563A4" w:rsidP="00D37F3B">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2.8 – Australian Government Investment Funds</w:t>
            </w:r>
          </w:p>
          <w:p w14:paraId="6D1AA022" w14:textId="77777777" w:rsidR="00E563A4" w:rsidRPr="00321EC0" w:rsidRDefault="004673EC" w:rsidP="00D37F3B">
            <w:pPr>
              <w:tabs>
                <w:tab w:val="left" w:pos="709"/>
              </w:tabs>
              <w:spacing w:before="60" w:after="60" w:line="240" w:lineRule="auto"/>
              <w:jc w:val="left"/>
              <w:rPr>
                <w:rFonts w:ascii="Arial" w:hAnsi="Arial" w:cs="Arial"/>
                <w:b/>
                <w:sz w:val="16"/>
                <w:szCs w:val="16"/>
              </w:rPr>
            </w:pPr>
            <w:r w:rsidRPr="00E74F9F">
              <w:rPr>
                <w:rFonts w:ascii="Arial" w:hAnsi="Arial" w:cs="Arial"/>
                <w:sz w:val="16"/>
                <w:szCs w:val="16"/>
              </w:rPr>
              <w:t>No changes have been made to the performance cr</w:t>
            </w:r>
            <w:r w:rsidRPr="00D37F3B">
              <w:rPr>
                <w:rFonts w:ascii="Arial" w:hAnsi="Arial" w:cs="Arial"/>
                <w:sz w:val="16"/>
                <w:szCs w:val="16"/>
              </w:rPr>
              <w:t>iteria for this program since the 2020-21 Portfolio Budget Statements</w:t>
            </w:r>
            <w:r w:rsidRPr="00321EC0">
              <w:rPr>
                <w:rFonts w:ascii="Arial" w:hAnsi="Arial" w:cs="Arial"/>
                <w:sz w:val="16"/>
                <w:szCs w:val="16"/>
              </w:rPr>
              <w:t>.</w:t>
            </w:r>
          </w:p>
        </w:tc>
      </w:tr>
    </w:tbl>
    <w:p w14:paraId="4E55BF0F" w14:textId="77777777" w:rsidR="001E3E83" w:rsidRPr="00321EC0" w:rsidRDefault="001E3E83" w:rsidP="001E3E83"/>
    <w:p w14:paraId="4A8F86B4" w14:textId="77777777" w:rsidR="001E3E83" w:rsidRPr="00321EC0" w:rsidRDefault="001E3E83" w:rsidP="008E0E73">
      <w:pPr>
        <w:pStyle w:val="Heading3"/>
        <w:rPr>
          <w:lang w:val="en-AU"/>
        </w:rPr>
      </w:pPr>
      <w:r w:rsidRPr="00321EC0">
        <w:rPr>
          <w:lang w:val="en-GB"/>
        </w:rPr>
        <w:br w:type="page"/>
      </w:r>
      <w:bookmarkStart w:id="423" w:name="_Toc62835717"/>
      <w:bookmarkStart w:id="424" w:name="_Toc63158598"/>
      <w:r w:rsidRPr="00321EC0">
        <w:t>2.</w:t>
      </w:r>
      <w:r w:rsidR="0048531B" w:rsidRPr="00321EC0">
        <w:rPr>
          <w:lang w:val="en-AU"/>
        </w:rPr>
        <w:t>3</w:t>
      </w:r>
      <w:r w:rsidRPr="00321EC0">
        <w:tab/>
      </w:r>
      <w:r w:rsidRPr="00321EC0">
        <w:rPr>
          <w:lang w:val="en-AU"/>
        </w:rPr>
        <w:t>Budgeted expens</w:t>
      </w:r>
      <w:r w:rsidR="0048531B" w:rsidRPr="00321EC0">
        <w:rPr>
          <w:lang w:val="en-AU"/>
        </w:rPr>
        <w:t>es and performance for Outcome 3</w:t>
      </w:r>
      <w:bookmarkEnd w:id="423"/>
      <w:bookmarkEnd w:id="42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1E3E83" w:rsidRPr="00321EC0" w14:paraId="5CB143C7" w14:textId="77777777" w:rsidTr="008F3986">
        <w:tc>
          <w:tcPr>
            <w:tcW w:w="7713" w:type="dxa"/>
            <w:shd w:val="clear" w:color="auto" w:fill="E6E6E6"/>
          </w:tcPr>
          <w:p w14:paraId="7F2F8293" w14:textId="6F844E57" w:rsidR="001E3E83" w:rsidRPr="00321EC0" w:rsidRDefault="0048531B" w:rsidP="0048531B">
            <w:pPr>
              <w:pStyle w:val="TableColumnHeadingLeft"/>
            </w:pPr>
            <w:r w:rsidRPr="00321EC0">
              <w:rPr>
                <w:sz w:val="20"/>
              </w:rPr>
              <w:t>Outcome 3: Support for parliamentarians and others as required by the Australian Government through the delivery of</w:t>
            </w:r>
            <w:r w:rsidR="00CF6368">
              <w:rPr>
                <w:sz w:val="20"/>
              </w:rPr>
              <w:t>,</w:t>
            </w:r>
            <w:r w:rsidRPr="00321EC0">
              <w:rPr>
                <w:sz w:val="20"/>
              </w:rPr>
              <w:t xml:space="preserve"> and advice on, work expenses and allowances, entitlements and targeted programs.</w:t>
            </w:r>
          </w:p>
        </w:tc>
      </w:tr>
    </w:tbl>
    <w:p w14:paraId="1782053C" w14:textId="77777777" w:rsidR="001E3E83" w:rsidRPr="00321EC0" w:rsidRDefault="001E3E83" w:rsidP="001E3E83">
      <w:pPr>
        <w:pStyle w:val="NoSpacing"/>
      </w:pPr>
    </w:p>
    <w:p w14:paraId="720F7D66" w14:textId="77777777" w:rsidR="001E3E83" w:rsidRPr="00321EC0" w:rsidRDefault="0048531B" w:rsidP="001E3E83">
      <w:pPr>
        <w:pStyle w:val="Heading5"/>
      </w:pPr>
      <w:r w:rsidRPr="00321EC0">
        <w:t>Budgeted expenses for Outcome 3</w:t>
      </w:r>
    </w:p>
    <w:p w14:paraId="574AB182" w14:textId="77777777" w:rsidR="001E3E83" w:rsidRPr="00321EC0" w:rsidRDefault="001E3E83" w:rsidP="001E3E83">
      <w:r w:rsidRPr="00321EC0">
        <w:t xml:space="preserve">This table shows how much the entity intends to spend (on an accrual basis) on achieving the outcome, broken down by program, as well as by Administered and Departmental funding sources. </w:t>
      </w:r>
    </w:p>
    <w:p w14:paraId="6788A104" w14:textId="77777777" w:rsidR="001E3E83" w:rsidRPr="00321EC0" w:rsidRDefault="001E3E83" w:rsidP="001E3E83">
      <w:pPr>
        <w:pStyle w:val="TableHeading"/>
        <w:rPr>
          <w:lang w:val="en-AU"/>
        </w:rPr>
      </w:pPr>
      <w:r w:rsidRPr="00321EC0">
        <w:t>Table 2.</w:t>
      </w:r>
      <w:r w:rsidR="0048531B" w:rsidRPr="00321EC0">
        <w:rPr>
          <w:lang w:val="en-AU"/>
        </w:rPr>
        <w:t>3</w:t>
      </w:r>
      <w:r w:rsidRPr="00321EC0">
        <w:rPr>
          <w:lang w:val="en-AU"/>
        </w:rPr>
        <w:t>.</w:t>
      </w:r>
      <w:r w:rsidRPr="00321EC0">
        <w:t>1 Budgeted expenses</w:t>
      </w:r>
      <w:r w:rsidRPr="00321EC0">
        <w:rPr>
          <w:lang w:val="en-AU"/>
        </w:rPr>
        <w:t xml:space="preserve"> for</w:t>
      </w:r>
      <w:r w:rsidRPr="00321EC0">
        <w:t xml:space="preserve"> Outcome </w:t>
      </w:r>
      <w:r w:rsidR="0048531B" w:rsidRPr="00321EC0">
        <w:rPr>
          <w:lang w:val="en-AU"/>
        </w:rPr>
        <w:t>3</w:t>
      </w:r>
    </w:p>
    <w:p w14:paraId="7F95F9A8" w14:textId="1BED5261" w:rsidR="00C94042" w:rsidRPr="00C94042" w:rsidRDefault="00BD3CA0" w:rsidP="00D0667F">
      <w:pPr>
        <w:pStyle w:val="TableGraphic"/>
      </w:pPr>
      <w:r w:rsidRPr="00BD3CA0">
        <w:rPr>
          <w:noProof/>
        </w:rPr>
        <w:drawing>
          <wp:inline distT="0" distB="0" distL="0" distR="0" wp14:anchorId="1F888275" wp14:editId="449825C2">
            <wp:extent cx="4839335" cy="5365750"/>
            <wp:effectExtent l="0" t="0" r="0" b="635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39335" cy="5365750"/>
                    </a:xfrm>
                    <a:prstGeom prst="rect">
                      <a:avLst/>
                    </a:prstGeom>
                    <a:noFill/>
                    <a:ln>
                      <a:noFill/>
                    </a:ln>
                  </pic:spPr>
                </pic:pic>
              </a:graphicData>
            </a:graphic>
          </wp:inline>
        </w:drawing>
      </w:r>
      <w:r w:rsidR="001E3E83" w:rsidRPr="00321EC0">
        <w:rPr>
          <w:i w:val="0"/>
        </w:rPr>
        <w:t xml:space="preserve"> </w:t>
      </w:r>
      <w:r w:rsidR="007E69CB">
        <w:rPr>
          <w:rFonts w:ascii="Arial" w:hAnsi="Arial" w:cs="Arial"/>
          <w:i w:val="0"/>
          <w:color w:val="auto"/>
          <w:sz w:val="16"/>
        </w:rPr>
        <w:t>Table continues on next page</w:t>
      </w:r>
      <w:r w:rsidR="00FB0470" w:rsidRPr="00321EC0">
        <w:rPr>
          <w:rFonts w:ascii="Arial" w:hAnsi="Arial" w:cs="Arial"/>
          <w:i w:val="0"/>
          <w:color w:val="auto"/>
          <w:sz w:val="16"/>
        </w:rPr>
        <w:t xml:space="preserve"> </w:t>
      </w:r>
    </w:p>
    <w:p w14:paraId="37978EC1" w14:textId="77777777" w:rsidR="00FB0470" w:rsidRPr="00321EC0" w:rsidRDefault="00FB0470" w:rsidP="00FB0470">
      <w:pPr>
        <w:sectPr w:rsidR="00FB0470" w:rsidRPr="00321EC0" w:rsidSect="00230BD3">
          <w:headerReference w:type="even" r:id="rId89"/>
          <w:headerReference w:type="default" r:id="rId90"/>
          <w:headerReference w:type="first" r:id="rId91"/>
          <w:pgSz w:w="11907" w:h="16840" w:code="9"/>
          <w:pgMar w:top="2466" w:right="2098" w:bottom="2269" w:left="2098" w:header="1899" w:footer="1899" w:gutter="0"/>
          <w:cols w:space="708"/>
          <w:titlePg/>
          <w:docGrid w:linePitch="360"/>
        </w:sectPr>
      </w:pPr>
    </w:p>
    <w:p w14:paraId="4C4C4B2B" w14:textId="77777777" w:rsidR="001E3E83" w:rsidRPr="00321EC0" w:rsidRDefault="001E3E83" w:rsidP="001E3E83">
      <w:pPr>
        <w:pStyle w:val="TableHeading"/>
        <w:rPr>
          <w:lang w:val="en-AU"/>
        </w:rPr>
      </w:pPr>
      <w:r w:rsidRPr="00321EC0">
        <w:t>Table 2.</w:t>
      </w:r>
      <w:r w:rsidR="0048531B" w:rsidRPr="00321EC0">
        <w:rPr>
          <w:lang w:val="en-AU"/>
        </w:rPr>
        <w:t>3</w:t>
      </w:r>
      <w:r w:rsidRPr="00321EC0">
        <w:rPr>
          <w:lang w:val="en-AU"/>
        </w:rPr>
        <w:t>.</w:t>
      </w:r>
      <w:r w:rsidRPr="00321EC0">
        <w:t>1 Budgeted expenses</w:t>
      </w:r>
      <w:r w:rsidRPr="00321EC0">
        <w:rPr>
          <w:lang w:val="en-AU"/>
        </w:rPr>
        <w:t xml:space="preserve"> for</w:t>
      </w:r>
      <w:r w:rsidRPr="00321EC0">
        <w:t xml:space="preserve"> Outcome </w:t>
      </w:r>
      <w:r w:rsidR="0048531B" w:rsidRPr="00321EC0">
        <w:rPr>
          <w:lang w:val="en-AU"/>
        </w:rPr>
        <w:t>3</w:t>
      </w:r>
      <w:r w:rsidRPr="00321EC0">
        <w:rPr>
          <w:lang w:val="en-AU"/>
        </w:rPr>
        <w:t xml:space="preserve"> (continued)</w:t>
      </w:r>
    </w:p>
    <w:p w14:paraId="25EC8E49" w14:textId="6C8A244E" w:rsidR="001E3E83" w:rsidRPr="00321EC0" w:rsidRDefault="001E3E83" w:rsidP="001E3E83">
      <w:pPr>
        <w:pStyle w:val="TableGraphic"/>
        <w:rPr>
          <w:iCs/>
        </w:rPr>
      </w:pPr>
      <w:r w:rsidRPr="00321EC0">
        <w:rPr>
          <w:i w:val="0"/>
        </w:rPr>
        <w:t xml:space="preserve"> </w:t>
      </w:r>
      <w:r w:rsidR="00BD3CA0" w:rsidRPr="00BD3CA0">
        <w:rPr>
          <w:noProof/>
        </w:rPr>
        <w:drawing>
          <wp:inline distT="0" distB="0" distL="0" distR="0" wp14:anchorId="6AE44EF7" wp14:editId="578A37C3">
            <wp:extent cx="4839335" cy="357124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39335" cy="3571240"/>
                    </a:xfrm>
                    <a:prstGeom prst="rect">
                      <a:avLst/>
                    </a:prstGeom>
                    <a:noFill/>
                    <a:ln>
                      <a:noFill/>
                    </a:ln>
                  </pic:spPr>
                </pic:pic>
              </a:graphicData>
            </a:graphic>
          </wp:inline>
        </w:drawing>
      </w:r>
    </w:p>
    <w:p w14:paraId="7F1B3BF1" w14:textId="77777777" w:rsidR="00F0320D" w:rsidRPr="00321EC0" w:rsidRDefault="00F0320D" w:rsidP="00264523">
      <w:pPr>
        <w:pStyle w:val="ChartandTableFootnoteAlpha"/>
        <w:numPr>
          <w:ilvl w:val="0"/>
          <w:numId w:val="28"/>
        </w:numPr>
      </w:pPr>
      <w:r w:rsidRPr="00321EC0">
        <w:t xml:space="preserve">Estimates for this item are subject to the </w:t>
      </w:r>
      <w:r w:rsidRPr="007E69CB">
        <w:rPr>
          <w:i/>
        </w:rPr>
        <w:t>Ministers of State Regulation 2012</w:t>
      </w:r>
      <w:r w:rsidRPr="00321EC0">
        <w:t>.</w:t>
      </w:r>
    </w:p>
    <w:p w14:paraId="52D779F2" w14:textId="0A29FD3D" w:rsidR="00F0320D" w:rsidRPr="00321EC0" w:rsidRDefault="00DF7380" w:rsidP="00FB1A10">
      <w:pPr>
        <w:pStyle w:val="ChartandTableFootnoteAlpha"/>
      </w:pPr>
      <w:r w:rsidRPr="00321EC0">
        <w:t xml:space="preserve">Expenses not requiring appropriation in the Budget year is made up of </w:t>
      </w:r>
      <w:r>
        <w:t>d</w:t>
      </w:r>
      <w:r w:rsidRPr="00321EC0">
        <w:t xml:space="preserve">epreciation </w:t>
      </w:r>
      <w:r>
        <w:t>e</w:t>
      </w:r>
      <w:r w:rsidRPr="00321EC0">
        <w:t>xpenses</w:t>
      </w:r>
      <w:r>
        <w:t>,</w:t>
      </w:r>
      <w:r w:rsidRPr="00321EC0">
        <w:t xml:space="preserve"> </w:t>
      </w:r>
      <w:r>
        <w:t>a</w:t>
      </w:r>
      <w:r w:rsidRPr="00321EC0">
        <w:t xml:space="preserve">mortisation </w:t>
      </w:r>
      <w:r>
        <w:t>e</w:t>
      </w:r>
      <w:r w:rsidRPr="00321EC0">
        <w:t>xpenses</w:t>
      </w:r>
      <w:r>
        <w:t xml:space="preserve"> and resources received free of charge</w:t>
      </w:r>
      <w:r w:rsidR="00442229">
        <w:t>.</w:t>
      </w:r>
      <w:r w:rsidRPr="00321EC0" w:rsidDel="00DF7380">
        <w:t xml:space="preserve"> </w:t>
      </w:r>
    </w:p>
    <w:p w14:paraId="2F6E1A3F" w14:textId="25FC9488" w:rsidR="00F0320D" w:rsidRPr="00321EC0" w:rsidRDefault="00F0320D" w:rsidP="00264523">
      <w:pPr>
        <w:pStyle w:val="ChartandTableFootnoteAlpha"/>
      </w:pPr>
      <w:r w:rsidRPr="00321EC0">
        <w:t>Departmental appropriation com</w:t>
      </w:r>
      <w:r w:rsidR="004316D1">
        <w:t>bines 'Ordinary annual services (</w:t>
      </w:r>
      <w:r w:rsidR="004316D1" w:rsidRPr="00321EC0">
        <w:t xml:space="preserve">Appropriation </w:t>
      </w:r>
      <w:r w:rsidR="004316D1">
        <w:t xml:space="preserve">Act (No. 1) and Appropriation Bill (No. 3)) </w:t>
      </w:r>
      <w:r w:rsidR="007E69CB">
        <w:t>and</w:t>
      </w:r>
      <w:r w:rsidRPr="00321EC0">
        <w:t xml:space="preserve"> </w:t>
      </w:r>
      <w:r w:rsidR="007E69CB">
        <w:t>estimated r</w:t>
      </w:r>
      <w:r w:rsidRPr="00321EC0">
        <w:t>eceipts</w:t>
      </w:r>
      <w:r w:rsidR="007E69CB">
        <w:t xml:space="preserve"> retained under s74 of the PGPA Act</w:t>
      </w:r>
      <w:r w:rsidRPr="00321EC0">
        <w:t>.</w:t>
      </w:r>
    </w:p>
    <w:p w14:paraId="2D9A207A" w14:textId="77777777" w:rsidR="00F0320D" w:rsidRPr="00321EC0" w:rsidRDefault="00F0320D" w:rsidP="00F0320D">
      <w:pPr>
        <w:pStyle w:val="ChartandTableFootnoteAlpha"/>
        <w:numPr>
          <w:ilvl w:val="0"/>
          <w:numId w:val="0"/>
        </w:numPr>
        <w:spacing w:after="0"/>
        <w:rPr>
          <w:rFonts w:cs="Arial"/>
          <w:szCs w:val="16"/>
        </w:rPr>
      </w:pPr>
    </w:p>
    <w:p w14:paraId="76681537" w14:textId="77777777" w:rsidR="00FD5C75" w:rsidRPr="00321EC0" w:rsidRDefault="00FD5C75" w:rsidP="00FD5C75">
      <w:pPr>
        <w:pStyle w:val="ChartandTableFootnoteAlpha"/>
        <w:numPr>
          <w:ilvl w:val="0"/>
          <w:numId w:val="0"/>
        </w:numPr>
      </w:pPr>
      <w:r w:rsidRPr="00321EC0">
        <w:t>Note: Departmental appropriation splits and totals are indicative estimates and may change in the course of the budget year as government priorities change.</w:t>
      </w:r>
    </w:p>
    <w:p w14:paraId="0A31662B" w14:textId="77777777" w:rsidR="00FB0470" w:rsidRPr="00321EC0" w:rsidRDefault="00FB0470" w:rsidP="00FB0470">
      <w:pPr>
        <w:pStyle w:val="TableGraphic"/>
        <w:rPr>
          <w:rFonts w:ascii="Arial" w:hAnsi="Arial" w:cs="Arial"/>
          <w:i w:val="0"/>
          <w:color w:val="auto"/>
          <w:sz w:val="16"/>
        </w:rPr>
      </w:pPr>
    </w:p>
    <w:p w14:paraId="24293054" w14:textId="77777777" w:rsidR="00FB0470" w:rsidRPr="00321EC0" w:rsidRDefault="00FB0470" w:rsidP="00FB0470">
      <w:pPr>
        <w:pStyle w:val="TableGraphic"/>
        <w:rPr>
          <w:rFonts w:ascii="Arial" w:hAnsi="Arial" w:cs="Arial"/>
          <w:i w:val="0"/>
          <w:color w:val="auto"/>
          <w:sz w:val="16"/>
        </w:rPr>
      </w:pPr>
    </w:p>
    <w:p w14:paraId="5B2FBC8A" w14:textId="77777777" w:rsidR="001E3E83" w:rsidRPr="00321EC0" w:rsidRDefault="001E3E83" w:rsidP="00C00A07">
      <w:pPr>
        <w:pStyle w:val="TableGraphic"/>
        <w:rPr>
          <w:rFonts w:ascii="Arial" w:hAnsi="Arial" w:cs="Arial"/>
          <w:i w:val="0"/>
          <w:color w:val="auto"/>
          <w:sz w:val="16"/>
        </w:rPr>
      </w:pPr>
    </w:p>
    <w:p w14:paraId="5160D28C" w14:textId="77777777" w:rsidR="001E3E83" w:rsidRPr="00321EC0" w:rsidRDefault="001E3E83" w:rsidP="001E3E83"/>
    <w:p w14:paraId="0A7A2B97" w14:textId="77777777" w:rsidR="001E3E83" w:rsidRPr="00321EC0" w:rsidRDefault="001E3E83" w:rsidP="00AF3A66">
      <w:pPr>
        <w:pStyle w:val="TableHeading"/>
        <w:rPr>
          <w:b w:val="0"/>
          <w:bCs/>
          <w:iCs/>
          <w:szCs w:val="26"/>
        </w:rPr>
      </w:pPr>
      <w:r w:rsidRPr="00321EC0">
        <w:rPr>
          <w:iCs/>
        </w:rPr>
        <w:br w:type="page"/>
      </w:r>
    </w:p>
    <w:p w14:paraId="0BE6F475" w14:textId="77777777" w:rsidR="001E3E83" w:rsidRPr="00321EC0" w:rsidRDefault="0048531B" w:rsidP="001E3E83">
      <w:pPr>
        <w:pStyle w:val="Heading5"/>
      </w:pPr>
      <w:r w:rsidRPr="00321EC0">
        <w:t>Table 2.3</w:t>
      </w:r>
      <w:r w:rsidR="001E3E83" w:rsidRPr="00321EC0">
        <w:t>.</w:t>
      </w:r>
      <w:r w:rsidRPr="00321EC0">
        <w:rPr>
          <w:lang w:val="en-AU"/>
        </w:rPr>
        <w:t>2</w:t>
      </w:r>
      <w:r w:rsidR="001E3E83" w:rsidRPr="00321EC0">
        <w:t>: Performance criteria for Outcome</w:t>
      </w:r>
      <w:r w:rsidRPr="00321EC0">
        <w:t xml:space="preserve"> 3</w:t>
      </w:r>
    </w:p>
    <w:p w14:paraId="363CF39D" w14:textId="77777777" w:rsidR="001E3E83" w:rsidRPr="00321EC0" w:rsidRDefault="001E3E83" w:rsidP="008E0E73">
      <w:r w:rsidRPr="00321EC0">
        <w:t>Table 2.</w:t>
      </w:r>
      <w:r w:rsidR="0048531B" w:rsidRPr="00321EC0">
        <w:t>3</w:t>
      </w:r>
      <w:r w:rsidRPr="00321EC0">
        <w:t>.</w:t>
      </w:r>
      <w:r w:rsidR="0048531B" w:rsidRPr="00321EC0">
        <w:t>2</w:t>
      </w:r>
      <w:r w:rsidRPr="00321EC0">
        <w:t xml:space="preserve"> below details the performance criteria for each program associated with Outcome </w:t>
      </w:r>
      <w:r w:rsidR="0048531B" w:rsidRPr="00321EC0">
        <w:t>3</w:t>
      </w:r>
      <w:r w:rsidRPr="00321EC0">
        <w:t>. It is to be used by entities to describe the results they plan to achieve with the resources provided for new programs, or materially changed existing programs resulting from decisions made since the 2020-21</w:t>
      </w:r>
      <w:r w:rsidR="008E0E73" w:rsidRPr="00321EC0">
        <w:t xml:space="preserve"> Budget.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6"/>
      </w:tblGrid>
      <w:tr w:rsidR="001E3E83" w:rsidRPr="00321EC0" w14:paraId="3C52174D" w14:textId="77777777" w:rsidTr="00881200">
        <w:trPr>
          <w:tblHeader/>
        </w:trPr>
        <w:tc>
          <w:tcPr>
            <w:tcW w:w="7706" w:type="dxa"/>
            <w:shd w:val="clear" w:color="auto" w:fill="F2F2F2"/>
            <w:vAlign w:val="center"/>
          </w:tcPr>
          <w:p w14:paraId="5B5A8FF9" w14:textId="3BF0A186" w:rsidR="001E3E83" w:rsidRPr="00321EC0" w:rsidRDefault="0048531B" w:rsidP="0048531B">
            <w:pPr>
              <w:pStyle w:val="TableColumnHeadingLeft"/>
              <w:spacing w:before="120" w:after="120" w:line="240" w:lineRule="auto"/>
              <w:jc w:val="left"/>
            </w:pPr>
            <w:r w:rsidRPr="00321EC0">
              <w:t>Outcome 3: Support for parliamentarians and others as required by the Australian Government through the delivery of</w:t>
            </w:r>
            <w:r w:rsidR="00D82CBA">
              <w:t>,</w:t>
            </w:r>
            <w:r w:rsidRPr="00321EC0">
              <w:t xml:space="preserve"> and advice on, work expenses and allowances, entitlements and targeted programs.</w:t>
            </w:r>
          </w:p>
        </w:tc>
      </w:tr>
      <w:tr w:rsidR="0048531B" w:rsidRPr="00321EC0" w14:paraId="58761DDD" w14:textId="77777777" w:rsidTr="00881200">
        <w:trPr>
          <w:tblHeader/>
        </w:trPr>
        <w:tc>
          <w:tcPr>
            <w:tcW w:w="7706" w:type="dxa"/>
            <w:shd w:val="clear" w:color="auto" w:fill="F2F2F2"/>
          </w:tcPr>
          <w:p w14:paraId="3454C8A1" w14:textId="77777777" w:rsidR="0048531B" w:rsidRPr="0095620B" w:rsidRDefault="0048531B" w:rsidP="0048531B">
            <w:pPr>
              <w:tabs>
                <w:tab w:val="left" w:pos="709"/>
              </w:tabs>
              <w:spacing w:before="60" w:after="60" w:line="240" w:lineRule="auto"/>
              <w:jc w:val="left"/>
              <w:rPr>
                <w:rFonts w:ascii="Arial" w:hAnsi="Arial" w:cs="Arial"/>
                <w:b/>
                <w:sz w:val="16"/>
                <w:szCs w:val="16"/>
              </w:rPr>
            </w:pPr>
            <w:r w:rsidRPr="00321EC0">
              <w:rPr>
                <w:rFonts w:ascii="Arial" w:hAnsi="Arial" w:cs="Arial"/>
                <w:b/>
                <w:sz w:val="16"/>
                <w:szCs w:val="16"/>
              </w:rPr>
              <w:t>Program 3.1</w:t>
            </w:r>
            <w:r w:rsidRPr="00321EC0">
              <w:rPr>
                <w:rFonts w:ascii="Arial" w:hAnsi="Arial" w:cs="Arial"/>
                <w:sz w:val="16"/>
                <w:szCs w:val="16"/>
              </w:rPr>
              <w:t xml:space="preserve"> – </w:t>
            </w:r>
            <w:r w:rsidRPr="00321EC0">
              <w:rPr>
                <w:rFonts w:ascii="Arial" w:hAnsi="Arial" w:cs="Arial"/>
                <w:b/>
                <w:sz w:val="16"/>
                <w:szCs w:val="16"/>
              </w:rPr>
              <w:t>Ministerial and Parliamentary Services</w:t>
            </w:r>
          </w:p>
          <w:p w14:paraId="33A1924B" w14:textId="77777777" w:rsidR="0048531B" w:rsidRPr="00321EC0" w:rsidRDefault="00F92F68" w:rsidP="0095620B">
            <w:pPr>
              <w:tabs>
                <w:tab w:val="left" w:pos="709"/>
              </w:tabs>
              <w:spacing w:before="60" w:after="60" w:line="240" w:lineRule="auto"/>
              <w:jc w:val="left"/>
              <w:rPr>
                <w:rFonts w:ascii="Arial" w:hAnsi="Arial" w:cs="Arial"/>
                <w:sz w:val="16"/>
                <w:szCs w:val="16"/>
              </w:rPr>
            </w:pPr>
            <w:r w:rsidRPr="0095620B">
              <w:rPr>
                <w:rFonts w:ascii="Arial" w:hAnsi="Arial" w:cs="Arial"/>
                <w:sz w:val="16"/>
                <w:szCs w:val="16"/>
              </w:rPr>
              <w:t>No changes have been made to the performance criteria for</w:t>
            </w:r>
            <w:r w:rsidRPr="00321EC0">
              <w:rPr>
                <w:rFonts w:ascii="Arial" w:hAnsi="Arial" w:cs="Arial"/>
                <w:sz w:val="16"/>
                <w:szCs w:val="16"/>
              </w:rPr>
              <w:t xml:space="preserve"> this program since the 2020-21 Portfolio Budget Statements.</w:t>
            </w:r>
          </w:p>
        </w:tc>
      </w:tr>
    </w:tbl>
    <w:p w14:paraId="4664803A" w14:textId="77777777" w:rsidR="001E3E83" w:rsidRPr="00321EC0" w:rsidRDefault="001E3E83" w:rsidP="001E3E83"/>
    <w:p w14:paraId="1897FBDA" w14:textId="77777777" w:rsidR="001E3E83" w:rsidRPr="00321EC0" w:rsidRDefault="001E3E83" w:rsidP="001E3E83"/>
    <w:p w14:paraId="19A59850" w14:textId="77777777" w:rsidR="006F19D3" w:rsidRPr="00321EC0" w:rsidRDefault="001E3E83" w:rsidP="00666127">
      <w:pPr>
        <w:pStyle w:val="Heading2-TOC"/>
      </w:pPr>
      <w:r w:rsidRPr="00321EC0">
        <w:rPr>
          <w:lang w:val="en-GB"/>
        </w:rPr>
        <w:br w:type="page"/>
      </w:r>
      <w:bookmarkStart w:id="425" w:name="_Toc62835718"/>
      <w:bookmarkStart w:id="426" w:name="_Toc63158599"/>
      <w:r w:rsidR="006F19D3" w:rsidRPr="00321EC0">
        <w:t>Section 3</w:t>
      </w:r>
      <w:bookmarkStart w:id="427" w:name="_Toc436624159"/>
      <w:bookmarkStart w:id="428" w:name="_Toc436625460"/>
      <w:bookmarkStart w:id="429" w:name="_Toc446237038"/>
      <w:bookmarkStart w:id="430" w:name="_Toc449255782"/>
      <w:r w:rsidR="006F19D3" w:rsidRPr="00321EC0">
        <w:t xml:space="preserve">: Special account flows and budgeted financial </w:t>
      </w:r>
      <w:r w:rsidR="001D4659" w:rsidRPr="00321EC0">
        <w:t>s</w:t>
      </w:r>
      <w:r w:rsidR="006F19D3" w:rsidRPr="00321EC0">
        <w:t>tatements</w:t>
      </w:r>
      <w:bookmarkStart w:id="431" w:name="_Toc190682316"/>
      <w:bookmarkStart w:id="432" w:name="_Toc190682533"/>
      <w:bookmarkStart w:id="433" w:name="_Toc210703218"/>
      <w:bookmarkEnd w:id="381"/>
      <w:bookmarkEnd w:id="382"/>
      <w:bookmarkEnd w:id="383"/>
      <w:bookmarkEnd w:id="384"/>
      <w:bookmarkEnd w:id="385"/>
      <w:bookmarkEnd w:id="425"/>
      <w:bookmarkEnd w:id="426"/>
      <w:bookmarkEnd w:id="427"/>
      <w:bookmarkEnd w:id="428"/>
      <w:bookmarkEnd w:id="429"/>
      <w:bookmarkEnd w:id="430"/>
    </w:p>
    <w:p w14:paraId="00D0FECC" w14:textId="77777777" w:rsidR="006F19D3" w:rsidRPr="00321EC0" w:rsidRDefault="006F19D3" w:rsidP="004D3E2B">
      <w:pPr>
        <w:pStyle w:val="Heading3"/>
      </w:pPr>
      <w:bookmarkStart w:id="434" w:name="_Toc531095071"/>
      <w:bookmarkStart w:id="435" w:name="_Toc62835719"/>
      <w:bookmarkStart w:id="436" w:name="_Toc63158600"/>
      <w:r w:rsidRPr="00321EC0">
        <w:t>3.1</w:t>
      </w:r>
      <w:r w:rsidRPr="00321EC0">
        <w:tab/>
      </w:r>
      <w:bookmarkEnd w:id="431"/>
      <w:bookmarkEnd w:id="432"/>
      <w:bookmarkEnd w:id="433"/>
      <w:r w:rsidRPr="00321EC0">
        <w:t>Special account flows</w:t>
      </w:r>
      <w:bookmarkEnd w:id="434"/>
      <w:bookmarkEnd w:id="435"/>
      <w:bookmarkEnd w:id="436"/>
    </w:p>
    <w:p w14:paraId="6CCB8164" w14:textId="77777777" w:rsidR="00F51DAC" w:rsidRPr="00321EC0" w:rsidRDefault="00F51DAC" w:rsidP="006F19D3">
      <w:pPr>
        <w:pStyle w:val="Heading4"/>
      </w:pPr>
      <w:r w:rsidRPr="00321EC0">
        <w:t xml:space="preserve">Estimates of </w:t>
      </w:r>
      <w:r w:rsidR="00C264AC" w:rsidRPr="00321EC0">
        <w:t>special account flows</w:t>
      </w:r>
      <w:bookmarkEnd w:id="386"/>
    </w:p>
    <w:bookmarkEnd w:id="387"/>
    <w:bookmarkEnd w:id="388"/>
    <w:p w14:paraId="562FDCC1" w14:textId="77777777" w:rsidR="00F51DAC" w:rsidRPr="00321EC0" w:rsidRDefault="00F51DAC" w:rsidP="00F51DAC">
      <w:r w:rsidRPr="00321EC0">
        <w:t xml:space="preserve">Special </w:t>
      </w:r>
      <w:r w:rsidR="004E017C" w:rsidRPr="00321EC0">
        <w:t>A</w:t>
      </w:r>
      <w:r w:rsidRPr="00321EC0">
        <w:t>ccounts provide a means to set aside and record amounts used for</w:t>
      </w:r>
      <w:r w:rsidR="001F46A6" w:rsidRPr="00321EC0">
        <w:t xml:space="preserve"> specified purposes. Table 3.1</w:t>
      </w:r>
      <w:r w:rsidRPr="00321EC0">
        <w:t xml:space="preserve"> shows the expected additions (receipts) and reductions (payments) for each account used by </w:t>
      </w:r>
      <w:r w:rsidR="00932E2C" w:rsidRPr="00321EC0">
        <w:t>Finance</w:t>
      </w:r>
      <w:r w:rsidR="00D5737A" w:rsidRPr="00321EC0">
        <w:t>.</w:t>
      </w:r>
    </w:p>
    <w:p w14:paraId="0534AE0F" w14:textId="77777777" w:rsidR="00F51DAC" w:rsidRPr="00321EC0" w:rsidRDefault="001F46A6" w:rsidP="00F51DAC">
      <w:pPr>
        <w:pStyle w:val="TableHeading"/>
      </w:pPr>
      <w:r w:rsidRPr="00321EC0">
        <w:t>Table 3.1</w:t>
      </w:r>
      <w:r w:rsidR="00F51DAC" w:rsidRPr="00321EC0">
        <w:t xml:space="preserve">: Estimates of </w:t>
      </w:r>
      <w:r w:rsidR="00C264AC" w:rsidRPr="00321EC0">
        <w:t>special account flows and balances</w:t>
      </w:r>
    </w:p>
    <w:p w14:paraId="51063609" w14:textId="07E4B4CD" w:rsidR="00AF3A66" w:rsidRPr="00321EC0" w:rsidRDefault="00D209CC" w:rsidP="00223058">
      <w:pPr>
        <w:pStyle w:val="TableGraphic"/>
        <w:rPr>
          <w:i w:val="0"/>
        </w:rPr>
      </w:pPr>
      <w:r w:rsidRPr="00321EC0">
        <w:rPr>
          <w:i w:val="0"/>
        </w:rPr>
        <w:t xml:space="preserve"> </w:t>
      </w:r>
      <w:r w:rsidR="00BD3CA0" w:rsidRPr="00BD3CA0">
        <w:t xml:space="preserve"> </w:t>
      </w:r>
      <w:r w:rsidR="00B8566D" w:rsidRPr="00B8566D">
        <w:rPr>
          <w:noProof/>
        </w:rPr>
        <w:drawing>
          <wp:inline distT="0" distB="0" distL="0" distR="0" wp14:anchorId="448D79A1" wp14:editId="6930A93B">
            <wp:extent cx="4896485" cy="6433880"/>
            <wp:effectExtent l="0" t="0" r="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96485" cy="6433880"/>
                    </a:xfrm>
                    <a:prstGeom prst="rect">
                      <a:avLst/>
                    </a:prstGeom>
                    <a:noFill/>
                    <a:ln>
                      <a:noFill/>
                    </a:ln>
                  </pic:spPr>
                </pic:pic>
              </a:graphicData>
            </a:graphic>
          </wp:inline>
        </w:drawing>
      </w:r>
    </w:p>
    <w:p w14:paraId="7653E722" w14:textId="77777777" w:rsidR="00F0320D" w:rsidRPr="00321EC0" w:rsidRDefault="00F0320D" w:rsidP="00F0320D">
      <w:pPr>
        <w:spacing w:line="240" w:lineRule="auto"/>
        <w:rPr>
          <w:rFonts w:ascii="Arial" w:hAnsi="Arial" w:cs="Arial"/>
          <w:sz w:val="16"/>
        </w:rPr>
      </w:pPr>
      <w:r w:rsidRPr="00321EC0">
        <w:rPr>
          <w:rFonts w:ascii="Arial" w:hAnsi="Arial" w:cs="Arial"/>
          <w:sz w:val="16"/>
        </w:rPr>
        <w:t>Table continues on next page</w:t>
      </w:r>
    </w:p>
    <w:p w14:paraId="0BD70AD3" w14:textId="77777777" w:rsidR="00F0320D" w:rsidRPr="00321EC0" w:rsidRDefault="00F0320D" w:rsidP="00F0320D"/>
    <w:p w14:paraId="53C703B6" w14:textId="77777777" w:rsidR="00F0320D" w:rsidRPr="00321EC0" w:rsidRDefault="00F0320D" w:rsidP="00F0320D">
      <w:pPr>
        <w:sectPr w:rsidR="00F0320D" w:rsidRPr="00321EC0" w:rsidSect="00230BD3">
          <w:headerReference w:type="even" r:id="rId94"/>
          <w:headerReference w:type="default" r:id="rId95"/>
          <w:headerReference w:type="first" r:id="rId96"/>
          <w:pgSz w:w="11907" w:h="16840" w:code="9"/>
          <w:pgMar w:top="2466" w:right="2098" w:bottom="2269" w:left="2098" w:header="1899" w:footer="1899" w:gutter="0"/>
          <w:cols w:space="708"/>
          <w:titlePg/>
          <w:docGrid w:linePitch="360"/>
        </w:sectPr>
      </w:pPr>
    </w:p>
    <w:p w14:paraId="14E64CC3" w14:textId="77777777" w:rsidR="00AF3A66" w:rsidRPr="00321EC0" w:rsidRDefault="00AF3A66" w:rsidP="00AF3A66">
      <w:pPr>
        <w:pStyle w:val="TableHeading"/>
        <w:rPr>
          <w:lang w:val="en-AU"/>
        </w:rPr>
      </w:pPr>
      <w:r w:rsidRPr="00321EC0">
        <w:t>Table 3.1: Estimates of special account flows and balances</w:t>
      </w:r>
      <w:r w:rsidRPr="00321EC0">
        <w:rPr>
          <w:lang w:val="en-AU"/>
        </w:rPr>
        <w:t xml:space="preserve"> (Continued)</w:t>
      </w:r>
    </w:p>
    <w:p w14:paraId="621BA10A" w14:textId="6BF8D351" w:rsidR="00F51DAC" w:rsidRPr="00321EC0" w:rsidRDefault="00BD3CA0" w:rsidP="00AF3A66">
      <w:pPr>
        <w:pStyle w:val="TableGraphic"/>
      </w:pPr>
      <w:r w:rsidRPr="00BD3CA0">
        <w:rPr>
          <w:i w:val="0"/>
        </w:rPr>
        <w:t xml:space="preserve"> </w:t>
      </w:r>
      <w:r w:rsidRPr="00BD3CA0">
        <w:rPr>
          <w:noProof/>
        </w:rPr>
        <w:drawing>
          <wp:inline distT="0" distB="0" distL="0" distR="0" wp14:anchorId="13A47710" wp14:editId="5C7B6197">
            <wp:extent cx="4896485" cy="3090956"/>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96485" cy="3090956"/>
                    </a:xfrm>
                    <a:prstGeom prst="rect">
                      <a:avLst/>
                    </a:prstGeom>
                    <a:noFill/>
                    <a:ln>
                      <a:noFill/>
                    </a:ln>
                  </pic:spPr>
                </pic:pic>
              </a:graphicData>
            </a:graphic>
          </wp:inline>
        </w:drawing>
      </w:r>
    </w:p>
    <w:p w14:paraId="58FDF26B" w14:textId="77777777" w:rsidR="0002274A" w:rsidRPr="00321EC0" w:rsidRDefault="0002274A" w:rsidP="0002274A">
      <w:pPr>
        <w:pStyle w:val="ChartandTableFootnoteAlpha"/>
        <w:numPr>
          <w:ilvl w:val="0"/>
          <w:numId w:val="0"/>
        </w:numPr>
        <w:ind w:left="397" w:hanging="397"/>
      </w:pPr>
      <w:r w:rsidRPr="00321EC0">
        <w:t>(A) = Administered</w:t>
      </w:r>
    </w:p>
    <w:p w14:paraId="2149E164" w14:textId="77777777" w:rsidR="0002274A" w:rsidRPr="00321EC0" w:rsidRDefault="0002274A" w:rsidP="0002274A">
      <w:pPr>
        <w:pStyle w:val="ChartandTableFootnoteAlpha"/>
        <w:numPr>
          <w:ilvl w:val="0"/>
          <w:numId w:val="0"/>
        </w:numPr>
      </w:pPr>
      <w:r w:rsidRPr="00321EC0">
        <w:t>(D) = Departmental</w:t>
      </w:r>
    </w:p>
    <w:p w14:paraId="229CCF99" w14:textId="43CFC921" w:rsidR="0002274A" w:rsidRPr="00321EC0" w:rsidRDefault="0002274A" w:rsidP="00D37F3B">
      <w:pPr>
        <w:pStyle w:val="ChartandTableFootnoteAlpha"/>
        <w:numPr>
          <w:ilvl w:val="0"/>
          <w:numId w:val="21"/>
        </w:numPr>
      </w:pPr>
      <w:r w:rsidRPr="00321EC0">
        <w:t xml:space="preserve">The DisabilityCare Australia Fund has been established for holding and investing the additional Medicare Levy proceeds for the purpose of making payments to reimburse the Commonwealth and the States and Territories for costs incurred in relation to the NDIS. More information on the DisabilityCare Australia Fund can be found in Table 2.2.1.1 on page </w:t>
      </w:r>
      <w:r w:rsidRPr="007F7130">
        <w:t>2</w:t>
      </w:r>
      <w:r w:rsidR="003472B3">
        <w:t>8</w:t>
      </w:r>
      <w:r w:rsidRPr="00321EC0">
        <w:t xml:space="preserve">. </w:t>
      </w:r>
    </w:p>
    <w:p w14:paraId="74D4E31E" w14:textId="07D1BAE6" w:rsidR="0002274A" w:rsidRPr="00321EC0" w:rsidRDefault="0002274A" w:rsidP="00264523">
      <w:pPr>
        <w:pStyle w:val="ChartandTableFootnoteAlpha"/>
      </w:pPr>
      <w:r w:rsidRPr="00321EC0">
        <w:t xml:space="preserve">More information on the Medical Research Future Fund can be found in Table 2.2.1.2 on page </w:t>
      </w:r>
      <w:r w:rsidR="00C00A07" w:rsidRPr="007F7130">
        <w:t>2</w:t>
      </w:r>
      <w:r w:rsidR="003472B3">
        <w:t>9</w:t>
      </w:r>
      <w:r w:rsidRPr="00321EC0">
        <w:t>.</w:t>
      </w:r>
    </w:p>
    <w:p w14:paraId="2619DB21" w14:textId="58213998" w:rsidR="0002274A" w:rsidRPr="00321EC0" w:rsidRDefault="0002274A" w:rsidP="00264523">
      <w:pPr>
        <w:pStyle w:val="ChartandTableFootnoteAlpha"/>
      </w:pPr>
      <w:r w:rsidRPr="00321EC0">
        <w:t xml:space="preserve">More information on the Building Australia Fund can be found in Table 2.2.1.3 on page </w:t>
      </w:r>
      <w:r w:rsidR="003472B3">
        <w:t>30</w:t>
      </w:r>
      <w:r w:rsidRPr="00321EC0">
        <w:t xml:space="preserve">. </w:t>
      </w:r>
    </w:p>
    <w:p w14:paraId="48F843C0" w14:textId="559DAC86" w:rsidR="0002274A" w:rsidRPr="00321EC0" w:rsidRDefault="0002274A" w:rsidP="00264523">
      <w:pPr>
        <w:pStyle w:val="ChartandTableFootnoteAlpha"/>
      </w:pPr>
      <w:r w:rsidRPr="00321EC0">
        <w:t xml:space="preserve">More information on the Education Investment Fund can be found in Table 2.2.1.4 on page </w:t>
      </w:r>
      <w:r w:rsidRPr="007F7130">
        <w:t>3</w:t>
      </w:r>
      <w:r w:rsidR="003472B3">
        <w:t>1</w:t>
      </w:r>
      <w:r w:rsidRPr="007F7130">
        <w:t>.</w:t>
      </w:r>
    </w:p>
    <w:p w14:paraId="774BF084" w14:textId="2421B8B2" w:rsidR="0002274A" w:rsidRPr="00321EC0" w:rsidRDefault="0002274A" w:rsidP="00264523">
      <w:pPr>
        <w:pStyle w:val="ChartandTableFootnoteAlpha"/>
      </w:pPr>
      <w:r w:rsidRPr="00321EC0">
        <w:t xml:space="preserve">More information on the Aboriginal and Torres Strait Islander Land and Sea Future Fund Act can be found in Table 2.2.1.5 on page </w:t>
      </w:r>
      <w:r w:rsidRPr="007F7130">
        <w:t>3</w:t>
      </w:r>
      <w:r w:rsidR="003472B3">
        <w:t>2</w:t>
      </w:r>
      <w:r w:rsidRPr="00321EC0">
        <w:t xml:space="preserve">. </w:t>
      </w:r>
    </w:p>
    <w:p w14:paraId="3756FB01" w14:textId="2D204952" w:rsidR="0002274A" w:rsidRPr="00321EC0" w:rsidRDefault="0002274A" w:rsidP="00264523">
      <w:pPr>
        <w:pStyle w:val="ChartandTableFootnoteAlpha"/>
      </w:pPr>
      <w:r w:rsidRPr="00321EC0">
        <w:t xml:space="preserve">More information on the Future Drought Fund can be found in Table 2.2.1.6 on page </w:t>
      </w:r>
      <w:r w:rsidRPr="007F7130">
        <w:t>3</w:t>
      </w:r>
      <w:r w:rsidR="003472B3">
        <w:t>3</w:t>
      </w:r>
      <w:r w:rsidRPr="00321EC0">
        <w:t xml:space="preserve">. </w:t>
      </w:r>
    </w:p>
    <w:p w14:paraId="464BD481" w14:textId="4D892CDC" w:rsidR="007D48CC" w:rsidRDefault="0002274A" w:rsidP="00264523">
      <w:pPr>
        <w:pStyle w:val="ChartandTableFootnoteAlpha"/>
      </w:pPr>
      <w:r w:rsidRPr="00321EC0">
        <w:t xml:space="preserve">More information on the Emergency Response </w:t>
      </w:r>
      <w:r w:rsidR="009F4338">
        <w:t>Fund</w:t>
      </w:r>
      <w:r w:rsidRPr="00321EC0">
        <w:t xml:space="preserve"> can be found in Table 2.2.1.7 on </w:t>
      </w:r>
      <w:r w:rsidRPr="007F7130">
        <w:t>page 3</w:t>
      </w:r>
      <w:r w:rsidR="003472B3">
        <w:t>4</w:t>
      </w:r>
      <w:r w:rsidRPr="007F7130">
        <w:t>.</w:t>
      </w:r>
    </w:p>
    <w:p w14:paraId="1EE8235E" w14:textId="1563D6D3" w:rsidR="0002274A" w:rsidRPr="00D37F3B" w:rsidRDefault="007D48CC" w:rsidP="004D711D">
      <w:pPr>
        <w:pStyle w:val="ChartandTableFootnoteAlpha"/>
      </w:pPr>
      <w:r>
        <w:t xml:space="preserve">The </w:t>
      </w:r>
      <w:r w:rsidR="004D711D" w:rsidRPr="00D37F3B">
        <w:t>DHA Borrowings Special Account 2020</w:t>
      </w:r>
      <w:r w:rsidR="004D711D">
        <w:t xml:space="preserve"> was </w:t>
      </w:r>
      <w:r w:rsidR="004D711D" w:rsidRPr="00E74F9F">
        <w:t xml:space="preserve">established </w:t>
      </w:r>
      <w:r w:rsidR="00161F54">
        <w:t xml:space="preserve">on </w:t>
      </w:r>
      <w:r w:rsidR="004D711D" w:rsidRPr="00E74F9F">
        <w:t>1 October 2020</w:t>
      </w:r>
      <w:r w:rsidR="004D711D" w:rsidRPr="00D37F3B">
        <w:t>.</w:t>
      </w:r>
    </w:p>
    <w:p w14:paraId="4AA183FF" w14:textId="77777777" w:rsidR="00D5737A" w:rsidRPr="00321EC0" w:rsidRDefault="00D5737A" w:rsidP="004D3E2B">
      <w:pPr>
        <w:pStyle w:val="SingleParagraph"/>
      </w:pPr>
    </w:p>
    <w:p w14:paraId="3151A5FA" w14:textId="77777777" w:rsidR="004D3E2B" w:rsidRPr="00321EC0" w:rsidRDefault="004D3E2B" w:rsidP="004D3E2B">
      <w:bookmarkStart w:id="437" w:name="_Toc190682317"/>
      <w:bookmarkStart w:id="438" w:name="_Toc210703219"/>
    </w:p>
    <w:p w14:paraId="24594795" w14:textId="77777777" w:rsidR="00F51DAC" w:rsidRPr="00321EC0" w:rsidRDefault="00F51DAC" w:rsidP="004D3E2B">
      <w:pPr>
        <w:pStyle w:val="Heading3"/>
      </w:pPr>
      <w:r w:rsidRPr="00321EC0">
        <w:br w:type="page"/>
      </w:r>
      <w:bookmarkStart w:id="439" w:name="_Toc531095072"/>
      <w:bookmarkStart w:id="440" w:name="_Toc62835720"/>
      <w:bookmarkStart w:id="441" w:name="_Toc63158601"/>
      <w:r w:rsidRPr="00321EC0">
        <w:t>3.2</w:t>
      </w:r>
      <w:r w:rsidRPr="00321EC0">
        <w:tab/>
        <w:t>Budgeted financial statements</w:t>
      </w:r>
      <w:bookmarkEnd w:id="437"/>
      <w:bookmarkEnd w:id="438"/>
      <w:bookmarkEnd w:id="439"/>
      <w:bookmarkEnd w:id="440"/>
      <w:bookmarkEnd w:id="441"/>
    </w:p>
    <w:p w14:paraId="101BD7DA" w14:textId="77777777" w:rsidR="00881200" w:rsidRPr="00321EC0" w:rsidRDefault="00881200" w:rsidP="00881200">
      <w:pPr>
        <w:jc w:val="left"/>
      </w:pPr>
      <w:r w:rsidRPr="00321EC0">
        <w:t>Section 3 presents budgeted financial statements which provide a comprehensive snapshot of entity finances for the 2020-21 budget year, including the impact of budget measures and resourcing on financial statements.</w:t>
      </w:r>
    </w:p>
    <w:p w14:paraId="17348CEE" w14:textId="77777777" w:rsidR="00F51DAC" w:rsidRPr="00321EC0" w:rsidRDefault="00A81E21" w:rsidP="000B5844">
      <w:pPr>
        <w:pStyle w:val="Heading4"/>
      </w:pPr>
      <w:r w:rsidRPr="00321EC0">
        <w:t>3.2</w:t>
      </w:r>
      <w:r w:rsidR="00EC73D1" w:rsidRPr="00321EC0">
        <w:rPr>
          <w:lang w:val="en-AU"/>
        </w:rPr>
        <w:t>.1</w:t>
      </w:r>
      <w:r w:rsidR="00F51DAC" w:rsidRPr="00321EC0">
        <w:tab/>
        <w:t xml:space="preserve">Analysis of </w:t>
      </w:r>
      <w:r w:rsidR="00C264AC" w:rsidRPr="00321EC0">
        <w:t>budgeted financial statements</w:t>
      </w:r>
      <w:bookmarkEnd w:id="389"/>
      <w:bookmarkEnd w:id="390"/>
      <w:bookmarkEnd w:id="391"/>
      <w:bookmarkEnd w:id="392"/>
      <w:bookmarkEnd w:id="393"/>
      <w:bookmarkEnd w:id="394"/>
      <w:bookmarkEnd w:id="395"/>
      <w:bookmarkEnd w:id="396"/>
    </w:p>
    <w:p w14:paraId="560F4BEB" w14:textId="77777777" w:rsidR="00932E2C" w:rsidRPr="00321EC0" w:rsidRDefault="00932E2C" w:rsidP="00932E2C">
      <w:pPr>
        <w:jc w:val="left"/>
        <w:rPr>
          <w:rFonts w:ascii="Arial" w:hAnsi="Arial" w:cs="Arial"/>
          <w:b/>
        </w:rPr>
      </w:pPr>
      <w:bookmarkStart w:id="442" w:name="_Toc77998692"/>
      <w:bookmarkStart w:id="443" w:name="_Toc79406121"/>
      <w:bookmarkStart w:id="444" w:name="_Toc79467823"/>
      <w:bookmarkStart w:id="445" w:name="_Toc112137882"/>
      <w:bookmarkStart w:id="446" w:name="_Toc112137904"/>
      <w:bookmarkStart w:id="447" w:name="_Toc210646457"/>
      <w:bookmarkStart w:id="448" w:name="_Toc210698436"/>
      <w:bookmarkStart w:id="449" w:name="_Toc35936967"/>
      <w:bookmarkStart w:id="450" w:name="_Toc533506534"/>
      <w:bookmarkStart w:id="451" w:name="_Toc533506609"/>
      <w:bookmarkStart w:id="452" w:name="_Toc533507059"/>
      <w:r w:rsidRPr="00321EC0">
        <w:rPr>
          <w:rFonts w:ascii="Arial" w:hAnsi="Arial" w:cs="Arial"/>
          <w:b/>
        </w:rPr>
        <w:t>Budgeted Statement of Comprehensive Income - Departmental</w:t>
      </w:r>
    </w:p>
    <w:p w14:paraId="23E05ED3" w14:textId="77777777" w:rsidR="001217B7" w:rsidRPr="002B24B5" w:rsidRDefault="00932E2C" w:rsidP="001217B7">
      <w:pPr>
        <w:jc w:val="left"/>
      </w:pPr>
      <w:r w:rsidRPr="00321EC0">
        <w:t>Finance is budgeting</w:t>
      </w:r>
      <w:r w:rsidR="004E6669" w:rsidRPr="00321EC0">
        <w:t xml:space="preserve"> </w:t>
      </w:r>
      <w:r w:rsidR="008B34E5" w:rsidRPr="00321EC0">
        <w:t xml:space="preserve">a </w:t>
      </w:r>
      <w:r w:rsidR="008B34E5" w:rsidRPr="002B24B5">
        <w:t>$</w:t>
      </w:r>
      <w:r w:rsidR="00B350F3" w:rsidRPr="002B24B5">
        <w:t>35</w:t>
      </w:r>
      <w:r w:rsidR="008701DC" w:rsidRPr="002B24B5">
        <w:t>.9</w:t>
      </w:r>
      <w:r w:rsidR="008B34E5" w:rsidRPr="002B24B5">
        <w:t xml:space="preserve"> million deficit</w:t>
      </w:r>
      <w:r w:rsidR="004E6669" w:rsidRPr="002B24B5">
        <w:t xml:space="preserve"> </w:t>
      </w:r>
      <w:r w:rsidR="008B34E5" w:rsidRPr="002B24B5">
        <w:t>for 2020-21, reduced from the</w:t>
      </w:r>
      <w:r w:rsidR="00946C0D" w:rsidRPr="002B24B5">
        <w:t xml:space="preserve"> </w:t>
      </w:r>
      <w:r w:rsidR="008B34E5" w:rsidRPr="002B24B5">
        <w:t>$</w:t>
      </w:r>
      <w:r w:rsidR="004E6669" w:rsidRPr="002B24B5">
        <w:t>17.7</w:t>
      </w:r>
      <w:r w:rsidR="008B34E5" w:rsidRPr="002B24B5">
        <w:t xml:space="preserve"> million surplus forecasted at the 2020-21 Budge</w:t>
      </w:r>
      <w:r w:rsidR="004E6669" w:rsidRPr="002B24B5">
        <w:t xml:space="preserve">t. </w:t>
      </w:r>
      <w:r w:rsidR="001217B7" w:rsidRPr="002B24B5">
        <w:t>This is primarily due to revisions in estimates for insurance claims.</w:t>
      </w:r>
    </w:p>
    <w:p w14:paraId="71A28011" w14:textId="77777777" w:rsidR="00932E2C" w:rsidRPr="002B24B5" w:rsidRDefault="00932E2C" w:rsidP="00932E2C">
      <w:pPr>
        <w:jc w:val="left"/>
        <w:rPr>
          <w:rFonts w:ascii="Arial" w:hAnsi="Arial" w:cs="Arial"/>
          <w:b/>
        </w:rPr>
      </w:pPr>
      <w:r w:rsidRPr="002B24B5">
        <w:rPr>
          <w:rFonts w:ascii="Arial" w:hAnsi="Arial" w:cs="Arial"/>
          <w:b/>
        </w:rPr>
        <w:t>Budgeted Balance Sheet – Departmental</w:t>
      </w:r>
    </w:p>
    <w:p w14:paraId="02180DF5" w14:textId="1628ECE0" w:rsidR="00932E2C" w:rsidRPr="002B24B5" w:rsidRDefault="00932E2C" w:rsidP="008B34E5">
      <w:pPr>
        <w:jc w:val="left"/>
      </w:pPr>
      <w:r w:rsidRPr="002B24B5">
        <w:t>The budgeted equity position</w:t>
      </w:r>
      <w:r w:rsidR="007E6B56" w:rsidRPr="002B24B5">
        <w:t xml:space="preserve"> </w:t>
      </w:r>
      <w:r w:rsidR="008B34E5" w:rsidRPr="002B24B5">
        <w:t xml:space="preserve">for 2020-21 is </w:t>
      </w:r>
      <w:r w:rsidR="007766EE" w:rsidRPr="002B24B5">
        <w:t>$</w:t>
      </w:r>
      <w:r w:rsidR="007F7130" w:rsidRPr="002B24B5">
        <w:t>2,315.6</w:t>
      </w:r>
      <w:r w:rsidR="007E6B56" w:rsidRPr="002B24B5">
        <w:t xml:space="preserve"> </w:t>
      </w:r>
      <w:r w:rsidR="008B34E5" w:rsidRPr="002B24B5">
        <w:t xml:space="preserve">million, </w:t>
      </w:r>
      <w:r w:rsidR="002243CF">
        <w:t>increased</w:t>
      </w:r>
      <w:r w:rsidR="008B34E5" w:rsidRPr="002B24B5">
        <w:t xml:space="preserve"> from the </w:t>
      </w:r>
      <w:r w:rsidR="007E6B56" w:rsidRPr="002B24B5">
        <w:t>$2,</w:t>
      </w:r>
      <w:r w:rsidR="007766EE" w:rsidRPr="002B24B5">
        <w:t>314.0</w:t>
      </w:r>
      <w:r w:rsidR="007E6B56" w:rsidRPr="002B24B5">
        <w:t> </w:t>
      </w:r>
      <w:r w:rsidR="008B34E5" w:rsidRPr="002B24B5">
        <w:t xml:space="preserve">million forecasted at the 2020-21 Budget. </w:t>
      </w:r>
      <w:r w:rsidR="007E6B56" w:rsidRPr="002B24B5">
        <w:t xml:space="preserve">This </w:t>
      </w:r>
      <w:r w:rsidR="001465AD">
        <w:t>change is primarily due to revisions of special account estimates</w:t>
      </w:r>
      <w:r w:rsidR="007E6B56" w:rsidRPr="002B24B5">
        <w:t>.</w:t>
      </w:r>
    </w:p>
    <w:p w14:paraId="6FDC1431" w14:textId="77777777" w:rsidR="00932E2C" w:rsidRPr="002B24B5" w:rsidRDefault="00932E2C" w:rsidP="00932E2C">
      <w:pPr>
        <w:jc w:val="left"/>
        <w:rPr>
          <w:rFonts w:ascii="Arial" w:hAnsi="Arial" w:cs="Arial"/>
          <w:b/>
        </w:rPr>
      </w:pPr>
      <w:r w:rsidRPr="002B24B5">
        <w:rPr>
          <w:rFonts w:ascii="Arial" w:hAnsi="Arial" w:cs="Arial"/>
          <w:b/>
        </w:rPr>
        <w:t>Schedule of Administered Activity</w:t>
      </w:r>
    </w:p>
    <w:p w14:paraId="68FF91BD" w14:textId="77777777" w:rsidR="008B34E5" w:rsidRPr="002B24B5" w:rsidRDefault="00932E2C" w:rsidP="008B34E5">
      <w:pPr>
        <w:jc w:val="left"/>
      </w:pPr>
      <w:r w:rsidRPr="002B24B5">
        <w:t>Estimated administered income</w:t>
      </w:r>
      <w:r w:rsidR="008B34E5" w:rsidRPr="002B24B5">
        <w:t xml:space="preserve"> for 2020-21 is $ </w:t>
      </w:r>
      <w:r w:rsidR="007E6B56" w:rsidRPr="002B24B5">
        <w:t>2,</w:t>
      </w:r>
      <w:r w:rsidR="00DB6F4C" w:rsidRPr="002B24B5">
        <w:t>641</w:t>
      </w:r>
      <w:r w:rsidR="007E6B56" w:rsidRPr="002B24B5">
        <w:t>.</w:t>
      </w:r>
      <w:r w:rsidR="00DC40B1" w:rsidRPr="002B24B5">
        <w:t>9</w:t>
      </w:r>
      <w:r w:rsidR="008B34E5" w:rsidRPr="002B24B5">
        <w:t xml:space="preserve"> million, </w:t>
      </w:r>
      <w:r w:rsidR="00DC40B1" w:rsidRPr="002B24B5">
        <w:t>up</w:t>
      </w:r>
      <w:r w:rsidR="008B34E5" w:rsidRPr="002B24B5">
        <w:t xml:space="preserve"> from the $</w:t>
      </w:r>
      <w:r w:rsidR="007E6B56" w:rsidRPr="002B24B5">
        <w:t>2,</w:t>
      </w:r>
      <w:r w:rsidR="00DC40B1" w:rsidRPr="002B24B5">
        <w:t>629</w:t>
      </w:r>
      <w:r w:rsidR="007E6B56" w:rsidRPr="002B24B5">
        <w:t>.</w:t>
      </w:r>
      <w:r w:rsidR="00DC40B1" w:rsidRPr="002B24B5">
        <w:t>5 </w:t>
      </w:r>
      <w:r w:rsidR="008B34E5" w:rsidRPr="002B24B5">
        <w:t>million forecasted at the 2020-21 Budget. This is primarily due to revisions in estimates for the Australian Government Investment Funds.</w:t>
      </w:r>
    </w:p>
    <w:p w14:paraId="2F86ECD5" w14:textId="77777777" w:rsidR="00932E2C" w:rsidRPr="002B24B5" w:rsidRDefault="008B34E5" w:rsidP="008B34E5">
      <w:pPr>
        <w:jc w:val="left"/>
      </w:pPr>
      <w:r w:rsidRPr="002B24B5">
        <w:t>Estimated administered expenses for 2020-21 is $</w:t>
      </w:r>
      <w:r w:rsidR="00DC40B1" w:rsidRPr="002B24B5">
        <w:t>11,493.3</w:t>
      </w:r>
      <w:r w:rsidRPr="002B24B5">
        <w:t xml:space="preserve"> million, </w:t>
      </w:r>
      <w:r w:rsidR="00DC40B1" w:rsidRPr="002B24B5">
        <w:t>up</w:t>
      </w:r>
      <w:r w:rsidRPr="002B24B5">
        <w:t xml:space="preserve"> from the $</w:t>
      </w:r>
      <w:r w:rsidR="00DC40B1" w:rsidRPr="002B24B5">
        <w:t>11,412.5 </w:t>
      </w:r>
      <w:r w:rsidRPr="002B24B5">
        <w:t xml:space="preserve">million forecasted at the 2020-21 Budget. </w:t>
      </w:r>
      <w:r w:rsidR="00DC40B1" w:rsidRPr="002B24B5">
        <w:t>This is primarily due to revisions in estimates for the Australian Government Investment Funds.</w:t>
      </w:r>
    </w:p>
    <w:p w14:paraId="663873CE" w14:textId="77777777" w:rsidR="00932E2C" w:rsidRPr="002B24B5" w:rsidRDefault="00932E2C" w:rsidP="00932E2C">
      <w:pPr>
        <w:jc w:val="left"/>
        <w:rPr>
          <w:rFonts w:ascii="Arial" w:hAnsi="Arial" w:cs="Arial"/>
          <w:b/>
        </w:rPr>
      </w:pPr>
      <w:r w:rsidRPr="002B24B5">
        <w:rPr>
          <w:rFonts w:ascii="Arial" w:hAnsi="Arial" w:cs="Arial"/>
          <w:b/>
        </w:rPr>
        <w:t>Budgeted Schedule of Assets and Liabilities – Administered</w:t>
      </w:r>
    </w:p>
    <w:p w14:paraId="1EBF8A2B" w14:textId="6B662FD5" w:rsidR="00932E2C" w:rsidRPr="00321EC0" w:rsidRDefault="00932E2C" w:rsidP="00932E2C">
      <w:pPr>
        <w:jc w:val="left"/>
      </w:pPr>
      <w:r w:rsidRPr="002B24B5">
        <w:t>The net liabilities are estimated</w:t>
      </w:r>
      <w:r w:rsidR="008B34E5" w:rsidRPr="002B24B5">
        <w:t xml:space="preserve"> to total $</w:t>
      </w:r>
      <w:r w:rsidR="007E69CB" w:rsidRPr="002B24B5">
        <w:t>93,071.9</w:t>
      </w:r>
      <w:r w:rsidR="008B34E5" w:rsidRPr="002B24B5">
        <w:t xml:space="preserve"> million by 30 June 2021, </w:t>
      </w:r>
      <w:r w:rsidR="00535DB1" w:rsidRPr="002B24B5">
        <w:t>up</w:t>
      </w:r>
      <w:r w:rsidR="008B34E5" w:rsidRPr="002B24B5">
        <w:t xml:space="preserve"> from the $</w:t>
      </w:r>
      <w:r w:rsidR="00535DB1" w:rsidRPr="002B24B5">
        <w:t>91,508.0</w:t>
      </w:r>
      <w:r w:rsidR="008B34E5" w:rsidRPr="002B24B5">
        <w:t xml:space="preserve"> million forecasted at the 2020-21 Budget. This is primarily due to revisions in estimates for the Australian Government Investment Funds</w:t>
      </w:r>
      <w:r w:rsidR="007E5A21">
        <w:t>.</w:t>
      </w:r>
      <w:r w:rsidRPr="00321EC0">
        <w:t xml:space="preserve"> </w:t>
      </w:r>
    </w:p>
    <w:p w14:paraId="35244F6A" w14:textId="77777777" w:rsidR="00F51DAC" w:rsidRPr="00321EC0" w:rsidRDefault="00F51DAC">
      <w:pPr>
        <w:pStyle w:val="Heading4"/>
      </w:pPr>
      <w:r w:rsidRPr="00321EC0">
        <w:t>3.2.2</w:t>
      </w:r>
      <w:r w:rsidRPr="00321EC0">
        <w:tab/>
        <w:t xml:space="preserve">Budgeted </w:t>
      </w:r>
      <w:r w:rsidR="00C264AC" w:rsidRPr="00321EC0">
        <w:t>financial statements</w:t>
      </w:r>
      <w:bookmarkEnd w:id="442"/>
      <w:bookmarkEnd w:id="443"/>
      <w:bookmarkEnd w:id="444"/>
      <w:bookmarkEnd w:id="445"/>
      <w:bookmarkEnd w:id="446"/>
      <w:bookmarkEnd w:id="447"/>
      <w:bookmarkEnd w:id="448"/>
    </w:p>
    <w:bookmarkEnd w:id="449"/>
    <w:p w14:paraId="4D076D66" w14:textId="77777777" w:rsidR="00F51DAC" w:rsidRPr="00321EC0" w:rsidRDefault="00A81E21" w:rsidP="00F51DAC">
      <w:pPr>
        <w:pStyle w:val="TableHeading"/>
        <w:spacing w:before="0"/>
        <w:rPr>
          <w:snapToGrid w:val="0"/>
          <w:lang w:val="en-AU"/>
        </w:rPr>
      </w:pPr>
      <w:r w:rsidRPr="00321EC0">
        <w:rPr>
          <w:snapToGrid w:val="0"/>
        </w:rPr>
        <w:t>Table 3.</w:t>
      </w:r>
      <w:r w:rsidR="001F46A6" w:rsidRPr="00321EC0">
        <w:rPr>
          <w:snapToGrid w:val="0"/>
        </w:rPr>
        <w:t>2</w:t>
      </w:r>
      <w:r w:rsidR="00F51DAC" w:rsidRPr="00321EC0">
        <w:rPr>
          <w:snapToGrid w:val="0"/>
        </w:rPr>
        <w:t xml:space="preserve">: Comprehensive </w:t>
      </w:r>
      <w:r w:rsidR="00622A38" w:rsidRPr="00321EC0">
        <w:rPr>
          <w:snapToGrid w:val="0"/>
        </w:rPr>
        <w:t xml:space="preserve">income statement </w:t>
      </w:r>
      <w:r w:rsidR="00F51DAC" w:rsidRPr="00321EC0">
        <w:rPr>
          <w:snapToGrid w:val="0"/>
        </w:rPr>
        <w:t>(</w:t>
      </w:r>
      <w:r w:rsidR="00622A38" w:rsidRPr="00321EC0">
        <w:rPr>
          <w:snapToGrid w:val="0"/>
        </w:rPr>
        <w:t>showing net cost of services</w:t>
      </w:r>
      <w:r w:rsidR="00F51DAC" w:rsidRPr="00321EC0">
        <w:rPr>
          <w:snapToGrid w:val="0"/>
        </w:rPr>
        <w:t>)</w:t>
      </w:r>
      <w:r w:rsidR="00327424" w:rsidRPr="00321EC0">
        <w:rPr>
          <w:snapToGrid w:val="0"/>
          <w:lang w:val="en-AU"/>
        </w:rPr>
        <w:t xml:space="preserve"> for the period ended 30 June</w:t>
      </w:r>
    </w:p>
    <w:p w14:paraId="30FCBE5E" w14:textId="3B14183B" w:rsidR="00EC73D1" w:rsidRPr="00321EC0" w:rsidRDefault="00D51CA4" w:rsidP="008D3959">
      <w:pPr>
        <w:pStyle w:val="TableGraphic"/>
      </w:pPr>
      <w:r w:rsidRPr="00321EC0">
        <w:rPr>
          <w:i w:val="0"/>
        </w:rPr>
        <w:t xml:space="preserve"> </w:t>
      </w:r>
      <w:r w:rsidR="007F39AE" w:rsidRPr="007F39AE">
        <w:rPr>
          <w:noProof/>
        </w:rPr>
        <w:drawing>
          <wp:inline distT="0" distB="0" distL="0" distR="0" wp14:anchorId="49F9A6B7" wp14:editId="55B6B02D">
            <wp:extent cx="4793615" cy="6096000"/>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793615" cy="6096000"/>
                    </a:xfrm>
                    <a:prstGeom prst="rect">
                      <a:avLst/>
                    </a:prstGeom>
                    <a:noFill/>
                    <a:ln>
                      <a:noFill/>
                    </a:ln>
                  </pic:spPr>
                </pic:pic>
              </a:graphicData>
            </a:graphic>
          </wp:inline>
        </w:drawing>
      </w:r>
    </w:p>
    <w:p w14:paraId="6B1FED98" w14:textId="77777777" w:rsidR="00386AC4" w:rsidRPr="00321EC0" w:rsidRDefault="00386AC4" w:rsidP="00386AC4">
      <w:pPr>
        <w:spacing w:line="240" w:lineRule="auto"/>
        <w:rPr>
          <w:rFonts w:ascii="Arial" w:hAnsi="Arial" w:cs="Arial"/>
          <w:sz w:val="16"/>
        </w:rPr>
      </w:pPr>
      <w:r w:rsidRPr="00321EC0">
        <w:rPr>
          <w:rFonts w:ascii="Arial" w:hAnsi="Arial" w:cs="Arial"/>
          <w:sz w:val="16"/>
        </w:rPr>
        <w:t>Table continues on next page</w:t>
      </w:r>
    </w:p>
    <w:p w14:paraId="42EACB11" w14:textId="77777777" w:rsidR="000C3374" w:rsidRPr="00321EC0" w:rsidRDefault="00D51CA4">
      <w:pPr>
        <w:pStyle w:val="TableHeading"/>
        <w:spacing w:before="0"/>
        <w:rPr>
          <w:snapToGrid w:val="0"/>
        </w:rPr>
      </w:pPr>
      <w:r w:rsidRPr="00321EC0">
        <w:br w:type="page"/>
      </w:r>
      <w:r w:rsidR="000C3374" w:rsidRPr="00321EC0">
        <w:rPr>
          <w:snapToGrid w:val="0"/>
        </w:rPr>
        <w:t>Table 3.2: Comprehensive income statement (showing net cost of services) for the period ended 30 June (continued)</w:t>
      </w:r>
    </w:p>
    <w:p w14:paraId="447D25EA" w14:textId="77777777" w:rsidR="00D51CA4" w:rsidRPr="00321EC0" w:rsidRDefault="00D51CA4" w:rsidP="006A2FB6">
      <w:pPr>
        <w:pStyle w:val="TableGraphic"/>
        <w:rPr>
          <w:rFonts w:ascii="Arial" w:hAnsi="Arial"/>
          <w:b/>
          <w:i w:val="0"/>
          <w:snapToGrid w:val="0"/>
          <w:color w:val="auto"/>
        </w:rPr>
      </w:pPr>
    </w:p>
    <w:p w14:paraId="10245A94" w14:textId="77777777" w:rsidR="006A2FB6" w:rsidRPr="00321EC0" w:rsidRDefault="006A2FB6" w:rsidP="006A2FB6">
      <w:pPr>
        <w:pStyle w:val="TableGraphic"/>
        <w:rPr>
          <w:rFonts w:ascii="Arial" w:hAnsi="Arial"/>
          <w:b/>
          <w:i w:val="0"/>
          <w:snapToGrid w:val="0"/>
          <w:color w:val="auto"/>
        </w:rPr>
      </w:pPr>
      <w:r w:rsidRPr="00321EC0">
        <w:rPr>
          <w:rFonts w:ascii="Arial" w:hAnsi="Arial"/>
          <w:b/>
          <w:i w:val="0"/>
          <w:snapToGrid w:val="0"/>
          <w:color w:val="auto"/>
        </w:rPr>
        <w:t>Note: Impact of net cash appropriation arrangements</w:t>
      </w:r>
    </w:p>
    <w:p w14:paraId="5DB387B3" w14:textId="32351C58" w:rsidR="00EC73D1" w:rsidRPr="00321EC0" w:rsidRDefault="008C72D1" w:rsidP="008D3959">
      <w:pPr>
        <w:pStyle w:val="TableGraphic"/>
      </w:pPr>
      <w:r w:rsidRPr="008C72D1">
        <w:rPr>
          <w:noProof/>
        </w:rPr>
        <w:drawing>
          <wp:inline distT="0" distB="0" distL="0" distR="0" wp14:anchorId="76B47093" wp14:editId="2F01FF32">
            <wp:extent cx="4791710" cy="2260600"/>
            <wp:effectExtent l="0" t="0" r="889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791710" cy="2260600"/>
                    </a:xfrm>
                    <a:prstGeom prst="rect">
                      <a:avLst/>
                    </a:prstGeom>
                    <a:noFill/>
                    <a:ln>
                      <a:noFill/>
                    </a:ln>
                  </pic:spPr>
                </pic:pic>
              </a:graphicData>
            </a:graphic>
          </wp:inline>
        </w:drawing>
      </w:r>
    </w:p>
    <w:p w14:paraId="4B69D71C" w14:textId="77777777" w:rsidR="00386AC4" w:rsidRPr="00321EC0" w:rsidRDefault="00386AC4" w:rsidP="00386AC4">
      <w:pPr>
        <w:pStyle w:val="ChartandTableFootnoteAlpha"/>
        <w:numPr>
          <w:ilvl w:val="0"/>
          <w:numId w:val="0"/>
        </w:numPr>
      </w:pPr>
      <w:r w:rsidRPr="00321EC0">
        <w:t>Prepared on Australian Accounting Standards basis.</w:t>
      </w:r>
    </w:p>
    <w:p w14:paraId="366E3B64" w14:textId="77777777" w:rsidR="00EC689E" w:rsidRPr="00CA08DE" w:rsidRDefault="00EC689E" w:rsidP="00EC689E">
      <w:pPr>
        <w:pStyle w:val="ChartandTableFootnoteAlpha"/>
        <w:numPr>
          <w:ilvl w:val="0"/>
          <w:numId w:val="29"/>
        </w:numPr>
      </w:pPr>
      <w:r w:rsidRPr="00CA08DE">
        <w:t>Represents the net gain/loss from the government’s non-Defence Property Divestment Program within Australia.</w:t>
      </w:r>
    </w:p>
    <w:p w14:paraId="3DE94C96" w14:textId="77777777" w:rsidR="00EC689E" w:rsidRPr="00CA08DE" w:rsidRDefault="00EC689E" w:rsidP="00EC689E">
      <w:pPr>
        <w:pStyle w:val="ChartandTableFootnoteAlpha"/>
        <w:numPr>
          <w:ilvl w:val="0"/>
          <w:numId w:val="29"/>
        </w:numPr>
      </w:pPr>
      <w:r w:rsidRPr="00CA08DE">
        <w:t>Other gains include resources received free of charge for financial statement audit services from the Australian National Audit Office.</w:t>
      </w:r>
    </w:p>
    <w:p w14:paraId="3A2BE77E" w14:textId="77777777" w:rsidR="00B653D8" w:rsidRPr="00CA08DE" w:rsidRDefault="00B653D8" w:rsidP="009C73E0">
      <w:pPr>
        <w:pStyle w:val="ChartandTableFootnoteAlpha"/>
        <w:numPr>
          <w:ilvl w:val="0"/>
          <w:numId w:val="29"/>
        </w:numPr>
      </w:pPr>
      <w:r w:rsidRPr="00CA08DE">
        <w:t>From 2010-11, the Government introduced net cash ap</w:t>
      </w:r>
      <w:r w:rsidR="00805B89" w:rsidRPr="00CA08DE">
        <w:t xml:space="preserve">propriation arrangements where </w:t>
      </w:r>
      <w:r w:rsidRPr="00CA08DE">
        <w:t>Appropriation Act (No. 1) or Appropriation Bill (No. 3) revenue appropriations for the depreciation/amortisation expenses of non-corporate Commonwealth entities were replaced with a separate capital budget (the Departmental Capital Bu</w:t>
      </w:r>
      <w:r w:rsidR="00805B89" w:rsidRPr="00CA08DE">
        <w:t xml:space="preserve">dget, or DCB) provided through </w:t>
      </w:r>
      <w:r w:rsidRPr="00CA08DE">
        <w:t xml:space="preserve">Appropriation Act (No. 1) or Appropriation Bill (No. 3) equity appropriations. For information regarding DCBs, please refer to Table 3.6 Departmental Capital Budget Statement. </w:t>
      </w:r>
    </w:p>
    <w:p w14:paraId="415C8DD0" w14:textId="77777777" w:rsidR="00386AC4" w:rsidRPr="00CA08DE" w:rsidRDefault="00386AC4" w:rsidP="00264523">
      <w:pPr>
        <w:pStyle w:val="ChartandTableFootnoteAlpha"/>
      </w:pPr>
      <w:r w:rsidRPr="00CA08DE">
        <w:t>Applies leases under AASB 16 Leases.</w:t>
      </w:r>
    </w:p>
    <w:p w14:paraId="16B93184" w14:textId="77777777" w:rsidR="000C6C70" w:rsidRPr="00321EC0" w:rsidRDefault="000C6C70" w:rsidP="009C33E9">
      <w:pPr>
        <w:pStyle w:val="Source"/>
      </w:pPr>
    </w:p>
    <w:p w14:paraId="59AD5D55" w14:textId="77777777" w:rsidR="00A33A5F" w:rsidRPr="00321EC0" w:rsidRDefault="00A33A5F" w:rsidP="006A2FB6">
      <w:pPr>
        <w:pStyle w:val="Source"/>
        <w:rPr>
          <w:snapToGrid w:val="0"/>
        </w:rPr>
        <w:sectPr w:rsidR="00A33A5F" w:rsidRPr="00321EC0" w:rsidSect="00230BD3">
          <w:headerReference w:type="even" r:id="rId100"/>
          <w:headerReference w:type="default" r:id="rId101"/>
          <w:headerReference w:type="first" r:id="rId102"/>
          <w:pgSz w:w="11907" w:h="16840" w:code="9"/>
          <w:pgMar w:top="2466" w:right="2098" w:bottom="2269" w:left="2098" w:header="1899" w:footer="1899" w:gutter="0"/>
          <w:cols w:space="708"/>
          <w:titlePg/>
          <w:docGrid w:linePitch="360"/>
        </w:sectPr>
      </w:pPr>
    </w:p>
    <w:p w14:paraId="6AE2718C" w14:textId="77777777" w:rsidR="00F51DAC" w:rsidRPr="00321EC0" w:rsidRDefault="00A81E21" w:rsidP="00F51DAC">
      <w:pPr>
        <w:pStyle w:val="TableHeading"/>
        <w:spacing w:before="0"/>
        <w:rPr>
          <w:lang w:val="en-AU"/>
        </w:rPr>
      </w:pPr>
      <w:r w:rsidRPr="00321EC0">
        <w:rPr>
          <w:snapToGrid w:val="0"/>
        </w:rPr>
        <w:t>Table 3.</w:t>
      </w:r>
      <w:r w:rsidR="001F46A6" w:rsidRPr="00321EC0">
        <w:rPr>
          <w:snapToGrid w:val="0"/>
        </w:rPr>
        <w:t>3</w:t>
      </w:r>
      <w:r w:rsidR="00F51DAC" w:rsidRPr="00321EC0">
        <w:rPr>
          <w:snapToGrid w:val="0"/>
        </w:rPr>
        <w:t xml:space="preserve">: Budgeted </w:t>
      </w:r>
      <w:r w:rsidR="00622A38" w:rsidRPr="00321EC0">
        <w:rPr>
          <w:snapToGrid w:val="0"/>
        </w:rPr>
        <w:t xml:space="preserve">departmental balance sheet </w:t>
      </w:r>
      <w:r w:rsidR="00F51DAC" w:rsidRPr="00321EC0">
        <w:rPr>
          <w:snapToGrid w:val="0"/>
        </w:rPr>
        <w:t>(as at 30 June)</w:t>
      </w:r>
      <w:r w:rsidR="00EC73D1" w:rsidRPr="00321EC0">
        <w:rPr>
          <w:b w:val="0"/>
          <w:snapToGrid w:val="0"/>
        </w:rPr>
        <w:t xml:space="preserve"> </w:t>
      </w:r>
    </w:p>
    <w:p w14:paraId="0C2B08BD" w14:textId="3A8D1E95" w:rsidR="000C3374" w:rsidRPr="00321EC0" w:rsidRDefault="00136507" w:rsidP="008D3959">
      <w:pPr>
        <w:pStyle w:val="TableGraphic"/>
      </w:pPr>
      <w:r w:rsidRPr="00321EC0">
        <w:rPr>
          <w:i w:val="0"/>
        </w:rPr>
        <w:t xml:space="preserve"> </w:t>
      </w:r>
      <w:r w:rsidR="003748D5" w:rsidRPr="003748D5">
        <w:rPr>
          <w:noProof/>
        </w:rPr>
        <w:drawing>
          <wp:inline distT="0" distB="0" distL="0" distR="0" wp14:anchorId="34078F57" wp14:editId="3CA2F46F">
            <wp:extent cx="4896485" cy="5091997"/>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96485" cy="5091997"/>
                    </a:xfrm>
                    <a:prstGeom prst="rect">
                      <a:avLst/>
                    </a:prstGeom>
                    <a:noFill/>
                    <a:ln>
                      <a:noFill/>
                    </a:ln>
                  </pic:spPr>
                </pic:pic>
              </a:graphicData>
            </a:graphic>
          </wp:inline>
        </w:drawing>
      </w:r>
    </w:p>
    <w:p w14:paraId="69FAFE51" w14:textId="77777777" w:rsidR="00386AC4" w:rsidRPr="00321EC0" w:rsidRDefault="00386AC4" w:rsidP="00386AC4">
      <w:pPr>
        <w:pStyle w:val="ChartandTableFootnoteAlpha"/>
        <w:numPr>
          <w:ilvl w:val="0"/>
          <w:numId w:val="0"/>
        </w:numPr>
        <w:ind w:left="397" w:hanging="397"/>
      </w:pPr>
      <w:r w:rsidRPr="00321EC0">
        <w:t>Prepared on Australian Accounting Standards basis.</w:t>
      </w:r>
      <w:r w:rsidRPr="00321EC0">
        <w:tab/>
      </w:r>
      <w:r w:rsidRPr="00321EC0">
        <w:tab/>
      </w:r>
    </w:p>
    <w:p w14:paraId="5CFB6A73" w14:textId="77777777" w:rsidR="00386AC4" w:rsidRPr="00321EC0" w:rsidRDefault="00386AC4" w:rsidP="00386AC4">
      <w:pPr>
        <w:pStyle w:val="ChartandTableFootnoteAlpha"/>
        <w:numPr>
          <w:ilvl w:val="0"/>
          <w:numId w:val="0"/>
        </w:numPr>
        <w:ind w:left="397" w:hanging="397"/>
      </w:pPr>
      <w:r w:rsidRPr="00321EC0">
        <w:t xml:space="preserve">*Equity is the residual interest in assets after the deduction of liabilities. </w:t>
      </w:r>
      <w:r w:rsidRPr="00321EC0">
        <w:tab/>
      </w:r>
      <w:r w:rsidRPr="00321EC0">
        <w:tab/>
      </w:r>
    </w:p>
    <w:p w14:paraId="342FB5BD" w14:textId="77777777" w:rsidR="00386AC4" w:rsidRPr="00321EC0" w:rsidRDefault="00386AC4" w:rsidP="00264523">
      <w:pPr>
        <w:pStyle w:val="ChartandTableFootnoteAlpha"/>
        <w:numPr>
          <w:ilvl w:val="0"/>
          <w:numId w:val="22"/>
        </w:numPr>
      </w:pPr>
      <w:r w:rsidRPr="00321EC0">
        <w:t>Primarily represents appropriation receivable (including capital appropriation) and the special accounts.</w:t>
      </w:r>
    </w:p>
    <w:p w14:paraId="255BE615" w14:textId="77777777" w:rsidR="00F0320D" w:rsidRPr="00321EC0" w:rsidRDefault="00386AC4" w:rsidP="00264523">
      <w:pPr>
        <w:pStyle w:val="ChartandTableFootnoteAlpha"/>
        <w:rPr>
          <w:rFonts w:cs="Arial"/>
          <w:i/>
        </w:rPr>
      </w:pPr>
      <w:r w:rsidRPr="00321EC0">
        <w:t>Primarily represents properties in the Australian Government’s non-Defence property portfolio.</w:t>
      </w:r>
    </w:p>
    <w:p w14:paraId="519685F9" w14:textId="77777777" w:rsidR="00F0320D" w:rsidRPr="00321EC0" w:rsidRDefault="00F0320D" w:rsidP="00E15CF3">
      <w:pPr>
        <w:pStyle w:val="SingleParagraph"/>
        <w:rPr>
          <w:snapToGrid w:val="0"/>
        </w:rPr>
        <w:sectPr w:rsidR="00F0320D" w:rsidRPr="00321EC0" w:rsidSect="00230BD3">
          <w:headerReference w:type="first" r:id="rId104"/>
          <w:pgSz w:w="11907" w:h="16840" w:code="9"/>
          <w:pgMar w:top="2466" w:right="2098" w:bottom="2269" w:left="2098" w:header="1899" w:footer="1899" w:gutter="0"/>
          <w:cols w:space="708"/>
          <w:titlePg/>
          <w:docGrid w:linePitch="360"/>
        </w:sectPr>
      </w:pPr>
    </w:p>
    <w:p w14:paraId="169E9333" w14:textId="77777777" w:rsidR="00FA4915" w:rsidRPr="00321EC0" w:rsidRDefault="00A81E21" w:rsidP="00FA4915">
      <w:pPr>
        <w:pStyle w:val="TableHeading"/>
        <w:spacing w:before="0"/>
        <w:rPr>
          <w:snapToGrid w:val="0"/>
        </w:rPr>
      </w:pPr>
      <w:r w:rsidRPr="00321EC0">
        <w:rPr>
          <w:snapToGrid w:val="0"/>
        </w:rPr>
        <w:t>Table 3.</w:t>
      </w:r>
      <w:r w:rsidR="001F46A6" w:rsidRPr="00321EC0">
        <w:rPr>
          <w:snapToGrid w:val="0"/>
        </w:rPr>
        <w:t>4</w:t>
      </w:r>
      <w:r w:rsidR="00FA4915" w:rsidRPr="00321EC0">
        <w:rPr>
          <w:snapToGrid w:val="0"/>
        </w:rPr>
        <w:t xml:space="preserve">: Departmental </w:t>
      </w:r>
      <w:r w:rsidR="00622A38" w:rsidRPr="00321EC0">
        <w:rPr>
          <w:snapToGrid w:val="0"/>
        </w:rPr>
        <w:t>statement of changes in equity — summary of movemen</w:t>
      </w:r>
      <w:r w:rsidR="00FA4915" w:rsidRPr="00321EC0">
        <w:rPr>
          <w:snapToGrid w:val="0"/>
        </w:rPr>
        <w:t xml:space="preserve">t (Budget </w:t>
      </w:r>
      <w:r w:rsidR="004E017C" w:rsidRPr="00321EC0">
        <w:rPr>
          <w:snapToGrid w:val="0"/>
        </w:rPr>
        <w:t>Y</w:t>
      </w:r>
      <w:r w:rsidR="00FA4915" w:rsidRPr="00321EC0">
        <w:rPr>
          <w:snapToGrid w:val="0"/>
        </w:rPr>
        <w:t xml:space="preserve">ear </w:t>
      </w:r>
      <w:r w:rsidR="007434AE" w:rsidRPr="00321EC0">
        <w:rPr>
          <w:snapToGrid w:val="0"/>
          <w:lang w:val="en-AU"/>
        </w:rPr>
        <w:t>2020-21</w:t>
      </w:r>
      <w:r w:rsidR="00FA4915" w:rsidRPr="00321EC0">
        <w:rPr>
          <w:snapToGrid w:val="0"/>
        </w:rPr>
        <w:t>)</w:t>
      </w:r>
      <w:r w:rsidR="00EC73D1" w:rsidRPr="00321EC0">
        <w:rPr>
          <w:b w:val="0"/>
          <w:snapToGrid w:val="0"/>
        </w:rPr>
        <w:t xml:space="preserve"> </w:t>
      </w:r>
    </w:p>
    <w:p w14:paraId="5C81DB06" w14:textId="52DAFFF6" w:rsidR="005F375D" w:rsidRPr="00321EC0" w:rsidRDefault="00543672" w:rsidP="008D3959">
      <w:pPr>
        <w:pStyle w:val="TableGraphic"/>
      </w:pPr>
      <w:r w:rsidRPr="00321EC0">
        <w:rPr>
          <w:i w:val="0"/>
        </w:rPr>
        <w:t xml:space="preserve"> </w:t>
      </w:r>
      <w:r w:rsidR="008038FA" w:rsidRPr="008038FA">
        <w:rPr>
          <w:noProof/>
        </w:rPr>
        <w:drawing>
          <wp:inline distT="0" distB="0" distL="0" distR="0" wp14:anchorId="17843947" wp14:editId="059D4B20">
            <wp:extent cx="4169410" cy="438150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69410" cy="4381500"/>
                    </a:xfrm>
                    <a:prstGeom prst="rect">
                      <a:avLst/>
                    </a:prstGeom>
                    <a:noFill/>
                    <a:ln>
                      <a:noFill/>
                    </a:ln>
                  </pic:spPr>
                </pic:pic>
              </a:graphicData>
            </a:graphic>
          </wp:inline>
        </w:drawing>
      </w:r>
    </w:p>
    <w:p w14:paraId="7CBC6AAA" w14:textId="77777777" w:rsidR="00386AC4" w:rsidRPr="00321EC0" w:rsidRDefault="00386AC4" w:rsidP="00386AC4">
      <w:pPr>
        <w:pStyle w:val="ChartandTableFootnoteAlpha"/>
        <w:numPr>
          <w:ilvl w:val="0"/>
          <w:numId w:val="0"/>
        </w:numPr>
        <w:ind w:left="397" w:hanging="397"/>
      </w:pPr>
      <w:r w:rsidRPr="00321EC0">
        <w:t>Prepared on Australian Accounting Standards basis.</w:t>
      </w:r>
    </w:p>
    <w:p w14:paraId="6354F4C4" w14:textId="77777777" w:rsidR="00386AC4" w:rsidRPr="00321EC0" w:rsidRDefault="00386AC4" w:rsidP="00264523">
      <w:pPr>
        <w:pStyle w:val="ChartandTableFootnoteAlpha"/>
        <w:numPr>
          <w:ilvl w:val="0"/>
          <w:numId w:val="23"/>
        </w:numPr>
        <w:rPr>
          <w:rFonts w:cs="Arial"/>
          <w:szCs w:val="16"/>
        </w:rPr>
      </w:pPr>
      <w:r w:rsidRPr="00321EC0">
        <w:t>Equity injections for ICT projects.</w:t>
      </w:r>
    </w:p>
    <w:p w14:paraId="4D3EEA87" w14:textId="77777777" w:rsidR="003A09B7" w:rsidRPr="00321EC0" w:rsidRDefault="003A09B7" w:rsidP="00386AC4">
      <w:pPr>
        <w:pStyle w:val="ChartandTableFootnoteAlpha"/>
        <w:numPr>
          <w:ilvl w:val="0"/>
          <w:numId w:val="0"/>
        </w:numPr>
        <w:ind w:left="397"/>
        <w:rPr>
          <w:rFonts w:cs="Arial"/>
          <w:szCs w:val="16"/>
        </w:rPr>
      </w:pPr>
    </w:p>
    <w:p w14:paraId="01B82965" w14:textId="77777777" w:rsidR="00386AC4" w:rsidRPr="00321EC0" w:rsidRDefault="00386AC4" w:rsidP="00386AC4"/>
    <w:p w14:paraId="1118ADD5" w14:textId="77777777" w:rsidR="003A09B7" w:rsidRPr="00321EC0" w:rsidRDefault="003A09B7" w:rsidP="009C33E9">
      <w:pPr>
        <w:pStyle w:val="Source"/>
        <w:sectPr w:rsidR="003A09B7" w:rsidRPr="00321EC0" w:rsidSect="00230BD3">
          <w:headerReference w:type="first" r:id="rId106"/>
          <w:pgSz w:w="11907" w:h="16840" w:code="9"/>
          <w:pgMar w:top="2466" w:right="2098" w:bottom="2269" w:left="2098" w:header="1899" w:footer="1899" w:gutter="0"/>
          <w:cols w:space="708"/>
          <w:titlePg/>
          <w:docGrid w:linePitch="360"/>
        </w:sectPr>
      </w:pPr>
    </w:p>
    <w:p w14:paraId="7AD18950" w14:textId="77777777" w:rsidR="00F51DAC" w:rsidRPr="00321EC0" w:rsidRDefault="00A81E21" w:rsidP="00FA4915">
      <w:pPr>
        <w:pStyle w:val="TableHeading"/>
        <w:spacing w:before="0"/>
        <w:rPr>
          <w:lang w:val="en-AU"/>
        </w:rPr>
      </w:pPr>
      <w:r w:rsidRPr="00321EC0">
        <w:rPr>
          <w:snapToGrid w:val="0"/>
        </w:rPr>
        <w:t>Table 3</w:t>
      </w:r>
      <w:r w:rsidR="00F51DAC" w:rsidRPr="00321EC0">
        <w:rPr>
          <w:snapToGrid w:val="0"/>
        </w:rPr>
        <w:t>.</w:t>
      </w:r>
      <w:r w:rsidR="001F46A6" w:rsidRPr="00321EC0">
        <w:rPr>
          <w:snapToGrid w:val="0"/>
        </w:rPr>
        <w:t>5</w:t>
      </w:r>
      <w:r w:rsidR="00F51DAC" w:rsidRPr="00321EC0">
        <w:rPr>
          <w:snapToGrid w:val="0"/>
        </w:rPr>
        <w:t xml:space="preserve">: Budgeted </w:t>
      </w:r>
      <w:r w:rsidR="00622A38" w:rsidRPr="00321EC0">
        <w:rPr>
          <w:snapToGrid w:val="0"/>
        </w:rPr>
        <w:t xml:space="preserve">departmental statement of cash flows </w:t>
      </w:r>
      <w:r w:rsidR="00F51DAC" w:rsidRPr="00321EC0">
        <w:rPr>
          <w:snapToGrid w:val="0"/>
        </w:rPr>
        <w:t>(</w:t>
      </w:r>
      <w:r w:rsidR="00622A38" w:rsidRPr="00321EC0">
        <w:rPr>
          <w:snapToGrid w:val="0"/>
          <w:lang w:val="en-AU"/>
        </w:rPr>
        <w:t>for the period ended</w:t>
      </w:r>
      <w:r w:rsidR="00F51DAC" w:rsidRPr="00321EC0">
        <w:rPr>
          <w:snapToGrid w:val="0"/>
        </w:rPr>
        <w:t xml:space="preserve"> 30 June)</w:t>
      </w:r>
      <w:r w:rsidR="00EC73D1" w:rsidRPr="00321EC0">
        <w:rPr>
          <w:b w:val="0"/>
          <w:snapToGrid w:val="0"/>
        </w:rPr>
        <w:t xml:space="preserve"> </w:t>
      </w:r>
    </w:p>
    <w:p w14:paraId="538DB71A" w14:textId="369A654C" w:rsidR="000C3374" w:rsidRPr="00321EC0" w:rsidRDefault="00941A17" w:rsidP="008D3959">
      <w:pPr>
        <w:pStyle w:val="TableGraphic"/>
      </w:pPr>
      <w:r w:rsidRPr="00321EC0">
        <w:rPr>
          <w:i w:val="0"/>
        </w:rPr>
        <w:t xml:space="preserve"> </w:t>
      </w:r>
      <w:r w:rsidR="00BD3CA0" w:rsidRPr="00BD3CA0">
        <w:t xml:space="preserve"> </w:t>
      </w:r>
      <w:r w:rsidR="00BD3CA0" w:rsidRPr="00BD3CA0">
        <w:rPr>
          <w:noProof/>
        </w:rPr>
        <w:drawing>
          <wp:inline distT="0" distB="0" distL="0" distR="0" wp14:anchorId="09D1FC3D" wp14:editId="2A07F296">
            <wp:extent cx="4624070" cy="6495415"/>
            <wp:effectExtent l="0" t="0" r="5080" b="63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24070" cy="6495415"/>
                    </a:xfrm>
                    <a:prstGeom prst="rect">
                      <a:avLst/>
                    </a:prstGeom>
                    <a:noFill/>
                    <a:ln>
                      <a:noFill/>
                    </a:ln>
                  </pic:spPr>
                </pic:pic>
              </a:graphicData>
            </a:graphic>
          </wp:inline>
        </w:drawing>
      </w:r>
    </w:p>
    <w:p w14:paraId="7EB62FCA" w14:textId="77777777" w:rsidR="00386AC4" w:rsidRPr="00321EC0" w:rsidRDefault="00386AC4" w:rsidP="00386AC4">
      <w:pPr>
        <w:spacing w:line="240" w:lineRule="auto"/>
        <w:rPr>
          <w:rFonts w:ascii="Arial" w:hAnsi="Arial" w:cs="Arial"/>
          <w:sz w:val="16"/>
        </w:rPr>
      </w:pPr>
      <w:r w:rsidRPr="00321EC0">
        <w:rPr>
          <w:rFonts w:ascii="Arial" w:hAnsi="Arial" w:cs="Arial"/>
          <w:sz w:val="16"/>
        </w:rPr>
        <w:t>Table continues on next page</w:t>
      </w:r>
    </w:p>
    <w:p w14:paraId="2E54664C" w14:textId="77777777" w:rsidR="003A09B7" w:rsidRPr="00321EC0" w:rsidRDefault="003A09B7">
      <w:pPr>
        <w:pStyle w:val="Source"/>
        <w:rPr>
          <w:snapToGrid w:val="0"/>
        </w:rPr>
      </w:pPr>
    </w:p>
    <w:p w14:paraId="76E54CA5" w14:textId="77777777" w:rsidR="00386AC4" w:rsidRPr="00321EC0" w:rsidRDefault="00386AC4">
      <w:pPr>
        <w:pStyle w:val="Source"/>
        <w:rPr>
          <w:snapToGrid w:val="0"/>
        </w:rPr>
        <w:sectPr w:rsidR="00386AC4" w:rsidRPr="00321EC0" w:rsidSect="00230BD3">
          <w:headerReference w:type="first" r:id="rId108"/>
          <w:pgSz w:w="11907" w:h="16840" w:code="9"/>
          <w:pgMar w:top="2466" w:right="2098" w:bottom="2269" w:left="2098" w:header="1899" w:footer="1899" w:gutter="0"/>
          <w:cols w:space="708"/>
          <w:titlePg/>
          <w:docGrid w:linePitch="360"/>
        </w:sectPr>
      </w:pPr>
    </w:p>
    <w:p w14:paraId="55BA4A61" w14:textId="77777777" w:rsidR="00D20281" w:rsidRPr="00321EC0" w:rsidRDefault="00A81E21" w:rsidP="00D20281">
      <w:pPr>
        <w:pStyle w:val="TableHeading"/>
        <w:spacing w:before="0"/>
        <w:rPr>
          <w:lang w:val="en-AU"/>
        </w:rPr>
      </w:pPr>
      <w:r w:rsidRPr="00321EC0">
        <w:rPr>
          <w:snapToGrid w:val="0"/>
        </w:rPr>
        <w:t>Table 3.</w:t>
      </w:r>
      <w:r w:rsidR="001F46A6" w:rsidRPr="00321EC0">
        <w:rPr>
          <w:snapToGrid w:val="0"/>
        </w:rPr>
        <w:t>5</w:t>
      </w:r>
      <w:r w:rsidR="00D20281" w:rsidRPr="00321EC0">
        <w:rPr>
          <w:snapToGrid w:val="0"/>
        </w:rPr>
        <w:t xml:space="preserve">: Budgeted </w:t>
      </w:r>
      <w:r w:rsidR="00622A38" w:rsidRPr="00321EC0">
        <w:rPr>
          <w:snapToGrid w:val="0"/>
        </w:rPr>
        <w:t xml:space="preserve">departmental statement of cash flows </w:t>
      </w:r>
      <w:r w:rsidR="00D20281" w:rsidRPr="00321EC0">
        <w:rPr>
          <w:snapToGrid w:val="0"/>
        </w:rPr>
        <w:t>(</w:t>
      </w:r>
      <w:r w:rsidR="00622A38" w:rsidRPr="00321EC0">
        <w:rPr>
          <w:snapToGrid w:val="0"/>
          <w:lang w:val="en-AU"/>
        </w:rPr>
        <w:t>for the period ended</w:t>
      </w:r>
      <w:r w:rsidR="00D20281" w:rsidRPr="00321EC0">
        <w:rPr>
          <w:snapToGrid w:val="0"/>
        </w:rPr>
        <w:t xml:space="preserve"> 30 June)</w:t>
      </w:r>
      <w:r w:rsidR="00D20281" w:rsidRPr="00321EC0">
        <w:rPr>
          <w:snapToGrid w:val="0"/>
          <w:lang w:val="en-AU"/>
        </w:rPr>
        <w:t xml:space="preserve"> (continued)</w:t>
      </w:r>
      <w:r w:rsidR="008D4221" w:rsidRPr="00321EC0">
        <w:rPr>
          <w:b w:val="0"/>
          <w:snapToGrid w:val="0"/>
        </w:rPr>
        <w:t xml:space="preserve"> </w:t>
      </w:r>
    </w:p>
    <w:p w14:paraId="66C44F91" w14:textId="5C2CE1C9" w:rsidR="000C3374" w:rsidRPr="00321EC0" w:rsidRDefault="00941A17" w:rsidP="008D3959">
      <w:pPr>
        <w:pStyle w:val="TableGraphic"/>
      </w:pPr>
      <w:r w:rsidRPr="00321EC0">
        <w:rPr>
          <w:i w:val="0"/>
        </w:rPr>
        <w:t xml:space="preserve"> </w:t>
      </w:r>
      <w:r w:rsidR="00BD3CA0" w:rsidRPr="00BD3CA0">
        <w:rPr>
          <w:noProof/>
        </w:rPr>
        <w:drawing>
          <wp:inline distT="0" distB="0" distL="0" distR="0" wp14:anchorId="31C9DC59" wp14:editId="41E3CDC6">
            <wp:extent cx="4624070" cy="325247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24070" cy="3252470"/>
                    </a:xfrm>
                    <a:prstGeom prst="rect">
                      <a:avLst/>
                    </a:prstGeom>
                    <a:noFill/>
                    <a:ln>
                      <a:noFill/>
                    </a:ln>
                  </pic:spPr>
                </pic:pic>
              </a:graphicData>
            </a:graphic>
          </wp:inline>
        </w:drawing>
      </w:r>
    </w:p>
    <w:p w14:paraId="142D4FD6" w14:textId="77777777" w:rsidR="00D20281" w:rsidRPr="00321EC0" w:rsidRDefault="00D20281" w:rsidP="009C33E9">
      <w:pPr>
        <w:pStyle w:val="Source"/>
      </w:pPr>
      <w:r w:rsidRPr="00321EC0">
        <w:t>Prepared on Australian Accounting Standards basis.</w:t>
      </w:r>
    </w:p>
    <w:p w14:paraId="295C7646" w14:textId="77777777" w:rsidR="00D20281" w:rsidRPr="00321EC0" w:rsidRDefault="00D20281" w:rsidP="00D20281">
      <w:pPr>
        <w:pStyle w:val="Source"/>
        <w:rPr>
          <w:snapToGrid w:val="0"/>
        </w:rPr>
      </w:pPr>
    </w:p>
    <w:p w14:paraId="5B321160" w14:textId="77777777" w:rsidR="003A09B7" w:rsidRPr="00321EC0" w:rsidRDefault="003A09B7" w:rsidP="00D20281">
      <w:pPr>
        <w:pStyle w:val="Source"/>
        <w:rPr>
          <w:snapToGrid w:val="0"/>
        </w:rPr>
      </w:pPr>
    </w:p>
    <w:p w14:paraId="2AD187B0" w14:textId="77777777" w:rsidR="003A09B7" w:rsidRPr="00321EC0" w:rsidRDefault="003A09B7" w:rsidP="00D20281">
      <w:pPr>
        <w:pStyle w:val="Source"/>
        <w:rPr>
          <w:snapToGrid w:val="0"/>
        </w:rPr>
        <w:sectPr w:rsidR="003A09B7" w:rsidRPr="00321EC0" w:rsidSect="00230BD3">
          <w:headerReference w:type="first" r:id="rId110"/>
          <w:pgSz w:w="11907" w:h="16840" w:code="9"/>
          <w:pgMar w:top="2466" w:right="2098" w:bottom="2269" w:left="2098" w:header="1899" w:footer="1899" w:gutter="0"/>
          <w:cols w:space="708"/>
          <w:titlePg/>
          <w:docGrid w:linePitch="360"/>
        </w:sectPr>
      </w:pPr>
    </w:p>
    <w:p w14:paraId="434F2F6C" w14:textId="77777777" w:rsidR="00F51DAC" w:rsidRPr="00321EC0" w:rsidRDefault="00A81E21" w:rsidP="00F51DAC">
      <w:pPr>
        <w:pStyle w:val="TableHeading"/>
        <w:spacing w:before="0"/>
        <w:rPr>
          <w:lang w:val="en-AU"/>
        </w:rPr>
      </w:pPr>
      <w:r w:rsidRPr="00321EC0">
        <w:rPr>
          <w:snapToGrid w:val="0"/>
        </w:rPr>
        <w:t>Table 3.</w:t>
      </w:r>
      <w:r w:rsidR="001F46A6" w:rsidRPr="00321EC0">
        <w:rPr>
          <w:snapToGrid w:val="0"/>
        </w:rPr>
        <w:t>6</w:t>
      </w:r>
      <w:r w:rsidR="00F51DAC" w:rsidRPr="00321EC0">
        <w:rPr>
          <w:snapToGrid w:val="0"/>
        </w:rPr>
        <w:t xml:space="preserve">: </w:t>
      </w:r>
      <w:r w:rsidR="00327424" w:rsidRPr="00321EC0">
        <w:rPr>
          <w:snapToGrid w:val="0"/>
          <w:lang w:val="en-AU"/>
        </w:rPr>
        <w:t xml:space="preserve">Departmental </w:t>
      </w:r>
      <w:r w:rsidR="00622A38" w:rsidRPr="00321EC0">
        <w:rPr>
          <w:snapToGrid w:val="0"/>
        </w:rPr>
        <w:t>capital budget statement</w:t>
      </w:r>
      <w:r w:rsidR="00622A38" w:rsidRPr="00321EC0">
        <w:rPr>
          <w:snapToGrid w:val="0"/>
          <w:lang w:val="en-AU"/>
        </w:rPr>
        <w:t xml:space="preserve"> </w:t>
      </w:r>
      <w:r w:rsidR="00327424" w:rsidRPr="00321EC0">
        <w:rPr>
          <w:snapToGrid w:val="0"/>
          <w:lang w:val="en-AU"/>
        </w:rPr>
        <w:t>(for the period ended 30 June)</w:t>
      </w:r>
      <w:r w:rsidR="008D4221" w:rsidRPr="00321EC0">
        <w:rPr>
          <w:b w:val="0"/>
          <w:snapToGrid w:val="0"/>
        </w:rPr>
        <w:t xml:space="preserve"> </w:t>
      </w:r>
    </w:p>
    <w:p w14:paraId="4FDB1CD2" w14:textId="40DEB94E" w:rsidR="000C3374" w:rsidRPr="00321EC0" w:rsidRDefault="00941A17" w:rsidP="008D3959">
      <w:pPr>
        <w:pStyle w:val="TableGraphic"/>
      </w:pPr>
      <w:r w:rsidRPr="00321EC0">
        <w:rPr>
          <w:i w:val="0"/>
        </w:rPr>
        <w:t xml:space="preserve"> </w:t>
      </w:r>
      <w:r w:rsidR="004B6E42" w:rsidRPr="004B6E42">
        <w:rPr>
          <w:noProof/>
        </w:rPr>
        <w:drawing>
          <wp:inline distT="0" distB="0" distL="0" distR="0" wp14:anchorId="0E1E3ADD" wp14:editId="57B1DE55">
            <wp:extent cx="4896485" cy="35455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96485" cy="3545579"/>
                    </a:xfrm>
                    <a:prstGeom prst="rect">
                      <a:avLst/>
                    </a:prstGeom>
                    <a:noFill/>
                    <a:ln>
                      <a:noFill/>
                    </a:ln>
                  </pic:spPr>
                </pic:pic>
              </a:graphicData>
            </a:graphic>
          </wp:inline>
        </w:drawing>
      </w:r>
    </w:p>
    <w:p w14:paraId="23ED9548" w14:textId="77777777" w:rsidR="00941A17" w:rsidRPr="00321EC0" w:rsidRDefault="00941A17" w:rsidP="00941A17">
      <w:pPr>
        <w:pStyle w:val="Source"/>
      </w:pPr>
      <w:r w:rsidRPr="00321EC0">
        <w:t>Prepared on Australian Accounting Standards basis.</w:t>
      </w:r>
    </w:p>
    <w:p w14:paraId="6C84C1B2" w14:textId="77777777" w:rsidR="00941A17" w:rsidRPr="00321EC0" w:rsidRDefault="00941A17" w:rsidP="00D948BC">
      <w:pPr>
        <w:pStyle w:val="ChartandTableFootnoteAlpha"/>
        <w:numPr>
          <w:ilvl w:val="0"/>
          <w:numId w:val="0"/>
        </w:numPr>
        <w:ind w:left="397" w:hanging="397"/>
      </w:pPr>
    </w:p>
    <w:p w14:paraId="3C07C200" w14:textId="77777777" w:rsidR="00E45FD4" w:rsidRPr="00321EC0" w:rsidRDefault="00E45FD4" w:rsidP="00264523">
      <w:pPr>
        <w:pStyle w:val="ChartandTableFootnoteAlpha"/>
        <w:numPr>
          <w:ilvl w:val="0"/>
          <w:numId w:val="5"/>
        </w:numPr>
      </w:pPr>
      <w:r w:rsidRPr="00321EC0">
        <w:t>Does not inc</w:t>
      </w:r>
      <w:r w:rsidR="002A19FF">
        <w:t>lude annual finance lease costs</w:t>
      </w:r>
      <w:r w:rsidRPr="00321EC0">
        <w:t>.</w:t>
      </w:r>
    </w:p>
    <w:p w14:paraId="10AA490D" w14:textId="77777777" w:rsidR="00E45FD4" w:rsidRPr="00321EC0" w:rsidRDefault="00E45FD4" w:rsidP="00264523">
      <w:pPr>
        <w:pStyle w:val="ChartandTableFootnoteAlpha"/>
        <w:numPr>
          <w:ilvl w:val="0"/>
          <w:numId w:val="5"/>
        </w:numPr>
      </w:pPr>
      <w:r w:rsidRPr="00321EC0">
        <w:t>Includes the following sources of funding:</w:t>
      </w:r>
    </w:p>
    <w:p w14:paraId="6FC14366" w14:textId="77777777" w:rsidR="00E45FD4" w:rsidRPr="00321EC0" w:rsidRDefault="00E45FD4" w:rsidP="00E45FD4">
      <w:pPr>
        <w:pStyle w:val="ChartandTableFootnoteAlpha"/>
        <w:numPr>
          <w:ilvl w:val="0"/>
          <w:numId w:val="0"/>
        </w:numPr>
        <w:ind w:left="397"/>
      </w:pPr>
      <w:r w:rsidRPr="00321EC0">
        <w:t>- Current and prior year appropriations</w:t>
      </w:r>
      <w:r w:rsidR="002A19FF">
        <w:t>.</w:t>
      </w:r>
    </w:p>
    <w:p w14:paraId="64438B6D" w14:textId="77777777" w:rsidR="00F51DAC" w:rsidRPr="00321EC0" w:rsidRDefault="00E45FD4" w:rsidP="00E45FD4">
      <w:pPr>
        <w:pStyle w:val="ChartandTableFootnoteAlpha"/>
        <w:numPr>
          <w:ilvl w:val="0"/>
          <w:numId w:val="0"/>
        </w:numPr>
        <w:ind w:left="397"/>
      </w:pPr>
      <w:r w:rsidRPr="00321EC0">
        <w:t>- Funds held in special accounts</w:t>
      </w:r>
      <w:r w:rsidR="000B7B84">
        <w:t xml:space="preserve">. </w:t>
      </w:r>
    </w:p>
    <w:p w14:paraId="0E48B9AE" w14:textId="77777777" w:rsidR="00E45FD4" w:rsidRPr="00321EC0" w:rsidRDefault="00E45FD4" w:rsidP="00E45FD4"/>
    <w:p w14:paraId="1707FCF7" w14:textId="77777777" w:rsidR="002E5E71" w:rsidRPr="00321EC0" w:rsidRDefault="002E5E71" w:rsidP="00F51DAC">
      <w:pPr>
        <w:pStyle w:val="TableHeading"/>
        <w:spacing w:before="0"/>
        <w:rPr>
          <w:snapToGrid w:val="0"/>
        </w:rPr>
        <w:sectPr w:rsidR="002E5E71" w:rsidRPr="00321EC0" w:rsidSect="00230BD3">
          <w:headerReference w:type="first" r:id="rId112"/>
          <w:pgSz w:w="11907" w:h="16840" w:code="9"/>
          <w:pgMar w:top="2466" w:right="2098" w:bottom="2269" w:left="2098" w:header="1899" w:footer="1899" w:gutter="0"/>
          <w:cols w:space="708"/>
          <w:titlePg/>
          <w:docGrid w:linePitch="360"/>
        </w:sectPr>
      </w:pPr>
    </w:p>
    <w:p w14:paraId="28803E6A" w14:textId="77777777" w:rsidR="00F51DAC" w:rsidRPr="00321EC0" w:rsidRDefault="007D5358" w:rsidP="00242560">
      <w:pPr>
        <w:pStyle w:val="TableHeading"/>
        <w:spacing w:before="0" w:after="0"/>
        <w:rPr>
          <w:lang w:val="en-AU"/>
        </w:rPr>
      </w:pPr>
      <w:r w:rsidRPr="00321EC0">
        <w:rPr>
          <w:snapToGrid w:val="0"/>
        </w:rPr>
        <w:t>Table 3.</w:t>
      </w:r>
      <w:r w:rsidR="001F46A6" w:rsidRPr="00321EC0">
        <w:rPr>
          <w:snapToGrid w:val="0"/>
          <w:lang w:val="en-AU"/>
        </w:rPr>
        <w:t>7</w:t>
      </w:r>
      <w:r w:rsidR="00F51DAC" w:rsidRPr="00321EC0">
        <w:rPr>
          <w:snapToGrid w:val="0"/>
        </w:rPr>
        <w:t xml:space="preserve">: Statement of </w:t>
      </w:r>
      <w:r w:rsidR="00622A38" w:rsidRPr="00321EC0">
        <w:rPr>
          <w:snapToGrid w:val="0"/>
        </w:rPr>
        <w:t xml:space="preserve">asset movements </w:t>
      </w:r>
      <w:r w:rsidR="00F51DAC" w:rsidRPr="00321EC0">
        <w:rPr>
          <w:snapToGrid w:val="0"/>
        </w:rPr>
        <w:t>(</w:t>
      </w:r>
      <w:r w:rsidR="0098343F" w:rsidRPr="00321EC0">
        <w:rPr>
          <w:snapToGrid w:val="0"/>
          <w:lang w:val="en-AU"/>
        </w:rPr>
        <w:t>2020-21</w:t>
      </w:r>
      <w:r w:rsidR="00327424" w:rsidRPr="00321EC0">
        <w:rPr>
          <w:snapToGrid w:val="0"/>
          <w:lang w:val="en-AU"/>
        </w:rPr>
        <w:t xml:space="preserve"> Budget year</w:t>
      </w:r>
      <w:r w:rsidR="00F51DAC" w:rsidRPr="00321EC0">
        <w:rPr>
          <w:snapToGrid w:val="0"/>
        </w:rPr>
        <w:t>)</w:t>
      </w:r>
      <w:r w:rsidR="008D4221" w:rsidRPr="00321EC0">
        <w:rPr>
          <w:b w:val="0"/>
          <w:snapToGrid w:val="0"/>
        </w:rPr>
        <w:t xml:space="preserve"> </w:t>
      </w:r>
    </w:p>
    <w:p w14:paraId="5AE72234" w14:textId="7CBFC993" w:rsidR="000C3374" w:rsidRPr="00321EC0" w:rsidRDefault="0081119E" w:rsidP="008D3959">
      <w:pPr>
        <w:pStyle w:val="TableGraphic"/>
      </w:pPr>
      <w:r w:rsidRPr="0081119E">
        <w:rPr>
          <w:noProof/>
        </w:rPr>
        <w:drawing>
          <wp:inline distT="0" distB="0" distL="0" distR="0" wp14:anchorId="339564C5" wp14:editId="0BE5C050">
            <wp:extent cx="4896485" cy="558800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96485" cy="5588007"/>
                    </a:xfrm>
                    <a:prstGeom prst="rect">
                      <a:avLst/>
                    </a:prstGeom>
                    <a:noFill/>
                    <a:ln>
                      <a:noFill/>
                    </a:ln>
                  </pic:spPr>
                </pic:pic>
              </a:graphicData>
            </a:graphic>
          </wp:inline>
        </w:drawing>
      </w:r>
    </w:p>
    <w:p w14:paraId="7017F97B" w14:textId="77777777" w:rsidR="00FD2564" w:rsidRPr="00321EC0" w:rsidRDefault="00FD2564" w:rsidP="00FD2564">
      <w:pPr>
        <w:pStyle w:val="Source"/>
      </w:pPr>
      <w:r w:rsidRPr="00321EC0">
        <w:t>Prepared on Australian Accounting Standards basis.</w:t>
      </w:r>
    </w:p>
    <w:p w14:paraId="62CAE6A8" w14:textId="77777777" w:rsidR="00FD2564" w:rsidRPr="00321EC0" w:rsidRDefault="00FD2564" w:rsidP="00D948BC">
      <w:pPr>
        <w:pStyle w:val="ChartandTableFootnoteAlpha"/>
        <w:numPr>
          <w:ilvl w:val="0"/>
          <w:numId w:val="0"/>
        </w:numPr>
        <w:ind w:left="397" w:hanging="397"/>
      </w:pPr>
    </w:p>
    <w:p w14:paraId="1CFFA85B" w14:textId="77777777" w:rsidR="00550253" w:rsidRPr="00321EC0" w:rsidRDefault="000B7B84" w:rsidP="00264523">
      <w:pPr>
        <w:pStyle w:val="ChartandTableFootnoteAlpha"/>
        <w:numPr>
          <w:ilvl w:val="0"/>
          <w:numId w:val="6"/>
        </w:numPr>
      </w:pPr>
      <w:r>
        <w:t>‘</w:t>
      </w:r>
      <w:r w:rsidR="00550253" w:rsidRPr="00321EC0">
        <w:t>Appropriation equity</w:t>
      </w:r>
      <w:r>
        <w:t>’</w:t>
      </w:r>
      <w:r w:rsidR="00550253" w:rsidRPr="00321EC0">
        <w:t xml:space="preserve"> refers to equity injections or Administered Assets and Liabilities appropriations provided throu</w:t>
      </w:r>
      <w:r w:rsidR="00304E76" w:rsidRPr="00321EC0">
        <w:t xml:space="preserve">gh </w:t>
      </w:r>
      <w:r w:rsidR="00304E76" w:rsidRPr="00321EC0">
        <w:rPr>
          <w:i/>
        </w:rPr>
        <w:t>Appropriation Act (No.</w:t>
      </w:r>
      <w:r w:rsidR="00BD6A8C" w:rsidRPr="00321EC0">
        <w:rPr>
          <w:i/>
        </w:rPr>
        <w:t xml:space="preserve"> </w:t>
      </w:r>
      <w:r w:rsidR="00304E76" w:rsidRPr="00321EC0">
        <w:rPr>
          <w:i/>
        </w:rPr>
        <w:t xml:space="preserve">2) </w:t>
      </w:r>
      <w:r w:rsidR="0098343F" w:rsidRPr="00321EC0">
        <w:rPr>
          <w:i/>
        </w:rPr>
        <w:t>2020-2021</w:t>
      </w:r>
      <w:r w:rsidR="00304E76" w:rsidRPr="00321EC0">
        <w:t xml:space="preserve"> and </w:t>
      </w:r>
      <w:r w:rsidR="00BD6A8C" w:rsidRPr="002A19FF">
        <w:t xml:space="preserve">Appropriation </w:t>
      </w:r>
      <w:r w:rsidR="00304E76" w:rsidRPr="002A19FF">
        <w:t>Bill (No.</w:t>
      </w:r>
      <w:r w:rsidR="00BD6A8C" w:rsidRPr="002A19FF">
        <w:t xml:space="preserve"> </w:t>
      </w:r>
      <w:r w:rsidR="00304E76" w:rsidRPr="002A19FF">
        <w:t xml:space="preserve">4) </w:t>
      </w:r>
      <w:r w:rsidR="0098343F" w:rsidRPr="002A19FF">
        <w:t>2020-2021</w:t>
      </w:r>
      <w:r w:rsidR="000A3DD8" w:rsidRPr="002A19FF">
        <w:t>.</w:t>
      </w:r>
    </w:p>
    <w:p w14:paraId="16EA5F10" w14:textId="77777777" w:rsidR="00550253" w:rsidRPr="00321EC0" w:rsidRDefault="000B7B84" w:rsidP="009C33E9">
      <w:pPr>
        <w:pStyle w:val="ChartandTableFootnoteAlpha"/>
      </w:pPr>
      <w:r>
        <w:t>‘</w:t>
      </w:r>
      <w:r w:rsidR="00550253" w:rsidRPr="00321EC0">
        <w:t>Appropriation ordinary annual services</w:t>
      </w:r>
      <w:r>
        <w:t>’</w:t>
      </w:r>
      <w:r w:rsidR="00550253" w:rsidRPr="00321EC0">
        <w:t xml:space="preserve"> refers to funding provided through </w:t>
      </w:r>
      <w:r w:rsidR="009E512C" w:rsidRPr="00321EC0">
        <w:rPr>
          <w:i/>
        </w:rPr>
        <w:t>Appropriation Act (No</w:t>
      </w:r>
      <w:r w:rsidR="00325A5A" w:rsidRPr="00321EC0">
        <w:rPr>
          <w:i/>
        </w:rPr>
        <w:t xml:space="preserve">. </w:t>
      </w:r>
      <w:r w:rsidR="009E512C" w:rsidRPr="00321EC0">
        <w:rPr>
          <w:i/>
        </w:rPr>
        <w:t xml:space="preserve">1) </w:t>
      </w:r>
      <w:r w:rsidR="0098343F" w:rsidRPr="00321EC0">
        <w:rPr>
          <w:i/>
        </w:rPr>
        <w:t>2020-2021</w:t>
      </w:r>
      <w:r w:rsidR="009E512C" w:rsidRPr="00321EC0">
        <w:t xml:space="preserve"> and </w:t>
      </w:r>
      <w:r w:rsidR="00BD6A8C" w:rsidRPr="002A19FF">
        <w:t xml:space="preserve">Appropriation </w:t>
      </w:r>
      <w:r w:rsidR="009E512C" w:rsidRPr="002A19FF">
        <w:t>Bill (No</w:t>
      </w:r>
      <w:r w:rsidR="00325A5A" w:rsidRPr="002A19FF">
        <w:t xml:space="preserve">. </w:t>
      </w:r>
      <w:r w:rsidR="009E512C" w:rsidRPr="002A19FF">
        <w:t xml:space="preserve">3) </w:t>
      </w:r>
      <w:r w:rsidR="0098343F" w:rsidRPr="002A19FF">
        <w:t>2020-2021</w:t>
      </w:r>
      <w:r w:rsidR="00550253" w:rsidRPr="00321EC0">
        <w:t xml:space="preserve"> for depreciation/amortisation expenses, </w:t>
      </w:r>
      <w:r w:rsidR="002A19FF">
        <w:t>DCBs</w:t>
      </w:r>
      <w:r w:rsidR="00550253" w:rsidRPr="00321EC0">
        <w:t xml:space="preserve"> or other operational expenses. </w:t>
      </w:r>
    </w:p>
    <w:p w14:paraId="384D9E89" w14:textId="77777777" w:rsidR="00550253" w:rsidRPr="00321EC0" w:rsidRDefault="00550253" w:rsidP="009C33E9">
      <w:pPr>
        <w:pStyle w:val="ChartandTableFootnoteAlpha"/>
      </w:pPr>
      <w:r w:rsidRPr="00321EC0">
        <w:t xml:space="preserve">Net proceeds may be returned to the </w:t>
      </w:r>
      <w:r w:rsidR="00B4522C" w:rsidRPr="00321EC0">
        <w:t>Official Public Account</w:t>
      </w:r>
      <w:r w:rsidR="00A720E9">
        <w:t xml:space="preserve"> (OPA)</w:t>
      </w:r>
      <w:r w:rsidRPr="00321EC0">
        <w:t xml:space="preserve">. </w:t>
      </w:r>
    </w:p>
    <w:p w14:paraId="14C7D0AE" w14:textId="77777777" w:rsidR="00550253" w:rsidRPr="00321EC0" w:rsidRDefault="00550253" w:rsidP="00F51DAC">
      <w:pPr>
        <w:pStyle w:val="Source"/>
      </w:pPr>
    </w:p>
    <w:p w14:paraId="509D4DB2" w14:textId="77777777" w:rsidR="00F51DAC" w:rsidRPr="00321EC0" w:rsidRDefault="00F51DAC" w:rsidP="00E15CF3">
      <w:pPr>
        <w:pStyle w:val="SingleParagraph"/>
        <w:rPr>
          <w:snapToGrid w:val="0"/>
        </w:rPr>
      </w:pPr>
    </w:p>
    <w:p w14:paraId="3DBA7F21" w14:textId="77777777" w:rsidR="002E5E71" w:rsidRPr="00321EC0" w:rsidRDefault="002E5E71" w:rsidP="00F51DAC">
      <w:pPr>
        <w:pStyle w:val="TableHeading"/>
        <w:spacing w:before="0"/>
        <w:rPr>
          <w:snapToGrid w:val="0"/>
        </w:rPr>
        <w:sectPr w:rsidR="002E5E71" w:rsidRPr="00321EC0" w:rsidSect="00D37F3B">
          <w:headerReference w:type="even" r:id="rId114"/>
          <w:headerReference w:type="default" r:id="rId115"/>
          <w:footerReference w:type="default" r:id="rId116"/>
          <w:headerReference w:type="first" r:id="rId117"/>
          <w:pgSz w:w="11907" w:h="16840" w:code="9"/>
          <w:pgMar w:top="2466" w:right="2098" w:bottom="2466" w:left="2098" w:header="1899" w:footer="1899" w:gutter="0"/>
          <w:cols w:space="708"/>
          <w:titlePg/>
          <w:docGrid w:linePitch="360"/>
        </w:sectPr>
      </w:pPr>
    </w:p>
    <w:bookmarkEnd w:id="397"/>
    <w:bookmarkEnd w:id="450"/>
    <w:bookmarkEnd w:id="451"/>
    <w:bookmarkEnd w:id="452"/>
    <w:p w14:paraId="36ABEA2F" w14:textId="77777777" w:rsidR="00F51DAC" w:rsidRPr="00321EC0" w:rsidRDefault="007D5358" w:rsidP="00F51DAC">
      <w:pPr>
        <w:pStyle w:val="TableHeading"/>
        <w:spacing w:before="0"/>
        <w:rPr>
          <w:lang w:val="en-AU"/>
        </w:rPr>
      </w:pPr>
      <w:r w:rsidRPr="00321EC0">
        <w:rPr>
          <w:snapToGrid w:val="0"/>
        </w:rPr>
        <w:t>Table 3.</w:t>
      </w:r>
      <w:r w:rsidR="001F46A6" w:rsidRPr="00321EC0">
        <w:rPr>
          <w:snapToGrid w:val="0"/>
        </w:rPr>
        <w:t>8</w:t>
      </w:r>
      <w:r w:rsidR="00F51DAC" w:rsidRPr="00321EC0">
        <w:rPr>
          <w:snapToGrid w:val="0"/>
        </w:rPr>
        <w:t xml:space="preserve">: Schedule of </w:t>
      </w:r>
      <w:r w:rsidR="00550253" w:rsidRPr="00321EC0">
        <w:rPr>
          <w:snapToGrid w:val="0"/>
        </w:rPr>
        <w:t>budgeted income and expenses administered on behalf of</w:t>
      </w:r>
      <w:r w:rsidR="00F51DAC" w:rsidRPr="00321EC0">
        <w:rPr>
          <w:snapToGrid w:val="0"/>
        </w:rPr>
        <w:t xml:space="preserve"> </w:t>
      </w:r>
      <w:r w:rsidR="004E017C" w:rsidRPr="00321EC0">
        <w:rPr>
          <w:snapToGrid w:val="0"/>
        </w:rPr>
        <w:t>G</w:t>
      </w:r>
      <w:r w:rsidR="00F51DAC" w:rsidRPr="00321EC0">
        <w:rPr>
          <w:snapToGrid w:val="0"/>
        </w:rPr>
        <w:t>overnment (for the period ended 30 June)</w:t>
      </w:r>
      <w:r w:rsidR="008D4221" w:rsidRPr="00321EC0">
        <w:rPr>
          <w:b w:val="0"/>
          <w:snapToGrid w:val="0"/>
        </w:rPr>
        <w:t xml:space="preserve"> </w:t>
      </w:r>
    </w:p>
    <w:p w14:paraId="7C43D4B4" w14:textId="64A51239" w:rsidR="003B7884" w:rsidRPr="00321EC0" w:rsidRDefault="00564C56" w:rsidP="006B3603">
      <w:pPr>
        <w:pStyle w:val="TableGraphic"/>
      </w:pPr>
      <w:r w:rsidRPr="00564C56">
        <w:rPr>
          <w:noProof/>
        </w:rPr>
        <w:drawing>
          <wp:inline distT="0" distB="0" distL="0" distR="0" wp14:anchorId="5D7F4609" wp14:editId="003BC11B">
            <wp:extent cx="4896485" cy="57598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896485" cy="5759824"/>
                    </a:xfrm>
                    <a:prstGeom prst="rect">
                      <a:avLst/>
                    </a:prstGeom>
                    <a:noFill/>
                    <a:ln>
                      <a:noFill/>
                    </a:ln>
                  </pic:spPr>
                </pic:pic>
              </a:graphicData>
            </a:graphic>
          </wp:inline>
        </w:drawing>
      </w:r>
    </w:p>
    <w:p w14:paraId="5143F01B" w14:textId="77777777" w:rsidR="00E45FD4" w:rsidRPr="00321EC0" w:rsidRDefault="00E45FD4" w:rsidP="00E45FD4">
      <w:pPr>
        <w:pStyle w:val="ChartandTableFootnoteAlpha"/>
        <w:numPr>
          <w:ilvl w:val="0"/>
          <w:numId w:val="0"/>
        </w:numPr>
        <w:ind w:left="397" w:hanging="397"/>
      </w:pPr>
      <w:r w:rsidRPr="00321EC0">
        <w:t xml:space="preserve">Prepared on Australian Accounting Standards basis </w:t>
      </w:r>
    </w:p>
    <w:p w14:paraId="365F193F" w14:textId="77777777" w:rsidR="00E45FD4" w:rsidRPr="00321EC0" w:rsidRDefault="00E45FD4" w:rsidP="00E45FD4">
      <w:pPr>
        <w:pStyle w:val="ChartandTableFootnoteAlpha"/>
        <w:numPr>
          <w:ilvl w:val="0"/>
          <w:numId w:val="0"/>
        </w:numPr>
        <w:ind w:left="397"/>
      </w:pPr>
    </w:p>
    <w:p w14:paraId="79584CC4" w14:textId="3D4B5EAD" w:rsidR="00E45FD4" w:rsidRPr="00321EC0" w:rsidRDefault="00E45FD4" w:rsidP="00264523">
      <w:pPr>
        <w:pStyle w:val="ChartandTableFootnoteAlpha"/>
        <w:numPr>
          <w:ilvl w:val="0"/>
          <w:numId w:val="24"/>
        </w:numPr>
      </w:pPr>
      <w:r w:rsidRPr="00321EC0">
        <w:t>Represents estimates of expenses to be transferred from the Australian Government Investment Funds. This item does not include equity payments. For more detail on each fund, refer to Tables 2.2.1.1-</w:t>
      </w:r>
      <w:r w:rsidR="00FD5C75">
        <w:t>2.2.1.</w:t>
      </w:r>
      <w:r w:rsidRPr="00321EC0">
        <w:t>7.</w:t>
      </w:r>
    </w:p>
    <w:p w14:paraId="4B85F4F6" w14:textId="77777777" w:rsidR="00E45FD4" w:rsidRPr="00321EC0" w:rsidRDefault="00E45FD4" w:rsidP="00264523">
      <w:pPr>
        <w:pStyle w:val="ChartandTableFootnoteAlpha"/>
        <w:numPr>
          <w:ilvl w:val="0"/>
          <w:numId w:val="24"/>
        </w:numPr>
      </w:pPr>
      <w:r w:rsidRPr="00321EC0">
        <w:t xml:space="preserve">From 2010-11, the Government introduced net cash appropriation arrangements where </w:t>
      </w:r>
      <w:r w:rsidR="00E84034">
        <w:t>Act</w:t>
      </w:r>
      <w:r w:rsidR="00E84034" w:rsidRPr="00321EC0">
        <w:t xml:space="preserve"> </w:t>
      </w:r>
      <w:r w:rsidRPr="00321EC0">
        <w:t xml:space="preserve">1 revenue appropriations for the depreciation/amortisation expenses of non-corporate Commonwealth entities were replaced with a separate capital budget (the Administered Capital Budget, or ACB) provided through </w:t>
      </w:r>
      <w:r w:rsidR="00E84034">
        <w:t>Act </w:t>
      </w:r>
      <w:r w:rsidRPr="00321EC0">
        <w:t xml:space="preserve">1 equity appropriations. For information regarding </w:t>
      </w:r>
      <w:r w:rsidR="00955715">
        <w:t>ACBs, please refer to Table 3.11</w:t>
      </w:r>
      <w:r w:rsidRPr="00321EC0">
        <w:t xml:space="preserve"> Administered Capital Budget Statement.</w:t>
      </w:r>
    </w:p>
    <w:p w14:paraId="6D1361A6" w14:textId="77777777" w:rsidR="00E45FD4" w:rsidRPr="00321EC0" w:rsidRDefault="00E45FD4" w:rsidP="00264523">
      <w:pPr>
        <w:pStyle w:val="ChartandTableFootnoteAlpha"/>
        <w:numPr>
          <w:ilvl w:val="0"/>
          <w:numId w:val="24"/>
        </w:numPr>
      </w:pPr>
      <w:r w:rsidRPr="00321EC0">
        <w:t>Estimates of interest include interest earnings for the Australian Government Investment Funds. Dividend revenue represents revenue from corporate Commonwealth entities which are treated as administered receipts of the department.</w:t>
      </w:r>
    </w:p>
    <w:p w14:paraId="1B9606CE" w14:textId="77777777" w:rsidR="00E45FD4" w:rsidRPr="00321EC0" w:rsidRDefault="00E45FD4" w:rsidP="00264523">
      <w:pPr>
        <w:pStyle w:val="ChartandTableFootnoteAlpha"/>
        <w:numPr>
          <w:ilvl w:val="0"/>
          <w:numId w:val="24"/>
        </w:numPr>
      </w:pPr>
      <w:r w:rsidRPr="00321EC0">
        <w:t>Principally Commonwealth Superannuation Scheme (CSS) and Public Sector Superannuation Scheme (PSS) notional employer superannuation contributions.</w:t>
      </w:r>
    </w:p>
    <w:p w14:paraId="658FDD15" w14:textId="77777777" w:rsidR="00386AC4" w:rsidRPr="00321EC0" w:rsidRDefault="00386AC4" w:rsidP="00E45FD4">
      <w:pPr>
        <w:pStyle w:val="ChartandTableFootnoteAlpha"/>
        <w:numPr>
          <w:ilvl w:val="0"/>
          <w:numId w:val="0"/>
        </w:numPr>
        <w:rPr>
          <w:rFonts w:cs="Arial"/>
        </w:rPr>
      </w:pPr>
    </w:p>
    <w:p w14:paraId="5B215D12" w14:textId="77777777" w:rsidR="003A09B7" w:rsidRPr="00321EC0" w:rsidRDefault="003A09B7" w:rsidP="003A09B7"/>
    <w:p w14:paraId="29FC71B4" w14:textId="77777777" w:rsidR="003A09B7" w:rsidRPr="00321EC0" w:rsidRDefault="003A09B7" w:rsidP="003A09B7"/>
    <w:p w14:paraId="54A2CB06" w14:textId="77777777" w:rsidR="003A09B7" w:rsidRPr="00321EC0" w:rsidRDefault="003A09B7" w:rsidP="003A09B7">
      <w:pPr>
        <w:sectPr w:rsidR="003A09B7" w:rsidRPr="00321EC0" w:rsidSect="00230BD3">
          <w:headerReference w:type="even" r:id="rId119"/>
          <w:headerReference w:type="default" r:id="rId120"/>
          <w:headerReference w:type="first" r:id="rId121"/>
          <w:pgSz w:w="11907" w:h="16840" w:code="9"/>
          <w:pgMar w:top="2466" w:right="2098" w:bottom="2466" w:left="2098" w:header="1899" w:footer="1899" w:gutter="0"/>
          <w:cols w:space="708"/>
          <w:titlePg/>
          <w:docGrid w:linePitch="360"/>
        </w:sectPr>
      </w:pPr>
    </w:p>
    <w:p w14:paraId="04538DB5" w14:textId="77777777" w:rsidR="00F51DAC" w:rsidRPr="00321EC0" w:rsidRDefault="00F51DAC" w:rsidP="00F51DAC">
      <w:pPr>
        <w:pStyle w:val="TableHeading"/>
        <w:spacing w:before="0"/>
        <w:rPr>
          <w:b w:val="0"/>
          <w:snapToGrid w:val="0"/>
          <w:lang w:val="en-AU"/>
        </w:rPr>
      </w:pPr>
      <w:r w:rsidRPr="00321EC0">
        <w:rPr>
          <w:snapToGrid w:val="0"/>
        </w:rPr>
        <w:t>Table</w:t>
      </w:r>
      <w:r w:rsidR="004E017C" w:rsidRPr="00321EC0">
        <w:rPr>
          <w:snapToGrid w:val="0"/>
        </w:rPr>
        <w:t xml:space="preserve"> </w:t>
      </w:r>
      <w:r w:rsidR="007D5358" w:rsidRPr="00321EC0">
        <w:rPr>
          <w:snapToGrid w:val="0"/>
        </w:rPr>
        <w:t>3.</w:t>
      </w:r>
      <w:r w:rsidR="001F46A6" w:rsidRPr="00321EC0">
        <w:rPr>
          <w:snapToGrid w:val="0"/>
        </w:rPr>
        <w:t>9</w:t>
      </w:r>
      <w:r w:rsidRPr="00321EC0">
        <w:rPr>
          <w:snapToGrid w:val="0"/>
        </w:rPr>
        <w:t xml:space="preserve">: Schedule of </w:t>
      </w:r>
      <w:r w:rsidR="009E5300" w:rsidRPr="00321EC0">
        <w:rPr>
          <w:snapToGrid w:val="0"/>
        </w:rPr>
        <w:t xml:space="preserve">budgeted assets and liabilities administered on behalf </w:t>
      </w:r>
      <w:r w:rsidRPr="00321EC0">
        <w:rPr>
          <w:snapToGrid w:val="0"/>
        </w:rPr>
        <w:t xml:space="preserve">of </w:t>
      </w:r>
      <w:r w:rsidR="004E017C" w:rsidRPr="00321EC0">
        <w:rPr>
          <w:snapToGrid w:val="0"/>
        </w:rPr>
        <w:t>G</w:t>
      </w:r>
      <w:r w:rsidRPr="00321EC0">
        <w:rPr>
          <w:snapToGrid w:val="0"/>
        </w:rPr>
        <w:t>overnment (as at 30 June)</w:t>
      </w:r>
    </w:p>
    <w:p w14:paraId="14701B25" w14:textId="77777777" w:rsidR="000C3374" w:rsidRPr="00321EC0" w:rsidRDefault="006C14DE" w:rsidP="006B3603">
      <w:pPr>
        <w:pStyle w:val="TableGraphic"/>
      </w:pPr>
      <w:r w:rsidRPr="00321EC0">
        <w:rPr>
          <w:i w:val="0"/>
        </w:rPr>
        <w:t xml:space="preserve"> </w:t>
      </w:r>
      <w:r w:rsidR="00D90342" w:rsidRPr="00D90342">
        <w:rPr>
          <w:noProof/>
        </w:rPr>
        <w:drawing>
          <wp:inline distT="0" distB="0" distL="0" distR="0" wp14:anchorId="2E16CBF6" wp14:editId="3B9B765B">
            <wp:extent cx="4896485" cy="438473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896485" cy="4384734"/>
                    </a:xfrm>
                    <a:prstGeom prst="rect">
                      <a:avLst/>
                    </a:prstGeom>
                    <a:noFill/>
                    <a:ln>
                      <a:noFill/>
                    </a:ln>
                  </pic:spPr>
                </pic:pic>
              </a:graphicData>
            </a:graphic>
          </wp:inline>
        </w:drawing>
      </w:r>
    </w:p>
    <w:p w14:paraId="2BCE0B5F" w14:textId="77777777" w:rsidR="006D2873" w:rsidRPr="002A19FF" w:rsidRDefault="006D2873" w:rsidP="006D2873">
      <w:pPr>
        <w:pStyle w:val="ChartandTableFootnoteAlpha"/>
        <w:numPr>
          <w:ilvl w:val="0"/>
          <w:numId w:val="0"/>
        </w:numPr>
        <w:ind w:left="397" w:hanging="397"/>
      </w:pPr>
      <w:r w:rsidRPr="002A19FF">
        <w:t>Prepared on Australian Accounting Standards basis.</w:t>
      </w:r>
    </w:p>
    <w:p w14:paraId="1A970671" w14:textId="77777777" w:rsidR="001E0F8F" w:rsidRPr="002A19FF" w:rsidRDefault="001E0F8F" w:rsidP="001E0F8F">
      <w:pPr>
        <w:pStyle w:val="ChartandTableFootnoteAlpha"/>
        <w:numPr>
          <w:ilvl w:val="0"/>
          <w:numId w:val="0"/>
        </w:numPr>
        <w:ind w:left="397"/>
      </w:pPr>
    </w:p>
    <w:p w14:paraId="2EDEE91B" w14:textId="77777777" w:rsidR="006D2873" w:rsidRPr="002A19FF" w:rsidRDefault="006D2873" w:rsidP="00264523">
      <w:pPr>
        <w:pStyle w:val="ChartandTableFootnoteAlpha"/>
        <w:numPr>
          <w:ilvl w:val="0"/>
          <w:numId w:val="25"/>
        </w:numPr>
      </w:pPr>
      <w:r w:rsidRPr="002A19FF">
        <w:t>Represents investments in the Australian Government Investment Funds. Also represented are investments in other Commonwealth entities that are 100% owned by the Commonwealth and assets of former superannuation schemes administered by the Australian Government.</w:t>
      </w:r>
    </w:p>
    <w:p w14:paraId="38A1724C" w14:textId="77777777" w:rsidR="00F51DAC" w:rsidRPr="002A19FF" w:rsidRDefault="006D2873" w:rsidP="00264523">
      <w:pPr>
        <w:pStyle w:val="ChartandTableFootnoteAlpha"/>
        <w:rPr>
          <w:snapToGrid w:val="0"/>
        </w:rPr>
      </w:pPr>
      <w:r w:rsidRPr="002A19FF">
        <w:t xml:space="preserve">Represents Life Gold Pass Holders liabilities and employee provisions for staff employed under the </w:t>
      </w:r>
      <w:r w:rsidRPr="002A19FF">
        <w:rPr>
          <w:i/>
        </w:rPr>
        <w:t>Members of Parliament (Staff) Act 1984</w:t>
      </w:r>
      <w:r w:rsidRPr="002A19FF">
        <w:t>.</w:t>
      </w:r>
      <w:r w:rsidRPr="002A19FF">
        <w:rPr>
          <w:snapToGrid w:val="0"/>
        </w:rPr>
        <w:t xml:space="preserve"> </w:t>
      </w:r>
    </w:p>
    <w:p w14:paraId="24AA9E02" w14:textId="77777777" w:rsidR="003A09B7" w:rsidRPr="00321EC0" w:rsidRDefault="003A09B7" w:rsidP="00F51DAC">
      <w:pPr>
        <w:pStyle w:val="SingleParagraph"/>
        <w:rPr>
          <w:snapToGrid w:val="0"/>
        </w:rPr>
      </w:pPr>
    </w:p>
    <w:p w14:paraId="407C88BF" w14:textId="77777777" w:rsidR="003A09B7" w:rsidRPr="00321EC0" w:rsidRDefault="003A09B7" w:rsidP="00F51DAC">
      <w:pPr>
        <w:pStyle w:val="SingleParagraph"/>
        <w:rPr>
          <w:snapToGrid w:val="0"/>
        </w:rPr>
      </w:pPr>
    </w:p>
    <w:p w14:paraId="0496CEF2" w14:textId="77777777" w:rsidR="003A09B7" w:rsidRPr="00321EC0" w:rsidRDefault="003A09B7" w:rsidP="00F51DAC">
      <w:pPr>
        <w:pStyle w:val="SingleParagraph"/>
        <w:rPr>
          <w:snapToGrid w:val="0"/>
        </w:rPr>
      </w:pPr>
    </w:p>
    <w:p w14:paraId="288DDF4D" w14:textId="77777777" w:rsidR="003A09B7" w:rsidRPr="00321EC0" w:rsidRDefault="003A09B7" w:rsidP="00F51DAC">
      <w:pPr>
        <w:pStyle w:val="SingleParagraph"/>
        <w:rPr>
          <w:snapToGrid w:val="0"/>
        </w:rPr>
      </w:pPr>
    </w:p>
    <w:p w14:paraId="65BC4817" w14:textId="77777777" w:rsidR="003A09B7" w:rsidRPr="00321EC0" w:rsidRDefault="003A09B7" w:rsidP="00F51DAC">
      <w:pPr>
        <w:pStyle w:val="SingleParagraph"/>
        <w:rPr>
          <w:snapToGrid w:val="0"/>
        </w:rPr>
      </w:pPr>
    </w:p>
    <w:p w14:paraId="03268043" w14:textId="77777777" w:rsidR="003A09B7" w:rsidRPr="00321EC0" w:rsidRDefault="003A09B7" w:rsidP="00F51DAC">
      <w:pPr>
        <w:pStyle w:val="SingleParagraph"/>
        <w:rPr>
          <w:snapToGrid w:val="0"/>
        </w:rPr>
      </w:pPr>
    </w:p>
    <w:p w14:paraId="77133F03" w14:textId="77777777" w:rsidR="003A09B7" w:rsidRPr="00321EC0" w:rsidRDefault="003A09B7" w:rsidP="00F51DAC">
      <w:pPr>
        <w:pStyle w:val="SingleParagraph"/>
        <w:rPr>
          <w:snapToGrid w:val="0"/>
        </w:rPr>
      </w:pPr>
    </w:p>
    <w:p w14:paraId="38654A88" w14:textId="77777777" w:rsidR="003A09B7" w:rsidRPr="00321EC0" w:rsidRDefault="003A09B7" w:rsidP="00F51DAC">
      <w:pPr>
        <w:pStyle w:val="SingleParagraph"/>
        <w:rPr>
          <w:snapToGrid w:val="0"/>
        </w:rPr>
      </w:pPr>
    </w:p>
    <w:p w14:paraId="20E9184D" w14:textId="77777777" w:rsidR="003A09B7" w:rsidRPr="00321EC0" w:rsidRDefault="003A09B7" w:rsidP="00F51DAC">
      <w:pPr>
        <w:pStyle w:val="SingleParagraph"/>
        <w:rPr>
          <w:snapToGrid w:val="0"/>
        </w:rPr>
      </w:pPr>
    </w:p>
    <w:p w14:paraId="29561419" w14:textId="77777777" w:rsidR="003A09B7" w:rsidRPr="00321EC0" w:rsidRDefault="003A09B7" w:rsidP="00F51DAC">
      <w:pPr>
        <w:pStyle w:val="SingleParagraph"/>
        <w:rPr>
          <w:snapToGrid w:val="0"/>
        </w:rPr>
        <w:sectPr w:rsidR="003A09B7" w:rsidRPr="00321EC0" w:rsidSect="00230BD3">
          <w:headerReference w:type="first" r:id="rId123"/>
          <w:pgSz w:w="11907" w:h="16840" w:code="9"/>
          <w:pgMar w:top="2466" w:right="2098" w:bottom="2466" w:left="2098" w:header="1899" w:footer="1899" w:gutter="0"/>
          <w:cols w:space="708"/>
          <w:titlePg/>
          <w:docGrid w:linePitch="360"/>
        </w:sectPr>
      </w:pPr>
    </w:p>
    <w:p w14:paraId="664DB98E" w14:textId="77777777" w:rsidR="00F51DAC" w:rsidRPr="00321EC0" w:rsidRDefault="001F46A6" w:rsidP="00F51DAC">
      <w:pPr>
        <w:pStyle w:val="TableHeading"/>
        <w:spacing w:before="0"/>
        <w:rPr>
          <w:snapToGrid w:val="0"/>
          <w:lang w:val="en-AU"/>
        </w:rPr>
      </w:pPr>
      <w:r w:rsidRPr="00321EC0">
        <w:rPr>
          <w:snapToGrid w:val="0"/>
        </w:rPr>
        <w:t>Table 3.10</w:t>
      </w:r>
      <w:r w:rsidR="00F51DAC" w:rsidRPr="00321EC0">
        <w:rPr>
          <w:snapToGrid w:val="0"/>
        </w:rPr>
        <w:t xml:space="preserve">: Schedule of </w:t>
      </w:r>
      <w:r w:rsidR="001E4A2D" w:rsidRPr="00321EC0">
        <w:rPr>
          <w:snapToGrid w:val="0"/>
        </w:rPr>
        <w:t xml:space="preserve">budgeted administered cash flows </w:t>
      </w:r>
      <w:r w:rsidR="000C3374" w:rsidRPr="00321EC0">
        <w:rPr>
          <w:snapToGrid w:val="0"/>
        </w:rPr>
        <w:t xml:space="preserve">(for the period ended 30 June) </w:t>
      </w:r>
    </w:p>
    <w:p w14:paraId="4ED45873" w14:textId="77777777" w:rsidR="000C3374" w:rsidRPr="00321EC0" w:rsidRDefault="006C14DE" w:rsidP="006B3603">
      <w:pPr>
        <w:pStyle w:val="TableGraphic"/>
        <w:rPr>
          <w:i w:val="0"/>
        </w:rPr>
      </w:pPr>
      <w:r w:rsidRPr="00321EC0">
        <w:rPr>
          <w:i w:val="0"/>
        </w:rPr>
        <w:t xml:space="preserve"> </w:t>
      </w:r>
      <w:r w:rsidR="00D90342" w:rsidRPr="00D90342">
        <w:rPr>
          <w:noProof/>
        </w:rPr>
        <w:drawing>
          <wp:inline distT="0" distB="0" distL="0" distR="0" wp14:anchorId="561860AB" wp14:editId="00415146">
            <wp:extent cx="4896485" cy="4908785"/>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896485" cy="4908785"/>
                    </a:xfrm>
                    <a:prstGeom prst="rect">
                      <a:avLst/>
                    </a:prstGeom>
                    <a:noFill/>
                    <a:ln>
                      <a:noFill/>
                    </a:ln>
                  </pic:spPr>
                </pic:pic>
              </a:graphicData>
            </a:graphic>
          </wp:inline>
        </w:drawing>
      </w:r>
    </w:p>
    <w:p w14:paraId="435201C7" w14:textId="77777777" w:rsidR="00F0320D" w:rsidRPr="00321EC0" w:rsidRDefault="00F0320D" w:rsidP="00F0320D">
      <w:pPr>
        <w:pStyle w:val="TableGraphic"/>
        <w:rPr>
          <w:rFonts w:ascii="Arial" w:hAnsi="Arial" w:cs="Arial"/>
          <w:i w:val="0"/>
          <w:color w:val="auto"/>
          <w:sz w:val="16"/>
        </w:rPr>
      </w:pPr>
      <w:r w:rsidRPr="00321EC0">
        <w:rPr>
          <w:rFonts w:ascii="Arial" w:hAnsi="Arial" w:cs="Arial"/>
          <w:i w:val="0"/>
          <w:color w:val="auto"/>
          <w:sz w:val="16"/>
        </w:rPr>
        <w:t>Table continues on next page.</w:t>
      </w:r>
    </w:p>
    <w:p w14:paraId="3C1B0C81" w14:textId="670AFFC1" w:rsidR="003A09B7" w:rsidRDefault="003A09B7" w:rsidP="003A09B7"/>
    <w:p w14:paraId="2C026C1A" w14:textId="77777777" w:rsidR="008F77A2" w:rsidRPr="00321EC0" w:rsidRDefault="008F77A2" w:rsidP="003A09B7"/>
    <w:p w14:paraId="598B6FA6" w14:textId="77777777" w:rsidR="001E4A2D" w:rsidRPr="00321EC0" w:rsidRDefault="007D5358" w:rsidP="001E4A2D">
      <w:pPr>
        <w:pStyle w:val="TableHeading"/>
        <w:spacing w:before="0"/>
        <w:rPr>
          <w:lang w:val="en-AU"/>
        </w:rPr>
      </w:pPr>
      <w:bookmarkStart w:id="453" w:name="OLE_LINK1"/>
      <w:r w:rsidRPr="00321EC0">
        <w:rPr>
          <w:snapToGrid w:val="0"/>
        </w:rPr>
        <w:t>Table 3.</w:t>
      </w:r>
      <w:r w:rsidR="001F46A6" w:rsidRPr="00321EC0">
        <w:rPr>
          <w:snapToGrid w:val="0"/>
        </w:rPr>
        <w:t>10</w:t>
      </w:r>
      <w:r w:rsidR="001E4A2D" w:rsidRPr="00321EC0">
        <w:rPr>
          <w:snapToGrid w:val="0"/>
        </w:rPr>
        <w:t>: Schedule of budgeted administered cash flows (for the period ended 30 June)</w:t>
      </w:r>
      <w:r w:rsidR="001E4A2D" w:rsidRPr="00321EC0">
        <w:rPr>
          <w:snapToGrid w:val="0"/>
          <w:lang w:val="en-AU"/>
        </w:rPr>
        <w:t xml:space="preserve"> (continued)</w:t>
      </w:r>
      <w:r w:rsidR="001E4A2D" w:rsidRPr="00321EC0">
        <w:rPr>
          <w:snapToGrid w:val="0"/>
        </w:rPr>
        <w:t xml:space="preserve">  </w:t>
      </w:r>
    </w:p>
    <w:bookmarkEnd w:id="453"/>
    <w:p w14:paraId="5547128A" w14:textId="77777777" w:rsidR="00621956" w:rsidRPr="00321EC0" w:rsidRDefault="00D90342" w:rsidP="006B3603">
      <w:pPr>
        <w:pStyle w:val="TableGraphic"/>
      </w:pPr>
      <w:r w:rsidRPr="00D90342">
        <w:rPr>
          <w:noProof/>
        </w:rPr>
        <w:drawing>
          <wp:inline distT="0" distB="0" distL="0" distR="0" wp14:anchorId="64D7930A" wp14:editId="3D30D1B5">
            <wp:extent cx="4896485" cy="3544612"/>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896485" cy="3544612"/>
                    </a:xfrm>
                    <a:prstGeom prst="rect">
                      <a:avLst/>
                    </a:prstGeom>
                    <a:noFill/>
                    <a:ln>
                      <a:noFill/>
                    </a:ln>
                  </pic:spPr>
                </pic:pic>
              </a:graphicData>
            </a:graphic>
          </wp:inline>
        </w:drawing>
      </w:r>
    </w:p>
    <w:p w14:paraId="229F0CCE" w14:textId="77777777" w:rsidR="006D2873" w:rsidRPr="00321EC0" w:rsidRDefault="006D2873" w:rsidP="006D2873">
      <w:pPr>
        <w:pStyle w:val="ChartandTableFootnoteAlpha"/>
        <w:numPr>
          <w:ilvl w:val="0"/>
          <w:numId w:val="0"/>
        </w:numPr>
        <w:ind w:left="397" w:hanging="397"/>
      </w:pPr>
      <w:r w:rsidRPr="00321EC0">
        <w:t>Prepared on Australian Accounting Standards basis.</w:t>
      </w:r>
    </w:p>
    <w:p w14:paraId="4ABAF80D" w14:textId="77777777" w:rsidR="00694E7E" w:rsidRDefault="00694E7E" w:rsidP="00694E7E">
      <w:pPr>
        <w:pStyle w:val="ChartandTableFootnoteAlpha"/>
        <w:numPr>
          <w:ilvl w:val="0"/>
          <w:numId w:val="0"/>
        </w:numPr>
        <w:ind w:left="397"/>
      </w:pPr>
    </w:p>
    <w:p w14:paraId="01CAF3ED" w14:textId="77777777" w:rsidR="006D2873" w:rsidRPr="00321EC0" w:rsidRDefault="006D2873" w:rsidP="00264523">
      <w:pPr>
        <w:pStyle w:val="ChartandTableFootnoteAlpha"/>
        <w:numPr>
          <w:ilvl w:val="0"/>
          <w:numId w:val="26"/>
        </w:numPr>
      </w:pPr>
      <w:r w:rsidRPr="00321EC0">
        <w:t>Estimates include interest earnings for the Australian Government Investment Funds. For more detail on the interest estimates for each fund, refer to Tables 2.2.1.1-2.2.1.7.</w:t>
      </w:r>
    </w:p>
    <w:p w14:paraId="61FC7F79" w14:textId="77777777" w:rsidR="006D2873" w:rsidRPr="00321EC0" w:rsidRDefault="006D2873" w:rsidP="00264523">
      <w:pPr>
        <w:pStyle w:val="ChartandTableFootnoteAlpha"/>
      </w:pPr>
      <w:r w:rsidRPr="00321EC0">
        <w:t>Primarily represents the CSS and PSS notional employer contributions.</w:t>
      </w:r>
    </w:p>
    <w:p w14:paraId="2EB31D87" w14:textId="77777777" w:rsidR="006D2873" w:rsidRPr="00321EC0" w:rsidRDefault="006D2873" w:rsidP="00264523">
      <w:pPr>
        <w:pStyle w:val="ChartandTableFootnoteAlpha"/>
      </w:pPr>
      <w:r w:rsidRPr="00321EC0">
        <w:t>Primarily represents offsets from the CSS and PSS funds and return of overpaid benefits.</w:t>
      </w:r>
    </w:p>
    <w:p w14:paraId="288082FC" w14:textId="77777777" w:rsidR="006D2873" w:rsidRPr="00321EC0" w:rsidRDefault="006D2873" w:rsidP="00264523">
      <w:pPr>
        <w:pStyle w:val="ChartandTableFootnoteAlpha"/>
      </w:pPr>
      <w:r w:rsidRPr="00321EC0">
        <w:t xml:space="preserve">Represents expenditure on staff employed under the </w:t>
      </w:r>
      <w:r w:rsidRPr="001E0F8F">
        <w:rPr>
          <w:i/>
        </w:rPr>
        <w:t>Members of Parliament (Staff) Act 1984</w:t>
      </w:r>
      <w:r w:rsidRPr="00321EC0">
        <w:t>.</w:t>
      </w:r>
    </w:p>
    <w:p w14:paraId="652DC733" w14:textId="77777777" w:rsidR="006D2873" w:rsidRPr="00321EC0" w:rsidRDefault="006D2873" w:rsidP="00264523">
      <w:pPr>
        <w:pStyle w:val="ChartandTableFootnoteAlpha"/>
      </w:pPr>
      <w:r w:rsidRPr="00321EC0">
        <w:t>‘Distributions from the Investment Funds’ represents estimates of cash payments from the Funds to other entities and the Consolidated Revenue Fund.</w:t>
      </w:r>
      <w:r w:rsidRPr="00321EC0">
        <w:tab/>
      </w:r>
    </w:p>
    <w:p w14:paraId="283FDE93" w14:textId="77777777" w:rsidR="006D2873" w:rsidRPr="00321EC0" w:rsidRDefault="006D2873" w:rsidP="00264523">
      <w:pPr>
        <w:pStyle w:val="ChartandTableFootnoteAlpha"/>
      </w:pPr>
      <w:r w:rsidRPr="00321EC0">
        <w:t>Expenditure associated with unfunded liabilities for the government’s civilian superannuation schemes.</w:t>
      </w:r>
    </w:p>
    <w:p w14:paraId="354A6839" w14:textId="77777777" w:rsidR="00F0320D" w:rsidRPr="00321EC0" w:rsidRDefault="006D2873" w:rsidP="00264523">
      <w:pPr>
        <w:pStyle w:val="ChartandTableFootnoteAlpha"/>
        <w:rPr>
          <w:rFonts w:cs="Arial"/>
        </w:rPr>
      </w:pPr>
      <w:r w:rsidRPr="00321EC0">
        <w:t>The figures for cash at the beginning and end of the reporting period excludes cash held in the Official Public Account as this is not inc</w:t>
      </w:r>
      <w:r w:rsidR="0042762D" w:rsidRPr="00321EC0">
        <w:t>luded as part of our estimates.</w:t>
      </w:r>
    </w:p>
    <w:p w14:paraId="028D1CBE" w14:textId="77777777" w:rsidR="00621956" w:rsidRPr="00321EC0" w:rsidRDefault="00621956" w:rsidP="00D948BC"/>
    <w:p w14:paraId="7A9443D1" w14:textId="77777777" w:rsidR="003A09B7" w:rsidRPr="00321EC0" w:rsidRDefault="003A09B7" w:rsidP="00D948BC"/>
    <w:p w14:paraId="24FA9BDF" w14:textId="77777777" w:rsidR="003A09B7" w:rsidRPr="00321EC0" w:rsidRDefault="003A09B7" w:rsidP="00D948BC"/>
    <w:p w14:paraId="3D3A76A1" w14:textId="77777777" w:rsidR="003A09B7" w:rsidRPr="00321EC0" w:rsidRDefault="003A09B7" w:rsidP="00D948BC"/>
    <w:p w14:paraId="6DDB9FC3" w14:textId="77777777" w:rsidR="004F14E4" w:rsidRPr="00321EC0" w:rsidRDefault="007D5358" w:rsidP="004F14E4">
      <w:pPr>
        <w:pStyle w:val="TableHeading"/>
        <w:spacing w:before="0"/>
        <w:rPr>
          <w:lang w:val="en-AU"/>
        </w:rPr>
      </w:pPr>
      <w:r w:rsidRPr="00321EC0">
        <w:rPr>
          <w:snapToGrid w:val="0"/>
        </w:rPr>
        <w:t>Table 3.</w:t>
      </w:r>
      <w:r w:rsidR="001F46A6" w:rsidRPr="00321EC0">
        <w:rPr>
          <w:snapToGrid w:val="0"/>
        </w:rPr>
        <w:t>11</w:t>
      </w:r>
      <w:r w:rsidR="004F14E4" w:rsidRPr="00321EC0">
        <w:rPr>
          <w:snapToGrid w:val="0"/>
        </w:rPr>
        <w:t xml:space="preserve">: Schedule of </w:t>
      </w:r>
      <w:r w:rsidR="001E4A2D" w:rsidRPr="00321EC0">
        <w:rPr>
          <w:snapToGrid w:val="0"/>
        </w:rPr>
        <w:t>administered capital budget</w:t>
      </w:r>
      <w:r w:rsidR="001E4A2D" w:rsidRPr="00321EC0">
        <w:rPr>
          <w:snapToGrid w:val="0"/>
          <w:lang w:val="en-AU"/>
        </w:rPr>
        <w:t xml:space="preserve"> </w:t>
      </w:r>
      <w:r w:rsidR="00327424" w:rsidRPr="00321EC0">
        <w:rPr>
          <w:snapToGrid w:val="0"/>
          <w:lang w:val="en-AU"/>
        </w:rPr>
        <w:t>(for the period ended 30 June)</w:t>
      </w:r>
    </w:p>
    <w:p w14:paraId="1D8D0051" w14:textId="35E6223B" w:rsidR="000C3374" w:rsidRPr="00321EC0" w:rsidRDefault="00B8160D" w:rsidP="006B3603">
      <w:pPr>
        <w:pStyle w:val="TableGraphic"/>
      </w:pPr>
      <w:r w:rsidRPr="00B8160D">
        <w:rPr>
          <w:noProof/>
        </w:rPr>
        <w:drawing>
          <wp:inline distT="0" distB="0" distL="0" distR="0" wp14:anchorId="0D963B5D" wp14:editId="66FF4EBA">
            <wp:extent cx="4896485" cy="328405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896485" cy="3284058"/>
                    </a:xfrm>
                    <a:prstGeom prst="rect">
                      <a:avLst/>
                    </a:prstGeom>
                    <a:noFill/>
                    <a:ln>
                      <a:noFill/>
                    </a:ln>
                  </pic:spPr>
                </pic:pic>
              </a:graphicData>
            </a:graphic>
          </wp:inline>
        </w:drawing>
      </w:r>
      <w:r w:rsidR="00BB21C5" w:rsidRPr="00321EC0">
        <w:rPr>
          <w:i w:val="0"/>
        </w:rPr>
        <w:t xml:space="preserve"> </w:t>
      </w:r>
    </w:p>
    <w:p w14:paraId="4551DC4C" w14:textId="77777777" w:rsidR="00BB21C5" w:rsidRPr="00321EC0" w:rsidRDefault="00BB21C5" w:rsidP="00BB21C5">
      <w:pPr>
        <w:pStyle w:val="Source"/>
      </w:pPr>
      <w:r w:rsidRPr="00321EC0">
        <w:t>Prepared on Australian Accounting Standards basis.</w:t>
      </w:r>
    </w:p>
    <w:p w14:paraId="707D2447" w14:textId="77777777" w:rsidR="00BB21C5" w:rsidRPr="00321EC0" w:rsidRDefault="00BB21C5" w:rsidP="00D948BC">
      <w:pPr>
        <w:pStyle w:val="ChartandTableFootnoteAlpha"/>
        <w:numPr>
          <w:ilvl w:val="0"/>
          <w:numId w:val="0"/>
        </w:numPr>
        <w:ind w:left="397" w:hanging="397"/>
      </w:pPr>
    </w:p>
    <w:p w14:paraId="0BE59B60" w14:textId="77777777" w:rsidR="0042762D" w:rsidRPr="00321EC0" w:rsidRDefault="0042762D" w:rsidP="00264523">
      <w:pPr>
        <w:pStyle w:val="ChartandTableFootnoteAlpha"/>
        <w:numPr>
          <w:ilvl w:val="0"/>
          <w:numId w:val="7"/>
        </w:numPr>
      </w:pPr>
      <w:r w:rsidRPr="00321EC0">
        <w:t xml:space="preserve">The ACB is used to fund the replacement of assets purchased through administered annual appropriations. </w:t>
      </w:r>
    </w:p>
    <w:p w14:paraId="028674CA" w14:textId="2194936A" w:rsidR="004F14E4" w:rsidRPr="00321EC0" w:rsidRDefault="0042762D" w:rsidP="00264523">
      <w:pPr>
        <w:pStyle w:val="ChartandTableFootnoteAlpha"/>
        <w:numPr>
          <w:ilvl w:val="0"/>
          <w:numId w:val="7"/>
        </w:numPr>
      </w:pPr>
      <w:r w:rsidRPr="00321EC0">
        <w:t xml:space="preserve">Administered Assets and Liabilities includes a capital injection for acts of grace and liabilities and an injection </w:t>
      </w:r>
      <w:r w:rsidR="00FD5C75">
        <w:t>for capital works on the Intra-g</w:t>
      </w:r>
      <w:r w:rsidRPr="00321EC0">
        <w:t>overnment Communications Network, which is offset through entity contributions that are returned to the budget.</w:t>
      </w:r>
    </w:p>
    <w:p w14:paraId="7B3B24B9" w14:textId="369C1BF4" w:rsidR="00001360" w:rsidRDefault="00001360" w:rsidP="00F51DAC">
      <w:pPr>
        <w:pStyle w:val="SingleParagraph"/>
        <w:rPr>
          <w:snapToGrid w:val="0"/>
        </w:rPr>
      </w:pPr>
      <w:r>
        <w:rPr>
          <w:snapToGrid w:val="0"/>
        </w:rPr>
        <w:br w:type="page"/>
      </w:r>
    </w:p>
    <w:p w14:paraId="4A922721" w14:textId="77777777" w:rsidR="004F14E4" w:rsidRPr="00321EC0" w:rsidRDefault="007D5358" w:rsidP="004F14E4">
      <w:pPr>
        <w:pStyle w:val="TableHeading"/>
        <w:spacing w:before="0"/>
      </w:pPr>
      <w:r w:rsidRPr="00321EC0">
        <w:rPr>
          <w:snapToGrid w:val="0"/>
        </w:rPr>
        <w:t>Table 3.</w:t>
      </w:r>
      <w:r w:rsidR="004F14E4" w:rsidRPr="00321EC0">
        <w:rPr>
          <w:snapToGrid w:val="0"/>
        </w:rPr>
        <w:t>1</w:t>
      </w:r>
      <w:r w:rsidR="00F05CAE" w:rsidRPr="00321EC0">
        <w:rPr>
          <w:snapToGrid w:val="0"/>
          <w:lang w:val="en-AU"/>
        </w:rPr>
        <w:t>2</w:t>
      </w:r>
      <w:r w:rsidR="004F14E4" w:rsidRPr="00321EC0">
        <w:rPr>
          <w:snapToGrid w:val="0"/>
        </w:rPr>
        <w:t xml:space="preserve">: Statement of </w:t>
      </w:r>
      <w:r w:rsidR="006641EE" w:rsidRPr="00321EC0">
        <w:rPr>
          <w:snapToGrid w:val="0"/>
        </w:rPr>
        <w:t xml:space="preserve">administered asset movements </w:t>
      </w:r>
      <w:r w:rsidR="004F14E4" w:rsidRPr="00321EC0">
        <w:rPr>
          <w:snapToGrid w:val="0"/>
        </w:rPr>
        <w:t>(</w:t>
      </w:r>
      <w:r w:rsidR="0098343F" w:rsidRPr="00321EC0">
        <w:rPr>
          <w:snapToGrid w:val="0"/>
          <w:lang w:val="en-AU"/>
        </w:rPr>
        <w:t>2020-21</w:t>
      </w:r>
      <w:r w:rsidR="00D35707" w:rsidRPr="00321EC0">
        <w:rPr>
          <w:snapToGrid w:val="0"/>
          <w:lang w:val="en-AU"/>
        </w:rPr>
        <w:t xml:space="preserve"> Budget year</w:t>
      </w:r>
      <w:r w:rsidR="004F14E4" w:rsidRPr="00321EC0">
        <w:rPr>
          <w:snapToGrid w:val="0"/>
        </w:rPr>
        <w:t>)</w:t>
      </w:r>
      <w:r w:rsidR="008D4221" w:rsidRPr="00321EC0">
        <w:rPr>
          <w:b w:val="0"/>
          <w:snapToGrid w:val="0"/>
        </w:rPr>
        <w:t xml:space="preserve"> </w:t>
      </w:r>
    </w:p>
    <w:p w14:paraId="63F4097C" w14:textId="5961066D" w:rsidR="005B1BC8" w:rsidRPr="00321EC0" w:rsidRDefault="00ED6B43" w:rsidP="006B3603">
      <w:pPr>
        <w:pStyle w:val="TableGraphic"/>
      </w:pPr>
      <w:r w:rsidRPr="00ED6B43">
        <w:rPr>
          <w:noProof/>
        </w:rPr>
        <w:drawing>
          <wp:inline distT="0" distB="0" distL="0" distR="0" wp14:anchorId="6576E514" wp14:editId="5B40BEEF">
            <wp:extent cx="4896485" cy="520033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896485" cy="5200336"/>
                    </a:xfrm>
                    <a:prstGeom prst="rect">
                      <a:avLst/>
                    </a:prstGeom>
                    <a:noFill/>
                    <a:ln>
                      <a:noFill/>
                    </a:ln>
                  </pic:spPr>
                </pic:pic>
              </a:graphicData>
            </a:graphic>
          </wp:inline>
        </w:drawing>
      </w:r>
    </w:p>
    <w:p w14:paraId="241CB47D" w14:textId="10E52842" w:rsidR="00CB5427" w:rsidRDefault="00D47F7B" w:rsidP="007B3DA1">
      <w:pPr>
        <w:rPr>
          <w:rFonts w:ascii="Arial" w:hAnsi="Arial"/>
          <w:sz w:val="16"/>
        </w:rPr>
      </w:pPr>
      <w:r w:rsidRPr="00321EC0">
        <w:rPr>
          <w:rFonts w:ascii="Arial" w:hAnsi="Arial"/>
          <w:sz w:val="16"/>
        </w:rPr>
        <w:t>Prepared on Australian Accounting Standards basis.</w:t>
      </w:r>
    </w:p>
    <w:p w14:paraId="690BB705" w14:textId="77777777" w:rsidR="00167953" w:rsidRDefault="00167953" w:rsidP="007B3DA1">
      <w:pPr>
        <w:sectPr w:rsidR="00167953" w:rsidSect="0079249B">
          <w:headerReference w:type="default" r:id="rId128"/>
          <w:footerReference w:type="default" r:id="rId129"/>
          <w:headerReference w:type="first" r:id="rId130"/>
          <w:footerReference w:type="first" r:id="rId131"/>
          <w:pgSz w:w="11907" w:h="16840" w:code="9"/>
          <w:pgMar w:top="2466" w:right="2098" w:bottom="2466" w:left="2098" w:header="1899" w:footer="1899" w:gutter="0"/>
          <w:cols w:space="720"/>
          <w:titlePg/>
          <w:docGrid w:linePitch="272"/>
        </w:sectPr>
      </w:pPr>
    </w:p>
    <w:p w14:paraId="3FFA17F5" w14:textId="77777777" w:rsidR="00167953" w:rsidRDefault="00167953" w:rsidP="007B3DA1">
      <w:pPr>
        <w:sectPr w:rsidR="00167953" w:rsidSect="006127D0">
          <w:headerReference w:type="first" r:id="rId132"/>
          <w:footerReference w:type="first" r:id="rId133"/>
          <w:pgSz w:w="11907" w:h="16840" w:code="9"/>
          <w:pgMar w:top="2466" w:right="2098" w:bottom="2466" w:left="2098" w:header="1899" w:footer="1899" w:gutter="0"/>
          <w:cols w:space="720"/>
          <w:titlePg/>
          <w:docGrid w:linePitch="272"/>
        </w:sectPr>
      </w:pP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79C198BA" w14:textId="77777777" w:rsidR="00B26B34" w:rsidRPr="00321EC0" w:rsidRDefault="00B26B34" w:rsidP="00B26B34">
      <w:pPr>
        <w:pStyle w:val="Heading1-NoTOC"/>
        <w:rPr>
          <w:lang w:val="en-US"/>
        </w:rPr>
      </w:pPr>
      <w:r w:rsidRPr="00321EC0">
        <w:rPr>
          <w:lang w:val="en-US"/>
        </w:rPr>
        <w:t>Australian Electoral Commission</w:t>
      </w:r>
    </w:p>
    <w:p w14:paraId="130D1AEC" w14:textId="12ED7F4B" w:rsidR="00B26B34" w:rsidRPr="00321EC0" w:rsidRDefault="00B26B34" w:rsidP="00B26B34">
      <w:pPr>
        <w:pStyle w:val="TOC1"/>
        <w:rPr>
          <w:rFonts w:asciiTheme="minorHAnsi" w:eastAsiaTheme="minorEastAsia" w:hAnsiTheme="minorHAnsi" w:cstheme="minorBidi"/>
          <w:b w:val="0"/>
          <w:noProof/>
          <w:sz w:val="22"/>
          <w:szCs w:val="22"/>
        </w:rPr>
      </w:pPr>
      <w:r w:rsidRPr="00321EC0">
        <w:fldChar w:fldCharType="begin"/>
      </w:r>
      <w:r w:rsidRPr="00321EC0">
        <w:instrText xml:space="preserve"> TOC \h \z \t "Heading 3,2,Heading 2 - TOC,1" </w:instrText>
      </w:r>
      <w:r w:rsidRPr="00321EC0">
        <w:fldChar w:fldCharType="separate"/>
      </w:r>
      <w:hyperlink w:anchor="_Toc62204209" w:history="1">
        <w:r w:rsidRPr="00321EC0">
          <w:rPr>
            <w:rStyle w:val="Hyperlink"/>
            <w:noProof/>
          </w:rPr>
          <w:t>Section 1: Entity overview and resources</w:t>
        </w:r>
        <w:r w:rsidRPr="00321EC0">
          <w:rPr>
            <w:noProof/>
            <w:webHidden/>
          </w:rPr>
          <w:tab/>
        </w:r>
        <w:r w:rsidRPr="00321EC0">
          <w:rPr>
            <w:noProof/>
            <w:webHidden/>
          </w:rPr>
          <w:fldChar w:fldCharType="begin"/>
        </w:r>
        <w:r w:rsidRPr="00321EC0">
          <w:rPr>
            <w:noProof/>
            <w:webHidden/>
          </w:rPr>
          <w:instrText xml:space="preserve"> PAGEREF _Toc62204209 \h </w:instrText>
        </w:r>
        <w:r w:rsidRPr="00321EC0">
          <w:rPr>
            <w:noProof/>
            <w:webHidden/>
          </w:rPr>
        </w:r>
        <w:r w:rsidRPr="00321EC0">
          <w:rPr>
            <w:noProof/>
            <w:webHidden/>
          </w:rPr>
          <w:fldChar w:fldCharType="separate"/>
        </w:r>
        <w:r w:rsidR="00CF6368">
          <w:rPr>
            <w:noProof/>
            <w:webHidden/>
          </w:rPr>
          <w:t>60</w:t>
        </w:r>
        <w:r w:rsidRPr="00321EC0">
          <w:rPr>
            <w:noProof/>
            <w:webHidden/>
          </w:rPr>
          <w:fldChar w:fldCharType="end"/>
        </w:r>
      </w:hyperlink>
    </w:p>
    <w:p w14:paraId="78CE933E" w14:textId="763D774A"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10" w:history="1">
        <w:r w:rsidR="00B26B34" w:rsidRPr="00321EC0">
          <w:rPr>
            <w:rStyle w:val="Hyperlink"/>
            <w:noProof/>
          </w:rPr>
          <w:t>1.1</w:t>
        </w:r>
        <w:r w:rsidR="00B26B34" w:rsidRPr="00321EC0">
          <w:rPr>
            <w:rFonts w:asciiTheme="minorHAnsi" w:eastAsiaTheme="minorEastAsia" w:hAnsiTheme="minorHAnsi" w:cstheme="minorBidi"/>
            <w:noProof/>
            <w:sz w:val="22"/>
            <w:szCs w:val="22"/>
          </w:rPr>
          <w:tab/>
        </w:r>
        <w:r w:rsidR="00B26B34" w:rsidRPr="00321EC0">
          <w:rPr>
            <w:rStyle w:val="Hyperlink"/>
            <w:noProof/>
          </w:rPr>
          <w:t>Strategic direction statement</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_Toc62204210 \h </w:instrText>
        </w:r>
        <w:r w:rsidR="00B26B34" w:rsidRPr="00321EC0">
          <w:rPr>
            <w:noProof/>
            <w:webHidden/>
          </w:rPr>
        </w:r>
        <w:r w:rsidR="00B26B34" w:rsidRPr="00321EC0">
          <w:rPr>
            <w:noProof/>
            <w:webHidden/>
          </w:rPr>
          <w:fldChar w:fldCharType="separate"/>
        </w:r>
        <w:r w:rsidR="00CF6368">
          <w:rPr>
            <w:noProof/>
            <w:webHidden/>
          </w:rPr>
          <w:t>60</w:t>
        </w:r>
        <w:r w:rsidR="00B26B34" w:rsidRPr="00321EC0">
          <w:rPr>
            <w:noProof/>
            <w:webHidden/>
          </w:rPr>
          <w:fldChar w:fldCharType="end"/>
        </w:r>
      </w:hyperlink>
    </w:p>
    <w:p w14:paraId="27F3A49D" w14:textId="0729BE3A"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11" w:history="1">
        <w:r w:rsidR="00B26B34" w:rsidRPr="00321EC0">
          <w:rPr>
            <w:rStyle w:val="Hyperlink"/>
            <w:noProof/>
          </w:rPr>
          <w:t>1.2</w:t>
        </w:r>
        <w:r w:rsidR="00B26B34" w:rsidRPr="00321EC0">
          <w:rPr>
            <w:rFonts w:asciiTheme="minorHAnsi" w:eastAsiaTheme="minorEastAsia" w:hAnsiTheme="minorHAnsi" w:cstheme="minorBidi"/>
            <w:noProof/>
            <w:sz w:val="22"/>
            <w:szCs w:val="22"/>
          </w:rPr>
          <w:tab/>
        </w:r>
        <w:r w:rsidR="00B26B34" w:rsidRPr="00321EC0">
          <w:rPr>
            <w:rStyle w:val="Hyperlink"/>
            <w:noProof/>
          </w:rPr>
          <w:t>Entity resource statement</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_Toc62204211 \h </w:instrText>
        </w:r>
        <w:r w:rsidR="00B26B34" w:rsidRPr="00321EC0">
          <w:rPr>
            <w:noProof/>
            <w:webHidden/>
          </w:rPr>
        </w:r>
        <w:r w:rsidR="00B26B34" w:rsidRPr="00321EC0">
          <w:rPr>
            <w:noProof/>
            <w:webHidden/>
          </w:rPr>
          <w:fldChar w:fldCharType="separate"/>
        </w:r>
        <w:r w:rsidR="00CF6368">
          <w:rPr>
            <w:noProof/>
            <w:webHidden/>
          </w:rPr>
          <w:t>60</w:t>
        </w:r>
        <w:r w:rsidR="00B26B34" w:rsidRPr="00321EC0">
          <w:rPr>
            <w:noProof/>
            <w:webHidden/>
          </w:rPr>
          <w:fldChar w:fldCharType="end"/>
        </w:r>
      </w:hyperlink>
    </w:p>
    <w:p w14:paraId="48FEF4E0" w14:textId="52A2E4D5"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12" w:history="1">
        <w:r w:rsidR="00B26B34" w:rsidRPr="00321EC0">
          <w:rPr>
            <w:rStyle w:val="Hyperlink"/>
            <w:noProof/>
          </w:rPr>
          <w:t>1.3</w:t>
        </w:r>
        <w:r w:rsidR="00B26B34" w:rsidRPr="00321EC0">
          <w:rPr>
            <w:rFonts w:asciiTheme="minorHAnsi" w:eastAsiaTheme="minorEastAsia" w:hAnsiTheme="minorHAnsi" w:cstheme="minorBidi"/>
            <w:noProof/>
            <w:sz w:val="22"/>
            <w:szCs w:val="22"/>
          </w:rPr>
          <w:tab/>
        </w:r>
        <w:r w:rsidR="00B26B34" w:rsidRPr="00321EC0">
          <w:rPr>
            <w:rStyle w:val="Hyperlink"/>
            <w:noProof/>
          </w:rPr>
          <w:t>Entity measures</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_Toc62204212 \h </w:instrText>
        </w:r>
        <w:r w:rsidR="00B26B34" w:rsidRPr="00321EC0">
          <w:rPr>
            <w:noProof/>
            <w:webHidden/>
          </w:rPr>
        </w:r>
        <w:r w:rsidR="00B26B34" w:rsidRPr="00321EC0">
          <w:rPr>
            <w:noProof/>
            <w:webHidden/>
          </w:rPr>
          <w:fldChar w:fldCharType="separate"/>
        </w:r>
        <w:r w:rsidR="00CF6368">
          <w:rPr>
            <w:noProof/>
            <w:webHidden/>
          </w:rPr>
          <w:t>62</w:t>
        </w:r>
        <w:r w:rsidR="00B26B34" w:rsidRPr="00321EC0">
          <w:rPr>
            <w:noProof/>
            <w:webHidden/>
          </w:rPr>
          <w:fldChar w:fldCharType="end"/>
        </w:r>
      </w:hyperlink>
    </w:p>
    <w:p w14:paraId="7805070B" w14:textId="5F6B2F8A"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13" w:history="1">
        <w:r w:rsidR="00B26B34" w:rsidRPr="00321EC0">
          <w:rPr>
            <w:rStyle w:val="Hyperlink"/>
            <w:noProof/>
          </w:rPr>
          <w:t>1.4</w:t>
        </w:r>
        <w:r w:rsidR="00B26B34" w:rsidRPr="00321EC0">
          <w:rPr>
            <w:rFonts w:asciiTheme="minorHAnsi" w:eastAsiaTheme="minorEastAsia" w:hAnsiTheme="minorHAnsi" w:cstheme="minorBidi"/>
            <w:noProof/>
            <w:sz w:val="22"/>
            <w:szCs w:val="22"/>
          </w:rPr>
          <w:tab/>
        </w:r>
        <w:r w:rsidR="00B26B34" w:rsidRPr="00321EC0">
          <w:rPr>
            <w:rStyle w:val="Hyperlink"/>
            <w:noProof/>
          </w:rPr>
          <w:t>Additional estimates, resourcing and variations to outcomes</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_Toc62204213 \h </w:instrText>
        </w:r>
        <w:r w:rsidR="00B26B34" w:rsidRPr="00321EC0">
          <w:rPr>
            <w:noProof/>
            <w:webHidden/>
          </w:rPr>
        </w:r>
        <w:r w:rsidR="00B26B34" w:rsidRPr="00321EC0">
          <w:rPr>
            <w:noProof/>
            <w:webHidden/>
          </w:rPr>
          <w:fldChar w:fldCharType="separate"/>
        </w:r>
        <w:r w:rsidR="00CF6368">
          <w:rPr>
            <w:noProof/>
            <w:webHidden/>
          </w:rPr>
          <w:t>63</w:t>
        </w:r>
        <w:r w:rsidR="00B26B34" w:rsidRPr="00321EC0">
          <w:rPr>
            <w:noProof/>
            <w:webHidden/>
          </w:rPr>
          <w:fldChar w:fldCharType="end"/>
        </w:r>
      </w:hyperlink>
    </w:p>
    <w:p w14:paraId="73EC30BF" w14:textId="1292029A"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14" w:history="1">
        <w:r w:rsidR="00B26B34" w:rsidRPr="00321EC0">
          <w:rPr>
            <w:rStyle w:val="Hyperlink"/>
            <w:noProof/>
          </w:rPr>
          <w:t>1.5</w:t>
        </w:r>
        <w:r w:rsidR="00B26B34" w:rsidRPr="00321EC0">
          <w:rPr>
            <w:rFonts w:asciiTheme="minorHAnsi" w:eastAsiaTheme="minorEastAsia" w:hAnsiTheme="minorHAnsi" w:cstheme="minorBidi"/>
            <w:noProof/>
            <w:sz w:val="22"/>
            <w:szCs w:val="22"/>
          </w:rPr>
          <w:tab/>
        </w:r>
        <w:r w:rsidR="00B26B34" w:rsidRPr="00321EC0">
          <w:rPr>
            <w:rStyle w:val="Hyperlink"/>
            <w:noProof/>
          </w:rPr>
          <w:t>Breakdown of additional estimates by appropriation bill</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_Toc62204214 \h </w:instrText>
        </w:r>
        <w:r w:rsidR="00B26B34" w:rsidRPr="00321EC0">
          <w:rPr>
            <w:noProof/>
            <w:webHidden/>
          </w:rPr>
        </w:r>
        <w:r w:rsidR="00B26B34" w:rsidRPr="00321EC0">
          <w:rPr>
            <w:noProof/>
            <w:webHidden/>
          </w:rPr>
          <w:fldChar w:fldCharType="separate"/>
        </w:r>
        <w:r w:rsidR="00CF6368">
          <w:rPr>
            <w:noProof/>
            <w:webHidden/>
          </w:rPr>
          <w:t>64</w:t>
        </w:r>
        <w:r w:rsidR="00B26B34" w:rsidRPr="00321EC0">
          <w:rPr>
            <w:noProof/>
            <w:webHidden/>
          </w:rPr>
          <w:fldChar w:fldCharType="end"/>
        </w:r>
      </w:hyperlink>
    </w:p>
    <w:p w14:paraId="4717040D" w14:textId="23E0C820" w:rsidR="00B26B34" w:rsidRPr="00321EC0" w:rsidRDefault="0019528E" w:rsidP="00B26B34">
      <w:pPr>
        <w:pStyle w:val="TOC1"/>
        <w:rPr>
          <w:rFonts w:asciiTheme="minorHAnsi" w:eastAsiaTheme="minorEastAsia" w:hAnsiTheme="minorHAnsi" w:cstheme="minorBidi"/>
          <w:b w:val="0"/>
          <w:noProof/>
          <w:sz w:val="22"/>
          <w:szCs w:val="22"/>
        </w:rPr>
      </w:pPr>
      <w:hyperlink w:anchor="_Toc62204215" w:history="1">
        <w:r w:rsidR="00B26B34" w:rsidRPr="00321EC0">
          <w:rPr>
            <w:rStyle w:val="Hyperlink"/>
            <w:noProof/>
          </w:rPr>
          <w:t>Section 2: Revisions to outcomes and planned performance</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_Toc62204215 \h </w:instrText>
        </w:r>
        <w:r w:rsidR="00B26B34" w:rsidRPr="00321EC0">
          <w:rPr>
            <w:noProof/>
            <w:webHidden/>
          </w:rPr>
        </w:r>
        <w:r w:rsidR="00B26B34" w:rsidRPr="00321EC0">
          <w:rPr>
            <w:noProof/>
            <w:webHidden/>
          </w:rPr>
          <w:fldChar w:fldCharType="separate"/>
        </w:r>
        <w:r w:rsidR="00CF6368">
          <w:rPr>
            <w:noProof/>
            <w:webHidden/>
          </w:rPr>
          <w:t>65</w:t>
        </w:r>
        <w:r w:rsidR="00B26B34" w:rsidRPr="00321EC0">
          <w:rPr>
            <w:noProof/>
            <w:webHidden/>
          </w:rPr>
          <w:fldChar w:fldCharType="end"/>
        </w:r>
      </w:hyperlink>
    </w:p>
    <w:p w14:paraId="59033984" w14:textId="632562B0"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16" w:history="1">
        <w:r w:rsidR="00B26B34" w:rsidRPr="00321EC0">
          <w:rPr>
            <w:rStyle w:val="Hyperlink"/>
            <w:noProof/>
          </w:rPr>
          <w:t>2.1</w:t>
        </w:r>
        <w:r w:rsidR="00B26B34" w:rsidRPr="00321EC0">
          <w:rPr>
            <w:rFonts w:asciiTheme="minorHAnsi" w:eastAsiaTheme="minorEastAsia" w:hAnsiTheme="minorHAnsi" w:cstheme="minorBidi"/>
            <w:noProof/>
            <w:sz w:val="22"/>
            <w:szCs w:val="22"/>
          </w:rPr>
          <w:tab/>
        </w:r>
        <w:r w:rsidR="00B26B34" w:rsidRPr="00321EC0">
          <w:rPr>
            <w:rStyle w:val="Hyperlink"/>
            <w:noProof/>
          </w:rPr>
          <w:t>Changes to outcome and program structures</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_Toc62204216 \h </w:instrText>
        </w:r>
        <w:r w:rsidR="00B26B34" w:rsidRPr="00321EC0">
          <w:rPr>
            <w:noProof/>
            <w:webHidden/>
          </w:rPr>
        </w:r>
        <w:r w:rsidR="00B26B34" w:rsidRPr="00321EC0">
          <w:rPr>
            <w:noProof/>
            <w:webHidden/>
          </w:rPr>
          <w:fldChar w:fldCharType="separate"/>
        </w:r>
        <w:r w:rsidR="00CF6368">
          <w:rPr>
            <w:noProof/>
            <w:webHidden/>
          </w:rPr>
          <w:t>65</w:t>
        </w:r>
        <w:r w:rsidR="00B26B34" w:rsidRPr="00321EC0">
          <w:rPr>
            <w:noProof/>
            <w:webHidden/>
          </w:rPr>
          <w:fldChar w:fldCharType="end"/>
        </w:r>
      </w:hyperlink>
    </w:p>
    <w:p w14:paraId="6BC27223" w14:textId="5FAA7BD8"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17" w:history="1">
        <w:r w:rsidR="00B26B34" w:rsidRPr="00321EC0">
          <w:rPr>
            <w:rStyle w:val="Hyperlink"/>
            <w:noProof/>
          </w:rPr>
          <w:t>2.2</w:t>
        </w:r>
        <w:r w:rsidR="00B26B34" w:rsidRPr="00321EC0">
          <w:rPr>
            <w:rFonts w:asciiTheme="minorHAnsi" w:eastAsiaTheme="minorEastAsia" w:hAnsiTheme="minorHAnsi" w:cstheme="minorBidi"/>
            <w:noProof/>
            <w:sz w:val="22"/>
            <w:szCs w:val="22"/>
          </w:rPr>
          <w:tab/>
        </w:r>
        <w:r w:rsidR="00B26B34" w:rsidRPr="00321EC0">
          <w:rPr>
            <w:rStyle w:val="Hyperlink"/>
            <w:noProof/>
          </w:rPr>
          <w:t>Budgeted expenses and performance for outcome 1</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_Toc62204217 \h </w:instrText>
        </w:r>
        <w:r w:rsidR="00B26B34" w:rsidRPr="00321EC0">
          <w:rPr>
            <w:noProof/>
            <w:webHidden/>
          </w:rPr>
        </w:r>
        <w:r w:rsidR="00B26B34" w:rsidRPr="00321EC0">
          <w:rPr>
            <w:noProof/>
            <w:webHidden/>
          </w:rPr>
          <w:fldChar w:fldCharType="separate"/>
        </w:r>
        <w:r w:rsidR="00CF6368">
          <w:rPr>
            <w:noProof/>
            <w:webHidden/>
          </w:rPr>
          <w:t>65</w:t>
        </w:r>
        <w:r w:rsidR="00B26B34" w:rsidRPr="00321EC0">
          <w:rPr>
            <w:noProof/>
            <w:webHidden/>
          </w:rPr>
          <w:fldChar w:fldCharType="end"/>
        </w:r>
      </w:hyperlink>
    </w:p>
    <w:p w14:paraId="1DA1AC37" w14:textId="702C0B9C" w:rsidR="00B26B34" w:rsidRPr="00321EC0" w:rsidRDefault="0019528E" w:rsidP="00B26B34">
      <w:pPr>
        <w:pStyle w:val="TOC1"/>
        <w:rPr>
          <w:rFonts w:asciiTheme="minorHAnsi" w:eastAsiaTheme="minorEastAsia" w:hAnsiTheme="minorHAnsi" w:cstheme="minorBidi"/>
          <w:b w:val="0"/>
          <w:noProof/>
          <w:sz w:val="22"/>
          <w:szCs w:val="22"/>
        </w:rPr>
      </w:pPr>
      <w:hyperlink w:anchor="_Toc62204218" w:history="1">
        <w:r w:rsidR="00B26B34" w:rsidRPr="00321EC0">
          <w:rPr>
            <w:rStyle w:val="Hyperlink"/>
            <w:noProof/>
          </w:rPr>
          <w:t>Section 3: Special account flows and budgeted financial statements</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_Toc62204218 \h </w:instrText>
        </w:r>
        <w:r w:rsidR="00B26B34" w:rsidRPr="00321EC0">
          <w:rPr>
            <w:noProof/>
            <w:webHidden/>
          </w:rPr>
        </w:r>
        <w:r w:rsidR="00B26B34" w:rsidRPr="00321EC0">
          <w:rPr>
            <w:noProof/>
            <w:webHidden/>
          </w:rPr>
          <w:fldChar w:fldCharType="separate"/>
        </w:r>
        <w:r w:rsidR="00CF6368">
          <w:rPr>
            <w:noProof/>
            <w:webHidden/>
          </w:rPr>
          <w:t>68</w:t>
        </w:r>
        <w:r w:rsidR="00B26B34" w:rsidRPr="00321EC0">
          <w:rPr>
            <w:noProof/>
            <w:webHidden/>
          </w:rPr>
          <w:fldChar w:fldCharType="end"/>
        </w:r>
      </w:hyperlink>
    </w:p>
    <w:p w14:paraId="5E588B6D" w14:textId="26B84463"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19" w:history="1">
        <w:r w:rsidR="00B26B34" w:rsidRPr="00321EC0">
          <w:rPr>
            <w:rStyle w:val="Hyperlink"/>
            <w:noProof/>
          </w:rPr>
          <w:t>3.1</w:t>
        </w:r>
        <w:r w:rsidR="00B26B34" w:rsidRPr="00321EC0">
          <w:rPr>
            <w:rFonts w:asciiTheme="minorHAnsi" w:eastAsiaTheme="minorEastAsia" w:hAnsiTheme="minorHAnsi" w:cstheme="minorBidi"/>
            <w:noProof/>
            <w:sz w:val="22"/>
            <w:szCs w:val="22"/>
          </w:rPr>
          <w:tab/>
        </w:r>
        <w:r w:rsidR="00B26B34" w:rsidRPr="00321EC0">
          <w:rPr>
            <w:rStyle w:val="Hyperlink"/>
            <w:noProof/>
          </w:rPr>
          <w:t>Special account flows</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_Toc62204219 \h </w:instrText>
        </w:r>
        <w:r w:rsidR="00B26B34" w:rsidRPr="00321EC0">
          <w:rPr>
            <w:noProof/>
            <w:webHidden/>
          </w:rPr>
        </w:r>
        <w:r w:rsidR="00B26B34" w:rsidRPr="00321EC0">
          <w:rPr>
            <w:noProof/>
            <w:webHidden/>
          </w:rPr>
          <w:fldChar w:fldCharType="separate"/>
        </w:r>
        <w:r w:rsidR="00CF6368">
          <w:rPr>
            <w:noProof/>
            <w:webHidden/>
          </w:rPr>
          <w:t>68</w:t>
        </w:r>
        <w:r w:rsidR="00B26B34" w:rsidRPr="00321EC0">
          <w:rPr>
            <w:noProof/>
            <w:webHidden/>
          </w:rPr>
          <w:fldChar w:fldCharType="end"/>
        </w:r>
      </w:hyperlink>
    </w:p>
    <w:p w14:paraId="05E9BF73" w14:textId="3919356B" w:rsidR="00B26B34" w:rsidRPr="00321EC0" w:rsidRDefault="0019528E" w:rsidP="00B26B34">
      <w:pPr>
        <w:pStyle w:val="TOC2"/>
        <w:tabs>
          <w:tab w:val="left" w:pos="660"/>
        </w:tabs>
        <w:rPr>
          <w:rFonts w:asciiTheme="minorHAnsi" w:eastAsiaTheme="minorEastAsia" w:hAnsiTheme="minorHAnsi" w:cstheme="minorBidi"/>
          <w:noProof/>
          <w:sz w:val="22"/>
          <w:szCs w:val="22"/>
        </w:rPr>
      </w:pPr>
      <w:hyperlink w:anchor="_Toc62204220" w:history="1">
        <w:r w:rsidR="00B26B34" w:rsidRPr="00321EC0">
          <w:rPr>
            <w:rStyle w:val="Hyperlink"/>
            <w:noProof/>
          </w:rPr>
          <w:t>3.2</w:t>
        </w:r>
        <w:r w:rsidR="00B26B34" w:rsidRPr="00321EC0">
          <w:rPr>
            <w:rFonts w:asciiTheme="minorHAnsi" w:eastAsiaTheme="minorEastAsia" w:hAnsiTheme="minorHAnsi" w:cstheme="minorBidi"/>
            <w:noProof/>
            <w:sz w:val="22"/>
            <w:szCs w:val="22"/>
          </w:rPr>
          <w:tab/>
        </w:r>
        <w:r w:rsidR="00B26B34" w:rsidRPr="00321EC0">
          <w:rPr>
            <w:rStyle w:val="Hyperlink"/>
            <w:noProof/>
          </w:rPr>
          <w:t>Budgeted financial statements</w:t>
        </w:r>
        <w:r w:rsidR="00B26B34" w:rsidRPr="00321EC0">
          <w:rPr>
            <w:noProof/>
            <w:webHidden/>
          </w:rPr>
          <w:tab/>
        </w:r>
        <w:r w:rsidR="00B26B34" w:rsidRPr="00321EC0">
          <w:rPr>
            <w:noProof/>
            <w:webHidden/>
          </w:rPr>
          <w:fldChar w:fldCharType="begin"/>
        </w:r>
        <w:r w:rsidR="00B26B34" w:rsidRPr="00321EC0">
          <w:rPr>
            <w:noProof/>
            <w:webHidden/>
          </w:rPr>
          <w:instrText xml:space="preserve"> PAGEREF _Toc62204220 \h </w:instrText>
        </w:r>
        <w:r w:rsidR="00B26B34" w:rsidRPr="00321EC0">
          <w:rPr>
            <w:noProof/>
            <w:webHidden/>
          </w:rPr>
        </w:r>
        <w:r w:rsidR="00B26B34" w:rsidRPr="00321EC0">
          <w:rPr>
            <w:noProof/>
            <w:webHidden/>
          </w:rPr>
          <w:fldChar w:fldCharType="separate"/>
        </w:r>
        <w:r w:rsidR="00CF6368">
          <w:rPr>
            <w:noProof/>
            <w:webHidden/>
          </w:rPr>
          <w:t>69</w:t>
        </w:r>
        <w:r w:rsidR="00B26B34" w:rsidRPr="00321EC0">
          <w:rPr>
            <w:noProof/>
            <w:webHidden/>
          </w:rPr>
          <w:fldChar w:fldCharType="end"/>
        </w:r>
      </w:hyperlink>
    </w:p>
    <w:p w14:paraId="73625300" w14:textId="77777777" w:rsidR="00B26B34" w:rsidRPr="00321EC0" w:rsidRDefault="00B26B34" w:rsidP="00B26B34">
      <w:r w:rsidRPr="00321EC0">
        <w:fldChar w:fldCharType="end"/>
      </w:r>
    </w:p>
    <w:p w14:paraId="05F799DC" w14:textId="77777777" w:rsidR="008F77A2" w:rsidRDefault="008F77A2" w:rsidP="00B26B34">
      <w:pPr>
        <w:sectPr w:rsidR="008F77A2" w:rsidSect="00230BD3">
          <w:headerReference w:type="default" r:id="rId134"/>
          <w:headerReference w:type="first" r:id="rId135"/>
          <w:footerReference w:type="first" r:id="rId136"/>
          <w:pgSz w:w="11907" w:h="16840" w:code="9"/>
          <w:pgMar w:top="2466" w:right="2098" w:bottom="2466" w:left="2098" w:header="1899" w:footer="1899" w:gutter="0"/>
          <w:cols w:space="720"/>
          <w:titlePg/>
          <w:docGrid w:linePitch="272"/>
        </w:sectPr>
      </w:pPr>
    </w:p>
    <w:p w14:paraId="259A069B" w14:textId="77777777" w:rsidR="00B26B34" w:rsidRPr="00321EC0" w:rsidRDefault="00B26B34" w:rsidP="00B26B34">
      <w:pPr>
        <w:pStyle w:val="Heading1-LVL2"/>
        <w:rPr>
          <w:lang w:val="en-US"/>
        </w:rPr>
      </w:pPr>
      <w:bookmarkStart w:id="454" w:name="_Toc63157720"/>
      <w:bookmarkStart w:id="455" w:name="_Toc63157967"/>
      <w:r w:rsidRPr="00321EC0">
        <w:rPr>
          <w:lang w:val="en-US"/>
        </w:rPr>
        <w:t>Australian Electoral Commission</w:t>
      </w:r>
      <w:bookmarkEnd w:id="454"/>
      <w:bookmarkEnd w:id="455"/>
    </w:p>
    <w:p w14:paraId="20FC33FD" w14:textId="77777777" w:rsidR="00B26B34" w:rsidRPr="00321EC0" w:rsidRDefault="00B26B34" w:rsidP="00B26B34">
      <w:pPr>
        <w:pStyle w:val="Heading2-TOC"/>
      </w:pPr>
      <w:bookmarkStart w:id="456" w:name="_Toc62204209"/>
      <w:bookmarkStart w:id="457" w:name="_Toc62835721"/>
      <w:bookmarkStart w:id="458" w:name="_Toc63158602"/>
      <w:r w:rsidRPr="00321EC0">
        <w:t>Section 1: Entity overview and resources</w:t>
      </w:r>
      <w:bookmarkEnd w:id="456"/>
      <w:bookmarkEnd w:id="457"/>
      <w:bookmarkEnd w:id="458"/>
    </w:p>
    <w:p w14:paraId="066335EC" w14:textId="77777777" w:rsidR="00B26B34" w:rsidRPr="00321EC0" w:rsidRDefault="00B26B34" w:rsidP="00B26B34">
      <w:pPr>
        <w:pStyle w:val="Heading3"/>
        <w:rPr>
          <w:lang w:val="en-AU"/>
        </w:rPr>
      </w:pPr>
      <w:bookmarkStart w:id="459" w:name="_Toc62204210"/>
      <w:bookmarkStart w:id="460" w:name="_Toc62835722"/>
      <w:bookmarkStart w:id="461" w:name="_Toc63158603"/>
      <w:r w:rsidRPr="00321EC0">
        <w:t>1.1</w:t>
      </w:r>
      <w:r w:rsidRPr="00321EC0">
        <w:tab/>
        <w:t>Strategic direction</w:t>
      </w:r>
      <w:r w:rsidRPr="00321EC0">
        <w:rPr>
          <w:lang w:val="en-AU"/>
        </w:rPr>
        <w:t xml:space="preserve"> statement</w:t>
      </w:r>
      <w:bookmarkEnd w:id="459"/>
      <w:bookmarkEnd w:id="460"/>
      <w:bookmarkEnd w:id="461"/>
    </w:p>
    <w:p w14:paraId="27185D60" w14:textId="77777777" w:rsidR="00B26B34" w:rsidRPr="00321EC0" w:rsidRDefault="00B26B34" w:rsidP="00B26B34">
      <w:pPr>
        <w:rPr>
          <w:rFonts w:cs="Arial"/>
        </w:rPr>
      </w:pPr>
      <w:r w:rsidRPr="00321EC0">
        <w:t>No changes have occurred that impact on the Australian Electoral Commission’s (AEC’s) Strategic Direction since the issue of the 2020-21 Portfolio Budget Statements. A full outline of the AEC’s Strategic Direction can be found in the 2020-21 Portfolio Budget Statements.</w:t>
      </w:r>
      <w:r w:rsidRPr="00321EC0">
        <w:rPr>
          <w:rFonts w:cs="Arial"/>
        </w:rPr>
        <w:t xml:space="preserve"> </w:t>
      </w:r>
    </w:p>
    <w:p w14:paraId="6CC30004" w14:textId="77777777" w:rsidR="00B26B34" w:rsidRPr="00321EC0" w:rsidRDefault="00B26B34" w:rsidP="00B26B34">
      <w:pPr>
        <w:pStyle w:val="Heading3"/>
      </w:pPr>
      <w:bookmarkStart w:id="462" w:name="_Toc62204211"/>
      <w:bookmarkStart w:id="463" w:name="_Toc62835723"/>
      <w:bookmarkStart w:id="464" w:name="_Toc63158604"/>
      <w:r w:rsidRPr="00321EC0">
        <w:t>1.2</w:t>
      </w:r>
      <w:r w:rsidRPr="00321EC0">
        <w:tab/>
        <w:t>Entity resource statement</w:t>
      </w:r>
      <w:bookmarkEnd w:id="462"/>
      <w:bookmarkEnd w:id="463"/>
      <w:bookmarkEnd w:id="464"/>
    </w:p>
    <w:p w14:paraId="0FE498FC" w14:textId="77777777" w:rsidR="00B26B34" w:rsidRPr="00321EC0" w:rsidRDefault="00B26B34" w:rsidP="00B26B34">
      <w:r w:rsidRPr="00321EC0">
        <w:t>The Entity Resource Statement details the resourcing for the AEC at Additional Estimates. Table 1.1 outlines the total resourcing available from all sources for the 2020</w:t>
      </w:r>
      <w:r w:rsidRPr="00321EC0">
        <w:noBreakHyphen/>
        <w:t>21 Budget year, including variations through Appropriation Bills No. 3 and No. 4</w:t>
      </w:r>
      <w:r w:rsidRPr="00321EC0">
        <w:rPr>
          <w:i/>
        </w:rPr>
        <w:t>,</w:t>
      </w:r>
      <w:r w:rsidRPr="00321EC0">
        <w:t xml:space="preserve"> Special Appropriations and Special Accounts. </w:t>
      </w:r>
    </w:p>
    <w:p w14:paraId="2BED4542" w14:textId="77777777" w:rsidR="006D67EF" w:rsidRPr="00321EC0" w:rsidRDefault="006D67EF" w:rsidP="006D67EF"/>
    <w:p w14:paraId="4886B02B" w14:textId="77777777" w:rsidR="006D67EF" w:rsidRPr="00321EC0" w:rsidRDefault="006D67EF" w:rsidP="006D67EF">
      <w:pPr>
        <w:pStyle w:val="Heading1-LVL2"/>
        <w:rPr>
          <w:lang w:val="en-US"/>
        </w:rPr>
        <w:sectPr w:rsidR="006D67EF" w:rsidRPr="00321EC0" w:rsidSect="00230BD3">
          <w:headerReference w:type="default" r:id="rId137"/>
          <w:headerReference w:type="first" r:id="rId138"/>
          <w:footerReference w:type="first" r:id="rId139"/>
          <w:pgSz w:w="11907" w:h="16840" w:code="9"/>
          <w:pgMar w:top="2466" w:right="2098" w:bottom="2466" w:left="2098" w:header="1899" w:footer="1899" w:gutter="0"/>
          <w:cols w:space="720"/>
          <w:titlePg/>
          <w:docGrid w:linePitch="272"/>
        </w:sectPr>
      </w:pPr>
    </w:p>
    <w:p w14:paraId="4FCDB504" w14:textId="3CDD107A" w:rsidR="00B26B34" w:rsidRPr="00321EC0" w:rsidRDefault="00B26B34" w:rsidP="00B26B34">
      <w:pPr>
        <w:pStyle w:val="TableHeading"/>
        <w:rPr>
          <w:lang w:val="en-AU"/>
        </w:rPr>
      </w:pPr>
      <w:r w:rsidRPr="00321EC0">
        <w:t xml:space="preserve">Table 1.1: </w:t>
      </w:r>
      <w:r w:rsidRPr="00321EC0">
        <w:rPr>
          <w:lang w:val="en-US"/>
        </w:rPr>
        <w:t>Australian Electoral Commission</w:t>
      </w:r>
      <w:r w:rsidRPr="00321EC0">
        <w:t xml:space="preserve"> resource statement — Additional Estimates for </w:t>
      </w:r>
      <w:r w:rsidRPr="00321EC0">
        <w:rPr>
          <w:lang w:val="en-AU"/>
        </w:rPr>
        <w:t>2020-21</w:t>
      </w:r>
      <w:r w:rsidRPr="00321EC0">
        <w:t xml:space="preserve"> as at February </w:t>
      </w:r>
      <w:r w:rsidRPr="00321EC0">
        <w:rPr>
          <w:lang w:val="en-AU"/>
        </w:rPr>
        <w:t>2021</w:t>
      </w:r>
    </w:p>
    <w:p w14:paraId="21A64082" w14:textId="77777777" w:rsidR="00B26B34" w:rsidRPr="00321EC0" w:rsidRDefault="00B26B34" w:rsidP="00B26B34">
      <w:pPr>
        <w:pStyle w:val="TableHeading"/>
      </w:pPr>
    </w:p>
    <w:p w14:paraId="02057DD8" w14:textId="77777777" w:rsidR="00B26B34" w:rsidRPr="00321EC0" w:rsidRDefault="00B26B34" w:rsidP="00B26B34">
      <w:pPr>
        <w:pStyle w:val="Source"/>
      </w:pPr>
      <w:r w:rsidRPr="00321EC0">
        <w:rPr>
          <w:rFonts w:ascii="Book Antiqua" w:hAnsi="Book Antiqua"/>
          <w:i/>
          <w:color w:val="FF0000"/>
          <w:sz w:val="20"/>
        </w:rPr>
        <w:fldChar w:fldCharType="begin"/>
      </w:r>
      <w:r w:rsidRPr="00321EC0">
        <w:rPr>
          <w:rFonts w:ascii="Book Antiqua" w:hAnsi="Book Antiqua"/>
          <w:i/>
          <w:color w:val="FF0000"/>
          <w:sz w:val="20"/>
        </w:rPr>
        <w:instrText xml:space="preserve"> LINK Excel.Sheet.12 "\\\\prod.aec.gov.au\\can0\\branch\\CFO\\Financial Management\\Budgeting\\Budget 20-21\\External Budget\\PAES\\PAES excel table &amp; word doc\\EM 2020-43 Attachment G - Excel table template 2020-21 PAES.xlsx!Table 1.1 NCCE!R4C3:R66C7" "" \a \p </w:instrText>
      </w:r>
      <w:r w:rsidR="006C7442" w:rsidRPr="00321EC0">
        <w:rPr>
          <w:rFonts w:ascii="Book Antiqua" w:hAnsi="Book Antiqua"/>
          <w:i/>
          <w:color w:val="FF0000"/>
          <w:sz w:val="20"/>
        </w:rPr>
        <w:instrText xml:space="preserve"> \* MERGEFORMAT </w:instrText>
      </w:r>
      <w:r w:rsidRPr="00321EC0">
        <w:rPr>
          <w:rFonts w:ascii="Book Antiqua" w:hAnsi="Book Antiqua"/>
          <w:i/>
          <w:color w:val="FF0000"/>
          <w:sz w:val="20"/>
        </w:rPr>
        <w:fldChar w:fldCharType="separate"/>
      </w:r>
      <w:r w:rsidR="0019528E">
        <w:rPr>
          <w:rFonts w:ascii="Book Antiqua" w:hAnsi="Book Antiqua"/>
          <w:i/>
          <w:color w:val="FF0000"/>
          <w:sz w:val="20"/>
        </w:rPr>
        <w:object w:dxaOrig="7365" w:dyaOrig="7470" w14:anchorId="609C6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5pt;height:372.25pt" o:ole="">
            <v:imagedata r:id="rId140" o:title=""/>
          </v:shape>
        </w:object>
      </w:r>
      <w:r w:rsidRPr="00321EC0">
        <w:rPr>
          <w:rFonts w:ascii="Book Antiqua" w:hAnsi="Book Antiqua"/>
          <w:i/>
          <w:color w:val="FF0000"/>
          <w:sz w:val="20"/>
        </w:rPr>
        <w:fldChar w:fldCharType="end"/>
      </w:r>
      <w:r w:rsidRPr="00321EC0">
        <w:t>Prepared on a resourcing (i.e. appropriations available) basis.</w:t>
      </w:r>
    </w:p>
    <w:p w14:paraId="27B966F1" w14:textId="77777777" w:rsidR="00B26B34" w:rsidRPr="00321EC0" w:rsidRDefault="00B26B34" w:rsidP="00B26B34">
      <w:pPr>
        <w:pStyle w:val="Source"/>
      </w:pPr>
      <w:r w:rsidRPr="00321EC0">
        <w:t>All figures shown above are GST exclusive - these may not match figures in the cash flow statement.</w:t>
      </w:r>
    </w:p>
    <w:p w14:paraId="0EAEEA1F" w14:textId="77777777" w:rsidR="00B26B34" w:rsidRPr="00321EC0" w:rsidRDefault="00B26B34" w:rsidP="00B26B34">
      <w:pPr>
        <w:pStyle w:val="Source"/>
      </w:pPr>
    </w:p>
    <w:p w14:paraId="67586513" w14:textId="77777777" w:rsidR="00B26B34" w:rsidRPr="00321EC0" w:rsidRDefault="00B26B34" w:rsidP="00264523">
      <w:pPr>
        <w:pStyle w:val="ChartandTableFootnoteAlpha"/>
        <w:numPr>
          <w:ilvl w:val="0"/>
          <w:numId w:val="30"/>
        </w:numPr>
      </w:pPr>
      <w:r w:rsidRPr="00264523">
        <w:rPr>
          <w:i/>
        </w:rPr>
        <w:t>Appropriation Act (No. 1) 2020-21</w:t>
      </w:r>
      <w:r w:rsidRPr="00321EC0">
        <w:t xml:space="preserve"> and </w:t>
      </w:r>
      <w:r w:rsidRPr="00791517">
        <w:t>Appropriation Bill (No. 3) 2020-21</w:t>
      </w:r>
    </w:p>
    <w:p w14:paraId="452A847C" w14:textId="77777777" w:rsidR="00B26B34" w:rsidRPr="00321EC0" w:rsidRDefault="00B26B34" w:rsidP="00B26B34">
      <w:pPr>
        <w:pStyle w:val="ChartandTableFootnoteAlpha"/>
        <w:rPr>
          <w:rFonts w:cs="Arial"/>
          <w:color w:val="000000"/>
          <w:szCs w:val="16"/>
        </w:rPr>
      </w:pPr>
      <w:r w:rsidRPr="00321EC0">
        <w:rPr>
          <w:rFonts w:cs="Arial"/>
          <w:color w:val="000000"/>
          <w:szCs w:val="16"/>
        </w:rPr>
        <w:t>Estimated external revenue receipts under section 74 of the PGPA Act.</w:t>
      </w:r>
    </w:p>
    <w:p w14:paraId="0B29692F" w14:textId="77777777" w:rsidR="00B26B34" w:rsidRPr="00321EC0" w:rsidRDefault="00B26B34" w:rsidP="00B26B34">
      <w:pPr>
        <w:pStyle w:val="ChartandTableFootnoteAlpha"/>
        <w:rPr>
          <w:rFonts w:cs="Arial"/>
          <w:color w:val="000000"/>
          <w:szCs w:val="16"/>
        </w:rPr>
      </w:pPr>
      <w:r w:rsidRPr="00321EC0">
        <w:rPr>
          <w:rFonts w:cs="Arial"/>
          <w:color w:val="000000"/>
          <w:szCs w:val="16"/>
        </w:rPr>
        <w:t>Departmental capital budgets are not separately identified in Appropriation Act (No.1) and form part of ordinary annual services items. Please refer to Table 3.6 for further details. For accounting purposes, this amount has been designated as a 'contribution by owner'.</w:t>
      </w:r>
    </w:p>
    <w:p w14:paraId="4EB4E546" w14:textId="77777777" w:rsidR="00B26B34" w:rsidRPr="00321EC0" w:rsidRDefault="00B26B34" w:rsidP="00B26B34">
      <w:pPr>
        <w:pStyle w:val="ChartandTableFootnoteAlpha"/>
      </w:pPr>
      <w:r w:rsidRPr="00321EC0">
        <w:t>Excludes trust moneys held in Services for Other Entities and Trust Moneys (SOETM) and other special accounts. For further information on special accounts (excluding amounts held on trust), please see Table 3.1.</w:t>
      </w:r>
    </w:p>
    <w:p w14:paraId="0CCC86EC" w14:textId="77777777" w:rsidR="00B26B34" w:rsidRPr="00321EC0" w:rsidRDefault="00B26B34" w:rsidP="00B26B34">
      <w:pPr>
        <w:pStyle w:val="ChartandTableFootnoteAlpha"/>
        <w:rPr>
          <w:rFonts w:cs="Arial"/>
          <w:color w:val="000000"/>
          <w:szCs w:val="16"/>
        </w:rPr>
      </w:pPr>
      <w:r w:rsidRPr="00321EC0">
        <w:rPr>
          <w:rFonts w:cs="Arial"/>
          <w:color w:val="000000"/>
          <w:szCs w:val="16"/>
        </w:rPr>
        <w:t>Amounts credited to the special account(s) from the Australian Electoral Commission's annual and special appropriations.</w:t>
      </w:r>
    </w:p>
    <w:p w14:paraId="1D60D312" w14:textId="77777777" w:rsidR="00B26B34" w:rsidRPr="00321EC0" w:rsidRDefault="00B26B34" w:rsidP="00B26B34">
      <w:pPr>
        <w:spacing w:after="0" w:line="240" w:lineRule="auto"/>
        <w:jc w:val="left"/>
        <w:rPr>
          <w:rFonts w:ascii="Arial" w:hAnsi="Arial"/>
          <w:b/>
          <w:lang w:val="x-none"/>
        </w:rPr>
      </w:pPr>
      <w:r w:rsidRPr="00321EC0">
        <w:br w:type="page"/>
      </w:r>
    </w:p>
    <w:p w14:paraId="268E0A05" w14:textId="77777777" w:rsidR="00B26B34" w:rsidRPr="00321EC0" w:rsidRDefault="00B26B34" w:rsidP="00B26B34">
      <w:pPr>
        <w:pStyle w:val="Heading3"/>
        <w:rPr>
          <w:lang w:val="en-AU"/>
        </w:rPr>
      </w:pPr>
      <w:bookmarkStart w:id="465" w:name="_Toc62204212"/>
      <w:bookmarkStart w:id="466" w:name="_Toc62835724"/>
      <w:bookmarkStart w:id="467" w:name="_Toc63158605"/>
      <w:r w:rsidRPr="00321EC0">
        <w:t>1.3</w:t>
      </w:r>
      <w:r w:rsidRPr="00321EC0">
        <w:tab/>
        <w:t xml:space="preserve">Entity </w:t>
      </w:r>
      <w:r w:rsidRPr="00321EC0">
        <w:rPr>
          <w:lang w:val="en-AU"/>
        </w:rPr>
        <w:t>measures</w:t>
      </w:r>
      <w:bookmarkEnd w:id="465"/>
      <w:bookmarkEnd w:id="466"/>
      <w:bookmarkEnd w:id="467"/>
    </w:p>
    <w:p w14:paraId="3223294D" w14:textId="77777777" w:rsidR="00B26B34" w:rsidRPr="00321EC0" w:rsidRDefault="00B26B34" w:rsidP="00B26B34">
      <w:r w:rsidRPr="00321EC0">
        <w:t>Table 1.2 summarises new Government measures taken since the 2020-21 Budget. The table is split into receipt and payment measures, with the affected program identified.</w:t>
      </w:r>
    </w:p>
    <w:p w14:paraId="09F42D64" w14:textId="77777777" w:rsidR="00B26B34" w:rsidRPr="00321EC0" w:rsidRDefault="00B26B34" w:rsidP="00B26B34">
      <w:pPr>
        <w:pStyle w:val="TableHeading"/>
      </w:pPr>
      <w:r w:rsidRPr="00321EC0">
        <w:t xml:space="preserve">Table 1.2: Entity </w:t>
      </w:r>
      <w:r w:rsidRPr="00321EC0">
        <w:rPr>
          <w:lang w:val="en-AU"/>
        </w:rPr>
        <w:t>2020-21</w:t>
      </w:r>
      <w:r w:rsidRPr="00321EC0">
        <w:t xml:space="preserve"> measures since Budget</w:t>
      </w:r>
    </w:p>
    <w:p w14:paraId="777E1491" w14:textId="77777777" w:rsidR="00B26B34" w:rsidRPr="00321EC0" w:rsidRDefault="00B26B34" w:rsidP="00B26B34">
      <w:pPr>
        <w:pStyle w:val="TableGraphic"/>
        <w:rPr>
          <w:lang w:val="x-none"/>
        </w:rPr>
      </w:pPr>
      <w:r w:rsidRPr="00321EC0">
        <w:rPr>
          <w:i w:val="0"/>
        </w:rPr>
        <w:t xml:space="preserve"> </w:t>
      </w:r>
      <w:r w:rsidRPr="00321EC0">
        <w:t xml:space="preserve"> </w:t>
      </w:r>
    </w:p>
    <w:p w14:paraId="3AE7E434" w14:textId="77777777" w:rsidR="00B26B34" w:rsidRPr="00321EC0" w:rsidRDefault="00B26B34" w:rsidP="00B26B34">
      <w:pPr>
        <w:pStyle w:val="Source"/>
        <w:rPr>
          <w:rFonts w:ascii="Book Antiqua" w:hAnsi="Book Antiqua"/>
          <w:i/>
          <w:color w:val="FF0000"/>
          <w:sz w:val="20"/>
        </w:rPr>
      </w:pPr>
      <w:r w:rsidRPr="00321EC0">
        <w:rPr>
          <w:rFonts w:ascii="Book Antiqua" w:hAnsi="Book Antiqua"/>
          <w:i/>
          <w:color w:val="FF0000"/>
          <w:sz w:val="20"/>
        </w:rPr>
        <w:fldChar w:fldCharType="begin"/>
      </w:r>
      <w:r w:rsidRPr="00321EC0">
        <w:rPr>
          <w:rFonts w:ascii="Book Antiqua" w:hAnsi="Book Antiqua"/>
          <w:i/>
          <w:color w:val="FF0000"/>
          <w:sz w:val="20"/>
        </w:rPr>
        <w:instrText xml:space="preserve"> LINK Excel.Sheet.12 "\\\\prod.aec.gov.au\\can0\\branch\\CFO\\Financial Management\\Budgeting\\Budget 20-21\\External Budget\\PAES\\PAES excel table &amp; word doc\\EM 2020-43 Attachment G - Excel table template 2020-21 PAES.xlsx!Table 1.2!R3C1:R25C6" "" \a \p </w:instrText>
      </w:r>
      <w:r w:rsidR="006C7442" w:rsidRPr="00321EC0">
        <w:rPr>
          <w:rFonts w:ascii="Book Antiqua" w:hAnsi="Book Antiqua"/>
          <w:i/>
          <w:color w:val="FF0000"/>
          <w:sz w:val="20"/>
        </w:rPr>
        <w:instrText xml:space="preserve"> \* MERGEFORMAT </w:instrText>
      </w:r>
      <w:r w:rsidRPr="00321EC0">
        <w:rPr>
          <w:rFonts w:ascii="Book Antiqua" w:hAnsi="Book Antiqua"/>
          <w:i/>
          <w:color w:val="FF0000"/>
          <w:sz w:val="20"/>
        </w:rPr>
        <w:fldChar w:fldCharType="separate"/>
      </w:r>
      <w:r w:rsidR="0019528E">
        <w:rPr>
          <w:rFonts w:ascii="Book Antiqua" w:hAnsi="Book Antiqua"/>
          <w:i/>
          <w:color w:val="FF0000"/>
          <w:sz w:val="20"/>
        </w:rPr>
        <w:object w:dxaOrig="7665" w:dyaOrig="2925" w14:anchorId="6AB8C967">
          <v:shape id="_x0000_i1026" type="#_x0000_t75" style="width:383.75pt;height:145.55pt" o:ole="">
            <v:imagedata r:id="rId141" o:title=""/>
          </v:shape>
        </w:object>
      </w:r>
      <w:r w:rsidRPr="00321EC0">
        <w:rPr>
          <w:rFonts w:ascii="Book Antiqua" w:hAnsi="Book Antiqua"/>
          <w:i/>
          <w:color w:val="FF0000"/>
          <w:sz w:val="20"/>
        </w:rPr>
        <w:fldChar w:fldCharType="end"/>
      </w:r>
    </w:p>
    <w:p w14:paraId="6D2A7D86" w14:textId="77777777" w:rsidR="00B26B34" w:rsidRPr="00321EC0" w:rsidRDefault="00B26B34" w:rsidP="00B26B34">
      <w:pPr>
        <w:pStyle w:val="Source"/>
      </w:pPr>
      <w:r w:rsidRPr="00321EC0">
        <w:t>Prepared on a Government Financial Statistics (Underlying Cash) basis. Figures displayed as a negative (-) represent a decrease in funds and a positive (+) represent an increase in funds</w:t>
      </w:r>
    </w:p>
    <w:p w14:paraId="121E6755" w14:textId="77777777" w:rsidR="00B26B34" w:rsidRPr="00321EC0" w:rsidRDefault="00B26B34" w:rsidP="00B26B34">
      <w:pPr>
        <w:pStyle w:val="Source"/>
      </w:pPr>
    </w:p>
    <w:p w14:paraId="336EDFDA" w14:textId="77777777" w:rsidR="00B26B34" w:rsidRPr="00970264" w:rsidRDefault="00B26B34" w:rsidP="00970264">
      <w:pPr>
        <w:pStyle w:val="ChartandTableFootnoteAlpha"/>
        <w:numPr>
          <w:ilvl w:val="0"/>
          <w:numId w:val="31"/>
        </w:numPr>
        <w:rPr>
          <w:rFonts w:cs="Arial"/>
          <w:color w:val="000000"/>
          <w:szCs w:val="16"/>
        </w:rPr>
      </w:pPr>
      <w:r w:rsidRPr="00970264">
        <w:rPr>
          <w:rFonts w:cs="Arial"/>
          <w:color w:val="000000"/>
          <w:szCs w:val="16"/>
        </w:rPr>
        <w:t xml:space="preserve">The lead entity for the measure </w:t>
      </w:r>
      <w:r w:rsidRPr="00791517">
        <w:rPr>
          <w:rFonts w:cs="Arial"/>
          <w:i/>
          <w:color w:val="000000"/>
          <w:szCs w:val="16"/>
        </w:rPr>
        <w:t>Australian Electoral Commission – Polling Place Technology</w:t>
      </w:r>
      <w:r w:rsidRPr="00970264">
        <w:rPr>
          <w:rFonts w:cs="Arial"/>
          <w:color w:val="000000"/>
          <w:szCs w:val="16"/>
        </w:rPr>
        <w:t xml:space="preserve"> is the Australian Electoral Commission. The full measure description and package details appear in MYEFO under the Finance portfolio.</w:t>
      </w:r>
    </w:p>
    <w:p w14:paraId="3F8E7BF9" w14:textId="77777777" w:rsidR="00B26B34" w:rsidRPr="00321EC0" w:rsidRDefault="00B26B34" w:rsidP="00264523">
      <w:pPr>
        <w:pStyle w:val="ChartandTableFootnoteAlpha"/>
        <w:numPr>
          <w:ilvl w:val="0"/>
          <w:numId w:val="3"/>
        </w:numPr>
        <w:rPr>
          <w:rFonts w:cs="Arial"/>
          <w:color w:val="000000"/>
          <w:szCs w:val="16"/>
        </w:rPr>
      </w:pPr>
      <w:r w:rsidRPr="00321EC0">
        <w:rPr>
          <w:rFonts w:cs="Arial"/>
          <w:color w:val="000000"/>
          <w:szCs w:val="16"/>
        </w:rPr>
        <w:t xml:space="preserve">The lead entity for the measure </w:t>
      </w:r>
      <w:r w:rsidRPr="00791517">
        <w:rPr>
          <w:rFonts w:cs="Arial"/>
          <w:i/>
          <w:color w:val="000000"/>
          <w:szCs w:val="16"/>
        </w:rPr>
        <w:t>Australian Electoral Commission – Northern Territory Office</w:t>
      </w:r>
      <w:r w:rsidRPr="00321EC0">
        <w:rPr>
          <w:rFonts w:cs="Arial"/>
          <w:color w:val="000000"/>
          <w:szCs w:val="16"/>
        </w:rPr>
        <w:t xml:space="preserve"> is the Australian Electoral Commission. The full measure description and package details appear in MYEFO under the Finance portfolio.</w:t>
      </w:r>
    </w:p>
    <w:p w14:paraId="5836C7C3" w14:textId="77777777" w:rsidR="00B26B34" w:rsidRPr="00321EC0" w:rsidRDefault="00B26B34" w:rsidP="00B26B34"/>
    <w:p w14:paraId="489A688B" w14:textId="77777777" w:rsidR="00B26B34" w:rsidRPr="00321EC0" w:rsidRDefault="00B26B34" w:rsidP="00B26B34">
      <w:pPr>
        <w:pStyle w:val="Heading3"/>
        <w:ind w:left="567" w:hanging="567"/>
        <w:rPr>
          <w:lang w:val="en-AU"/>
        </w:rPr>
      </w:pPr>
      <w:r w:rsidRPr="00321EC0">
        <w:br w:type="page"/>
      </w:r>
      <w:bookmarkStart w:id="468" w:name="_Toc62204213"/>
      <w:bookmarkStart w:id="469" w:name="_Toc62835725"/>
      <w:bookmarkStart w:id="470" w:name="_Toc63158606"/>
      <w:r w:rsidRPr="00321EC0">
        <w:t>1.4</w:t>
      </w:r>
      <w:r w:rsidRPr="00321EC0">
        <w:tab/>
        <w:t>Additional estimates</w:t>
      </w:r>
      <w:r w:rsidRPr="00321EC0">
        <w:rPr>
          <w:lang w:val="en-AU"/>
        </w:rPr>
        <w:t>, resourcing</w:t>
      </w:r>
      <w:r w:rsidRPr="00321EC0">
        <w:t xml:space="preserve"> and variations</w:t>
      </w:r>
      <w:r w:rsidRPr="00321EC0">
        <w:rPr>
          <w:lang w:val="en-AU"/>
        </w:rPr>
        <w:t xml:space="preserve"> to outcomes</w:t>
      </w:r>
      <w:bookmarkEnd w:id="468"/>
      <w:bookmarkEnd w:id="469"/>
      <w:bookmarkEnd w:id="470"/>
    </w:p>
    <w:p w14:paraId="66A97B21" w14:textId="77777777" w:rsidR="00B26B34" w:rsidRPr="00321EC0" w:rsidRDefault="00B26B34" w:rsidP="00B26B34">
      <w:r w:rsidRPr="00321EC0">
        <w:t>The following tables detail the changes to the resourcing for the AEC at Additional Estimates, by outcome. Table 1.3 details the Additional Estimates resulting from new measures and other variations since the 2020-21 Budget in Appropriation Bills (No. 3 and 4).</w:t>
      </w:r>
    </w:p>
    <w:p w14:paraId="0EE58AA4" w14:textId="77777777" w:rsidR="00B26B34" w:rsidRPr="00321EC0" w:rsidRDefault="00B26B34" w:rsidP="00B26B34">
      <w:pPr>
        <w:pStyle w:val="TableHeading"/>
      </w:pPr>
      <w:r w:rsidRPr="00321EC0">
        <w:t>Table 1.3: Additional estimates</w:t>
      </w:r>
      <w:r w:rsidRPr="00321EC0">
        <w:rPr>
          <w:lang w:val="en-AU"/>
        </w:rPr>
        <w:t xml:space="preserve"> </w:t>
      </w:r>
      <w:r w:rsidRPr="00321EC0">
        <w:t xml:space="preserve">and </w:t>
      </w:r>
      <w:r w:rsidRPr="00321EC0">
        <w:rPr>
          <w:lang w:val="en-AU"/>
        </w:rPr>
        <w:t xml:space="preserve">other </w:t>
      </w:r>
      <w:r w:rsidRPr="00321EC0">
        <w:t xml:space="preserve">variations to outcomes since </w:t>
      </w:r>
      <w:r w:rsidRPr="00321EC0">
        <w:rPr>
          <w:lang w:val="en-AU"/>
        </w:rPr>
        <w:t>2020-21</w:t>
      </w:r>
      <w:r w:rsidRPr="00321EC0">
        <w:t xml:space="preserve"> Budget</w:t>
      </w:r>
    </w:p>
    <w:p w14:paraId="17046D67" w14:textId="77777777" w:rsidR="00B26B34" w:rsidRPr="00321EC0" w:rsidRDefault="00B26B34" w:rsidP="00B26B34">
      <w:pPr>
        <w:pStyle w:val="TableGraphic"/>
      </w:pPr>
      <w:r w:rsidRPr="00321EC0">
        <w:rPr>
          <w:i w:val="0"/>
        </w:rPr>
        <w:t xml:space="preserve"> </w:t>
      </w:r>
    </w:p>
    <w:p w14:paraId="1FE5C842" w14:textId="77777777" w:rsidR="00B26B34" w:rsidRPr="00321EC0" w:rsidRDefault="00B26B34" w:rsidP="00B26B34">
      <w:pPr>
        <w:pStyle w:val="TableHeading"/>
        <w:rPr>
          <w:rFonts w:ascii="Book Antiqua" w:hAnsi="Book Antiqua"/>
          <w:b w:val="0"/>
          <w:i/>
          <w:color w:val="FF0000"/>
          <w:lang w:val="en-AU"/>
        </w:rPr>
      </w:pPr>
      <w:r w:rsidRPr="00321EC0">
        <w:rPr>
          <w:rFonts w:ascii="Book Antiqua" w:hAnsi="Book Antiqua"/>
          <w:b w:val="0"/>
          <w:i/>
          <w:color w:val="FF0000"/>
          <w:lang w:val="en-AU"/>
        </w:rPr>
        <w:fldChar w:fldCharType="begin"/>
      </w:r>
      <w:r w:rsidRPr="00321EC0">
        <w:rPr>
          <w:rFonts w:ascii="Book Antiqua" w:hAnsi="Book Antiqua"/>
          <w:b w:val="0"/>
          <w:i/>
          <w:color w:val="FF0000"/>
          <w:lang w:val="en-AU"/>
        </w:rPr>
        <w:instrText xml:space="preserve"> LINK Excel.Sheet.12 "\\\\prod.aec.gov.au\\can0\\branch\\CFO\\Financial Management\\Budgeting\\Budget 20-21\\External Budget\\PAES\\PAES excel table &amp; word doc\\EM 2020-43 Attachment G - Excel table template 2020-21 PAES.xlsx!Table 1.3!R3C1:R61C6" "" \a \p </w:instrText>
      </w:r>
      <w:r w:rsidR="006C7442" w:rsidRPr="00321EC0">
        <w:rPr>
          <w:rFonts w:ascii="Book Antiqua" w:hAnsi="Book Antiqua"/>
          <w:b w:val="0"/>
          <w:i/>
          <w:color w:val="FF0000"/>
          <w:lang w:val="en-AU"/>
        </w:rPr>
        <w:instrText xml:space="preserve"> \* MERGEFORMAT </w:instrText>
      </w:r>
      <w:r w:rsidRPr="00321EC0">
        <w:rPr>
          <w:rFonts w:ascii="Book Antiqua" w:hAnsi="Book Antiqua"/>
          <w:b w:val="0"/>
          <w:i/>
          <w:color w:val="FF0000"/>
          <w:lang w:val="en-AU"/>
        </w:rPr>
        <w:fldChar w:fldCharType="separate"/>
      </w:r>
      <w:r w:rsidR="0019528E">
        <w:rPr>
          <w:rFonts w:ascii="Book Antiqua" w:hAnsi="Book Antiqua"/>
          <w:b w:val="0"/>
          <w:i/>
          <w:color w:val="FF0000"/>
          <w:lang w:val="en-AU"/>
        </w:rPr>
        <w:object w:dxaOrig="7620" w:dyaOrig="5850" w14:anchorId="4E1368B5">
          <v:shape id="_x0000_i1027" type="#_x0000_t75" style="width:380.7pt;height:291.85pt" o:ole="">
            <v:imagedata r:id="rId142" o:title=""/>
          </v:shape>
        </w:object>
      </w:r>
      <w:r w:rsidRPr="00321EC0">
        <w:rPr>
          <w:rFonts w:ascii="Book Antiqua" w:hAnsi="Book Antiqua"/>
          <w:b w:val="0"/>
          <w:i/>
          <w:color w:val="FF0000"/>
          <w:lang w:val="en-AU"/>
        </w:rPr>
        <w:fldChar w:fldCharType="end"/>
      </w:r>
    </w:p>
    <w:p w14:paraId="4D405C86" w14:textId="77777777" w:rsidR="00B26B34" w:rsidRPr="00321EC0" w:rsidRDefault="00B26B34" w:rsidP="00B26B34">
      <w:pPr>
        <w:pStyle w:val="Source"/>
      </w:pPr>
      <w:r w:rsidRPr="00321EC0">
        <w:t>Prepared on a resourcing (i.e. appropriations available) basis.</w:t>
      </w:r>
      <w:r w:rsidRPr="00321EC0">
        <w:br w:type="page"/>
      </w:r>
    </w:p>
    <w:p w14:paraId="392A64A3" w14:textId="77777777" w:rsidR="00B26B34" w:rsidRPr="00321EC0" w:rsidRDefault="00B26B34" w:rsidP="00B26B34">
      <w:pPr>
        <w:pStyle w:val="Heading3"/>
        <w:ind w:right="-156"/>
      </w:pPr>
      <w:bookmarkStart w:id="471" w:name="_Toc62204214"/>
      <w:bookmarkStart w:id="472" w:name="_Toc62835726"/>
      <w:bookmarkStart w:id="473" w:name="_Toc63158607"/>
      <w:r w:rsidRPr="00321EC0">
        <w:rPr>
          <w:lang w:val="en-AU"/>
        </w:rPr>
        <w:t>1</w:t>
      </w:r>
      <w:r w:rsidRPr="00321EC0">
        <w:t>.</w:t>
      </w:r>
      <w:r w:rsidRPr="00321EC0">
        <w:rPr>
          <w:lang w:val="en-AU"/>
        </w:rPr>
        <w:t>5</w:t>
      </w:r>
      <w:r w:rsidRPr="00321EC0">
        <w:tab/>
        <w:t>Breakdown of additional estimates by appropriation bill</w:t>
      </w:r>
      <w:bookmarkEnd w:id="471"/>
      <w:bookmarkEnd w:id="472"/>
      <w:bookmarkEnd w:id="473"/>
    </w:p>
    <w:p w14:paraId="2A638088" w14:textId="77777777" w:rsidR="00B26B34" w:rsidRPr="00321EC0" w:rsidRDefault="00B26B34" w:rsidP="00B26B34">
      <w:r w:rsidRPr="00321EC0">
        <w:t>The following tables detail the Additional Estimates sought for the AEC through Appropriation Bills (No. 3 and 4).</w:t>
      </w:r>
    </w:p>
    <w:p w14:paraId="4646A78A" w14:textId="77777777" w:rsidR="00B26B34" w:rsidRPr="00321EC0" w:rsidRDefault="00B26B34" w:rsidP="00B26B34">
      <w:pPr>
        <w:pStyle w:val="TableHeading"/>
        <w:rPr>
          <w:lang w:val="en-AU"/>
        </w:rPr>
      </w:pPr>
      <w:r w:rsidRPr="00321EC0">
        <w:t>Table 1.</w:t>
      </w:r>
      <w:r w:rsidRPr="00321EC0">
        <w:rPr>
          <w:lang w:val="en-AU"/>
        </w:rPr>
        <w:t>4</w:t>
      </w:r>
      <w:r w:rsidRPr="00321EC0">
        <w:t xml:space="preserve">: Appropriation Bill (No. 3) </w:t>
      </w:r>
      <w:r w:rsidRPr="00321EC0">
        <w:rPr>
          <w:lang w:val="en-AU"/>
        </w:rPr>
        <w:t>2020-21</w:t>
      </w:r>
    </w:p>
    <w:p w14:paraId="1F963393" w14:textId="77777777" w:rsidR="0038784C" w:rsidRPr="0038784C" w:rsidRDefault="00B26B34" w:rsidP="0038784C">
      <w:pPr>
        <w:pStyle w:val="TableGraphic"/>
      </w:pPr>
      <w:r w:rsidRPr="00321EC0">
        <w:rPr>
          <w:i w:val="0"/>
        </w:rPr>
        <w:t xml:space="preserve"> </w:t>
      </w:r>
      <w:r w:rsidR="0038784C" w:rsidRPr="0038784C">
        <w:t xml:space="preserve"> </w:t>
      </w:r>
    </w:p>
    <w:p w14:paraId="60454B18" w14:textId="77777777" w:rsidR="00B26B34" w:rsidRPr="00321EC0" w:rsidRDefault="0038784C" w:rsidP="0038784C">
      <w:pPr>
        <w:pStyle w:val="TableGraphic"/>
        <w:rPr>
          <w:i w:val="0"/>
        </w:rPr>
      </w:pPr>
      <w:r w:rsidRPr="0038784C">
        <w:rPr>
          <w:i w:val="0"/>
        </w:rPr>
        <w:fldChar w:fldCharType="begin"/>
      </w:r>
      <w:r w:rsidRPr="0038784C">
        <w:rPr>
          <w:i w:val="0"/>
        </w:rPr>
        <w:instrText xml:space="preserve"> LINK Excel.Sheet.12 "\\\\prod.aec.gov.au\\can0\\branch\\CFO\\Financial Management\\Budgeting\\Budget 20-21\\External Budget\\PAES\\PAES excel table &amp; word doc\\EM 2020-43 Attachment G - Excel table template 2020-21 PAES.xlsx!Table 1.4!R3C1:R14C6" "" \a \p </w:instrText>
      </w:r>
      <w:r w:rsidRPr="0038784C">
        <w:rPr>
          <w:i w:val="0"/>
        </w:rPr>
        <w:fldChar w:fldCharType="separate"/>
      </w:r>
      <w:r w:rsidR="0019528E">
        <w:rPr>
          <w:i w:val="0"/>
        </w:rPr>
        <w:object w:dxaOrig="7260" w:dyaOrig="3300" w14:anchorId="59A4BDFF">
          <v:shape id="_x0000_i1028" type="#_x0000_t75" style="width:363.85pt;height:163.9pt" o:ole="">
            <v:imagedata r:id="rId143" o:title=""/>
          </v:shape>
        </w:object>
      </w:r>
      <w:r w:rsidRPr="0038784C">
        <w:rPr>
          <w:i w:val="0"/>
        </w:rPr>
        <w:fldChar w:fldCharType="end"/>
      </w:r>
    </w:p>
    <w:p w14:paraId="5D5EB680" w14:textId="77777777" w:rsidR="00B26B34" w:rsidRPr="00321EC0" w:rsidRDefault="00B26B34" w:rsidP="00B26B34">
      <w:pPr>
        <w:pStyle w:val="TableGraphic"/>
        <w:rPr>
          <w:rFonts w:ascii="Arial" w:hAnsi="Arial"/>
          <w:i w:val="0"/>
          <w:color w:val="auto"/>
          <w:sz w:val="16"/>
        </w:rPr>
      </w:pPr>
      <w:r w:rsidRPr="00321EC0">
        <w:rPr>
          <w:rFonts w:ascii="Arial" w:hAnsi="Arial"/>
          <w:i w:val="0"/>
          <w:color w:val="auto"/>
          <w:sz w:val="16"/>
        </w:rPr>
        <w:t xml:space="preserve">Note 1: 2019-20 available appropriation is included to allow a comparison of this year's appropriation with what was made available for use in the previous year. </w:t>
      </w:r>
    </w:p>
    <w:p w14:paraId="158C4417" w14:textId="77777777" w:rsidR="00B26B34" w:rsidRPr="00321EC0" w:rsidRDefault="00B26B34" w:rsidP="00B26B34"/>
    <w:p w14:paraId="411CD5EF" w14:textId="77777777" w:rsidR="00B26B34" w:rsidRPr="00321EC0" w:rsidRDefault="00B26B34" w:rsidP="00B26B34">
      <w:pPr>
        <w:pStyle w:val="TableHeading"/>
        <w:rPr>
          <w:lang w:val="en-AU"/>
        </w:rPr>
      </w:pPr>
      <w:r w:rsidRPr="00321EC0">
        <w:t xml:space="preserve">Table 1.5: Appropriation Bill (No. 4) </w:t>
      </w:r>
      <w:r w:rsidRPr="00321EC0">
        <w:rPr>
          <w:lang w:val="en-AU"/>
        </w:rPr>
        <w:t>2020-21</w:t>
      </w:r>
    </w:p>
    <w:p w14:paraId="0A4818C7" w14:textId="77777777" w:rsidR="00B26B34" w:rsidRPr="00321EC0" w:rsidRDefault="00B26B34" w:rsidP="00B26B34">
      <w:pPr>
        <w:pStyle w:val="TableGraphic"/>
      </w:pPr>
    </w:p>
    <w:p w14:paraId="0AEB53CD" w14:textId="77777777" w:rsidR="00B26B34" w:rsidRPr="00321EC0" w:rsidRDefault="00B26B34" w:rsidP="00B26B34">
      <w:r w:rsidRPr="00321EC0">
        <w:t>The AEC have not sought any Additional Estimates through Appropriation Bill (No. 4).</w:t>
      </w:r>
    </w:p>
    <w:p w14:paraId="00FA9A38" w14:textId="77777777" w:rsidR="00B26B34" w:rsidRPr="00321EC0" w:rsidRDefault="00B26B34" w:rsidP="00B26B34">
      <w:pPr>
        <w:spacing w:after="0" w:line="240" w:lineRule="auto"/>
        <w:jc w:val="left"/>
      </w:pPr>
      <w:r w:rsidRPr="00321EC0">
        <w:br w:type="page"/>
      </w:r>
    </w:p>
    <w:p w14:paraId="28FB1968" w14:textId="77777777" w:rsidR="00B26B34" w:rsidRPr="00321EC0" w:rsidRDefault="00B26B34" w:rsidP="00B26B34">
      <w:pPr>
        <w:pStyle w:val="Heading2-TOC"/>
      </w:pPr>
      <w:bookmarkStart w:id="474" w:name="_Toc62204215"/>
      <w:bookmarkStart w:id="475" w:name="_Toc62835727"/>
      <w:bookmarkStart w:id="476" w:name="_Toc63158608"/>
      <w:r w:rsidRPr="00321EC0">
        <w:t>Section 2: Revisions to outcomes and planned performance</w:t>
      </w:r>
      <w:bookmarkEnd w:id="474"/>
      <w:bookmarkEnd w:id="475"/>
      <w:bookmarkEnd w:id="476"/>
    </w:p>
    <w:p w14:paraId="440A7410" w14:textId="77777777" w:rsidR="00B26B34" w:rsidRPr="00321EC0" w:rsidRDefault="00B26B34" w:rsidP="00B26B34">
      <w:pPr>
        <w:pStyle w:val="Heading3"/>
        <w:ind w:left="708" w:hanging="708"/>
        <w:rPr>
          <w:lang w:val="en-AU"/>
        </w:rPr>
      </w:pPr>
      <w:bookmarkStart w:id="477" w:name="_Toc62204216"/>
      <w:bookmarkStart w:id="478" w:name="_Toc62835728"/>
      <w:bookmarkStart w:id="479" w:name="_Toc63158609"/>
      <w:r w:rsidRPr="00321EC0">
        <w:t>2.</w:t>
      </w:r>
      <w:r w:rsidRPr="00321EC0">
        <w:rPr>
          <w:lang w:val="en-AU"/>
        </w:rPr>
        <w:t>1</w:t>
      </w:r>
      <w:r w:rsidRPr="00321EC0">
        <w:tab/>
      </w:r>
      <w:r w:rsidRPr="00321EC0">
        <w:rPr>
          <w:lang w:val="en-AU"/>
        </w:rPr>
        <w:t>Changes to outcome and program structures</w:t>
      </w:r>
      <w:bookmarkEnd w:id="477"/>
      <w:bookmarkEnd w:id="478"/>
      <w:bookmarkEnd w:id="479"/>
    </w:p>
    <w:p w14:paraId="60136184" w14:textId="3FE116DA" w:rsidR="00B26B34" w:rsidRPr="00321EC0" w:rsidRDefault="00B26B34" w:rsidP="00B26B34">
      <w:pPr>
        <w:pStyle w:val="Default"/>
        <w:rPr>
          <w:rFonts w:ascii="Book Antiqua" w:eastAsia="Times New Roman" w:hAnsi="Book Antiqua"/>
          <w:color w:val="auto"/>
          <w:sz w:val="20"/>
          <w:szCs w:val="20"/>
          <w:lang w:eastAsia="en-AU"/>
        </w:rPr>
      </w:pPr>
      <w:r w:rsidRPr="00321EC0">
        <w:rPr>
          <w:rFonts w:ascii="Book Antiqua" w:eastAsia="Times New Roman" w:hAnsi="Book Antiqua"/>
          <w:color w:val="auto"/>
          <w:sz w:val="20"/>
          <w:szCs w:val="20"/>
          <w:lang w:eastAsia="en-AU"/>
        </w:rPr>
        <w:t>The AEC has not made any changes to the objectives, deliverables and key performance indicators of any program since the 2020-21 Portfolio Budget Statements. The following tables provide an update of the 2019-20 actual expenses and the 2020-21 estimated expenses incorporating the estimates variations provided in Section 1.</w:t>
      </w:r>
    </w:p>
    <w:p w14:paraId="6290E310" w14:textId="77777777" w:rsidR="00B26B34" w:rsidRPr="00321EC0" w:rsidRDefault="00B26B34" w:rsidP="00B26B34">
      <w:pPr>
        <w:pStyle w:val="Heading3"/>
        <w:rPr>
          <w:lang w:val="en-AU"/>
        </w:rPr>
      </w:pPr>
      <w:bookmarkStart w:id="480" w:name="_Toc62204217"/>
      <w:bookmarkStart w:id="481" w:name="_Toc62835729"/>
      <w:bookmarkStart w:id="482" w:name="_Toc63158610"/>
      <w:r w:rsidRPr="00321EC0">
        <w:t>2.</w:t>
      </w:r>
      <w:r w:rsidRPr="00321EC0">
        <w:rPr>
          <w:lang w:val="en-AU"/>
        </w:rPr>
        <w:t>2</w:t>
      </w:r>
      <w:r w:rsidRPr="00321EC0">
        <w:tab/>
      </w:r>
      <w:r w:rsidRPr="00321EC0">
        <w:rPr>
          <w:lang w:val="en-AU"/>
        </w:rPr>
        <w:t>Budgeted expenses and performance for outcome 1</w:t>
      </w:r>
      <w:bookmarkEnd w:id="480"/>
      <w:bookmarkEnd w:id="481"/>
      <w:bookmarkEnd w:id="48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B26B34" w:rsidRPr="00321EC0" w14:paraId="6C31ED07" w14:textId="77777777" w:rsidTr="00987789">
        <w:tc>
          <w:tcPr>
            <w:tcW w:w="7597" w:type="dxa"/>
            <w:shd w:val="clear" w:color="auto" w:fill="E6E6E6"/>
          </w:tcPr>
          <w:p w14:paraId="6B63BC0B" w14:textId="77777777" w:rsidR="00B26B34" w:rsidRPr="00321EC0" w:rsidRDefault="00B26B34" w:rsidP="00987789">
            <w:pPr>
              <w:pStyle w:val="TableColumnHeadingLeft"/>
            </w:pPr>
            <w:r w:rsidRPr="00321EC0">
              <w:rPr>
                <w:sz w:val="20"/>
              </w:rPr>
              <w:t xml:space="preserve">Outcome 1: </w:t>
            </w:r>
            <w:r w:rsidRPr="00321EC0">
              <w:rPr>
                <w:b w:val="0"/>
                <w:sz w:val="20"/>
              </w:rPr>
              <w:t>Maintain an impartial and independent electoral system for eligible voters through active electoral roll management, efficient delivery of polling services, and targeted education and public awareness programs</w:t>
            </w:r>
            <w:r w:rsidRPr="00321EC0">
              <w:rPr>
                <w:sz w:val="20"/>
              </w:rPr>
              <w:t>.</w:t>
            </w:r>
          </w:p>
        </w:tc>
      </w:tr>
    </w:tbl>
    <w:p w14:paraId="525F0946" w14:textId="77777777" w:rsidR="00B26B34" w:rsidRPr="00321EC0" w:rsidRDefault="00B26B34" w:rsidP="00B26B34">
      <w:pPr>
        <w:pStyle w:val="Heading5"/>
      </w:pPr>
    </w:p>
    <w:p w14:paraId="22F39348" w14:textId="77777777" w:rsidR="00B26B34" w:rsidRPr="00321EC0" w:rsidRDefault="00B26B34" w:rsidP="00B26B34">
      <w:pPr>
        <w:pStyle w:val="Heading5"/>
        <w:rPr>
          <w:lang w:val="en-US"/>
        </w:rPr>
      </w:pPr>
      <w:r w:rsidRPr="00321EC0">
        <w:t xml:space="preserve">Budgeted expenses for Outcome </w:t>
      </w:r>
      <w:r w:rsidRPr="00321EC0">
        <w:rPr>
          <w:lang w:val="en-US"/>
        </w:rPr>
        <w:t>1</w:t>
      </w:r>
    </w:p>
    <w:p w14:paraId="7565E441" w14:textId="77777777" w:rsidR="00B26B34" w:rsidRPr="00321EC0" w:rsidRDefault="00B26B34" w:rsidP="00B26B34">
      <w:r w:rsidRPr="00321EC0">
        <w:t xml:space="preserve">This table shows how much the entity intends to spend (on an accrual basis) on achieving the outcome, broken down by program, as well as by Administered and Departmental funding sources. </w:t>
      </w:r>
    </w:p>
    <w:p w14:paraId="60F28D2B" w14:textId="77777777" w:rsidR="00B26B34" w:rsidRPr="00321EC0" w:rsidRDefault="00B26B34" w:rsidP="00B26B34">
      <w:pPr>
        <w:spacing w:after="0" w:line="240" w:lineRule="auto"/>
        <w:jc w:val="left"/>
      </w:pPr>
      <w:r w:rsidRPr="00321EC0">
        <w:br w:type="page"/>
      </w:r>
    </w:p>
    <w:p w14:paraId="541E98B1" w14:textId="77777777" w:rsidR="00B26B34" w:rsidRPr="00321EC0" w:rsidRDefault="00B26B34" w:rsidP="00B26B34"/>
    <w:p w14:paraId="34D4919F" w14:textId="77777777" w:rsidR="00B26B34" w:rsidRPr="00321EC0" w:rsidRDefault="00B26B34" w:rsidP="00B26B34">
      <w:pPr>
        <w:pStyle w:val="TableHeading"/>
        <w:rPr>
          <w:lang w:val="en-AU"/>
        </w:rPr>
      </w:pPr>
      <w:r w:rsidRPr="00321EC0">
        <w:t>Table 2.</w:t>
      </w:r>
      <w:r w:rsidRPr="00321EC0">
        <w:rPr>
          <w:lang w:val="en-AU"/>
        </w:rPr>
        <w:t>1.</w:t>
      </w:r>
      <w:r w:rsidRPr="00321EC0">
        <w:t>1 Budgeted expenses</w:t>
      </w:r>
      <w:r w:rsidRPr="00321EC0">
        <w:rPr>
          <w:lang w:val="en-AU"/>
        </w:rPr>
        <w:t xml:space="preserve"> for</w:t>
      </w:r>
      <w:r w:rsidRPr="00321EC0">
        <w:t xml:space="preserve"> Outcome </w:t>
      </w:r>
      <w:r w:rsidRPr="00321EC0">
        <w:rPr>
          <w:lang w:val="en-AU"/>
        </w:rPr>
        <w:t>1</w:t>
      </w:r>
    </w:p>
    <w:p w14:paraId="59E35A00" w14:textId="77777777" w:rsidR="00A77FAD" w:rsidRPr="00D663E0" w:rsidRDefault="00A77FAD" w:rsidP="00A77FAD">
      <w:pPr>
        <w:pStyle w:val="TableGraphic"/>
        <w:rPr>
          <w:rFonts w:ascii="Arial" w:hAnsi="Arial"/>
          <w:i w:val="0"/>
          <w:color w:val="auto"/>
          <w:sz w:val="16"/>
        </w:rPr>
      </w:pPr>
    </w:p>
    <w:p w14:paraId="020098A8" w14:textId="77777777" w:rsidR="00A77FAD" w:rsidRPr="00D663E0" w:rsidRDefault="00A77FAD" w:rsidP="00A77FAD">
      <w:pPr>
        <w:pStyle w:val="TableGraphic"/>
        <w:rPr>
          <w:rFonts w:ascii="Arial" w:hAnsi="Arial"/>
          <w:i w:val="0"/>
          <w:color w:val="auto"/>
          <w:sz w:val="16"/>
        </w:rPr>
      </w:pPr>
      <w:r>
        <w:rPr>
          <w:rFonts w:ascii="Arial" w:hAnsi="Arial"/>
          <w:i w:val="0"/>
          <w:color w:val="auto"/>
          <w:sz w:val="16"/>
        </w:rPr>
        <w:fldChar w:fldCharType="begin"/>
      </w:r>
      <w:r>
        <w:rPr>
          <w:rFonts w:ascii="Arial" w:hAnsi="Arial"/>
          <w:i w:val="0"/>
          <w:color w:val="auto"/>
          <w:sz w:val="16"/>
        </w:rPr>
        <w:instrText xml:space="preserve"> LINK Excel.Sheet.12 "\\\\prod.aec.gov.au\\can0\\branch\\CFO\\Financial Management\\Budgeting\\Budget 20-21\\External Budget\\PAES\\PAES excel table &amp; word doc\\EM 2020-43 Attachment G - Excel table template 2020-21 PAES.xlsx!Table 2.1.1 NCCE!R5C1:R91C6" "" \a \p </w:instrText>
      </w:r>
      <w:r>
        <w:rPr>
          <w:rFonts w:ascii="Arial" w:hAnsi="Arial"/>
          <w:i w:val="0"/>
          <w:color w:val="auto"/>
          <w:sz w:val="16"/>
        </w:rPr>
        <w:fldChar w:fldCharType="separate"/>
      </w:r>
      <w:r w:rsidR="0019528E">
        <w:rPr>
          <w:rFonts w:ascii="Arial" w:hAnsi="Arial"/>
          <w:i w:val="0"/>
          <w:color w:val="auto"/>
          <w:sz w:val="16"/>
        </w:rPr>
        <w:object w:dxaOrig="7455" w:dyaOrig="9045" w14:anchorId="2019BC1A">
          <v:shape id="_x0000_i1029" type="#_x0000_t75" style="width:373pt;height:452.7pt" o:ole="">
            <v:imagedata r:id="rId144" o:title=""/>
          </v:shape>
        </w:object>
      </w:r>
      <w:r>
        <w:rPr>
          <w:rFonts w:ascii="Arial" w:hAnsi="Arial"/>
          <w:i w:val="0"/>
          <w:color w:val="auto"/>
          <w:sz w:val="16"/>
        </w:rPr>
        <w:fldChar w:fldCharType="end"/>
      </w:r>
    </w:p>
    <w:p w14:paraId="6BED12A9" w14:textId="77777777" w:rsidR="00B26B34" w:rsidRPr="00321EC0" w:rsidRDefault="00B26B34" w:rsidP="00B26B34">
      <w:pPr>
        <w:pStyle w:val="TableGraphic"/>
        <w:rPr>
          <w:rFonts w:ascii="Arial" w:hAnsi="Arial"/>
          <w:i w:val="0"/>
          <w:color w:val="auto"/>
          <w:sz w:val="16"/>
        </w:rPr>
      </w:pPr>
    </w:p>
    <w:p w14:paraId="00F1CEFE" w14:textId="77777777" w:rsidR="00B26B34" w:rsidRPr="00321EC0" w:rsidRDefault="00B26B34" w:rsidP="00970264">
      <w:pPr>
        <w:pStyle w:val="ChartandTableFootnoteAlpha"/>
        <w:numPr>
          <w:ilvl w:val="0"/>
          <w:numId w:val="32"/>
        </w:numPr>
      </w:pPr>
      <w:r w:rsidRPr="00321EC0">
        <w:t>Estimated expenses incurred in relation to receipts retained under section 74 of the PGPA Act 2013.</w:t>
      </w:r>
    </w:p>
    <w:p w14:paraId="579E988D" w14:textId="77777777" w:rsidR="00B26B34" w:rsidRPr="00321EC0" w:rsidRDefault="00B26B34" w:rsidP="00B26B34">
      <w:pPr>
        <w:pStyle w:val="ChartandTableFootnoteAlpha"/>
      </w:pPr>
      <w:r w:rsidRPr="00321EC0">
        <w:t>Expenses not requiring appropriation in the Budget year are made up of depreciation expenses, amortisation expenses, make good expenses and audit fees.</w:t>
      </w:r>
    </w:p>
    <w:p w14:paraId="7A4F2E7D" w14:textId="77777777" w:rsidR="00B26B34" w:rsidRPr="00321EC0" w:rsidRDefault="00B26B34" w:rsidP="00B26B34">
      <w:pPr>
        <w:pStyle w:val="ChartandTableFootnoteAlpha"/>
      </w:pPr>
      <w:r w:rsidRPr="00321EC0">
        <w:t>Figures displayed as a negative (-) represent a decrease in funds and a positive (+) represent an increase in funds.</w:t>
      </w:r>
    </w:p>
    <w:p w14:paraId="4AB771D6" w14:textId="77777777" w:rsidR="00B26B34" w:rsidRPr="00321EC0" w:rsidRDefault="00B26B34" w:rsidP="00B26B34">
      <w:pPr>
        <w:pStyle w:val="ChartandTableFootnote"/>
      </w:pPr>
      <w:r w:rsidRPr="00321EC0">
        <w:t>Note:</w:t>
      </w:r>
      <w:r w:rsidRPr="00321EC0">
        <w:tab/>
        <w:t>Departmental appropriation splits and totals are indicative estimates and may change in the course of the budget year as government priorities change.</w:t>
      </w:r>
    </w:p>
    <w:p w14:paraId="7A970577" w14:textId="77777777" w:rsidR="00B26B34" w:rsidRPr="00321EC0" w:rsidRDefault="00B26B34" w:rsidP="00B26B34">
      <w:pPr>
        <w:spacing w:after="0" w:line="240" w:lineRule="auto"/>
        <w:jc w:val="left"/>
        <w:rPr>
          <w:rFonts w:ascii="Arial" w:hAnsi="Arial"/>
          <w:b/>
          <w:bCs/>
          <w:iCs/>
          <w:szCs w:val="26"/>
          <w:lang w:val="x-none"/>
        </w:rPr>
      </w:pPr>
      <w:r w:rsidRPr="00321EC0">
        <w:br w:type="page"/>
      </w:r>
    </w:p>
    <w:p w14:paraId="0EB9A78F" w14:textId="77777777" w:rsidR="00B26B34" w:rsidRPr="00321EC0" w:rsidRDefault="00B26B34" w:rsidP="00B26B34">
      <w:pPr>
        <w:pStyle w:val="Heading5"/>
        <w:rPr>
          <w:lang w:val="en-US"/>
        </w:rPr>
      </w:pPr>
      <w:r w:rsidRPr="00321EC0">
        <w:t>Table 2.</w:t>
      </w:r>
      <w:r w:rsidRPr="00321EC0">
        <w:rPr>
          <w:lang w:val="en-US"/>
        </w:rPr>
        <w:t>1</w:t>
      </w:r>
      <w:r w:rsidRPr="00321EC0">
        <w:t xml:space="preserve">.2: Performance criteria for Outcome </w:t>
      </w:r>
      <w:r w:rsidRPr="00321EC0">
        <w:rPr>
          <w:lang w:val="en-US"/>
        </w:rPr>
        <w:t>1</w:t>
      </w:r>
    </w:p>
    <w:p w14:paraId="035DE036" w14:textId="77777777" w:rsidR="00B26B34" w:rsidRPr="00321EC0" w:rsidRDefault="00B26B34" w:rsidP="00B26B34">
      <w:r w:rsidRPr="00321EC0">
        <w:t>Table 2.1.2 below details the performance criteria for each program associated with Outcome 1. It is to be used by entities to describe the results they plan to achieve with the resources provided for new programs, or materially changed existing programs resulting from decisions made since the 2020-21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B26B34" w:rsidRPr="00321EC0" w14:paraId="1956BA98" w14:textId="77777777" w:rsidTr="00987789">
        <w:trPr>
          <w:tblHeader/>
        </w:trPr>
        <w:tc>
          <w:tcPr>
            <w:tcW w:w="7593" w:type="dxa"/>
            <w:shd w:val="clear" w:color="auto" w:fill="F2F2F2"/>
            <w:vAlign w:val="center"/>
          </w:tcPr>
          <w:p w14:paraId="436F2121" w14:textId="77777777" w:rsidR="00B26B34" w:rsidRPr="00321EC0" w:rsidRDefault="00B26B34" w:rsidP="00987789">
            <w:pPr>
              <w:pStyle w:val="TableColumnHeadingLeft"/>
              <w:spacing w:before="120" w:after="120" w:line="240" w:lineRule="auto"/>
              <w:jc w:val="left"/>
              <w:rPr>
                <w:rFonts w:cs="Arial"/>
                <w:szCs w:val="16"/>
              </w:rPr>
            </w:pPr>
            <w:r w:rsidRPr="00321EC0">
              <w:rPr>
                <w:rFonts w:cs="Arial"/>
                <w:szCs w:val="16"/>
              </w:rPr>
              <w:t xml:space="preserve">Outcome 1 – </w:t>
            </w:r>
            <w:r w:rsidRPr="00321EC0">
              <w:rPr>
                <w:rFonts w:cs="Arial"/>
                <w:b w:val="0"/>
                <w:color w:val="auto"/>
                <w:szCs w:val="16"/>
              </w:rPr>
              <w:t>Maintain an impartial and independent electoral system for eligible voters through active electoral roll management, efficient delivery of polling services, and targeted education and public awareness programs.</w:t>
            </w:r>
          </w:p>
        </w:tc>
      </w:tr>
      <w:tr w:rsidR="00B26B34" w:rsidRPr="00321EC0" w14:paraId="25DD4138" w14:textId="77777777" w:rsidTr="00987789">
        <w:trPr>
          <w:tblHeader/>
        </w:trPr>
        <w:tc>
          <w:tcPr>
            <w:tcW w:w="7593" w:type="dxa"/>
            <w:shd w:val="clear" w:color="auto" w:fill="F2F2F2"/>
            <w:vAlign w:val="center"/>
          </w:tcPr>
          <w:p w14:paraId="2F411743" w14:textId="77777777" w:rsidR="00B26B34" w:rsidRPr="00321EC0" w:rsidRDefault="00B26B34" w:rsidP="00987789">
            <w:pPr>
              <w:tabs>
                <w:tab w:val="left" w:pos="709"/>
              </w:tabs>
              <w:spacing w:before="60" w:after="60" w:line="240" w:lineRule="auto"/>
              <w:jc w:val="left"/>
              <w:rPr>
                <w:rFonts w:ascii="Arial" w:hAnsi="Arial" w:cs="Arial"/>
                <w:sz w:val="16"/>
                <w:szCs w:val="16"/>
              </w:rPr>
            </w:pPr>
            <w:r w:rsidRPr="00321EC0">
              <w:rPr>
                <w:rFonts w:ascii="Arial" w:hAnsi="Arial" w:cs="Arial"/>
                <w:b/>
                <w:sz w:val="16"/>
                <w:szCs w:val="16"/>
              </w:rPr>
              <w:t>Program 1.1</w:t>
            </w:r>
            <w:r w:rsidRPr="00321EC0">
              <w:rPr>
                <w:rFonts w:ascii="Arial" w:hAnsi="Arial" w:cs="Arial"/>
                <w:sz w:val="16"/>
                <w:szCs w:val="16"/>
              </w:rPr>
              <w:t xml:space="preserve"> </w:t>
            </w:r>
            <w:r w:rsidRPr="00321EC0">
              <w:rPr>
                <w:rFonts w:ascii="Arial" w:hAnsi="Arial" w:cs="Arial"/>
                <w:b/>
                <w:sz w:val="16"/>
                <w:szCs w:val="16"/>
              </w:rPr>
              <w:t>– Deliver Electoral Events</w:t>
            </w:r>
          </w:p>
          <w:p w14:paraId="6F262819" w14:textId="77777777" w:rsidR="00B26B34" w:rsidRPr="00321EC0" w:rsidRDefault="00B26B34" w:rsidP="00987789">
            <w:pPr>
              <w:tabs>
                <w:tab w:val="left" w:pos="709"/>
              </w:tabs>
              <w:spacing w:before="120" w:after="120" w:line="240" w:lineRule="auto"/>
              <w:jc w:val="left"/>
              <w:rPr>
                <w:rFonts w:ascii="Arial" w:hAnsi="Arial" w:cs="Arial"/>
                <w:sz w:val="16"/>
                <w:szCs w:val="16"/>
              </w:rPr>
            </w:pPr>
            <w:r w:rsidRPr="00321EC0">
              <w:rPr>
                <w:rFonts w:ascii="Arial" w:hAnsi="Arial" w:cs="Arial"/>
                <w:sz w:val="16"/>
                <w:szCs w:val="16"/>
              </w:rPr>
              <w:t>No changes have been made to the performance criteria for this program since the 2020-21 Portfolio Budget Statements.</w:t>
            </w:r>
          </w:p>
        </w:tc>
      </w:tr>
    </w:tbl>
    <w:p w14:paraId="341BB7D1" w14:textId="77777777" w:rsidR="00B26B34" w:rsidRPr="00321EC0" w:rsidRDefault="00B26B34" w:rsidP="00B26B34"/>
    <w:p w14:paraId="2667A8CA" w14:textId="77777777" w:rsidR="00B26B34" w:rsidRPr="00321EC0" w:rsidRDefault="00B26B34" w:rsidP="00B26B34"/>
    <w:p w14:paraId="71C31B61" w14:textId="77777777" w:rsidR="00B26B34" w:rsidRPr="00321EC0" w:rsidRDefault="00B26B34" w:rsidP="00B26B34">
      <w:pPr>
        <w:pStyle w:val="Heading2-TOC"/>
      </w:pPr>
      <w:r w:rsidRPr="00321EC0">
        <w:rPr>
          <w:lang w:val="en-GB"/>
        </w:rPr>
        <w:br w:type="page"/>
      </w:r>
      <w:bookmarkStart w:id="483" w:name="_Toc62204218"/>
      <w:bookmarkStart w:id="484" w:name="_Toc62835730"/>
      <w:bookmarkStart w:id="485" w:name="_Toc63158611"/>
      <w:r w:rsidRPr="00321EC0">
        <w:t>Section 3: Special account flows and budgeted financial statements</w:t>
      </w:r>
      <w:bookmarkEnd w:id="483"/>
      <w:bookmarkEnd w:id="484"/>
      <w:bookmarkEnd w:id="485"/>
    </w:p>
    <w:p w14:paraId="64FE5BCF" w14:textId="77777777" w:rsidR="00B26B34" w:rsidRPr="00321EC0" w:rsidRDefault="00B26B34" w:rsidP="00B26B34">
      <w:pPr>
        <w:pStyle w:val="Heading3"/>
      </w:pPr>
      <w:bookmarkStart w:id="486" w:name="_Toc62204219"/>
      <w:bookmarkStart w:id="487" w:name="_Toc62835731"/>
      <w:bookmarkStart w:id="488" w:name="_Toc63158612"/>
      <w:r w:rsidRPr="00321EC0">
        <w:t>3.1</w:t>
      </w:r>
      <w:r w:rsidRPr="00321EC0">
        <w:tab/>
        <w:t>Special account flows</w:t>
      </w:r>
      <w:bookmarkEnd w:id="486"/>
      <w:bookmarkEnd w:id="487"/>
      <w:bookmarkEnd w:id="488"/>
    </w:p>
    <w:p w14:paraId="0D1512E8" w14:textId="77777777" w:rsidR="00B26B34" w:rsidRPr="00321EC0" w:rsidRDefault="00B26B34" w:rsidP="00B26B34">
      <w:pPr>
        <w:pStyle w:val="Heading4"/>
      </w:pPr>
      <w:r w:rsidRPr="00321EC0">
        <w:t>Estimates of special account flows</w:t>
      </w:r>
    </w:p>
    <w:p w14:paraId="7C8307AC" w14:textId="77777777" w:rsidR="00B26B34" w:rsidRPr="00321EC0" w:rsidRDefault="00B26B34" w:rsidP="00B26B34">
      <w:r w:rsidRPr="00321EC0">
        <w:t>Special Accounts provide a means to set aside and record amounts used for specified purposes. Table 3.1 shows the expected additions (receipts) and reductions (payments) for each account used by entity the AEC.</w:t>
      </w:r>
    </w:p>
    <w:p w14:paraId="49CA56EE" w14:textId="77777777" w:rsidR="00B26B34" w:rsidRPr="00321EC0" w:rsidRDefault="00B26B34" w:rsidP="00B26B34">
      <w:pPr>
        <w:pStyle w:val="TableHeading"/>
      </w:pPr>
      <w:r w:rsidRPr="00321EC0">
        <w:t>Table 3.1: Estimates of special account flows and balances</w:t>
      </w:r>
    </w:p>
    <w:p w14:paraId="7275D5A1" w14:textId="77777777" w:rsidR="00B26B34" w:rsidRPr="00321EC0" w:rsidRDefault="00B26B34" w:rsidP="00B26B34">
      <w:pPr>
        <w:pStyle w:val="TableGraphic"/>
      </w:pPr>
      <w:r w:rsidRPr="00321EC0">
        <w:rPr>
          <w:i w:val="0"/>
        </w:rPr>
        <w:t xml:space="preserve"> </w:t>
      </w:r>
    </w:p>
    <w:p w14:paraId="2D917448" w14:textId="77777777" w:rsidR="00B26B34" w:rsidRPr="00321EC0" w:rsidRDefault="00B26B34" w:rsidP="00B26B34">
      <w:pPr>
        <w:pStyle w:val="Source"/>
      </w:pPr>
      <w:r w:rsidRPr="00321EC0">
        <w:fldChar w:fldCharType="begin"/>
      </w:r>
      <w:r w:rsidRPr="00321EC0">
        <w:instrText xml:space="preserve"> LINK Excel.Sheet.12 "\\\\prod.aec.gov.au\\can0\\branch\\CFO\\Financial Management\\Budgeting\\Budget 20-21\\External Budget\\PAES\\PAES excel table &amp; word doc\\EM 2020-43 Attachment G - Excel table template 2020-21 PAES.xlsx!Table 3.1!R3C1:R21C7" "" \a \p </w:instrText>
      </w:r>
      <w:r w:rsidR="006C7442" w:rsidRPr="00321EC0">
        <w:instrText xml:space="preserve"> \* MERGEFORMAT </w:instrText>
      </w:r>
      <w:r w:rsidRPr="00321EC0">
        <w:fldChar w:fldCharType="separate"/>
      </w:r>
      <w:r w:rsidR="0019528E">
        <w:object w:dxaOrig="7842" w:dyaOrig="3742" w14:anchorId="1651EA78">
          <v:shape id="_x0000_i1030" type="#_x0000_t75" style="width:392.15pt;height:188.45pt" o:ole="">
            <v:imagedata r:id="rId145" o:title=""/>
          </v:shape>
        </w:object>
      </w:r>
      <w:r w:rsidRPr="00321EC0">
        <w:fldChar w:fldCharType="end"/>
      </w:r>
    </w:p>
    <w:p w14:paraId="4026AC1F" w14:textId="77777777" w:rsidR="00B26B34" w:rsidRPr="00321EC0" w:rsidRDefault="00B26B34" w:rsidP="00B26B34">
      <w:pPr>
        <w:pStyle w:val="Source"/>
      </w:pPr>
      <w:r w:rsidRPr="00321EC0">
        <w:t>(A) = Administered</w:t>
      </w:r>
    </w:p>
    <w:p w14:paraId="26A6036B" w14:textId="77777777" w:rsidR="00B26B34" w:rsidRPr="00321EC0" w:rsidRDefault="00B26B34" w:rsidP="00B26B34">
      <w:pPr>
        <w:pStyle w:val="SingleParagraph"/>
      </w:pPr>
    </w:p>
    <w:p w14:paraId="49DDF7C3" w14:textId="77777777" w:rsidR="00B26B34" w:rsidRPr="00321EC0" w:rsidRDefault="00B26B34" w:rsidP="00B26B34"/>
    <w:p w14:paraId="6376D026" w14:textId="77777777" w:rsidR="00B26B34" w:rsidRPr="00321EC0" w:rsidRDefault="00B26B34" w:rsidP="00B26B34"/>
    <w:p w14:paraId="601C399D" w14:textId="77777777" w:rsidR="00B26B34" w:rsidRPr="00321EC0" w:rsidRDefault="00B26B34" w:rsidP="00B26B34">
      <w:pPr>
        <w:pStyle w:val="Heading3"/>
      </w:pPr>
      <w:r w:rsidRPr="00321EC0">
        <w:br w:type="page"/>
      </w:r>
      <w:bookmarkStart w:id="489" w:name="_Toc62204220"/>
      <w:bookmarkStart w:id="490" w:name="_Toc62835732"/>
      <w:bookmarkStart w:id="491" w:name="_Toc63158613"/>
      <w:r w:rsidRPr="00321EC0">
        <w:t>3.2</w:t>
      </w:r>
      <w:r w:rsidRPr="00321EC0">
        <w:tab/>
        <w:t>Budgeted financial statements</w:t>
      </w:r>
      <w:bookmarkEnd w:id="489"/>
      <w:bookmarkEnd w:id="490"/>
      <w:bookmarkEnd w:id="491"/>
    </w:p>
    <w:p w14:paraId="35DB26E2" w14:textId="77777777" w:rsidR="00B26B34" w:rsidRPr="00321EC0" w:rsidRDefault="00B26B34" w:rsidP="00B26B34">
      <w:pPr>
        <w:pStyle w:val="Heading4"/>
      </w:pPr>
      <w:r w:rsidRPr="00321EC0">
        <w:t>3.2</w:t>
      </w:r>
      <w:r w:rsidRPr="00321EC0">
        <w:rPr>
          <w:lang w:val="en-AU"/>
        </w:rPr>
        <w:t>.1</w:t>
      </w:r>
      <w:r w:rsidRPr="00321EC0">
        <w:tab/>
        <w:t>Analysis of budgeted financial statements</w:t>
      </w:r>
    </w:p>
    <w:p w14:paraId="336F86B1" w14:textId="77777777" w:rsidR="00B26B34" w:rsidRPr="00321EC0" w:rsidRDefault="00B26B34" w:rsidP="00B26B34">
      <w:pPr>
        <w:pStyle w:val="ExampleText"/>
        <w:jc w:val="both"/>
        <w:rPr>
          <w:i w:val="0"/>
          <w:color w:val="000000" w:themeColor="text1"/>
        </w:rPr>
      </w:pPr>
      <w:r w:rsidRPr="00321EC0">
        <w:rPr>
          <w:i w:val="0"/>
          <w:color w:val="000000" w:themeColor="text1"/>
        </w:rPr>
        <w:t>The budgeted financial statements have changed since the 2020-21 Portfolio Budget Statements. The changes reflect additional funding receiv</w:t>
      </w:r>
      <w:r w:rsidR="00574B74">
        <w:rPr>
          <w:i w:val="0"/>
          <w:color w:val="000000" w:themeColor="text1"/>
        </w:rPr>
        <w:t>ed for the by-elections in Eden</w:t>
      </w:r>
      <w:r w:rsidR="00574B74">
        <w:rPr>
          <w:i w:val="0"/>
          <w:color w:val="000000" w:themeColor="text1"/>
        </w:rPr>
        <w:noBreakHyphen/>
      </w:r>
      <w:r w:rsidRPr="00321EC0">
        <w:rPr>
          <w:i w:val="0"/>
          <w:color w:val="000000" w:themeColor="text1"/>
        </w:rPr>
        <w:t xml:space="preserve">Monaro and Groom, and also </w:t>
      </w:r>
      <w:r w:rsidR="00A22A5B">
        <w:rPr>
          <w:i w:val="0"/>
          <w:color w:val="000000" w:themeColor="text1"/>
        </w:rPr>
        <w:t xml:space="preserve">for </w:t>
      </w:r>
      <w:r w:rsidRPr="00321EC0">
        <w:rPr>
          <w:i w:val="0"/>
          <w:color w:val="000000" w:themeColor="text1"/>
        </w:rPr>
        <w:t>redistributions in Victoria, Western Australia and Northern Territory. Additional administered appropriations have been received to fund the political party payments incurred as a result of t</w:t>
      </w:r>
      <w:r w:rsidR="00574B74">
        <w:rPr>
          <w:i w:val="0"/>
          <w:color w:val="000000" w:themeColor="text1"/>
        </w:rPr>
        <w:t>he Eden-Monaro and the Groom by</w:t>
      </w:r>
      <w:r w:rsidR="00574B74">
        <w:rPr>
          <w:i w:val="0"/>
          <w:color w:val="000000" w:themeColor="text1"/>
        </w:rPr>
        <w:noBreakHyphen/>
      </w:r>
      <w:r w:rsidRPr="00321EC0">
        <w:rPr>
          <w:i w:val="0"/>
          <w:color w:val="000000" w:themeColor="text1"/>
        </w:rPr>
        <w:t xml:space="preserve">elections. </w:t>
      </w:r>
    </w:p>
    <w:p w14:paraId="588EFEEE" w14:textId="77777777" w:rsidR="00B26B34" w:rsidRPr="00321EC0" w:rsidRDefault="00B26B34" w:rsidP="00B26B34">
      <w:pPr>
        <w:pStyle w:val="ExampleText"/>
        <w:jc w:val="both"/>
        <w:rPr>
          <w:i w:val="0"/>
          <w:color w:val="000000"/>
        </w:rPr>
      </w:pPr>
      <w:r w:rsidRPr="00321EC0">
        <w:rPr>
          <w:i w:val="0"/>
          <w:iCs/>
          <w:color w:val="000000"/>
        </w:rPr>
        <w:t>The AEC has also secured additional Departmental appropriations for the Polling Place Technology measure and for the Northern Territory electoral office. Funds have been brought forward from the forward estimates into the revised budget year for election preparation activities.</w:t>
      </w:r>
    </w:p>
    <w:p w14:paraId="00D6C702" w14:textId="77777777" w:rsidR="00B26B34" w:rsidRPr="00321EC0" w:rsidRDefault="00B26B34" w:rsidP="00B26B34">
      <w:pPr>
        <w:pStyle w:val="Heading4"/>
      </w:pPr>
      <w:r w:rsidRPr="00321EC0">
        <w:t>3.2.2</w:t>
      </w:r>
      <w:r w:rsidRPr="00321EC0">
        <w:tab/>
        <w:t>Budgeted financial statements</w:t>
      </w:r>
    </w:p>
    <w:p w14:paraId="4A9D4356" w14:textId="77777777" w:rsidR="00B26B34" w:rsidRPr="00321EC0" w:rsidRDefault="00B26B34" w:rsidP="00B26B34">
      <w:pPr>
        <w:pStyle w:val="TableHeading"/>
        <w:spacing w:before="0"/>
        <w:rPr>
          <w:snapToGrid w:val="0"/>
          <w:lang w:val="en-AU"/>
        </w:rPr>
      </w:pPr>
      <w:r w:rsidRPr="00321EC0">
        <w:rPr>
          <w:snapToGrid w:val="0"/>
        </w:rPr>
        <w:t>Table 3.2: Comprehensive income statement (showing net cost of services)</w:t>
      </w:r>
      <w:r w:rsidRPr="00321EC0">
        <w:rPr>
          <w:snapToGrid w:val="0"/>
          <w:lang w:val="en-AU"/>
        </w:rPr>
        <w:t xml:space="preserve"> for the period ended 30 June</w:t>
      </w:r>
    </w:p>
    <w:p w14:paraId="0E2D0925" w14:textId="77777777" w:rsidR="00B26B34" w:rsidRPr="00321EC0" w:rsidRDefault="00B26B34" w:rsidP="00B26B34">
      <w:pPr>
        <w:pStyle w:val="TableGraphic"/>
        <w:rPr>
          <w:i w:val="0"/>
        </w:rPr>
      </w:pPr>
      <w:r w:rsidRPr="00321EC0">
        <w:rPr>
          <w:i w:val="0"/>
        </w:rPr>
        <w:t xml:space="preserve"> </w:t>
      </w:r>
      <w:r w:rsidRPr="00321EC0">
        <w:rPr>
          <w:i w:val="0"/>
        </w:rPr>
        <w:fldChar w:fldCharType="begin"/>
      </w:r>
      <w:r w:rsidRPr="00321EC0">
        <w:rPr>
          <w:i w:val="0"/>
        </w:rPr>
        <w:instrText xml:space="preserve"> LINK Excel.Sheet.12 "\\\\prod.aec.gov.au\\can0\\branch\\CFO\\Financial Management\\Budgeting\\Budget 20-21\\External Budget\\PAES\\PAES excel table &amp; word doc\\EM 2020-43 Attachment G - Excel table template 2020-21 PAES.xlsx!Table 3.2 NCCE!R5C4:R40C9" "" \a \p </w:instrText>
      </w:r>
      <w:r w:rsidR="006C7442" w:rsidRPr="00321EC0">
        <w:rPr>
          <w:i w:val="0"/>
        </w:rPr>
        <w:instrText xml:space="preserve"> \* MERGEFORMAT </w:instrText>
      </w:r>
      <w:r w:rsidRPr="00321EC0">
        <w:rPr>
          <w:i w:val="0"/>
        </w:rPr>
        <w:fldChar w:fldCharType="separate"/>
      </w:r>
      <w:r w:rsidR="0019528E">
        <w:rPr>
          <w:i w:val="0"/>
        </w:rPr>
        <w:object w:dxaOrig="7380" w:dyaOrig="7890" w14:anchorId="5F9CB9D6">
          <v:shape id="_x0000_i1031" type="#_x0000_t75" style="width:368.45pt;height:396pt" o:ole="">
            <v:imagedata r:id="rId146" o:title=""/>
          </v:shape>
        </w:object>
      </w:r>
      <w:r w:rsidRPr="00321EC0">
        <w:rPr>
          <w:i w:val="0"/>
        </w:rPr>
        <w:fldChar w:fldCharType="end"/>
      </w:r>
    </w:p>
    <w:p w14:paraId="70C499A5" w14:textId="77777777" w:rsidR="00B26B34" w:rsidRPr="00321EC0" w:rsidRDefault="00B26B34" w:rsidP="00B26B34"/>
    <w:p w14:paraId="41473A8A" w14:textId="77777777" w:rsidR="00B26B34" w:rsidRPr="00321EC0" w:rsidRDefault="00B26B34" w:rsidP="00B26B34">
      <w:pPr>
        <w:pStyle w:val="TableHeading"/>
        <w:spacing w:before="0"/>
        <w:rPr>
          <w:snapToGrid w:val="0"/>
        </w:rPr>
      </w:pPr>
      <w:r w:rsidRPr="00321EC0">
        <w:br w:type="page"/>
      </w:r>
      <w:r w:rsidRPr="00321EC0">
        <w:rPr>
          <w:snapToGrid w:val="0"/>
        </w:rPr>
        <w:t>Table 3.2: Comprehensive income statement (showing net cost of services) for the period ended 30 June (continued)</w:t>
      </w:r>
    </w:p>
    <w:p w14:paraId="649D93AD" w14:textId="77777777" w:rsidR="00B26B34" w:rsidRPr="00321EC0" w:rsidRDefault="00B26B34" w:rsidP="00B26B34">
      <w:pPr>
        <w:pStyle w:val="TableGraphic"/>
        <w:rPr>
          <w:rFonts w:ascii="Arial" w:hAnsi="Arial"/>
          <w:b/>
          <w:i w:val="0"/>
          <w:snapToGrid w:val="0"/>
          <w:color w:val="auto"/>
        </w:rPr>
      </w:pPr>
    </w:p>
    <w:p w14:paraId="0C3741FF" w14:textId="77777777" w:rsidR="00B26B34" w:rsidRPr="00321EC0" w:rsidRDefault="00B26B34" w:rsidP="00B26B34">
      <w:pPr>
        <w:pStyle w:val="TableGraphic"/>
        <w:rPr>
          <w:rFonts w:ascii="Arial" w:hAnsi="Arial"/>
          <w:b/>
          <w:i w:val="0"/>
          <w:snapToGrid w:val="0"/>
          <w:color w:val="auto"/>
        </w:rPr>
      </w:pPr>
      <w:r w:rsidRPr="00321EC0">
        <w:rPr>
          <w:rFonts w:ascii="Arial" w:hAnsi="Arial"/>
          <w:b/>
          <w:i w:val="0"/>
          <w:snapToGrid w:val="0"/>
          <w:color w:val="auto"/>
        </w:rPr>
        <w:t>Note: Impact of net cash appropriation arrangements</w:t>
      </w:r>
    </w:p>
    <w:p w14:paraId="3EEB8790" w14:textId="77777777" w:rsidR="00B26B34" w:rsidRPr="00321EC0" w:rsidRDefault="00B26B34" w:rsidP="00B26B34">
      <w:pPr>
        <w:pStyle w:val="TableGraphic"/>
      </w:pPr>
    </w:p>
    <w:p w14:paraId="6CBC746E" w14:textId="7390B56D" w:rsidR="00B26B34" w:rsidRPr="00321EC0" w:rsidRDefault="00AE4899" w:rsidP="00B26B34">
      <w:pPr>
        <w:pStyle w:val="Source"/>
      </w:pPr>
      <w:r w:rsidRPr="00AE4899">
        <w:rPr>
          <w:noProof/>
        </w:rPr>
        <w:drawing>
          <wp:inline distT="0" distB="0" distL="0" distR="0" wp14:anchorId="54B51520" wp14:editId="2F79ED48">
            <wp:extent cx="4688840" cy="18948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688840" cy="1894840"/>
                    </a:xfrm>
                    <a:prstGeom prst="rect">
                      <a:avLst/>
                    </a:prstGeom>
                    <a:noFill/>
                    <a:ln>
                      <a:noFill/>
                    </a:ln>
                  </pic:spPr>
                </pic:pic>
              </a:graphicData>
            </a:graphic>
          </wp:inline>
        </w:drawing>
      </w:r>
      <w:r w:rsidR="00B26B34" w:rsidRPr="00321EC0">
        <w:t>Prepared on Australian Accounting Standards basis.</w:t>
      </w:r>
    </w:p>
    <w:p w14:paraId="14CB86FE" w14:textId="77777777" w:rsidR="00B26B34" w:rsidRPr="00321EC0" w:rsidRDefault="00B26B34" w:rsidP="00B26B34">
      <w:pPr>
        <w:pStyle w:val="ChartandTableFootnoteAlpha"/>
        <w:numPr>
          <w:ilvl w:val="0"/>
          <w:numId w:val="0"/>
        </w:numPr>
        <w:ind w:left="397" w:hanging="397"/>
      </w:pPr>
    </w:p>
    <w:p w14:paraId="5F066875" w14:textId="77777777" w:rsidR="00B26B34" w:rsidRPr="00970264" w:rsidRDefault="00B26B34" w:rsidP="00970264">
      <w:pPr>
        <w:pStyle w:val="ChartandTableFootnoteAlpha"/>
        <w:numPr>
          <w:ilvl w:val="0"/>
          <w:numId w:val="33"/>
        </w:numPr>
        <w:autoSpaceDE w:val="0"/>
        <w:autoSpaceDN w:val="0"/>
        <w:adjustRightInd w:val="0"/>
        <w:jc w:val="left"/>
        <w:rPr>
          <w:rFonts w:cs="Arial"/>
          <w:szCs w:val="16"/>
        </w:rPr>
      </w:pPr>
      <w:r w:rsidRPr="00970264">
        <w:rPr>
          <w:rFonts w:cs="Arial"/>
          <w:szCs w:val="16"/>
        </w:rPr>
        <w:t>From 2010-11, the Government introduced the net cash appropriation arrangement that provided non</w:t>
      </w:r>
      <w:r w:rsidRPr="00970264">
        <w:rPr>
          <w:rFonts w:cs="Arial"/>
          <w:szCs w:val="16"/>
        </w:rPr>
        <w:noBreakHyphen/>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13E23476" w14:textId="77777777" w:rsidR="00B26B34" w:rsidRPr="00321EC0" w:rsidRDefault="00B26B34" w:rsidP="00264523">
      <w:pPr>
        <w:pStyle w:val="ChartandTableFootnoteAlpha"/>
        <w:numPr>
          <w:ilvl w:val="0"/>
          <w:numId w:val="3"/>
        </w:numPr>
      </w:pPr>
      <w:r w:rsidRPr="00321EC0">
        <w:t>Applies leases under AASB 16 Leases.</w:t>
      </w:r>
    </w:p>
    <w:p w14:paraId="6803522E" w14:textId="77777777" w:rsidR="00B26B34" w:rsidRPr="00321EC0" w:rsidRDefault="00B26B34" w:rsidP="00B26B34"/>
    <w:p w14:paraId="62749B35" w14:textId="77777777" w:rsidR="00B26B34" w:rsidRPr="00321EC0" w:rsidRDefault="00B26B34" w:rsidP="00B26B34">
      <w:pPr>
        <w:spacing w:after="0" w:line="240" w:lineRule="auto"/>
        <w:jc w:val="left"/>
        <w:rPr>
          <w:rFonts w:ascii="Arial" w:hAnsi="Arial"/>
          <w:sz w:val="16"/>
        </w:rPr>
      </w:pPr>
      <w:r w:rsidRPr="00321EC0">
        <w:br w:type="page"/>
      </w:r>
    </w:p>
    <w:p w14:paraId="2E731AB2" w14:textId="77777777" w:rsidR="00B26B34" w:rsidRPr="00321EC0" w:rsidRDefault="00B26B34" w:rsidP="00B26B34">
      <w:pPr>
        <w:pStyle w:val="Source"/>
        <w:rPr>
          <w:snapToGrid w:val="0"/>
        </w:rPr>
      </w:pPr>
    </w:p>
    <w:p w14:paraId="10D3DB5C" w14:textId="77777777" w:rsidR="00B26B34" w:rsidRPr="00321EC0" w:rsidRDefault="00B26B34" w:rsidP="00B26B34">
      <w:pPr>
        <w:pStyle w:val="TableHeading"/>
        <w:spacing w:before="0"/>
        <w:rPr>
          <w:lang w:val="en-AU"/>
        </w:rPr>
      </w:pPr>
      <w:r w:rsidRPr="00321EC0">
        <w:rPr>
          <w:snapToGrid w:val="0"/>
        </w:rPr>
        <w:t>Table 3.3: Budgeted departmental balance sheet (as at 30 June)</w:t>
      </w:r>
      <w:r w:rsidRPr="00321EC0">
        <w:rPr>
          <w:b w:val="0"/>
          <w:snapToGrid w:val="0"/>
        </w:rPr>
        <w:t xml:space="preserve"> </w:t>
      </w:r>
    </w:p>
    <w:p w14:paraId="2A9310D8" w14:textId="77777777" w:rsidR="00B26B34" w:rsidRPr="00321EC0" w:rsidRDefault="00B26B34" w:rsidP="00B26B34">
      <w:pPr>
        <w:pStyle w:val="TableGraphic"/>
        <w:rPr>
          <w:i w:val="0"/>
        </w:rPr>
      </w:pPr>
      <w:r w:rsidRPr="00321EC0">
        <w:rPr>
          <w:i w:val="0"/>
        </w:rPr>
        <w:t xml:space="preserve"> </w:t>
      </w:r>
    </w:p>
    <w:p w14:paraId="66F9FFB0" w14:textId="77777777" w:rsidR="00B26B34" w:rsidRPr="00321EC0" w:rsidRDefault="00B26B34" w:rsidP="00B26B34">
      <w:pPr>
        <w:pStyle w:val="TableGraphic"/>
      </w:pPr>
      <w:r w:rsidRPr="00321EC0">
        <w:fldChar w:fldCharType="begin"/>
      </w:r>
      <w:r w:rsidRPr="00321EC0">
        <w:instrText xml:space="preserve"> LINK Excel.Sheet.12 "\\\\prod.aec.gov.au\\can0\\branch\\CFO\\Financial Management\\Budgeting\\Budget 20-21\\External Budget\\PAES\\PAES excel table &amp; word doc\\EM 2020-43 Attachment G - Excel table template 2020-21 PAES.xlsx!Table 3.3!R3C4:R62C9" "" \a \p </w:instrText>
      </w:r>
      <w:r w:rsidR="006C7442" w:rsidRPr="00321EC0">
        <w:instrText xml:space="preserve"> \* MERGEFORMAT </w:instrText>
      </w:r>
      <w:r w:rsidRPr="00321EC0">
        <w:fldChar w:fldCharType="separate"/>
      </w:r>
      <w:r w:rsidR="0019528E">
        <w:object w:dxaOrig="7260" w:dyaOrig="9240" w14:anchorId="73324336">
          <v:shape id="_x0000_i1032" type="#_x0000_t75" style="width:363.85pt;height:460.35pt" o:ole="">
            <v:imagedata r:id="rId148" o:title=""/>
          </v:shape>
        </w:object>
      </w:r>
      <w:r w:rsidRPr="00321EC0">
        <w:fldChar w:fldCharType="end"/>
      </w:r>
    </w:p>
    <w:p w14:paraId="1FD2FF3F" w14:textId="77777777" w:rsidR="00B26B34" w:rsidRPr="00321EC0" w:rsidRDefault="00B26B34" w:rsidP="00B26B34">
      <w:pPr>
        <w:pStyle w:val="Source"/>
      </w:pPr>
      <w:r w:rsidRPr="00321EC0">
        <w:t>Prepared on Australian Accounting Standards basis.</w:t>
      </w:r>
    </w:p>
    <w:p w14:paraId="7C96D479" w14:textId="77777777" w:rsidR="00B26B34" w:rsidRPr="00321EC0" w:rsidRDefault="00B26B34" w:rsidP="00B26B34">
      <w:pPr>
        <w:pStyle w:val="Source"/>
      </w:pPr>
      <w:r w:rsidRPr="00321EC0">
        <w:t>* Equity is the residual interest in assets after the deduction of liabilities.</w:t>
      </w:r>
    </w:p>
    <w:p w14:paraId="416215D3" w14:textId="77777777" w:rsidR="00B26B34" w:rsidRPr="00321EC0" w:rsidRDefault="00B26B34" w:rsidP="00B26B34">
      <w:pPr>
        <w:spacing w:after="0" w:line="240" w:lineRule="auto"/>
        <w:jc w:val="left"/>
        <w:rPr>
          <w:snapToGrid w:val="0"/>
        </w:rPr>
      </w:pPr>
      <w:r w:rsidRPr="00321EC0">
        <w:rPr>
          <w:snapToGrid w:val="0"/>
        </w:rPr>
        <w:br w:type="page"/>
      </w:r>
    </w:p>
    <w:p w14:paraId="6AEC20D5" w14:textId="77777777" w:rsidR="00B26B34" w:rsidRPr="00321EC0" w:rsidRDefault="00B26B34" w:rsidP="00B26B34">
      <w:pPr>
        <w:pStyle w:val="SingleParagraph"/>
        <w:rPr>
          <w:snapToGrid w:val="0"/>
        </w:rPr>
      </w:pPr>
    </w:p>
    <w:p w14:paraId="7FB47BC5" w14:textId="77777777" w:rsidR="00B26B34" w:rsidRPr="00321EC0" w:rsidRDefault="00B26B34" w:rsidP="00B26B34">
      <w:pPr>
        <w:pStyle w:val="TableHeading"/>
        <w:spacing w:before="0"/>
        <w:rPr>
          <w:snapToGrid w:val="0"/>
        </w:rPr>
      </w:pPr>
      <w:r w:rsidRPr="00321EC0">
        <w:rPr>
          <w:snapToGrid w:val="0"/>
        </w:rPr>
        <w:t xml:space="preserve">Table 3.4: Departmental statement of changes in equity — summary of movement (Budget Year </w:t>
      </w:r>
      <w:r w:rsidRPr="00321EC0">
        <w:rPr>
          <w:snapToGrid w:val="0"/>
          <w:lang w:val="en-AU"/>
        </w:rPr>
        <w:t>2020-21</w:t>
      </w:r>
      <w:r w:rsidRPr="00321EC0">
        <w:rPr>
          <w:snapToGrid w:val="0"/>
        </w:rPr>
        <w:t>)</w:t>
      </w:r>
      <w:r w:rsidRPr="00321EC0">
        <w:rPr>
          <w:b w:val="0"/>
          <w:snapToGrid w:val="0"/>
        </w:rPr>
        <w:t xml:space="preserve"> </w:t>
      </w:r>
    </w:p>
    <w:p w14:paraId="49FD2017" w14:textId="77777777" w:rsidR="00B26B34" w:rsidRPr="00321EC0" w:rsidRDefault="00B26B34" w:rsidP="00B26B34">
      <w:pPr>
        <w:pStyle w:val="TableGraphic"/>
      </w:pPr>
      <w:r w:rsidRPr="00321EC0">
        <w:rPr>
          <w:i w:val="0"/>
        </w:rPr>
        <w:t xml:space="preserve"> </w:t>
      </w:r>
    </w:p>
    <w:p w14:paraId="0EC4DF03" w14:textId="77777777" w:rsidR="00B26B34" w:rsidRPr="00321EC0" w:rsidRDefault="00B26B34" w:rsidP="00B26B34">
      <w:pPr>
        <w:pStyle w:val="Source"/>
        <w:rPr>
          <w:rFonts w:ascii="Book Antiqua" w:hAnsi="Book Antiqua"/>
          <w:i/>
          <w:color w:val="FF0000"/>
          <w:sz w:val="20"/>
        </w:rPr>
      </w:pPr>
      <w:r w:rsidRPr="00321EC0">
        <w:rPr>
          <w:rFonts w:ascii="Book Antiqua" w:hAnsi="Book Antiqua"/>
          <w:i/>
          <w:color w:val="FF0000"/>
          <w:sz w:val="20"/>
        </w:rPr>
        <w:fldChar w:fldCharType="begin"/>
      </w:r>
      <w:r w:rsidRPr="00321EC0">
        <w:rPr>
          <w:rFonts w:ascii="Book Antiqua" w:hAnsi="Book Antiqua"/>
          <w:i/>
          <w:color w:val="FF0000"/>
          <w:sz w:val="20"/>
        </w:rPr>
        <w:instrText xml:space="preserve"> LINK Excel.Sheet.12 "\\\\prod.aec.gov.au\\can0\\branch\\CFO\\Financial Management\\Budgeting\\Budget 20-21\\External Budget\\PAES\\PAES excel table &amp; word doc\\EM 2020-43 Attachment G - Excel table template 2020-21 PAES.xlsx!Table 3.4!R4C5:R34C10" "" \a \p </w:instrText>
      </w:r>
      <w:r w:rsidR="006C7442" w:rsidRPr="00321EC0">
        <w:rPr>
          <w:rFonts w:ascii="Book Antiqua" w:hAnsi="Book Antiqua"/>
          <w:i/>
          <w:color w:val="FF0000"/>
          <w:sz w:val="20"/>
        </w:rPr>
        <w:instrText xml:space="preserve"> \* MERGEFORMAT </w:instrText>
      </w:r>
      <w:r w:rsidRPr="00321EC0">
        <w:rPr>
          <w:rFonts w:ascii="Book Antiqua" w:hAnsi="Book Antiqua"/>
          <w:i/>
          <w:color w:val="FF0000"/>
          <w:sz w:val="20"/>
        </w:rPr>
        <w:fldChar w:fldCharType="separate"/>
      </w:r>
      <w:r w:rsidR="0019528E">
        <w:rPr>
          <w:rFonts w:ascii="Book Antiqua" w:hAnsi="Book Antiqua"/>
          <w:i/>
          <w:color w:val="FF0000"/>
          <w:sz w:val="20"/>
        </w:rPr>
        <w:object w:dxaOrig="6941" w:dyaOrig="4350" w14:anchorId="6A4968AC">
          <v:shape id="_x0000_i1033" type="#_x0000_t75" style="width:348.5pt;height:218.3pt" o:ole="">
            <v:imagedata r:id="rId149" o:title=""/>
          </v:shape>
        </w:object>
      </w:r>
      <w:r w:rsidRPr="00321EC0">
        <w:rPr>
          <w:rFonts w:ascii="Book Antiqua" w:hAnsi="Book Antiqua"/>
          <w:i/>
          <w:color w:val="FF0000"/>
          <w:sz w:val="20"/>
        </w:rPr>
        <w:fldChar w:fldCharType="end"/>
      </w:r>
    </w:p>
    <w:p w14:paraId="31AC2299" w14:textId="77777777" w:rsidR="00B26B34" w:rsidRPr="00321EC0" w:rsidRDefault="00B26B34" w:rsidP="00B26B34">
      <w:pPr>
        <w:pStyle w:val="Source"/>
        <w:rPr>
          <w:snapToGrid w:val="0"/>
        </w:rPr>
      </w:pPr>
      <w:r w:rsidRPr="00321EC0">
        <w:t>Prepared on Australian Accounting Standards basis</w:t>
      </w:r>
      <w:r w:rsidRPr="00321EC0">
        <w:rPr>
          <w:snapToGrid w:val="0"/>
        </w:rPr>
        <w:t>.</w:t>
      </w:r>
    </w:p>
    <w:p w14:paraId="33B81D60" w14:textId="77777777" w:rsidR="00B26B34" w:rsidRPr="00321EC0" w:rsidRDefault="00B26B34" w:rsidP="00B26B34">
      <w:pPr>
        <w:pStyle w:val="Source"/>
      </w:pPr>
    </w:p>
    <w:p w14:paraId="394BC4E4" w14:textId="77777777" w:rsidR="00B26B34" w:rsidRPr="00321EC0" w:rsidRDefault="00B26B34" w:rsidP="00B26B34">
      <w:pPr>
        <w:spacing w:after="0" w:line="240" w:lineRule="auto"/>
        <w:jc w:val="left"/>
        <w:rPr>
          <w:rFonts w:ascii="Arial" w:hAnsi="Arial"/>
          <w:sz w:val="16"/>
        </w:rPr>
      </w:pPr>
      <w:r w:rsidRPr="00321EC0">
        <w:br w:type="page"/>
      </w:r>
    </w:p>
    <w:p w14:paraId="2ACD3094" w14:textId="77777777" w:rsidR="00B26B34" w:rsidRPr="00321EC0" w:rsidRDefault="00B26B34" w:rsidP="00B26B34">
      <w:pPr>
        <w:pStyle w:val="Source"/>
      </w:pPr>
    </w:p>
    <w:p w14:paraId="1CCD57C3" w14:textId="77777777" w:rsidR="00B26B34" w:rsidRPr="00321EC0" w:rsidRDefault="00B26B34" w:rsidP="00B26B34">
      <w:pPr>
        <w:pStyle w:val="TableHeading"/>
        <w:spacing w:before="0"/>
        <w:rPr>
          <w:lang w:val="en-AU"/>
        </w:rPr>
      </w:pPr>
      <w:r w:rsidRPr="00321EC0">
        <w:rPr>
          <w:snapToGrid w:val="0"/>
        </w:rPr>
        <w:t>Table 3.5: Budgeted departmental statement of cash flows (</w:t>
      </w:r>
      <w:r w:rsidRPr="00321EC0">
        <w:rPr>
          <w:snapToGrid w:val="0"/>
          <w:lang w:val="en-AU"/>
        </w:rPr>
        <w:t>for the period ended</w:t>
      </w:r>
      <w:r w:rsidRPr="00321EC0">
        <w:rPr>
          <w:snapToGrid w:val="0"/>
        </w:rPr>
        <w:t xml:space="preserve"> 30 June)</w:t>
      </w:r>
      <w:r w:rsidRPr="00321EC0">
        <w:rPr>
          <w:b w:val="0"/>
          <w:snapToGrid w:val="0"/>
        </w:rPr>
        <w:t xml:space="preserve"> </w:t>
      </w:r>
    </w:p>
    <w:p w14:paraId="0CAC9DF3" w14:textId="77777777" w:rsidR="00B26B34" w:rsidRPr="00321EC0" w:rsidRDefault="00B26B34" w:rsidP="00B26B34">
      <w:pPr>
        <w:pStyle w:val="TableGraphic"/>
      </w:pPr>
      <w:r w:rsidRPr="00321EC0">
        <w:rPr>
          <w:i w:val="0"/>
        </w:rPr>
        <w:t xml:space="preserve"> </w:t>
      </w:r>
    </w:p>
    <w:p w14:paraId="5534190A" w14:textId="77777777" w:rsidR="00B26B34" w:rsidRPr="00321EC0" w:rsidRDefault="00B26B34" w:rsidP="00B26B34">
      <w:pPr>
        <w:pStyle w:val="Source"/>
      </w:pPr>
      <w:r w:rsidRPr="00321EC0">
        <w:rPr>
          <w:rFonts w:ascii="Book Antiqua" w:hAnsi="Book Antiqua"/>
          <w:i/>
          <w:color w:val="FF0000"/>
          <w:sz w:val="20"/>
        </w:rPr>
        <w:fldChar w:fldCharType="begin"/>
      </w:r>
      <w:r w:rsidRPr="00321EC0">
        <w:rPr>
          <w:rFonts w:ascii="Book Antiqua" w:hAnsi="Book Antiqua"/>
          <w:i/>
          <w:color w:val="FF0000"/>
          <w:sz w:val="20"/>
        </w:rPr>
        <w:instrText xml:space="preserve"> LINK Excel.Sheet.12 "\\\\prod.aec.gov.au\\can0\\branch\\CFO\\Financial Management\\Budgeting\\Budget 20-21\\External Budget\\PAES\\PAES excel table &amp; word doc\\EM 2020-43 Attachment G - Excel table template 2020-21 PAES.xlsx!Table 3.5!R3C5:R61C10" "" \a \p </w:instrText>
      </w:r>
      <w:r w:rsidR="006C7442" w:rsidRPr="00321EC0">
        <w:rPr>
          <w:rFonts w:ascii="Book Antiqua" w:hAnsi="Book Antiqua"/>
          <w:i/>
          <w:color w:val="FF0000"/>
          <w:sz w:val="20"/>
        </w:rPr>
        <w:instrText xml:space="preserve"> \* MERGEFORMAT </w:instrText>
      </w:r>
      <w:r w:rsidRPr="00321EC0">
        <w:rPr>
          <w:rFonts w:ascii="Book Antiqua" w:hAnsi="Book Antiqua"/>
          <w:i/>
          <w:color w:val="FF0000"/>
          <w:sz w:val="20"/>
        </w:rPr>
        <w:fldChar w:fldCharType="separate"/>
      </w:r>
      <w:r w:rsidR="0019528E">
        <w:rPr>
          <w:rFonts w:ascii="Book Antiqua" w:hAnsi="Book Antiqua"/>
          <w:i/>
          <w:color w:val="FF0000"/>
          <w:sz w:val="20"/>
        </w:rPr>
        <w:object w:dxaOrig="7847" w:dyaOrig="9154" w14:anchorId="1D418AA5">
          <v:shape id="_x0000_i1034" type="#_x0000_t75" style="width:394.45pt;height:455pt" o:ole="">
            <v:imagedata r:id="rId150" o:title=""/>
          </v:shape>
        </w:object>
      </w:r>
      <w:r w:rsidRPr="00321EC0">
        <w:rPr>
          <w:rFonts w:ascii="Book Antiqua" w:hAnsi="Book Antiqua"/>
          <w:i/>
          <w:color w:val="FF0000"/>
          <w:sz w:val="20"/>
        </w:rPr>
        <w:fldChar w:fldCharType="end"/>
      </w:r>
      <w:r w:rsidRPr="00321EC0">
        <w:t>Prepared on Australian Accounting Standards basis.</w:t>
      </w:r>
    </w:p>
    <w:p w14:paraId="4AB18374" w14:textId="77777777" w:rsidR="00B26B34" w:rsidRPr="00321EC0" w:rsidRDefault="00B26B34" w:rsidP="00B26B34">
      <w:pPr>
        <w:spacing w:after="0" w:line="240" w:lineRule="auto"/>
        <w:jc w:val="left"/>
        <w:rPr>
          <w:rFonts w:ascii="Arial" w:hAnsi="Arial"/>
          <w:snapToGrid w:val="0"/>
          <w:sz w:val="16"/>
        </w:rPr>
      </w:pPr>
      <w:r w:rsidRPr="00321EC0">
        <w:rPr>
          <w:snapToGrid w:val="0"/>
        </w:rPr>
        <w:br w:type="page"/>
      </w:r>
    </w:p>
    <w:p w14:paraId="170CC56C" w14:textId="77777777" w:rsidR="00B26B34" w:rsidRPr="00321EC0" w:rsidRDefault="00B26B34" w:rsidP="00B26B34">
      <w:pPr>
        <w:pStyle w:val="Source"/>
        <w:rPr>
          <w:snapToGrid w:val="0"/>
        </w:rPr>
      </w:pPr>
    </w:p>
    <w:p w14:paraId="5FFE7043" w14:textId="77777777" w:rsidR="00B26B34" w:rsidRPr="00321EC0" w:rsidRDefault="00B26B34" w:rsidP="00B26B34">
      <w:pPr>
        <w:pStyle w:val="TableHeading"/>
        <w:spacing w:before="0"/>
        <w:rPr>
          <w:lang w:val="en-AU"/>
        </w:rPr>
      </w:pPr>
      <w:r w:rsidRPr="00321EC0">
        <w:rPr>
          <w:snapToGrid w:val="0"/>
        </w:rPr>
        <w:t xml:space="preserve">Table 3.6: </w:t>
      </w:r>
      <w:r w:rsidRPr="00321EC0">
        <w:rPr>
          <w:snapToGrid w:val="0"/>
          <w:lang w:val="en-AU"/>
        </w:rPr>
        <w:t xml:space="preserve">Departmental </w:t>
      </w:r>
      <w:r w:rsidRPr="00321EC0">
        <w:rPr>
          <w:snapToGrid w:val="0"/>
        </w:rPr>
        <w:t>capital budget statement</w:t>
      </w:r>
      <w:r w:rsidRPr="00321EC0">
        <w:rPr>
          <w:snapToGrid w:val="0"/>
          <w:lang w:val="en-AU"/>
        </w:rPr>
        <w:t xml:space="preserve"> (for the period ended 30 June)</w:t>
      </w:r>
      <w:r w:rsidRPr="00321EC0">
        <w:rPr>
          <w:b w:val="0"/>
          <w:snapToGrid w:val="0"/>
        </w:rPr>
        <w:t xml:space="preserve"> </w:t>
      </w:r>
    </w:p>
    <w:p w14:paraId="3F25A4BD" w14:textId="77777777" w:rsidR="00B26B34" w:rsidRPr="00321EC0" w:rsidRDefault="00B26B34" w:rsidP="00B26B34">
      <w:pPr>
        <w:pStyle w:val="TableGraphic"/>
      </w:pPr>
      <w:r w:rsidRPr="00321EC0">
        <w:rPr>
          <w:i w:val="0"/>
        </w:rPr>
        <w:t xml:space="preserve"> </w:t>
      </w:r>
    </w:p>
    <w:p w14:paraId="222DBDCE" w14:textId="7CF7BFBC" w:rsidR="00B26B34" w:rsidRPr="00321EC0" w:rsidRDefault="008038FA" w:rsidP="00B26B34">
      <w:pPr>
        <w:pStyle w:val="Source"/>
      </w:pPr>
      <w:r w:rsidRPr="008038FA">
        <w:rPr>
          <w:noProof/>
        </w:rPr>
        <w:drawing>
          <wp:inline distT="0" distB="0" distL="0" distR="0" wp14:anchorId="0885C179" wp14:editId="2D9D0C90">
            <wp:extent cx="4608830" cy="2772410"/>
            <wp:effectExtent l="0" t="0" r="127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608830" cy="2772410"/>
                    </a:xfrm>
                    <a:prstGeom prst="rect">
                      <a:avLst/>
                    </a:prstGeom>
                    <a:noFill/>
                    <a:ln>
                      <a:noFill/>
                    </a:ln>
                  </pic:spPr>
                </pic:pic>
              </a:graphicData>
            </a:graphic>
          </wp:inline>
        </w:drawing>
      </w:r>
      <w:r w:rsidR="00B26B34" w:rsidRPr="00321EC0">
        <w:t>Prepared on Australian Accounting Standards basis.</w:t>
      </w:r>
    </w:p>
    <w:p w14:paraId="4FD744D4" w14:textId="77777777" w:rsidR="00B26B34" w:rsidRPr="00321EC0" w:rsidRDefault="00B26B34" w:rsidP="00B26B34">
      <w:pPr>
        <w:pStyle w:val="ChartandTableFootnoteAlpha"/>
        <w:numPr>
          <w:ilvl w:val="0"/>
          <w:numId w:val="0"/>
        </w:numPr>
        <w:ind w:left="397" w:hanging="397"/>
      </w:pPr>
    </w:p>
    <w:p w14:paraId="723AB6CC" w14:textId="64D95238" w:rsidR="00B26B34" w:rsidRPr="00321EC0" w:rsidRDefault="007E4B42" w:rsidP="007E4B42">
      <w:pPr>
        <w:pStyle w:val="ChartandTableFootnoteAlpha"/>
        <w:numPr>
          <w:ilvl w:val="0"/>
          <w:numId w:val="34"/>
        </w:numPr>
      </w:pPr>
      <w:r>
        <w:t>I</w:t>
      </w:r>
      <w:r w:rsidRPr="007E4B42">
        <w:t>ncludes current and previous years’ Departmental Capital Budgets (DCBs).</w:t>
      </w:r>
    </w:p>
    <w:p w14:paraId="5183ADEA" w14:textId="77777777" w:rsidR="00B26B34" w:rsidRPr="00321EC0" w:rsidRDefault="00B26B34" w:rsidP="00B26B34">
      <w:pPr>
        <w:spacing w:after="0" w:line="240" w:lineRule="auto"/>
        <w:jc w:val="left"/>
        <w:rPr>
          <w:rFonts w:ascii="Arial" w:hAnsi="Arial"/>
          <w:sz w:val="16"/>
        </w:rPr>
      </w:pPr>
      <w:r w:rsidRPr="00321EC0">
        <w:br w:type="page"/>
      </w:r>
    </w:p>
    <w:p w14:paraId="43B3C2F3" w14:textId="77777777" w:rsidR="00B26B34" w:rsidRPr="00321EC0" w:rsidRDefault="00B26B34" w:rsidP="00B26B34">
      <w:pPr>
        <w:pStyle w:val="TableHeading"/>
        <w:spacing w:before="0" w:after="0"/>
        <w:rPr>
          <w:lang w:val="en-AU"/>
        </w:rPr>
      </w:pPr>
      <w:r w:rsidRPr="00321EC0">
        <w:rPr>
          <w:snapToGrid w:val="0"/>
        </w:rPr>
        <w:t>Table 3.</w:t>
      </w:r>
      <w:r w:rsidRPr="00321EC0">
        <w:rPr>
          <w:snapToGrid w:val="0"/>
          <w:lang w:val="en-AU"/>
        </w:rPr>
        <w:t>7</w:t>
      </w:r>
      <w:r w:rsidRPr="00321EC0">
        <w:rPr>
          <w:snapToGrid w:val="0"/>
        </w:rPr>
        <w:t>: Statement of asset movements (</w:t>
      </w:r>
      <w:r w:rsidRPr="00321EC0">
        <w:rPr>
          <w:snapToGrid w:val="0"/>
          <w:lang w:val="en-AU"/>
        </w:rPr>
        <w:t>2020-21 Budget year</w:t>
      </w:r>
      <w:r w:rsidRPr="00321EC0">
        <w:rPr>
          <w:snapToGrid w:val="0"/>
        </w:rPr>
        <w:t>)</w:t>
      </w:r>
      <w:r w:rsidRPr="00321EC0">
        <w:rPr>
          <w:b w:val="0"/>
          <w:snapToGrid w:val="0"/>
        </w:rPr>
        <w:t xml:space="preserve"> </w:t>
      </w:r>
    </w:p>
    <w:p w14:paraId="624AAF0E" w14:textId="77777777" w:rsidR="00B26B34" w:rsidRPr="00321EC0" w:rsidRDefault="00B26B34" w:rsidP="00B26B34">
      <w:pPr>
        <w:pStyle w:val="TableGraphic"/>
      </w:pPr>
    </w:p>
    <w:p w14:paraId="662A9090" w14:textId="77777777" w:rsidR="00B26B34" w:rsidRPr="00321EC0" w:rsidRDefault="00B26B34" w:rsidP="00B26B34">
      <w:pPr>
        <w:pStyle w:val="TableGraphic"/>
      </w:pPr>
      <w:r w:rsidRPr="00321EC0">
        <w:rPr>
          <w:noProof/>
        </w:rPr>
        <w:fldChar w:fldCharType="begin"/>
      </w:r>
      <w:r w:rsidRPr="00321EC0">
        <w:rPr>
          <w:noProof/>
        </w:rPr>
        <w:instrText xml:space="preserve"> LINK Excel.Sheet.12 "\\\\prod.aec.gov.au\\can0\\branch\\CFO\\Financial Management\\Budgeting\\Budget 20-21\\External Budget\\PAES\\PAES excel table &amp; word doc\\EM 2020-43 Attachment G - Excel table template 2020-21 PAES.xlsx!Table 3.7!R4C4:R42C13" "" \a \p </w:instrText>
      </w:r>
      <w:r w:rsidR="006C7442" w:rsidRPr="00321EC0">
        <w:rPr>
          <w:noProof/>
        </w:rPr>
        <w:instrText xml:space="preserve"> \* MERGEFORMAT </w:instrText>
      </w:r>
      <w:r w:rsidRPr="00321EC0">
        <w:rPr>
          <w:noProof/>
        </w:rPr>
        <w:fldChar w:fldCharType="separate"/>
      </w:r>
      <w:r w:rsidR="0019528E">
        <w:rPr>
          <w:noProof/>
        </w:rPr>
        <w:object w:dxaOrig="7356" w:dyaOrig="7379" w14:anchorId="571B2EF7">
          <v:shape id="_x0000_i1035" type="#_x0000_t75" style="width:369.2pt;height:368.45pt" o:ole="">
            <v:imagedata r:id="rId152" o:title=""/>
          </v:shape>
        </w:object>
      </w:r>
      <w:r w:rsidRPr="00321EC0">
        <w:rPr>
          <w:noProof/>
        </w:rPr>
        <w:fldChar w:fldCharType="end"/>
      </w:r>
    </w:p>
    <w:p w14:paraId="09F8D469" w14:textId="77777777" w:rsidR="00B26B34" w:rsidRPr="00321EC0" w:rsidRDefault="00B26B34" w:rsidP="00B26B34">
      <w:pPr>
        <w:pStyle w:val="Source"/>
      </w:pPr>
      <w:r w:rsidRPr="00321EC0">
        <w:t>Prepared on Australian Accounting Standards basis.</w:t>
      </w:r>
    </w:p>
    <w:p w14:paraId="29F9696F" w14:textId="77777777" w:rsidR="00B26B34" w:rsidRPr="00321EC0" w:rsidRDefault="00B26B34" w:rsidP="00B26B34">
      <w:pPr>
        <w:pStyle w:val="ChartandTableFootnoteAlpha"/>
        <w:numPr>
          <w:ilvl w:val="0"/>
          <w:numId w:val="0"/>
        </w:numPr>
        <w:ind w:left="397" w:hanging="397"/>
      </w:pPr>
    </w:p>
    <w:p w14:paraId="604E7E05" w14:textId="77777777" w:rsidR="00B26B34" w:rsidRPr="00321EC0" w:rsidRDefault="00574B74" w:rsidP="00970264">
      <w:pPr>
        <w:pStyle w:val="ChartandTableFootnoteAlpha"/>
        <w:numPr>
          <w:ilvl w:val="0"/>
          <w:numId w:val="35"/>
        </w:numPr>
      </w:pPr>
      <w:r>
        <w:t>‘</w:t>
      </w:r>
      <w:r w:rsidR="00B26B34" w:rsidRPr="00321EC0">
        <w:t>Appropr</w:t>
      </w:r>
      <w:r>
        <w:t>iation ordinary annual services’</w:t>
      </w:r>
      <w:r w:rsidR="00B26B34" w:rsidRPr="00321EC0">
        <w:t xml:space="preserve"> refers to funding provided through </w:t>
      </w:r>
      <w:r w:rsidR="00B26B34" w:rsidRPr="00970264">
        <w:rPr>
          <w:i/>
        </w:rPr>
        <w:t>Appropriation Act (No. 1) 2020-2021</w:t>
      </w:r>
      <w:r w:rsidR="00B26B34" w:rsidRPr="00321EC0">
        <w:t xml:space="preserve"> and </w:t>
      </w:r>
      <w:r w:rsidR="00B26B34" w:rsidRPr="00791517">
        <w:t>Appropriation Bill (No. 3) 2020-2021</w:t>
      </w:r>
      <w:r w:rsidR="00B26B34" w:rsidRPr="00321EC0">
        <w:t xml:space="preserve"> for depreciation/amortisation expenses, Departmental Capital Budget or other operational expenses. </w:t>
      </w:r>
    </w:p>
    <w:p w14:paraId="3E457695" w14:textId="77777777" w:rsidR="00B26B34" w:rsidRPr="00321EC0" w:rsidRDefault="00B26B34" w:rsidP="00B26B34">
      <w:pPr>
        <w:pStyle w:val="Source"/>
      </w:pPr>
    </w:p>
    <w:p w14:paraId="09E31A22" w14:textId="77777777" w:rsidR="00B26B34" w:rsidRPr="00321EC0" w:rsidRDefault="00B26B34" w:rsidP="00B26B34">
      <w:pPr>
        <w:pStyle w:val="SingleParagraph"/>
        <w:rPr>
          <w:snapToGrid w:val="0"/>
        </w:rPr>
      </w:pPr>
    </w:p>
    <w:p w14:paraId="686E4252" w14:textId="77777777" w:rsidR="00B26B34" w:rsidRPr="00321EC0" w:rsidRDefault="00B26B34" w:rsidP="00B26B34">
      <w:pPr>
        <w:pStyle w:val="TableHeading"/>
        <w:spacing w:before="0"/>
        <w:rPr>
          <w:lang w:val="en-AU"/>
        </w:rPr>
      </w:pPr>
      <w:r w:rsidRPr="00321EC0">
        <w:rPr>
          <w:snapToGrid w:val="0"/>
        </w:rPr>
        <w:t>Table 3.8: Schedule of budgeted income and expenses administered on behalf of Government (for the period ended 30 June)</w:t>
      </w:r>
      <w:r w:rsidRPr="00321EC0">
        <w:rPr>
          <w:b w:val="0"/>
          <w:snapToGrid w:val="0"/>
        </w:rPr>
        <w:t xml:space="preserve"> </w:t>
      </w:r>
    </w:p>
    <w:p w14:paraId="68F337ED" w14:textId="77777777" w:rsidR="00B26B34" w:rsidRPr="00321EC0" w:rsidRDefault="00B26B34" w:rsidP="00B26B34">
      <w:pPr>
        <w:pStyle w:val="TableGraphic"/>
      </w:pPr>
      <w:r w:rsidRPr="00321EC0">
        <w:rPr>
          <w:noProof/>
        </w:rPr>
        <w:fldChar w:fldCharType="begin"/>
      </w:r>
      <w:r w:rsidRPr="00321EC0">
        <w:rPr>
          <w:noProof/>
        </w:rPr>
        <w:instrText xml:space="preserve"> LINK Excel.Sheet.12 "\\\\prod.aec.gov.au\\can0\\branch\\CFO\\Financial Management\\Budgeting\\Budget 20-21\\External Budget\\PAES\\PAES excel table &amp; word doc\\EM 2020-43 Attachment G - Excel table template 2020-21 PAES.xlsx!Table 3.8!R3C4:R52C9" "" \a \p </w:instrText>
      </w:r>
      <w:r w:rsidR="006C7442" w:rsidRPr="00321EC0">
        <w:rPr>
          <w:noProof/>
        </w:rPr>
        <w:instrText xml:space="preserve"> \* MERGEFORMAT </w:instrText>
      </w:r>
      <w:r w:rsidRPr="00321EC0">
        <w:rPr>
          <w:noProof/>
        </w:rPr>
        <w:fldChar w:fldCharType="separate"/>
      </w:r>
      <w:r w:rsidR="0019528E">
        <w:rPr>
          <w:noProof/>
        </w:rPr>
        <w:object w:dxaOrig="7847" w:dyaOrig="5460" w14:anchorId="48E59A2A">
          <v:shape id="_x0000_i1036" type="#_x0000_t75" style="width:394.45pt;height:272.7pt" o:ole="">
            <v:imagedata r:id="rId153" o:title=""/>
          </v:shape>
        </w:object>
      </w:r>
      <w:r w:rsidRPr="00321EC0">
        <w:rPr>
          <w:noProof/>
        </w:rPr>
        <w:fldChar w:fldCharType="end"/>
      </w:r>
    </w:p>
    <w:p w14:paraId="55B56DC4" w14:textId="77777777" w:rsidR="00B26B34" w:rsidRPr="00321EC0" w:rsidRDefault="00B26B34" w:rsidP="00B26B34">
      <w:pPr>
        <w:pStyle w:val="Source"/>
      </w:pPr>
      <w:r w:rsidRPr="00321EC0">
        <w:t>Prepared on Australian Accounting Standards basis.</w:t>
      </w:r>
    </w:p>
    <w:p w14:paraId="2C40DCE9" w14:textId="77777777" w:rsidR="00B26B34" w:rsidRPr="00321EC0" w:rsidRDefault="00B26B34" w:rsidP="00B26B34">
      <w:pPr>
        <w:pStyle w:val="SingleParagraph"/>
        <w:rPr>
          <w:snapToGrid w:val="0"/>
        </w:rPr>
      </w:pPr>
    </w:p>
    <w:p w14:paraId="4F678EEA" w14:textId="77777777" w:rsidR="00B26B34" w:rsidRPr="00321EC0" w:rsidRDefault="00B26B34" w:rsidP="00B26B34">
      <w:pPr>
        <w:pStyle w:val="TableHeading"/>
        <w:spacing w:before="0"/>
        <w:rPr>
          <w:b w:val="0"/>
          <w:snapToGrid w:val="0"/>
          <w:lang w:val="en-AU"/>
        </w:rPr>
      </w:pPr>
      <w:r w:rsidRPr="00321EC0">
        <w:rPr>
          <w:snapToGrid w:val="0"/>
        </w:rPr>
        <w:t>Table 3.9: Schedule of budgeted assets and liabilities administered on behalf of Government (as at 30 June)</w:t>
      </w:r>
    </w:p>
    <w:p w14:paraId="52E290A8" w14:textId="77777777" w:rsidR="00B26B34" w:rsidRPr="00321EC0" w:rsidRDefault="00B26B34" w:rsidP="00B26B34">
      <w:pPr>
        <w:pStyle w:val="TableGraphic"/>
      </w:pPr>
      <w:r w:rsidRPr="00321EC0">
        <w:rPr>
          <w:i w:val="0"/>
        </w:rPr>
        <w:t xml:space="preserve"> </w:t>
      </w:r>
    </w:p>
    <w:p w14:paraId="58D45B37" w14:textId="77777777" w:rsidR="00B26B34" w:rsidRPr="00321EC0" w:rsidRDefault="00B26B34" w:rsidP="00B26B34">
      <w:pPr>
        <w:pStyle w:val="Source"/>
        <w:rPr>
          <w:rFonts w:ascii="Book Antiqua" w:hAnsi="Book Antiqua"/>
          <w:color w:val="000000" w:themeColor="text1"/>
          <w:sz w:val="20"/>
        </w:rPr>
      </w:pPr>
      <w:r w:rsidRPr="00321EC0">
        <w:rPr>
          <w:rFonts w:ascii="Book Antiqua" w:hAnsi="Book Antiqua"/>
          <w:color w:val="000000" w:themeColor="text1"/>
          <w:sz w:val="20"/>
        </w:rPr>
        <w:t xml:space="preserve">The AEC has no budgeted assets and liabilities administered on behalf of the Government. </w:t>
      </w:r>
    </w:p>
    <w:p w14:paraId="65BC332E" w14:textId="77777777" w:rsidR="00B26B34" w:rsidRPr="00321EC0" w:rsidRDefault="00B26B34" w:rsidP="00B26B34">
      <w:pPr>
        <w:pStyle w:val="SingleParagraph"/>
        <w:rPr>
          <w:snapToGrid w:val="0"/>
        </w:rPr>
      </w:pPr>
    </w:p>
    <w:p w14:paraId="000462A0" w14:textId="07CDFE27" w:rsidR="00B26B34" w:rsidRPr="00321EC0" w:rsidRDefault="00B26B34" w:rsidP="00B26B34">
      <w:pPr>
        <w:spacing w:after="0" w:line="240" w:lineRule="auto"/>
        <w:jc w:val="left"/>
        <w:rPr>
          <w:color w:val="000000" w:themeColor="text1"/>
        </w:rPr>
      </w:pPr>
    </w:p>
    <w:p w14:paraId="0420C1EE" w14:textId="77777777" w:rsidR="00F73EB4" w:rsidRDefault="00F73EB4" w:rsidP="00B26B34">
      <w:pPr>
        <w:pStyle w:val="TableHeading"/>
        <w:spacing w:before="0"/>
        <w:rPr>
          <w:snapToGrid w:val="0"/>
        </w:rPr>
        <w:sectPr w:rsidR="00F73EB4" w:rsidSect="00230BD3">
          <w:headerReference w:type="even" r:id="rId154"/>
          <w:headerReference w:type="default" r:id="rId155"/>
          <w:footerReference w:type="even" r:id="rId156"/>
          <w:footerReference w:type="default" r:id="rId157"/>
          <w:headerReference w:type="first" r:id="rId158"/>
          <w:footerReference w:type="first" r:id="rId159"/>
          <w:pgSz w:w="11907" w:h="16840" w:code="9"/>
          <w:pgMar w:top="2466" w:right="2098" w:bottom="2466" w:left="2098" w:header="1899" w:footer="1899" w:gutter="0"/>
          <w:cols w:space="708"/>
          <w:titlePg/>
          <w:docGrid w:linePitch="360"/>
        </w:sectPr>
      </w:pPr>
    </w:p>
    <w:p w14:paraId="434851B7" w14:textId="2455A17B" w:rsidR="00B26B34" w:rsidRPr="00321EC0" w:rsidRDefault="00B26B34" w:rsidP="00B26B34">
      <w:pPr>
        <w:pStyle w:val="TableHeading"/>
        <w:spacing w:before="0"/>
        <w:rPr>
          <w:snapToGrid w:val="0"/>
          <w:lang w:val="en-AU"/>
        </w:rPr>
      </w:pPr>
      <w:r w:rsidRPr="00321EC0">
        <w:rPr>
          <w:snapToGrid w:val="0"/>
        </w:rPr>
        <w:t xml:space="preserve">Table 3.10: Schedule of budgeted administered cash flows (for the period ended 30 June) </w:t>
      </w:r>
    </w:p>
    <w:p w14:paraId="4873BF29" w14:textId="77777777" w:rsidR="00B26B34" w:rsidRPr="00321EC0" w:rsidRDefault="00B26B34" w:rsidP="00B26B34">
      <w:pPr>
        <w:pStyle w:val="TableGraphic"/>
      </w:pPr>
      <w:r w:rsidRPr="00321EC0">
        <w:rPr>
          <w:i w:val="0"/>
        </w:rPr>
        <w:t xml:space="preserve"> </w:t>
      </w:r>
    </w:p>
    <w:p w14:paraId="1B795BE4" w14:textId="77777777" w:rsidR="00B26B34" w:rsidRPr="00321EC0" w:rsidRDefault="00B26B34" w:rsidP="00B26B34">
      <w:pPr>
        <w:pStyle w:val="Source"/>
        <w:rPr>
          <w:rFonts w:ascii="Book Antiqua" w:hAnsi="Book Antiqua"/>
          <w:i/>
          <w:color w:val="FF0000"/>
          <w:sz w:val="20"/>
        </w:rPr>
      </w:pPr>
      <w:r w:rsidRPr="00321EC0">
        <w:rPr>
          <w:rFonts w:ascii="Book Antiqua" w:hAnsi="Book Antiqua"/>
          <w:i/>
          <w:color w:val="FF0000"/>
          <w:sz w:val="20"/>
        </w:rPr>
        <w:fldChar w:fldCharType="begin"/>
      </w:r>
      <w:r w:rsidRPr="00321EC0">
        <w:rPr>
          <w:rFonts w:ascii="Book Antiqua" w:hAnsi="Book Antiqua"/>
          <w:i/>
          <w:color w:val="FF0000"/>
          <w:sz w:val="20"/>
        </w:rPr>
        <w:instrText xml:space="preserve"> LINK Excel.Sheet.12 "\\\\prod.aec.gov.au\\can0\\branch\\CFO\\Financial Management\\Budgeting\\Budget 20-21\\External Budget\\PAES\\PAES excel table &amp; word doc\\EM 2020-43 Attachment G - Excel table template 2020-21 PAES.xlsx!Table 3.10!R3C4:R76C9" "" \a \p </w:instrText>
      </w:r>
      <w:r w:rsidR="006C7442" w:rsidRPr="00321EC0">
        <w:rPr>
          <w:rFonts w:ascii="Book Antiqua" w:hAnsi="Book Antiqua"/>
          <w:i/>
          <w:color w:val="FF0000"/>
          <w:sz w:val="20"/>
        </w:rPr>
        <w:instrText xml:space="preserve"> \* MERGEFORMAT </w:instrText>
      </w:r>
      <w:r w:rsidRPr="00321EC0">
        <w:rPr>
          <w:rFonts w:ascii="Book Antiqua" w:hAnsi="Book Antiqua"/>
          <w:i/>
          <w:color w:val="FF0000"/>
          <w:sz w:val="20"/>
        </w:rPr>
        <w:fldChar w:fldCharType="separate"/>
      </w:r>
      <w:r w:rsidR="0019528E">
        <w:rPr>
          <w:rFonts w:ascii="Book Antiqua" w:hAnsi="Book Antiqua"/>
          <w:i/>
          <w:color w:val="FF0000"/>
          <w:sz w:val="20"/>
        </w:rPr>
        <w:object w:dxaOrig="7847" w:dyaOrig="6550" w14:anchorId="2B580E55">
          <v:shape id="_x0000_i1037" type="#_x0000_t75" style="width:394.45pt;height:329.35pt" o:ole="">
            <v:imagedata r:id="rId160" o:title=""/>
          </v:shape>
        </w:object>
      </w:r>
      <w:r w:rsidRPr="00321EC0">
        <w:rPr>
          <w:rFonts w:ascii="Book Antiqua" w:hAnsi="Book Antiqua"/>
          <w:i/>
          <w:color w:val="FF0000"/>
          <w:sz w:val="20"/>
        </w:rPr>
        <w:fldChar w:fldCharType="end"/>
      </w:r>
    </w:p>
    <w:p w14:paraId="19C7050F" w14:textId="77777777" w:rsidR="00B26B34" w:rsidRPr="00321EC0" w:rsidRDefault="00B26B34" w:rsidP="00B26B34">
      <w:pPr>
        <w:pStyle w:val="Source"/>
      </w:pPr>
      <w:r w:rsidRPr="00321EC0">
        <w:t>Prepared on Australian Accounting Standards basis.</w:t>
      </w:r>
    </w:p>
    <w:p w14:paraId="0319D204" w14:textId="77777777" w:rsidR="00B26B34" w:rsidRPr="00321EC0" w:rsidRDefault="00B26B34" w:rsidP="00B26B34">
      <w:pPr>
        <w:pStyle w:val="Source"/>
      </w:pPr>
    </w:p>
    <w:p w14:paraId="109A9476" w14:textId="77777777" w:rsidR="00B26B34" w:rsidRPr="00321EC0" w:rsidRDefault="00B26B34" w:rsidP="00B26B34">
      <w:pPr>
        <w:pStyle w:val="TableGraphic"/>
      </w:pPr>
    </w:p>
    <w:p w14:paraId="153E1E68" w14:textId="77777777" w:rsidR="00B26B34" w:rsidRPr="00321EC0" w:rsidRDefault="00B26B34" w:rsidP="00B26B34">
      <w:pPr>
        <w:pStyle w:val="TableHeading"/>
        <w:spacing w:before="0"/>
        <w:rPr>
          <w:snapToGrid w:val="0"/>
          <w:lang w:val="en-AU"/>
        </w:rPr>
      </w:pPr>
      <w:r w:rsidRPr="00321EC0">
        <w:rPr>
          <w:snapToGrid w:val="0"/>
        </w:rPr>
        <w:t>Table 3.11: Schedule of administered capital budget</w:t>
      </w:r>
      <w:r w:rsidRPr="00321EC0">
        <w:rPr>
          <w:snapToGrid w:val="0"/>
          <w:lang w:val="en-AU"/>
        </w:rPr>
        <w:t xml:space="preserve"> (for the period ended 30 June)</w:t>
      </w:r>
    </w:p>
    <w:p w14:paraId="0B21345B" w14:textId="77777777" w:rsidR="00B26B34" w:rsidRPr="00321EC0" w:rsidRDefault="00B26B34" w:rsidP="00B26B34">
      <w:pPr>
        <w:pStyle w:val="TableGraphic"/>
      </w:pPr>
    </w:p>
    <w:p w14:paraId="13E23FDB" w14:textId="77777777" w:rsidR="00B26B34" w:rsidRPr="00321EC0" w:rsidRDefault="00B26B34" w:rsidP="00B26B34">
      <w:r w:rsidRPr="00321EC0">
        <w:t>The AEC has no budgeted capital administered on behalf of the government.</w:t>
      </w:r>
    </w:p>
    <w:p w14:paraId="69B88242" w14:textId="77777777" w:rsidR="00B26B34" w:rsidRPr="00321EC0" w:rsidRDefault="00B26B34" w:rsidP="00B26B34">
      <w:pPr>
        <w:pStyle w:val="TableGraphic"/>
        <w:rPr>
          <w:snapToGrid w:val="0"/>
        </w:rPr>
      </w:pPr>
      <w:r w:rsidRPr="00321EC0">
        <w:rPr>
          <w:i w:val="0"/>
        </w:rPr>
        <w:t xml:space="preserve"> </w:t>
      </w:r>
    </w:p>
    <w:p w14:paraId="666A05AD" w14:textId="77777777" w:rsidR="00B26B34" w:rsidRPr="00321EC0" w:rsidRDefault="00B26B34" w:rsidP="00B26B34">
      <w:pPr>
        <w:pStyle w:val="TableHeading"/>
        <w:spacing w:before="0"/>
        <w:rPr>
          <w:b w:val="0"/>
          <w:snapToGrid w:val="0"/>
        </w:rPr>
      </w:pPr>
      <w:r w:rsidRPr="00321EC0">
        <w:rPr>
          <w:snapToGrid w:val="0"/>
        </w:rPr>
        <w:t>Table 3.1</w:t>
      </w:r>
      <w:r w:rsidRPr="00321EC0">
        <w:rPr>
          <w:snapToGrid w:val="0"/>
          <w:lang w:val="en-AU"/>
        </w:rPr>
        <w:t>2</w:t>
      </w:r>
      <w:r w:rsidRPr="00321EC0">
        <w:rPr>
          <w:snapToGrid w:val="0"/>
        </w:rPr>
        <w:t>: Statement of administered asset movements (</w:t>
      </w:r>
      <w:r w:rsidRPr="00321EC0">
        <w:rPr>
          <w:snapToGrid w:val="0"/>
          <w:lang w:val="en-AU"/>
        </w:rPr>
        <w:t>2020-21 Budget year</w:t>
      </w:r>
      <w:r w:rsidRPr="00321EC0">
        <w:rPr>
          <w:snapToGrid w:val="0"/>
        </w:rPr>
        <w:t>)</w:t>
      </w:r>
      <w:r w:rsidRPr="00321EC0">
        <w:rPr>
          <w:b w:val="0"/>
          <w:snapToGrid w:val="0"/>
        </w:rPr>
        <w:t xml:space="preserve"> </w:t>
      </w:r>
    </w:p>
    <w:p w14:paraId="0C68A6AD" w14:textId="77777777" w:rsidR="00B26B34" w:rsidRPr="00321EC0" w:rsidRDefault="00B26B34" w:rsidP="00B26B34">
      <w:pPr>
        <w:pStyle w:val="TableGraphic"/>
        <w:rPr>
          <w:lang w:val="x-none"/>
        </w:rPr>
      </w:pPr>
    </w:p>
    <w:p w14:paraId="25CEF2BF" w14:textId="77777777" w:rsidR="00B26B34" w:rsidRPr="00321EC0" w:rsidRDefault="00B26B34" w:rsidP="00B26B34">
      <w:r w:rsidRPr="00321EC0">
        <w:t>The AEC has no budgeted non-financial assets administered on behalf of the Government.</w:t>
      </w:r>
    </w:p>
    <w:p w14:paraId="5CDA1D3C" w14:textId="77777777" w:rsidR="00F73EB4" w:rsidRDefault="00F73EB4" w:rsidP="00D8031D">
      <w:pPr>
        <w:sectPr w:rsidR="00F73EB4" w:rsidSect="00230BD3">
          <w:headerReference w:type="first" r:id="rId161"/>
          <w:footerReference w:type="first" r:id="rId162"/>
          <w:pgSz w:w="11907" w:h="16840" w:code="9"/>
          <w:pgMar w:top="2466" w:right="2098" w:bottom="2466" w:left="2098" w:header="1899" w:footer="1899" w:gutter="0"/>
          <w:cols w:space="708"/>
          <w:titlePg/>
          <w:docGrid w:linePitch="360"/>
        </w:sectPr>
      </w:pPr>
    </w:p>
    <w:p w14:paraId="24685A98" w14:textId="7872B3DF" w:rsidR="004A3E26" w:rsidRPr="00321EC0" w:rsidRDefault="004A3E26" w:rsidP="004A3E26">
      <w:pPr>
        <w:pStyle w:val="Heading1-NoTOC"/>
      </w:pPr>
      <w:r w:rsidRPr="00321EC0">
        <w:rPr>
          <w:lang w:val="en-AU"/>
        </w:rPr>
        <w:t xml:space="preserve">Independent </w:t>
      </w:r>
      <w:r w:rsidRPr="00321EC0">
        <w:t>Parliamentary Expenses Authority</w:t>
      </w:r>
    </w:p>
    <w:p w14:paraId="5268372F" w14:textId="740CE1A5" w:rsidR="00392181" w:rsidRPr="00321EC0" w:rsidRDefault="004A3E26">
      <w:pPr>
        <w:pStyle w:val="TOC1"/>
        <w:rPr>
          <w:rFonts w:asciiTheme="minorHAnsi" w:eastAsiaTheme="minorEastAsia" w:hAnsiTheme="minorHAnsi" w:cstheme="minorBidi"/>
          <w:b w:val="0"/>
          <w:noProof/>
          <w:sz w:val="22"/>
          <w:szCs w:val="22"/>
        </w:rPr>
      </w:pPr>
      <w:r w:rsidRPr="00321EC0">
        <w:fldChar w:fldCharType="begin"/>
      </w:r>
      <w:r w:rsidRPr="00321EC0">
        <w:instrText xml:space="preserve"> TOC \h \z \t "Heading 3,2,Heading 2 - TOC,1" </w:instrText>
      </w:r>
      <w:r w:rsidRPr="00321EC0">
        <w:fldChar w:fldCharType="separate"/>
      </w:r>
      <w:hyperlink w:anchor="_Toc63158614" w:history="1">
        <w:r w:rsidR="00392181" w:rsidRPr="00321EC0">
          <w:rPr>
            <w:rStyle w:val="Hyperlink"/>
            <w:noProof/>
          </w:rPr>
          <w:t>Section 1: Entity overview and resources</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_Toc63158614 \h </w:instrText>
        </w:r>
        <w:r w:rsidR="00392181" w:rsidRPr="00321EC0">
          <w:rPr>
            <w:noProof/>
            <w:webHidden/>
          </w:rPr>
        </w:r>
        <w:r w:rsidR="00392181" w:rsidRPr="00321EC0">
          <w:rPr>
            <w:noProof/>
            <w:webHidden/>
          </w:rPr>
          <w:fldChar w:fldCharType="separate"/>
        </w:r>
        <w:r w:rsidR="00CF6368">
          <w:rPr>
            <w:noProof/>
            <w:webHidden/>
          </w:rPr>
          <w:t>80</w:t>
        </w:r>
        <w:r w:rsidR="00392181" w:rsidRPr="00321EC0">
          <w:rPr>
            <w:noProof/>
            <w:webHidden/>
          </w:rPr>
          <w:fldChar w:fldCharType="end"/>
        </w:r>
      </w:hyperlink>
    </w:p>
    <w:p w14:paraId="0319E83C" w14:textId="0C75080B" w:rsidR="00392181" w:rsidRPr="00321EC0" w:rsidRDefault="0019528E">
      <w:pPr>
        <w:pStyle w:val="TOC2"/>
        <w:tabs>
          <w:tab w:val="left" w:pos="660"/>
        </w:tabs>
        <w:rPr>
          <w:rFonts w:asciiTheme="minorHAnsi" w:eastAsiaTheme="minorEastAsia" w:hAnsiTheme="minorHAnsi" w:cstheme="minorBidi"/>
          <w:noProof/>
          <w:sz w:val="22"/>
          <w:szCs w:val="22"/>
        </w:rPr>
      </w:pPr>
      <w:hyperlink w:anchor="_Toc63158615" w:history="1">
        <w:r w:rsidR="00392181" w:rsidRPr="00321EC0">
          <w:rPr>
            <w:rStyle w:val="Hyperlink"/>
            <w:noProof/>
          </w:rPr>
          <w:t>1.1</w:t>
        </w:r>
        <w:r w:rsidR="00392181" w:rsidRPr="00321EC0">
          <w:rPr>
            <w:rFonts w:asciiTheme="minorHAnsi" w:eastAsiaTheme="minorEastAsia" w:hAnsiTheme="minorHAnsi" w:cstheme="minorBidi"/>
            <w:noProof/>
            <w:sz w:val="22"/>
            <w:szCs w:val="22"/>
          </w:rPr>
          <w:tab/>
        </w:r>
        <w:r w:rsidR="00392181" w:rsidRPr="00321EC0">
          <w:rPr>
            <w:rStyle w:val="Hyperlink"/>
            <w:noProof/>
          </w:rPr>
          <w:t>Strategic direction statement</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_Toc63158615 \h </w:instrText>
        </w:r>
        <w:r w:rsidR="00392181" w:rsidRPr="00321EC0">
          <w:rPr>
            <w:noProof/>
            <w:webHidden/>
          </w:rPr>
        </w:r>
        <w:r w:rsidR="00392181" w:rsidRPr="00321EC0">
          <w:rPr>
            <w:noProof/>
            <w:webHidden/>
          </w:rPr>
          <w:fldChar w:fldCharType="separate"/>
        </w:r>
        <w:r w:rsidR="00CF6368">
          <w:rPr>
            <w:noProof/>
            <w:webHidden/>
          </w:rPr>
          <w:t>80</w:t>
        </w:r>
        <w:r w:rsidR="00392181" w:rsidRPr="00321EC0">
          <w:rPr>
            <w:noProof/>
            <w:webHidden/>
          </w:rPr>
          <w:fldChar w:fldCharType="end"/>
        </w:r>
      </w:hyperlink>
    </w:p>
    <w:p w14:paraId="13EEF754" w14:textId="36DAF631" w:rsidR="00392181" w:rsidRPr="00321EC0" w:rsidRDefault="0019528E">
      <w:pPr>
        <w:pStyle w:val="TOC2"/>
        <w:tabs>
          <w:tab w:val="left" w:pos="660"/>
        </w:tabs>
        <w:rPr>
          <w:rFonts w:asciiTheme="minorHAnsi" w:eastAsiaTheme="minorEastAsia" w:hAnsiTheme="minorHAnsi" w:cstheme="minorBidi"/>
          <w:noProof/>
          <w:sz w:val="22"/>
          <w:szCs w:val="22"/>
        </w:rPr>
      </w:pPr>
      <w:hyperlink w:anchor="_Toc63158617" w:history="1">
        <w:r w:rsidR="00392181" w:rsidRPr="00321EC0">
          <w:rPr>
            <w:rStyle w:val="Hyperlink"/>
            <w:noProof/>
          </w:rPr>
          <w:t>1.2</w:t>
        </w:r>
        <w:r w:rsidR="00392181" w:rsidRPr="00321EC0">
          <w:rPr>
            <w:rFonts w:asciiTheme="minorHAnsi" w:eastAsiaTheme="minorEastAsia" w:hAnsiTheme="minorHAnsi" w:cstheme="minorBidi"/>
            <w:noProof/>
            <w:sz w:val="22"/>
            <w:szCs w:val="22"/>
          </w:rPr>
          <w:tab/>
        </w:r>
        <w:r w:rsidR="00392181" w:rsidRPr="00321EC0">
          <w:rPr>
            <w:rStyle w:val="Hyperlink"/>
            <w:noProof/>
          </w:rPr>
          <w:t>Entity resource statement</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_Toc63158617 \h </w:instrText>
        </w:r>
        <w:r w:rsidR="00392181" w:rsidRPr="00321EC0">
          <w:rPr>
            <w:noProof/>
            <w:webHidden/>
          </w:rPr>
        </w:r>
        <w:r w:rsidR="00392181" w:rsidRPr="00321EC0">
          <w:rPr>
            <w:noProof/>
            <w:webHidden/>
          </w:rPr>
          <w:fldChar w:fldCharType="separate"/>
        </w:r>
        <w:r w:rsidR="00CF6368">
          <w:rPr>
            <w:noProof/>
            <w:webHidden/>
          </w:rPr>
          <w:t>80</w:t>
        </w:r>
        <w:r w:rsidR="00392181" w:rsidRPr="00321EC0">
          <w:rPr>
            <w:noProof/>
            <w:webHidden/>
          </w:rPr>
          <w:fldChar w:fldCharType="end"/>
        </w:r>
      </w:hyperlink>
    </w:p>
    <w:p w14:paraId="51930777" w14:textId="32089DB6" w:rsidR="00392181" w:rsidRPr="00321EC0" w:rsidRDefault="0019528E">
      <w:pPr>
        <w:pStyle w:val="TOC2"/>
        <w:tabs>
          <w:tab w:val="left" w:pos="660"/>
        </w:tabs>
        <w:rPr>
          <w:rFonts w:asciiTheme="minorHAnsi" w:eastAsiaTheme="minorEastAsia" w:hAnsiTheme="minorHAnsi" w:cstheme="minorBidi"/>
          <w:noProof/>
          <w:sz w:val="22"/>
          <w:szCs w:val="22"/>
        </w:rPr>
      </w:pPr>
      <w:hyperlink w:anchor="_Toc63158618" w:history="1">
        <w:r w:rsidR="00392181" w:rsidRPr="00321EC0">
          <w:rPr>
            <w:rStyle w:val="Hyperlink"/>
            <w:noProof/>
          </w:rPr>
          <w:t>1.3</w:t>
        </w:r>
        <w:r w:rsidR="00392181" w:rsidRPr="00321EC0">
          <w:rPr>
            <w:rFonts w:asciiTheme="minorHAnsi" w:eastAsiaTheme="minorEastAsia" w:hAnsiTheme="minorHAnsi" w:cstheme="minorBidi"/>
            <w:noProof/>
            <w:sz w:val="22"/>
            <w:szCs w:val="22"/>
          </w:rPr>
          <w:tab/>
        </w:r>
        <w:r w:rsidR="00392181" w:rsidRPr="00321EC0">
          <w:rPr>
            <w:rStyle w:val="Hyperlink"/>
            <w:noProof/>
          </w:rPr>
          <w:t>Entity measures</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_Toc63158618 \h </w:instrText>
        </w:r>
        <w:r w:rsidR="00392181" w:rsidRPr="00321EC0">
          <w:rPr>
            <w:noProof/>
            <w:webHidden/>
          </w:rPr>
        </w:r>
        <w:r w:rsidR="00392181" w:rsidRPr="00321EC0">
          <w:rPr>
            <w:noProof/>
            <w:webHidden/>
          </w:rPr>
          <w:fldChar w:fldCharType="separate"/>
        </w:r>
        <w:r w:rsidR="00CF6368">
          <w:rPr>
            <w:noProof/>
            <w:webHidden/>
          </w:rPr>
          <w:t>82</w:t>
        </w:r>
        <w:r w:rsidR="00392181" w:rsidRPr="00321EC0">
          <w:rPr>
            <w:noProof/>
            <w:webHidden/>
          </w:rPr>
          <w:fldChar w:fldCharType="end"/>
        </w:r>
      </w:hyperlink>
    </w:p>
    <w:p w14:paraId="109248AF" w14:textId="316D7A52" w:rsidR="00392181" w:rsidRPr="00321EC0" w:rsidRDefault="0019528E">
      <w:pPr>
        <w:pStyle w:val="TOC2"/>
        <w:tabs>
          <w:tab w:val="left" w:pos="660"/>
        </w:tabs>
        <w:rPr>
          <w:rFonts w:asciiTheme="minorHAnsi" w:eastAsiaTheme="minorEastAsia" w:hAnsiTheme="minorHAnsi" w:cstheme="minorBidi"/>
          <w:noProof/>
          <w:sz w:val="22"/>
          <w:szCs w:val="22"/>
        </w:rPr>
      </w:pPr>
      <w:hyperlink w:anchor="_Toc63158619" w:history="1">
        <w:r w:rsidR="00392181" w:rsidRPr="00321EC0">
          <w:rPr>
            <w:rStyle w:val="Hyperlink"/>
            <w:noProof/>
          </w:rPr>
          <w:t>1.4</w:t>
        </w:r>
        <w:r w:rsidR="00392181" w:rsidRPr="00321EC0">
          <w:rPr>
            <w:rFonts w:asciiTheme="minorHAnsi" w:eastAsiaTheme="minorEastAsia" w:hAnsiTheme="minorHAnsi" w:cstheme="minorBidi"/>
            <w:noProof/>
            <w:sz w:val="22"/>
            <w:szCs w:val="22"/>
          </w:rPr>
          <w:tab/>
        </w:r>
        <w:r w:rsidR="00392181" w:rsidRPr="00321EC0">
          <w:rPr>
            <w:rStyle w:val="Hyperlink"/>
            <w:noProof/>
          </w:rPr>
          <w:t>Additional estimates, resourcing and variations to outcomes</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_Toc63158619 \h </w:instrText>
        </w:r>
        <w:r w:rsidR="00392181" w:rsidRPr="00321EC0">
          <w:rPr>
            <w:noProof/>
            <w:webHidden/>
          </w:rPr>
        </w:r>
        <w:r w:rsidR="00392181" w:rsidRPr="00321EC0">
          <w:rPr>
            <w:noProof/>
            <w:webHidden/>
          </w:rPr>
          <w:fldChar w:fldCharType="separate"/>
        </w:r>
        <w:r w:rsidR="00CF6368">
          <w:rPr>
            <w:noProof/>
            <w:webHidden/>
          </w:rPr>
          <w:t>82</w:t>
        </w:r>
        <w:r w:rsidR="00392181" w:rsidRPr="00321EC0">
          <w:rPr>
            <w:noProof/>
            <w:webHidden/>
          </w:rPr>
          <w:fldChar w:fldCharType="end"/>
        </w:r>
      </w:hyperlink>
    </w:p>
    <w:p w14:paraId="56FB1CFE" w14:textId="54128F18" w:rsidR="00392181" w:rsidRPr="00321EC0" w:rsidRDefault="0019528E">
      <w:pPr>
        <w:pStyle w:val="TOC2"/>
        <w:tabs>
          <w:tab w:val="left" w:pos="660"/>
        </w:tabs>
        <w:rPr>
          <w:rFonts w:asciiTheme="minorHAnsi" w:eastAsiaTheme="minorEastAsia" w:hAnsiTheme="minorHAnsi" w:cstheme="minorBidi"/>
          <w:noProof/>
          <w:sz w:val="22"/>
          <w:szCs w:val="22"/>
        </w:rPr>
      </w:pPr>
      <w:hyperlink w:anchor="_Toc63158620" w:history="1">
        <w:r w:rsidR="00392181" w:rsidRPr="00321EC0">
          <w:rPr>
            <w:rStyle w:val="Hyperlink"/>
            <w:noProof/>
          </w:rPr>
          <w:t>1.5</w:t>
        </w:r>
        <w:r w:rsidR="00392181" w:rsidRPr="00321EC0">
          <w:rPr>
            <w:rFonts w:asciiTheme="minorHAnsi" w:eastAsiaTheme="minorEastAsia" w:hAnsiTheme="minorHAnsi" w:cstheme="minorBidi"/>
            <w:noProof/>
            <w:sz w:val="22"/>
            <w:szCs w:val="22"/>
          </w:rPr>
          <w:tab/>
        </w:r>
        <w:r w:rsidR="00392181" w:rsidRPr="00321EC0">
          <w:rPr>
            <w:rStyle w:val="Hyperlink"/>
            <w:noProof/>
          </w:rPr>
          <w:t>Breakdown of additional estimates by appropriation bill</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_Toc63158620 \h </w:instrText>
        </w:r>
        <w:r w:rsidR="00392181" w:rsidRPr="00321EC0">
          <w:rPr>
            <w:noProof/>
            <w:webHidden/>
          </w:rPr>
        </w:r>
        <w:r w:rsidR="00392181" w:rsidRPr="00321EC0">
          <w:rPr>
            <w:noProof/>
            <w:webHidden/>
          </w:rPr>
          <w:fldChar w:fldCharType="separate"/>
        </w:r>
        <w:r w:rsidR="00CF6368">
          <w:rPr>
            <w:noProof/>
            <w:webHidden/>
          </w:rPr>
          <w:t>83</w:t>
        </w:r>
        <w:r w:rsidR="00392181" w:rsidRPr="00321EC0">
          <w:rPr>
            <w:noProof/>
            <w:webHidden/>
          </w:rPr>
          <w:fldChar w:fldCharType="end"/>
        </w:r>
      </w:hyperlink>
    </w:p>
    <w:p w14:paraId="7A9417AF" w14:textId="4946A3F2" w:rsidR="00392181" w:rsidRPr="00321EC0" w:rsidRDefault="0019528E">
      <w:pPr>
        <w:pStyle w:val="TOC1"/>
        <w:rPr>
          <w:rFonts w:asciiTheme="minorHAnsi" w:eastAsiaTheme="minorEastAsia" w:hAnsiTheme="minorHAnsi" w:cstheme="minorBidi"/>
          <w:b w:val="0"/>
          <w:noProof/>
          <w:sz w:val="22"/>
          <w:szCs w:val="22"/>
        </w:rPr>
      </w:pPr>
      <w:hyperlink w:anchor="_Toc63158621" w:history="1">
        <w:r w:rsidR="00392181" w:rsidRPr="00321EC0">
          <w:rPr>
            <w:rStyle w:val="Hyperlink"/>
            <w:noProof/>
          </w:rPr>
          <w:t>Section 2: Revisions to outcomes and planned performance</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_Toc63158621 \h </w:instrText>
        </w:r>
        <w:r w:rsidR="00392181" w:rsidRPr="00321EC0">
          <w:rPr>
            <w:noProof/>
            <w:webHidden/>
          </w:rPr>
        </w:r>
        <w:r w:rsidR="00392181" w:rsidRPr="00321EC0">
          <w:rPr>
            <w:noProof/>
            <w:webHidden/>
          </w:rPr>
          <w:fldChar w:fldCharType="separate"/>
        </w:r>
        <w:r w:rsidR="00CF6368">
          <w:rPr>
            <w:noProof/>
            <w:webHidden/>
          </w:rPr>
          <w:t>84</w:t>
        </w:r>
        <w:r w:rsidR="00392181" w:rsidRPr="00321EC0">
          <w:rPr>
            <w:noProof/>
            <w:webHidden/>
          </w:rPr>
          <w:fldChar w:fldCharType="end"/>
        </w:r>
      </w:hyperlink>
    </w:p>
    <w:p w14:paraId="1E5D857E" w14:textId="14C2A344" w:rsidR="00392181" w:rsidRPr="00321EC0" w:rsidRDefault="0019528E">
      <w:pPr>
        <w:pStyle w:val="TOC2"/>
        <w:tabs>
          <w:tab w:val="left" w:pos="400"/>
        </w:tabs>
        <w:rPr>
          <w:rFonts w:asciiTheme="minorHAnsi" w:eastAsiaTheme="minorEastAsia" w:hAnsiTheme="minorHAnsi" w:cstheme="minorBidi"/>
          <w:noProof/>
          <w:sz w:val="22"/>
          <w:szCs w:val="22"/>
        </w:rPr>
      </w:pPr>
      <w:hyperlink w:anchor="_Toc63158622" w:history="1">
        <w:r w:rsidR="00392181" w:rsidRPr="00321EC0">
          <w:rPr>
            <w:rStyle w:val="Hyperlink"/>
            <w:noProof/>
          </w:rPr>
          <w:t>2</w:t>
        </w:r>
        <w:r w:rsidR="00392181" w:rsidRPr="00321EC0">
          <w:rPr>
            <w:rFonts w:asciiTheme="minorHAnsi" w:eastAsiaTheme="minorEastAsia" w:hAnsiTheme="minorHAnsi" w:cstheme="minorBidi"/>
            <w:noProof/>
            <w:sz w:val="22"/>
            <w:szCs w:val="22"/>
          </w:rPr>
          <w:tab/>
        </w:r>
        <w:r w:rsidR="00392181" w:rsidRPr="00321EC0">
          <w:rPr>
            <w:rStyle w:val="Hyperlink"/>
            <w:noProof/>
          </w:rPr>
          <w:t>Changes to outcome and program structures</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_Toc63158622 \h </w:instrText>
        </w:r>
        <w:r w:rsidR="00392181" w:rsidRPr="00321EC0">
          <w:rPr>
            <w:noProof/>
            <w:webHidden/>
          </w:rPr>
        </w:r>
        <w:r w:rsidR="00392181" w:rsidRPr="00321EC0">
          <w:rPr>
            <w:noProof/>
            <w:webHidden/>
          </w:rPr>
          <w:fldChar w:fldCharType="separate"/>
        </w:r>
        <w:r w:rsidR="00CF6368">
          <w:rPr>
            <w:noProof/>
            <w:webHidden/>
          </w:rPr>
          <w:t>84</w:t>
        </w:r>
        <w:r w:rsidR="00392181" w:rsidRPr="00321EC0">
          <w:rPr>
            <w:noProof/>
            <w:webHidden/>
          </w:rPr>
          <w:fldChar w:fldCharType="end"/>
        </w:r>
      </w:hyperlink>
    </w:p>
    <w:p w14:paraId="04D7026D" w14:textId="780E9B38" w:rsidR="00392181" w:rsidRPr="00321EC0" w:rsidRDefault="0019528E">
      <w:pPr>
        <w:pStyle w:val="TOC2"/>
        <w:tabs>
          <w:tab w:val="left" w:pos="660"/>
        </w:tabs>
        <w:rPr>
          <w:rFonts w:asciiTheme="minorHAnsi" w:eastAsiaTheme="minorEastAsia" w:hAnsiTheme="minorHAnsi" w:cstheme="minorBidi"/>
          <w:noProof/>
          <w:sz w:val="22"/>
          <w:szCs w:val="22"/>
        </w:rPr>
      </w:pPr>
      <w:hyperlink w:anchor="_Toc63158623" w:history="1">
        <w:r w:rsidR="00392181" w:rsidRPr="00321EC0">
          <w:rPr>
            <w:rStyle w:val="Hyperlink"/>
            <w:noProof/>
          </w:rPr>
          <w:t>2.1</w:t>
        </w:r>
        <w:r w:rsidR="00392181" w:rsidRPr="00321EC0">
          <w:rPr>
            <w:rFonts w:asciiTheme="minorHAnsi" w:eastAsiaTheme="minorEastAsia" w:hAnsiTheme="minorHAnsi" w:cstheme="minorBidi"/>
            <w:noProof/>
            <w:sz w:val="22"/>
            <w:szCs w:val="22"/>
          </w:rPr>
          <w:tab/>
        </w:r>
        <w:r w:rsidR="00392181" w:rsidRPr="00321EC0">
          <w:rPr>
            <w:rStyle w:val="Hyperlink"/>
            <w:noProof/>
          </w:rPr>
          <w:t>Budgeted expenses and performance for outcome 1</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_Toc63158623 \h </w:instrText>
        </w:r>
        <w:r w:rsidR="00392181" w:rsidRPr="00321EC0">
          <w:rPr>
            <w:noProof/>
            <w:webHidden/>
          </w:rPr>
        </w:r>
        <w:r w:rsidR="00392181" w:rsidRPr="00321EC0">
          <w:rPr>
            <w:noProof/>
            <w:webHidden/>
          </w:rPr>
          <w:fldChar w:fldCharType="separate"/>
        </w:r>
        <w:r w:rsidR="00CF6368">
          <w:rPr>
            <w:noProof/>
            <w:webHidden/>
          </w:rPr>
          <w:t>84</w:t>
        </w:r>
        <w:r w:rsidR="00392181" w:rsidRPr="00321EC0">
          <w:rPr>
            <w:noProof/>
            <w:webHidden/>
          </w:rPr>
          <w:fldChar w:fldCharType="end"/>
        </w:r>
      </w:hyperlink>
    </w:p>
    <w:p w14:paraId="4784C64C" w14:textId="4F77D5AD" w:rsidR="00392181" w:rsidRPr="00321EC0" w:rsidRDefault="0019528E">
      <w:pPr>
        <w:pStyle w:val="TOC1"/>
        <w:rPr>
          <w:rFonts w:asciiTheme="minorHAnsi" w:eastAsiaTheme="minorEastAsia" w:hAnsiTheme="minorHAnsi" w:cstheme="minorBidi"/>
          <w:b w:val="0"/>
          <w:noProof/>
          <w:sz w:val="22"/>
          <w:szCs w:val="22"/>
        </w:rPr>
      </w:pPr>
      <w:hyperlink w:anchor="_Toc63158624" w:history="1">
        <w:r w:rsidR="00392181" w:rsidRPr="00321EC0">
          <w:rPr>
            <w:rStyle w:val="Hyperlink"/>
            <w:noProof/>
          </w:rPr>
          <w:t>Section 3: Budgeted financial statements</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_Toc63158624 \h </w:instrText>
        </w:r>
        <w:r w:rsidR="00392181" w:rsidRPr="00321EC0">
          <w:rPr>
            <w:noProof/>
            <w:webHidden/>
          </w:rPr>
        </w:r>
        <w:r w:rsidR="00392181" w:rsidRPr="00321EC0">
          <w:rPr>
            <w:noProof/>
            <w:webHidden/>
          </w:rPr>
          <w:fldChar w:fldCharType="separate"/>
        </w:r>
        <w:r w:rsidR="00CF6368">
          <w:rPr>
            <w:noProof/>
            <w:webHidden/>
          </w:rPr>
          <w:t>87</w:t>
        </w:r>
        <w:r w:rsidR="00392181" w:rsidRPr="00321EC0">
          <w:rPr>
            <w:noProof/>
            <w:webHidden/>
          </w:rPr>
          <w:fldChar w:fldCharType="end"/>
        </w:r>
      </w:hyperlink>
    </w:p>
    <w:p w14:paraId="4BB81C03" w14:textId="015483FC" w:rsidR="00392181" w:rsidRPr="00321EC0" w:rsidRDefault="0019528E">
      <w:pPr>
        <w:pStyle w:val="TOC2"/>
        <w:tabs>
          <w:tab w:val="left" w:pos="660"/>
        </w:tabs>
        <w:rPr>
          <w:rFonts w:asciiTheme="minorHAnsi" w:eastAsiaTheme="minorEastAsia" w:hAnsiTheme="minorHAnsi" w:cstheme="minorBidi"/>
          <w:noProof/>
          <w:sz w:val="22"/>
          <w:szCs w:val="22"/>
        </w:rPr>
      </w:pPr>
      <w:hyperlink w:anchor="_Toc63158625" w:history="1">
        <w:r w:rsidR="00392181" w:rsidRPr="00321EC0">
          <w:rPr>
            <w:rStyle w:val="Hyperlink"/>
            <w:noProof/>
          </w:rPr>
          <w:t>3.1</w:t>
        </w:r>
        <w:r w:rsidR="00392181" w:rsidRPr="00321EC0">
          <w:rPr>
            <w:rFonts w:asciiTheme="minorHAnsi" w:eastAsiaTheme="minorEastAsia" w:hAnsiTheme="minorHAnsi" w:cstheme="minorBidi"/>
            <w:noProof/>
            <w:sz w:val="22"/>
            <w:szCs w:val="22"/>
          </w:rPr>
          <w:tab/>
        </w:r>
        <w:r w:rsidR="00392181" w:rsidRPr="00321EC0">
          <w:rPr>
            <w:rStyle w:val="Hyperlink"/>
            <w:noProof/>
          </w:rPr>
          <w:t>Budgeted financial statements</w:t>
        </w:r>
        <w:r w:rsidR="00392181" w:rsidRPr="00321EC0">
          <w:rPr>
            <w:noProof/>
            <w:webHidden/>
          </w:rPr>
          <w:tab/>
        </w:r>
        <w:r w:rsidR="00392181" w:rsidRPr="00321EC0">
          <w:rPr>
            <w:noProof/>
            <w:webHidden/>
          </w:rPr>
          <w:fldChar w:fldCharType="begin"/>
        </w:r>
        <w:r w:rsidR="00392181" w:rsidRPr="00321EC0">
          <w:rPr>
            <w:noProof/>
            <w:webHidden/>
          </w:rPr>
          <w:instrText xml:space="preserve"> PAGEREF _Toc63158625 \h </w:instrText>
        </w:r>
        <w:r w:rsidR="00392181" w:rsidRPr="00321EC0">
          <w:rPr>
            <w:noProof/>
            <w:webHidden/>
          </w:rPr>
        </w:r>
        <w:r w:rsidR="00392181" w:rsidRPr="00321EC0">
          <w:rPr>
            <w:noProof/>
            <w:webHidden/>
          </w:rPr>
          <w:fldChar w:fldCharType="separate"/>
        </w:r>
        <w:r w:rsidR="00CF6368">
          <w:rPr>
            <w:noProof/>
            <w:webHidden/>
          </w:rPr>
          <w:t>87</w:t>
        </w:r>
        <w:r w:rsidR="00392181" w:rsidRPr="00321EC0">
          <w:rPr>
            <w:noProof/>
            <w:webHidden/>
          </w:rPr>
          <w:fldChar w:fldCharType="end"/>
        </w:r>
      </w:hyperlink>
    </w:p>
    <w:p w14:paraId="6403245F" w14:textId="12EFB83F" w:rsidR="00503A6C" w:rsidRDefault="004A3E26" w:rsidP="004A3E26">
      <w:pPr>
        <w:pStyle w:val="Heading1-LVL2"/>
      </w:pPr>
      <w:r w:rsidRPr="00321EC0">
        <w:fldChar w:fldCharType="end"/>
      </w:r>
      <w:r w:rsidR="00503A6C">
        <w:br w:type="page"/>
      </w:r>
    </w:p>
    <w:p w14:paraId="1DEB35A3" w14:textId="77777777" w:rsidR="004A3E26" w:rsidRPr="00321EC0" w:rsidRDefault="004A3E26" w:rsidP="004A3E26">
      <w:pPr>
        <w:pStyle w:val="Heading1-LVL2"/>
        <w:rPr>
          <w:lang w:val="en-AU"/>
        </w:rPr>
      </w:pPr>
      <w:bookmarkStart w:id="492" w:name="_Toc63157721"/>
      <w:bookmarkStart w:id="493" w:name="_Toc63157968"/>
      <w:r w:rsidRPr="00321EC0">
        <w:rPr>
          <w:lang w:val="en-AU"/>
        </w:rPr>
        <w:t>Independent Parliamentary Expenses Authority</w:t>
      </w:r>
      <w:bookmarkEnd w:id="492"/>
      <w:bookmarkEnd w:id="493"/>
    </w:p>
    <w:p w14:paraId="637566DC" w14:textId="77777777" w:rsidR="004A3E26" w:rsidRPr="00321EC0" w:rsidRDefault="004A3E26" w:rsidP="004A3E26">
      <w:pPr>
        <w:pStyle w:val="Heading2-TOC"/>
      </w:pPr>
      <w:bookmarkStart w:id="494" w:name="_Toc62835733"/>
      <w:bookmarkStart w:id="495" w:name="_Toc63158614"/>
      <w:r w:rsidRPr="00321EC0">
        <w:t>Section 1: Entity overview and resources</w:t>
      </w:r>
      <w:bookmarkEnd w:id="494"/>
      <w:bookmarkEnd w:id="495"/>
    </w:p>
    <w:p w14:paraId="29F7EC0D" w14:textId="77777777" w:rsidR="004A3E26" w:rsidRPr="00321EC0" w:rsidRDefault="004A3E26" w:rsidP="004A3E26">
      <w:pPr>
        <w:pStyle w:val="Heading3"/>
        <w:rPr>
          <w:lang w:val="en-AU"/>
        </w:rPr>
      </w:pPr>
      <w:bookmarkStart w:id="496" w:name="_Toc62835734"/>
      <w:bookmarkStart w:id="497" w:name="_Toc63158615"/>
      <w:r w:rsidRPr="00321EC0">
        <w:t>1.1</w:t>
      </w:r>
      <w:r w:rsidRPr="00321EC0">
        <w:tab/>
        <w:t>Strategic direction</w:t>
      </w:r>
      <w:r w:rsidRPr="00321EC0">
        <w:rPr>
          <w:lang w:val="en-AU"/>
        </w:rPr>
        <w:t xml:space="preserve"> statement</w:t>
      </w:r>
      <w:bookmarkEnd w:id="496"/>
      <w:bookmarkEnd w:id="497"/>
    </w:p>
    <w:p w14:paraId="2727784E" w14:textId="77777777" w:rsidR="004A3E26" w:rsidRPr="00321EC0" w:rsidRDefault="004A3E26" w:rsidP="004A3E26">
      <w:pPr>
        <w:pStyle w:val="Heading2-TOC"/>
        <w:rPr>
          <w:rFonts w:ascii="Book Antiqua" w:hAnsi="Book Antiqua"/>
          <w:b w:val="0"/>
          <w:sz w:val="20"/>
        </w:rPr>
      </w:pPr>
      <w:bookmarkStart w:id="498" w:name="_Toc62835735"/>
      <w:bookmarkStart w:id="499" w:name="_Toc63158616"/>
      <w:r w:rsidRPr="00321EC0">
        <w:rPr>
          <w:rFonts w:ascii="Book Antiqua" w:hAnsi="Book Antiqua"/>
          <w:b w:val="0"/>
          <w:sz w:val="20"/>
        </w:rPr>
        <w:t>No changes have occurred that impact on the Independent Parliamentary Expenses Authority’s (IPEA’s) Strategic Direction since the issue of the 2020-21 Portfolio Budget Statements.</w:t>
      </w:r>
      <w:bookmarkEnd w:id="498"/>
      <w:bookmarkEnd w:id="499"/>
      <w:r w:rsidRPr="00321EC0">
        <w:rPr>
          <w:rFonts w:ascii="Book Antiqua" w:hAnsi="Book Antiqua"/>
          <w:b w:val="0"/>
          <w:sz w:val="20"/>
        </w:rPr>
        <w:t xml:space="preserve"> </w:t>
      </w:r>
    </w:p>
    <w:p w14:paraId="303F0A0D" w14:textId="77777777" w:rsidR="004A3E26" w:rsidRPr="00321EC0" w:rsidRDefault="004A3E26" w:rsidP="004A3E26">
      <w:pPr>
        <w:pStyle w:val="Heading3"/>
      </w:pPr>
      <w:bookmarkStart w:id="500" w:name="_Toc62835736"/>
      <w:bookmarkStart w:id="501" w:name="_Toc63158617"/>
      <w:r w:rsidRPr="00321EC0">
        <w:t>1.2</w:t>
      </w:r>
      <w:r w:rsidRPr="00321EC0">
        <w:tab/>
        <w:t>Entity resource statement</w:t>
      </w:r>
      <w:bookmarkEnd w:id="500"/>
      <w:bookmarkEnd w:id="501"/>
    </w:p>
    <w:p w14:paraId="7D7153A9" w14:textId="3914D9A8" w:rsidR="004A3E26" w:rsidRDefault="004A3E26" w:rsidP="004A3E26">
      <w:r w:rsidRPr="00321EC0">
        <w:t>The Entity Resource Statement details the resourcing for IPEA at Additional Estimates. Table 1.1 outlines the total resourcing available from all sources for the 2020</w:t>
      </w:r>
      <w:r w:rsidRPr="00321EC0">
        <w:noBreakHyphen/>
        <w:t>21 Budget year, including variations through Appropriation Bills No. 3 and No. 4</w:t>
      </w:r>
      <w:r w:rsidRPr="00321EC0">
        <w:rPr>
          <w:i/>
        </w:rPr>
        <w:t>,</w:t>
      </w:r>
      <w:r w:rsidRPr="00321EC0">
        <w:t xml:space="preserve"> Special Appropriations and Special Accounts. </w:t>
      </w:r>
    </w:p>
    <w:p w14:paraId="6FEEDA25" w14:textId="77777777" w:rsidR="00F73EB4" w:rsidRPr="00321EC0" w:rsidRDefault="00F73EB4" w:rsidP="004A3E26"/>
    <w:p w14:paraId="0602D30E" w14:textId="77777777" w:rsidR="00625C8C" w:rsidRDefault="00625C8C" w:rsidP="004A3E26">
      <w:pPr>
        <w:pStyle w:val="TableHeading"/>
        <w:sectPr w:rsidR="00625C8C" w:rsidSect="006127D0">
          <w:headerReference w:type="even" r:id="rId163"/>
          <w:headerReference w:type="default" r:id="rId164"/>
          <w:headerReference w:type="first" r:id="rId165"/>
          <w:footerReference w:type="first" r:id="rId166"/>
          <w:type w:val="oddPage"/>
          <w:pgSz w:w="11907" w:h="16840" w:code="9"/>
          <w:pgMar w:top="2466" w:right="2098" w:bottom="2466" w:left="2098" w:header="1899" w:footer="1899" w:gutter="0"/>
          <w:cols w:space="708"/>
          <w:titlePg/>
          <w:docGrid w:linePitch="360"/>
        </w:sectPr>
      </w:pPr>
    </w:p>
    <w:p w14:paraId="7FA36A69" w14:textId="1F32902B" w:rsidR="004A3E26" w:rsidRPr="00321EC0" w:rsidRDefault="004A3E26" w:rsidP="004A3E26">
      <w:pPr>
        <w:pStyle w:val="TableHeading"/>
        <w:rPr>
          <w:lang w:val="en-AU"/>
        </w:rPr>
      </w:pPr>
      <w:r w:rsidRPr="00321EC0">
        <w:t xml:space="preserve">Table 1.1: </w:t>
      </w:r>
      <w:r w:rsidRPr="00321EC0">
        <w:rPr>
          <w:lang w:val="en-AU"/>
        </w:rPr>
        <w:t>Independent Parliamentary Expenses Authority</w:t>
      </w:r>
      <w:r w:rsidRPr="00321EC0">
        <w:t xml:space="preserve"> resource statement — Additional Estimates for </w:t>
      </w:r>
      <w:r w:rsidRPr="00321EC0">
        <w:rPr>
          <w:lang w:val="en-AU"/>
        </w:rPr>
        <w:t>2020-21</w:t>
      </w:r>
      <w:r w:rsidRPr="00321EC0">
        <w:t xml:space="preserve"> as at February </w:t>
      </w:r>
      <w:r w:rsidRPr="00321EC0">
        <w:rPr>
          <w:lang w:val="en-AU"/>
        </w:rPr>
        <w:t>2021</w:t>
      </w:r>
    </w:p>
    <w:p w14:paraId="3B362D44" w14:textId="77777777" w:rsidR="004A3E26" w:rsidRPr="00321EC0" w:rsidRDefault="004A3E26" w:rsidP="004A3E26">
      <w:pPr>
        <w:pStyle w:val="TableGraphic"/>
      </w:pPr>
      <w:r w:rsidRPr="00321EC0">
        <w:rPr>
          <w:i w:val="0"/>
        </w:rPr>
        <w:t xml:space="preserve"> </w:t>
      </w:r>
      <w:r w:rsidR="00EF6E2E" w:rsidRPr="00EF6E2E">
        <w:rPr>
          <w:noProof/>
        </w:rPr>
        <w:drawing>
          <wp:inline distT="0" distB="0" distL="0" distR="0" wp14:anchorId="6C2A9AE2" wp14:editId="3984BF4C">
            <wp:extent cx="4763770" cy="3915410"/>
            <wp:effectExtent l="0" t="0" r="0"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763770" cy="3915410"/>
                    </a:xfrm>
                    <a:prstGeom prst="rect">
                      <a:avLst/>
                    </a:prstGeom>
                    <a:noFill/>
                    <a:ln>
                      <a:noFill/>
                    </a:ln>
                  </pic:spPr>
                </pic:pic>
              </a:graphicData>
            </a:graphic>
          </wp:inline>
        </w:drawing>
      </w:r>
    </w:p>
    <w:p w14:paraId="28734B91" w14:textId="77777777" w:rsidR="004A3E26" w:rsidRPr="00321EC0" w:rsidRDefault="004A3E26" w:rsidP="004A3E26">
      <w:pPr>
        <w:pStyle w:val="Source"/>
      </w:pPr>
      <w:r w:rsidRPr="00321EC0">
        <w:t>Prepared on a resourcing (i.e. appropriations available) basis.</w:t>
      </w:r>
    </w:p>
    <w:p w14:paraId="6A26C68D" w14:textId="77777777" w:rsidR="004A3E26" w:rsidRPr="00321EC0" w:rsidRDefault="004A3E26" w:rsidP="004A3E26">
      <w:pPr>
        <w:pStyle w:val="Source"/>
      </w:pPr>
      <w:r w:rsidRPr="00321EC0">
        <w:t>All figures shown above are GST exclusive - these may not match figures in the cash flow statement.</w:t>
      </w:r>
    </w:p>
    <w:p w14:paraId="6C9BF6FF" w14:textId="77777777" w:rsidR="004A3E26" w:rsidRPr="00321EC0" w:rsidRDefault="004A3E26" w:rsidP="004A3E26">
      <w:pPr>
        <w:pStyle w:val="Source"/>
      </w:pPr>
    </w:p>
    <w:p w14:paraId="365F846E" w14:textId="77777777" w:rsidR="004A3E26" w:rsidRPr="00321EC0" w:rsidRDefault="004A3E26" w:rsidP="00970264">
      <w:pPr>
        <w:pStyle w:val="ChartandTableFootnoteAlpha"/>
        <w:numPr>
          <w:ilvl w:val="0"/>
          <w:numId w:val="36"/>
        </w:numPr>
      </w:pPr>
      <w:r w:rsidRPr="00970264">
        <w:rPr>
          <w:i/>
        </w:rPr>
        <w:t>Appropriation Act (No. 1) 2020-21</w:t>
      </w:r>
      <w:r w:rsidRPr="00321EC0">
        <w:t xml:space="preserve"> and </w:t>
      </w:r>
      <w:r w:rsidRPr="00791517">
        <w:t>Appropriation Bill (No. 3) 2020-21</w:t>
      </w:r>
    </w:p>
    <w:p w14:paraId="09684A1A" w14:textId="77777777" w:rsidR="004A3E26" w:rsidRPr="00321EC0" w:rsidRDefault="004A3E26" w:rsidP="004A3E26">
      <w:pPr>
        <w:pStyle w:val="ChartandTableFootnoteAlpha"/>
        <w:rPr>
          <w:rFonts w:cs="Arial"/>
          <w:color w:val="000000"/>
          <w:szCs w:val="16"/>
        </w:rPr>
      </w:pPr>
      <w:r w:rsidRPr="00321EC0">
        <w:rPr>
          <w:rFonts w:cs="Arial"/>
          <w:color w:val="000000"/>
          <w:szCs w:val="16"/>
        </w:rPr>
        <w:t>Estimated external revenue receipts under section 74 of the PGPA Act.</w:t>
      </w:r>
    </w:p>
    <w:p w14:paraId="00EF8EA2" w14:textId="77777777" w:rsidR="004A3E26" w:rsidRPr="00321EC0" w:rsidRDefault="004A3E26" w:rsidP="004A3E26">
      <w:pPr>
        <w:pStyle w:val="ChartandTableFootnoteAlpha"/>
        <w:rPr>
          <w:b/>
          <w:lang w:val="x-none"/>
        </w:rPr>
      </w:pPr>
      <w:r w:rsidRPr="00321EC0">
        <w:t xml:space="preserve">For further information on special appropriations, please refer to Table 2.1.1 on outcome and program expenses broken down by various funding sources e.g. annual appropriations. </w:t>
      </w:r>
      <w:r w:rsidRPr="00321EC0">
        <w:br w:type="page"/>
      </w:r>
    </w:p>
    <w:p w14:paraId="013F7F66" w14:textId="77777777" w:rsidR="004A3E26" w:rsidRPr="00321EC0" w:rsidRDefault="004A3E26" w:rsidP="004A3E26">
      <w:pPr>
        <w:pStyle w:val="Heading3"/>
        <w:rPr>
          <w:lang w:val="en-AU"/>
        </w:rPr>
      </w:pPr>
      <w:bookmarkStart w:id="502" w:name="_Toc62835737"/>
      <w:bookmarkStart w:id="503" w:name="_Toc63158618"/>
      <w:r w:rsidRPr="00321EC0">
        <w:t>1.3</w:t>
      </w:r>
      <w:r w:rsidRPr="00321EC0">
        <w:tab/>
        <w:t xml:space="preserve">Entity </w:t>
      </w:r>
      <w:r w:rsidRPr="00321EC0">
        <w:rPr>
          <w:lang w:val="en-AU"/>
        </w:rPr>
        <w:t>measures</w:t>
      </w:r>
      <w:bookmarkEnd w:id="502"/>
      <w:bookmarkEnd w:id="503"/>
    </w:p>
    <w:p w14:paraId="7C07156A" w14:textId="77777777" w:rsidR="004A3E26" w:rsidRPr="00321EC0" w:rsidRDefault="004A3E26" w:rsidP="004A3E26">
      <w:r w:rsidRPr="00321EC0">
        <w:t xml:space="preserve">IPEA had no new measures since the 2020-21 Portfolio Budget Statements. </w:t>
      </w:r>
    </w:p>
    <w:p w14:paraId="36CD730A" w14:textId="77777777" w:rsidR="004A3E26" w:rsidRPr="00321EC0" w:rsidRDefault="004A3E26" w:rsidP="004A3E26">
      <w:pPr>
        <w:pStyle w:val="Heading3"/>
        <w:ind w:left="567" w:hanging="567"/>
      </w:pPr>
    </w:p>
    <w:p w14:paraId="02C3049A" w14:textId="77777777" w:rsidR="004A3E26" w:rsidRPr="00321EC0" w:rsidRDefault="004A3E26" w:rsidP="004A3E26">
      <w:pPr>
        <w:pStyle w:val="Heading3"/>
        <w:ind w:left="567" w:hanging="567"/>
        <w:rPr>
          <w:lang w:val="en-AU"/>
        </w:rPr>
      </w:pPr>
      <w:bookmarkStart w:id="504" w:name="_Toc62835738"/>
      <w:bookmarkStart w:id="505" w:name="_Toc63158619"/>
      <w:r w:rsidRPr="00321EC0">
        <w:t>1.4</w:t>
      </w:r>
      <w:r w:rsidRPr="00321EC0">
        <w:tab/>
        <w:t>Additional estimates</w:t>
      </w:r>
      <w:r w:rsidRPr="00321EC0">
        <w:rPr>
          <w:lang w:val="en-AU"/>
        </w:rPr>
        <w:t>, resourcing</w:t>
      </w:r>
      <w:r w:rsidRPr="00321EC0">
        <w:t xml:space="preserve"> and variations</w:t>
      </w:r>
      <w:r w:rsidRPr="00321EC0">
        <w:rPr>
          <w:lang w:val="en-AU"/>
        </w:rPr>
        <w:t xml:space="preserve"> to outcomes</w:t>
      </w:r>
      <w:bookmarkEnd w:id="504"/>
      <w:bookmarkEnd w:id="505"/>
    </w:p>
    <w:p w14:paraId="0E9443BE" w14:textId="77777777" w:rsidR="004A3E26" w:rsidRPr="00321EC0" w:rsidRDefault="004A3E26" w:rsidP="004A3E26">
      <w:r w:rsidRPr="00321EC0">
        <w:t xml:space="preserve">The following tables detail the changes to the resourcing for IPEA at Additional Estimates, by outcome. Table 1.3 details the Additional Estimates resulting from new measures and other variations since the 2020-21 Budget </w:t>
      </w:r>
      <w:r w:rsidRPr="00321EC0">
        <w:rPr>
          <w:i/>
        </w:rPr>
        <w:t>in Appropriation Bills Nos. 3</w:t>
      </w:r>
      <w:r w:rsidRPr="00321EC0">
        <w:t xml:space="preserve"> and </w:t>
      </w:r>
      <w:r w:rsidRPr="00321EC0">
        <w:rPr>
          <w:i/>
        </w:rPr>
        <w:t>4</w:t>
      </w:r>
      <w:r w:rsidRPr="00321EC0">
        <w:t>.</w:t>
      </w:r>
    </w:p>
    <w:p w14:paraId="68F7818D" w14:textId="77777777" w:rsidR="004A3E26" w:rsidRPr="00321EC0" w:rsidRDefault="004A3E26" w:rsidP="004A3E26">
      <w:pPr>
        <w:pStyle w:val="TableHeading"/>
      </w:pPr>
      <w:r w:rsidRPr="00321EC0">
        <w:t>Table 1.3: Additional estimates</w:t>
      </w:r>
      <w:r w:rsidRPr="00321EC0">
        <w:rPr>
          <w:lang w:val="en-AU"/>
        </w:rPr>
        <w:t xml:space="preserve"> </w:t>
      </w:r>
      <w:r w:rsidRPr="00321EC0">
        <w:t xml:space="preserve">and </w:t>
      </w:r>
      <w:r w:rsidRPr="00321EC0">
        <w:rPr>
          <w:lang w:val="en-AU"/>
        </w:rPr>
        <w:t xml:space="preserve">other </w:t>
      </w:r>
      <w:r w:rsidRPr="00321EC0">
        <w:t xml:space="preserve">variations to outcomes since </w:t>
      </w:r>
      <w:r w:rsidRPr="00321EC0">
        <w:rPr>
          <w:lang w:val="en-AU"/>
        </w:rPr>
        <w:t>2020-21</w:t>
      </w:r>
      <w:r w:rsidRPr="00321EC0">
        <w:t xml:space="preserve"> Budget</w:t>
      </w:r>
    </w:p>
    <w:p w14:paraId="7A31F189" w14:textId="77777777" w:rsidR="004A3E26" w:rsidRPr="00321EC0" w:rsidRDefault="004A3E26" w:rsidP="004A3E26">
      <w:pPr>
        <w:pStyle w:val="TableGraphic"/>
      </w:pPr>
      <w:r w:rsidRPr="00321EC0">
        <w:rPr>
          <w:noProof/>
        </w:rPr>
        <w:drawing>
          <wp:inline distT="0" distB="0" distL="0" distR="0" wp14:anchorId="34AB8F5E" wp14:editId="34A7CAF0">
            <wp:extent cx="4857115" cy="2960370"/>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857115" cy="2960370"/>
                    </a:xfrm>
                    <a:prstGeom prst="rect">
                      <a:avLst/>
                    </a:prstGeom>
                    <a:noFill/>
                    <a:ln>
                      <a:noFill/>
                    </a:ln>
                  </pic:spPr>
                </pic:pic>
              </a:graphicData>
            </a:graphic>
          </wp:inline>
        </w:drawing>
      </w:r>
      <w:r w:rsidRPr="00321EC0">
        <w:rPr>
          <w:i w:val="0"/>
        </w:rPr>
        <w:t xml:space="preserve"> </w:t>
      </w:r>
    </w:p>
    <w:p w14:paraId="690C0383" w14:textId="77777777" w:rsidR="004A3E26" w:rsidRPr="00321EC0" w:rsidRDefault="004A3E26" w:rsidP="004A3E26">
      <w:pPr>
        <w:rPr>
          <w:rFonts w:ascii="Arial" w:hAnsi="Arial"/>
          <w:sz w:val="16"/>
        </w:rPr>
      </w:pPr>
      <w:r w:rsidRPr="00321EC0">
        <w:rPr>
          <w:rFonts w:ascii="Arial" w:hAnsi="Arial"/>
          <w:sz w:val="16"/>
        </w:rPr>
        <w:t>Prepared on a resourcing (i.e. appropriations available) basis.</w:t>
      </w:r>
    </w:p>
    <w:p w14:paraId="0CEFA46A" w14:textId="77777777" w:rsidR="004A3E26" w:rsidRPr="00321EC0" w:rsidRDefault="004A3E26" w:rsidP="004A3E26">
      <w:pPr>
        <w:pStyle w:val="Heading3"/>
        <w:ind w:right="-156"/>
      </w:pPr>
      <w:r w:rsidRPr="00321EC0">
        <w:br w:type="page"/>
      </w:r>
      <w:bookmarkStart w:id="506" w:name="_Toc62835739"/>
      <w:bookmarkStart w:id="507" w:name="_Toc63158620"/>
      <w:r w:rsidRPr="00321EC0">
        <w:rPr>
          <w:lang w:val="en-AU"/>
        </w:rPr>
        <w:t>1</w:t>
      </w:r>
      <w:r w:rsidRPr="00321EC0">
        <w:t>.</w:t>
      </w:r>
      <w:r w:rsidRPr="00321EC0">
        <w:rPr>
          <w:lang w:val="en-AU"/>
        </w:rPr>
        <w:t>5</w:t>
      </w:r>
      <w:r w:rsidRPr="00321EC0">
        <w:tab/>
        <w:t>Breakdown of additional estimates by appropriation bill</w:t>
      </w:r>
      <w:bookmarkEnd w:id="506"/>
      <w:bookmarkEnd w:id="507"/>
    </w:p>
    <w:p w14:paraId="60833898" w14:textId="77777777" w:rsidR="004A3E26" w:rsidRPr="00321EC0" w:rsidRDefault="004A3E26" w:rsidP="004A3E26">
      <w:r w:rsidRPr="00321EC0">
        <w:t xml:space="preserve">The following tables detail the Additional Estimates sought for IPEA through </w:t>
      </w:r>
      <w:r w:rsidRPr="00321EC0">
        <w:rPr>
          <w:i/>
        </w:rPr>
        <w:t>Appropriation Bills Nos. 3</w:t>
      </w:r>
      <w:r w:rsidRPr="00321EC0">
        <w:t xml:space="preserve"> and </w:t>
      </w:r>
      <w:r w:rsidRPr="00321EC0">
        <w:rPr>
          <w:i/>
        </w:rPr>
        <w:t>4</w:t>
      </w:r>
      <w:r w:rsidRPr="00321EC0">
        <w:t>.</w:t>
      </w:r>
    </w:p>
    <w:p w14:paraId="251F0101" w14:textId="77777777" w:rsidR="004A3E26" w:rsidRPr="00321EC0" w:rsidRDefault="004A3E26" w:rsidP="004A3E26">
      <w:pPr>
        <w:pStyle w:val="TableHeading"/>
        <w:rPr>
          <w:lang w:val="en-AU"/>
        </w:rPr>
      </w:pPr>
      <w:r w:rsidRPr="00321EC0">
        <w:t>Table 1.</w:t>
      </w:r>
      <w:r w:rsidRPr="00321EC0">
        <w:rPr>
          <w:lang w:val="en-AU"/>
        </w:rPr>
        <w:t>4</w:t>
      </w:r>
      <w:r w:rsidRPr="00321EC0">
        <w:t xml:space="preserve">: Appropriation Bill (No. 3) </w:t>
      </w:r>
      <w:r w:rsidRPr="00321EC0">
        <w:rPr>
          <w:lang w:val="en-AU"/>
        </w:rPr>
        <w:t>2020-21</w:t>
      </w:r>
    </w:p>
    <w:p w14:paraId="3176386A" w14:textId="77777777" w:rsidR="004A3E26" w:rsidRPr="00321EC0" w:rsidRDefault="004A3E26" w:rsidP="004A3E26">
      <w:pPr>
        <w:pStyle w:val="TableGraphic"/>
      </w:pPr>
      <w:r w:rsidRPr="00321EC0">
        <w:rPr>
          <w:i w:val="0"/>
        </w:rPr>
        <w:t xml:space="preserve"> </w:t>
      </w:r>
      <w:r w:rsidRPr="00321EC0">
        <w:rPr>
          <w:noProof/>
        </w:rPr>
        <w:drawing>
          <wp:inline distT="0" distB="0" distL="0" distR="0" wp14:anchorId="24211F19" wp14:editId="25B2C79E">
            <wp:extent cx="4612640" cy="38690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612640" cy="3869055"/>
                    </a:xfrm>
                    <a:prstGeom prst="rect">
                      <a:avLst/>
                    </a:prstGeom>
                    <a:noFill/>
                    <a:ln>
                      <a:noFill/>
                    </a:ln>
                  </pic:spPr>
                </pic:pic>
              </a:graphicData>
            </a:graphic>
          </wp:inline>
        </w:drawing>
      </w:r>
    </w:p>
    <w:p w14:paraId="1F5F0510" w14:textId="77777777" w:rsidR="004A3E26" w:rsidRPr="00321EC0" w:rsidRDefault="004A3E26" w:rsidP="004A3E26">
      <w:pPr>
        <w:pStyle w:val="TableGraphic"/>
        <w:rPr>
          <w:rFonts w:ascii="Arial" w:hAnsi="Arial"/>
          <w:i w:val="0"/>
          <w:color w:val="auto"/>
          <w:sz w:val="16"/>
        </w:rPr>
      </w:pPr>
      <w:r w:rsidRPr="00321EC0">
        <w:rPr>
          <w:rFonts w:ascii="Arial" w:hAnsi="Arial"/>
          <w:i w:val="0"/>
          <w:color w:val="auto"/>
          <w:sz w:val="16"/>
          <w:u w:val="single"/>
        </w:rPr>
        <w:t>Note:</w:t>
      </w:r>
      <w:r w:rsidRPr="00321EC0">
        <w:rPr>
          <w:rFonts w:ascii="Arial" w:hAnsi="Arial"/>
          <w:i w:val="0"/>
          <w:color w:val="auto"/>
          <w:sz w:val="16"/>
        </w:rPr>
        <w:t xml:space="preserve"> 2019-20 available appropriation is included to allow a comparison of the year’s appropriation with what was made available for use in the previous year.</w:t>
      </w:r>
    </w:p>
    <w:p w14:paraId="1B520664" w14:textId="77777777" w:rsidR="004A3E26" w:rsidRPr="00321EC0" w:rsidRDefault="004A3E26" w:rsidP="004A3E26"/>
    <w:p w14:paraId="34CBDA0F" w14:textId="77777777" w:rsidR="004A3E26" w:rsidRPr="00321EC0" w:rsidRDefault="004A3E26" w:rsidP="004A3E26">
      <w:pPr>
        <w:pStyle w:val="TableHeading"/>
        <w:rPr>
          <w:lang w:val="en-AU"/>
        </w:rPr>
      </w:pPr>
      <w:r w:rsidRPr="00321EC0">
        <w:t xml:space="preserve">Table 1.5: Appropriation Bill (No. 4) </w:t>
      </w:r>
      <w:r w:rsidRPr="00321EC0">
        <w:rPr>
          <w:lang w:val="en-AU"/>
        </w:rPr>
        <w:t>2020-21</w:t>
      </w:r>
    </w:p>
    <w:p w14:paraId="0B793FFA" w14:textId="77777777" w:rsidR="004A3E26" w:rsidRPr="00321EC0" w:rsidRDefault="004A3E26" w:rsidP="004A3E26">
      <w:pPr>
        <w:pStyle w:val="TableGraphic"/>
      </w:pPr>
      <w:r w:rsidRPr="00321EC0">
        <w:rPr>
          <w:i w:val="0"/>
        </w:rPr>
        <w:t xml:space="preserve"> </w:t>
      </w:r>
    </w:p>
    <w:p w14:paraId="45981B15" w14:textId="77777777" w:rsidR="004A3E26" w:rsidRPr="00321EC0" w:rsidRDefault="004A3E26" w:rsidP="004A3E26">
      <w:pPr>
        <w:pStyle w:val="TableGraphic"/>
        <w:rPr>
          <w:i w:val="0"/>
          <w:color w:val="auto"/>
        </w:rPr>
      </w:pPr>
      <w:r w:rsidRPr="00321EC0">
        <w:rPr>
          <w:i w:val="0"/>
          <w:color w:val="auto"/>
        </w:rPr>
        <w:t xml:space="preserve">IPEA have not sought any Additional Estimates through Appropriation Bill (No.4) </w:t>
      </w:r>
    </w:p>
    <w:p w14:paraId="7753D67B" w14:textId="77777777" w:rsidR="004A3E26" w:rsidRPr="00321EC0" w:rsidRDefault="004A3E26" w:rsidP="004A3E26"/>
    <w:p w14:paraId="6658356D" w14:textId="77777777" w:rsidR="004A3E26" w:rsidRPr="00321EC0" w:rsidRDefault="004A3E26" w:rsidP="004A3E26">
      <w:pPr>
        <w:pStyle w:val="Heading2-TOC"/>
      </w:pPr>
      <w:r w:rsidRPr="00321EC0">
        <w:br w:type="page"/>
      </w:r>
      <w:bookmarkStart w:id="508" w:name="_Toc62835740"/>
      <w:bookmarkStart w:id="509" w:name="_Toc63158621"/>
      <w:r w:rsidRPr="00321EC0">
        <w:t>Section 2: Revisions to outcomes and planned performance</w:t>
      </w:r>
      <w:bookmarkEnd w:id="508"/>
      <w:bookmarkEnd w:id="509"/>
    </w:p>
    <w:p w14:paraId="61068377" w14:textId="77777777" w:rsidR="004A3E26" w:rsidRPr="00321EC0" w:rsidRDefault="004A3E26" w:rsidP="004A3E26">
      <w:pPr>
        <w:pStyle w:val="Heading3"/>
        <w:ind w:left="708" w:hanging="708"/>
        <w:rPr>
          <w:lang w:val="en-AU"/>
        </w:rPr>
      </w:pPr>
      <w:bookmarkStart w:id="510" w:name="_Toc62835741"/>
      <w:bookmarkStart w:id="511" w:name="_Toc63158622"/>
      <w:r w:rsidRPr="00321EC0">
        <w:t>2</w:t>
      </w:r>
      <w:r w:rsidRPr="00321EC0">
        <w:tab/>
      </w:r>
      <w:r w:rsidRPr="00321EC0">
        <w:rPr>
          <w:lang w:val="en-AU"/>
        </w:rPr>
        <w:t>Changes to outcome and program structures</w:t>
      </w:r>
      <w:bookmarkEnd w:id="510"/>
      <w:bookmarkEnd w:id="511"/>
      <w:r w:rsidRPr="00321EC0">
        <w:rPr>
          <w:lang w:val="en-AU"/>
        </w:rPr>
        <w:t xml:space="preserve"> </w:t>
      </w:r>
    </w:p>
    <w:p w14:paraId="51EE6983" w14:textId="77777777" w:rsidR="004A3E26" w:rsidRPr="00321EC0" w:rsidRDefault="004A3E26" w:rsidP="004A3E26">
      <w:pPr>
        <w:pStyle w:val="Default"/>
        <w:rPr>
          <w:rFonts w:ascii="Book Antiqua" w:eastAsia="Times New Roman" w:hAnsi="Book Antiqua"/>
          <w:color w:val="auto"/>
          <w:sz w:val="20"/>
          <w:szCs w:val="20"/>
          <w:lang w:eastAsia="en-AU"/>
        </w:rPr>
      </w:pPr>
      <w:r w:rsidRPr="00321EC0">
        <w:rPr>
          <w:rFonts w:ascii="Book Antiqua" w:eastAsia="Times New Roman" w:hAnsi="Book Antiqua"/>
          <w:color w:val="auto"/>
          <w:sz w:val="20"/>
          <w:szCs w:val="20"/>
          <w:lang w:eastAsia="en-AU"/>
        </w:rPr>
        <w:t xml:space="preserve">There has been no change to outcomes or programs since the 2020-21 Portfolio Budget Statements. </w:t>
      </w:r>
    </w:p>
    <w:p w14:paraId="4252950A" w14:textId="77777777" w:rsidR="004A3E26" w:rsidRPr="00321EC0" w:rsidRDefault="004A3E26" w:rsidP="004A3E26">
      <w:pPr>
        <w:pStyle w:val="Heading3"/>
        <w:rPr>
          <w:lang w:val="en-AU"/>
        </w:rPr>
      </w:pPr>
      <w:bookmarkStart w:id="512" w:name="_Toc58516310"/>
      <w:bookmarkStart w:id="513" w:name="_Toc62835742"/>
      <w:bookmarkStart w:id="514" w:name="_Toc63158623"/>
      <w:r w:rsidRPr="00321EC0">
        <w:t>2.</w:t>
      </w:r>
      <w:r w:rsidRPr="00321EC0">
        <w:rPr>
          <w:lang w:val="en-AU"/>
        </w:rPr>
        <w:t>1</w:t>
      </w:r>
      <w:r w:rsidRPr="00321EC0">
        <w:tab/>
      </w:r>
      <w:r w:rsidRPr="00321EC0">
        <w:rPr>
          <w:lang w:val="en-AU"/>
        </w:rPr>
        <w:t>Budgeted expenses and performance for outcome 1</w:t>
      </w:r>
      <w:bookmarkEnd w:id="512"/>
      <w:bookmarkEnd w:id="513"/>
      <w:bookmarkEnd w:id="51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4A3E26" w:rsidRPr="00321EC0" w14:paraId="4768D9DC" w14:textId="77777777" w:rsidTr="00670D85">
        <w:tc>
          <w:tcPr>
            <w:tcW w:w="7597" w:type="dxa"/>
            <w:shd w:val="clear" w:color="auto" w:fill="E6E6E6"/>
          </w:tcPr>
          <w:p w14:paraId="752C814A" w14:textId="77777777" w:rsidR="004A3E26" w:rsidRPr="00321EC0" w:rsidRDefault="004A3E26" w:rsidP="00670D85">
            <w:pPr>
              <w:pStyle w:val="TableColumnHeadingLeft"/>
            </w:pPr>
            <w:r w:rsidRPr="00321EC0">
              <w:rPr>
                <w:sz w:val="20"/>
              </w:rPr>
              <w:t>Outcome 1: Support for current and former Parliamentarians and others as required by the Australian Government through the delivery of, independent oversight and advice on, work resources and travel resources.</w:t>
            </w:r>
          </w:p>
        </w:tc>
      </w:tr>
    </w:tbl>
    <w:p w14:paraId="1C7AAF01" w14:textId="77777777" w:rsidR="004A3E26" w:rsidRPr="00321EC0" w:rsidRDefault="004A3E26" w:rsidP="004A3E26">
      <w:pPr>
        <w:pStyle w:val="NoSpacing"/>
      </w:pPr>
    </w:p>
    <w:p w14:paraId="29988A4A" w14:textId="77777777" w:rsidR="004A3E26" w:rsidRPr="00321EC0" w:rsidRDefault="004A3E26" w:rsidP="004A3E26">
      <w:pPr>
        <w:pStyle w:val="Heading4"/>
      </w:pPr>
      <w:r w:rsidRPr="00321EC0">
        <w:rPr>
          <w:sz w:val="22"/>
          <w:szCs w:val="22"/>
        </w:rPr>
        <w:t>Linked programs</w:t>
      </w:r>
      <w:r w:rsidRPr="00321EC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4A3E26" w:rsidRPr="00321EC0" w14:paraId="385E4BB7" w14:textId="77777777" w:rsidTr="00670D85">
        <w:trPr>
          <w:trHeight w:val="113"/>
          <w:tblHeader/>
        </w:trPr>
        <w:tc>
          <w:tcPr>
            <w:tcW w:w="7593" w:type="dxa"/>
            <w:tcBorders>
              <w:bottom w:val="dotted" w:sz="4" w:space="0" w:color="auto"/>
            </w:tcBorders>
          </w:tcPr>
          <w:p w14:paraId="5BFDF2F3" w14:textId="77777777" w:rsidR="004A3E26" w:rsidRPr="00321EC0" w:rsidRDefault="004A3E26" w:rsidP="00670D85">
            <w:pPr>
              <w:pStyle w:val="ExampleText"/>
              <w:spacing w:before="60" w:after="60" w:line="240" w:lineRule="auto"/>
            </w:pPr>
            <w:r w:rsidRPr="00321EC0">
              <w:rPr>
                <w:rStyle w:val="ExampletextCharChar"/>
                <w:b/>
                <w:color w:val="auto"/>
              </w:rPr>
              <w:t>Department of Finance</w:t>
            </w:r>
          </w:p>
        </w:tc>
      </w:tr>
      <w:tr w:rsidR="004A3E26" w:rsidRPr="00321EC0" w14:paraId="05855248" w14:textId="77777777" w:rsidTr="00670D85">
        <w:trPr>
          <w:trHeight w:val="113"/>
        </w:trPr>
        <w:tc>
          <w:tcPr>
            <w:tcW w:w="7593" w:type="dxa"/>
            <w:tcBorders>
              <w:top w:val="dotted" w:sz="4" w:space="0" w:color="auto"/>
              <w:bottom w:val="single" w:sz="4" w:space="0" w:color="auto"/>
            </w:tcBorders>
          </w:tcPr>
          <w:p w14:paraId="148B737D" w14:textId="77777777" w:rsidR="004A3E26" w:rsidRPr="00321EC0" w:rsidRDefault="004A3E26" w:rsidP="00670D85">
            <w:pPr>
              <w:spacing w:before="60" w:after="60" w:line="240" w:lineRule="auto"/>
              <w:rPr>
                <w:rStyle w:val="ExampletextCharChar"/>
                <w:b/>
                <w:i w:val="0"/>
                <w:color w:val="auto"/>
              </w:rPr>
            </w:pPr>
            <w:r w:rsidRPr="00321EC0">
              <w:rPr>
                <w:rStyle w:val="ExampletextCharChar"/>
                <w:b/>
                <w:i w:val="0"/>
                <w:color w:val="auto"/>
              </w:rPr>
              <w:t>Programs</w:t>
            </w:r>
          </w:p>
          <w:p w14:paraId="44DA4B3E" w14:textId="77777777" w:rsidR="004A3E26" w:rsidRPr="00321EC0" w:rsidRDefault="004A3E26" w:rsidP="00264523">
            <w:pPr>
              <w:numPr>
                <w:ilvl w:val="0"/>
                <w:numId w:val="2"/>
              </w:numPr>
              <w:spacing w:before="60" w:after="60" w:line="240" w:lineRule="auto"/>
              <w:ind w:left="714" w:hanging="357"/>
              <w:rPr>
                <w:rStyle w:val="ExampletextCharChar"/>
                <w:i w:val="0"/>
              </w:rPr>
            </w:pPr>
            <w:r w:rsidRPr="00321EC0">
              <w:rPr>
                <w:rStyle w:val="ExampletextCharChar"/>
                <w:i w:val="0"/>
                <w:color w:val="auto"/>
              </w:rPr>
              <w:t>Program 3.1–</w:t>
            </w:r>
            <w:r w:rsidRPr="00321EC0">
              <w:rPr>
                <w:rStyle w:val="ExampletextCharChar"/>
                <w:i w:val="0"/>
              </w:rPr>
              <w:t xml:space="preserve"> </w:t>
            </w:r>
            <w:r w:rsidRPr="00321EC0">
              <w:rPr>
                <w:rStyle w:val="ExampletextCharChar"/>
                <w:i w:val="0"/>
                <w:color w:val="auto"/>
              </w:rPr>
              <w:t xml:space="preserve">Ministerial and Parliamentary Services </w:t>
            </w:r>
          </w:p>
        </w:tc>
      </w:tr>
      <w:tr w:rsidR="004A3E26" w:rsidRPr="00321EC0" w14:paraId="7918662F" w14:textId="77777777" w:rsidTr="00670D85">
        <w:trPr>
          <w:trHeight w:val="113"/>
        </w:trPr>
        <w:tc>
          <w:tcPr>
            <w:tcW w:w="7593" w:type="dxa"/>
            <w:tcBorders>
              <w:bottom w:val="single" w:sz="4" w:space="0" w:color="auto"/>
            </w:tcBorders>
          </w:tcPr>
          <w:p w14:paraId="66B255F1" w14:textId="77777777" w:rsidR="004A3E26" w:rsidRPr="00321EC0" w:rsidRDefault="004A3E26" w:rsidP="00670D85">
            <w:pPr>
              <w:spacing w:before="60" w:after="60" w:line="240" w:lineRule="auto"/>
              <w:rPr>
                <w:rStyle w:val="ExampletextCharChar"/>
                <w:b/>
                <w:i w:val="0"/>
                <w:color w:val="auto"/>
              </w:rPr>
            </w:pPr>
            <w:r w:rsidRPr="00321EC0">
              <w:rPr>
                <w:rStyle w:val="ExampletextCharChar"/>
                <w:b/>
                <w:i w:val="0"/>
                <w:color w:val="auto"/>
              </w:rPr>
              <w:t>Contribution to Outcome 1 made by linked programs</w:t>
            </w:r>
          </w:p>
          <w:p w14:paraId="6297EAD2" w14:textId="77777777" w:rsidR="004A3E26" w:rsidRPr="00321EC0" w:rsidRDefault="004A3E26" w:rsidP="00670D85">
            <w:pPr>
              <w:spacing w:before="60" w:after="60" w:line="240" w:lineRule="auto"/>
              <w:rPr>
                <w:rStyle w:val="ExampletextCharChar"/>
              </w:rPr>
            </w:pPr>
            <w:r w:rsidRPr="00321EC0">
              <w:rPr>
                <w:rStyle w:val="ExampletextCharChar"/>
                <w:i w:val="0"/>
                <w:color w:val="auto"/>
              </w:rPr>
              <w:t>IPEA administers and provides advice on travel related work expenses and provides independent oversight of work expenses administered by the Department of Finance for current and former parliamentarians and their staff.</w:t>
            </w:r>
            <w:r w:rsidRPr="00321EC0">
              <w:rPr>
                <w:rStyle w:val="ExampletextCharChar"/>
              </w:rPr>
              <w:t xml:space="preserve"> </w:t>
            </w:r>
          </w:p>
        </w:tc>
      </w:tr>
    </w:tbl>
    <w:p w14:paraId="3815087E" w14:textId="77777777" w:rsidR="004A3E26" w:rsidRPr="00321EC0" w:rsidRDefault="004A3E26" w:rsidP="004A3E26">
      <w:pPr>
        <w:pStyle w:val="Heading5"/>
      </w:pPr>
    </w:p>
    <w:p w14:paraId="19F3A783" w14:textId="77777777" w:rsidR="004A3E26" w:rsidRPr="00321EC0" w:rsidRDefault="004A3E26" w:rsidP="004A3E26">
      <w:pPr>
        <w:pStyle w:val="Heading5"/>
      </w:pPr>
      <w:r w:rsidRPr="00321EC0">
        <w:t xml:space="preserve">Budgeted expenses for Outcome </w:t>
      </w:r>
      <w:r w:rsidRPr="00321EC0">
        <w:rPr>
          <w:lang w:val="en-AU"/>
        </w:rPr>
        <w:t>1</w:t>
      </w:r>
    </w:p>
    <w:p w14:paraId="336E08FC" w14:textId="77777777" w:rsidR="004A3E26" w:rsidRPr="00321EC0" w:rsidRDefault="004A3E26" w:rsidP="004A3E26">
      <w:r w:rsidRPr="00321EC0">
        <w:t xml:space="preserve">This table shows how much the entity intends to spend (on an accrual basis) on achieving the outcome, broken down by program, as well as by Administered and Departmental funding sources. </w:t>
      </w:r>
    </w:p>
    <w:p w14:paraId="1F5B6E76" w14:textId="77777777" w:rsidR="004A3E26" w:rsidRPr="00321EC0" w:rsidRDefault="004A3E26" w:rsidP="004A3E26">
      <w:pPr>
        <w:pStyle w:val="TableHeading"/>
        <w:rPr>
          <w:lang w:val="en-AU"/>
        </w:rPr>
      </w:pPr>
      <w:r w:rsidRPr="00321EC0">
        <w:t>Table 2.</w:t>
      </w:r>
      <w:r w:rsidRPr="00321EC0">
        <w:rPr>
          <w:lang w:val="en-AU"/>
        </w:rPr>
        <w:t>1.</w:t>
      </w:r>
      <w:r w:rsidRPr="00321EC0">
        <w:t>1 Budgeted expenses</w:t>
      </w:r>
      <w:r w:rsidRPr="00321EC0">
        <w:rPr>
          <w:lang w:val="en-AU"/>
        </w:rPr>
        <w:t xml:space="preserve"> for</w:t>
      </w:r>
      <w:r w:rsidRPr="00321EC0">
        <w:t xml:space="preserve"> Outcome </w:t>
      </w:r>
      <w:r w:rsidRPr="00321EC0">
        <w:rPr>
          <w:lang w:val="en-AU"/>
        </w:rPr>
        <w:t>1</w:t>
      </w:r>
    </w:p>
    <w:p w14:paraId="11A96037" w14:textId="39369086" w:rsidR="004A3E26" w:rsidRPr="00321EC0" w:rsidRDefault="004A3E26" w:rsidP="004A3E26">
      <w:pPr>
        <w:pStyle w:val="TableGraphic"/>
        <w:rPr>
          <w:iCs/>
        </w:rPr>
      </w:pPr>
      <w:r w:rsidRPr="00321EC0">
        <w:rPr>
          <w:i w:val="0"/>
        </w:rPr>
        <w:t xml:space="preserve"> </w:t>
      </w:r>
      <w:r w:rsidR="0003359A" w:rsidRPr="0003359A">
        <w:t xml:space="preserve"> </w:t>
      </w:r>
      <w:r w:rsidR="0003359A" w:rsidRPr="0003359A">
        <w:rPr>
          <w:noProof/>
        </w:rPr>
        <w:drawing>
          <wp:inline distT="0" distB="0" distL="0" distR="0" wp14:anchorId="176E3941" wp14:editId="2009BB45">
            <wp:extent cx="4626610" cy="433324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626610" cy="4333240"/>
                    </a:xfrm>
                    <a:prstGeom prst="rect">
                      <a:avLst/>
                    </a:prstGeom>
                    <a:noFill/>
                    <a:ln>
                      <a:noFill/>
                    </a:ln>
                  </pic:spPr>
                </pic:pic>
              </a:graphicData>
            </a:graphic>
          </wp:inline>
        </w:drawing>
      </w:r>
    </w:p>
    <w:p w14:paraId="29DCCC10" w14:textId="77777777" w:rsidR="004A3E26" w:rsidRPr="00321EC0" w:rsidRDefault="004A3E26" w:rsidP="00A24B8D">
      <w:pPr>
        <w:pStyle w:val="ChartandTableFootnoteAlpha"/>
        <w:numPr>
          <w:ilvl w:val="0"/>
          <w:numId w:val="37"/>
        </w:numPr>
        <w:spacing w:after="0"/>
        <w:jc w:val="left"/>
      </w:pPr>
      <w:r w:rsidRPr="00321EC0">
        <w:t>Departmental</w:t>
      </w:r>
      <w:r w:rsidRPr="00A24B8D">
        <w:rPr>
          <w:rFonts w:cs="Arial"/>
          <w:szCs w:val="16"/>
        </w:rPr>
        <w:t xml:space="preserve"> expenses not requiring appropriation in the Budget year is made up of audit fees. Administered expenses not requiring appropriation in the Budget year are made up of adjustments to provision for post-retirement travel and parliamentary retirement travel.</w:t>
      </w:r>
    </w:p>
    <w:p w14:paraId="168D507D" w14:textId="77777777" w:rsidR="004A3E26" w:rsidRPr="00321EC0" w:rsidRDefault="004A3E26" w:rsidP="004A3E26"/>
    <w:p w14:paraId="46559A9C" w14:textId="77777777" w:rsidR="004A3E26" w:rsidRPr="00321EC0" w:rsidRDefault="004A3E26" w:rsidP="004A3E26">
      <w:pPr>
        <w:spacing w:after="0" w:line="240" w:lineRule="auto"/>
        <w:jc w:val="left"/>
        <w:rPr>
          <w:rFonts w:ascii="Arial" w:hAnsi="Arial"/>
          <w:b/>
          <w:bCs/>
          <w:iCs/>
          <w:szCs w:val="26"/>
          <w:lang w:val="x-none"/>
        </w:rPr>
      </w:pPr>
      <w:r w:rsidRPr="00321EC0">
        <w:br w:type="page"/>
      </w:r>
    </w:p>
    <w:p w14:paraId="5D192C49" w14:textId="77777777" w:rsidR="004A3E26" w:rsidRPr="00321EC0" w:rsidRDefault="004A3E26" w:rsidP="004A3E26">
      <w:pPr>
        <w:pStyle w:val="Heading5"/>
      </w:pPr>
      <w:r w:rsidRPr="00321EC0">
        <w:t>Table 2.</w:t>
      </w:r>
      <w:r w:rsidRPr="00321EC0">
        <w:rPr>
          <w:lang w:val="en-AU"/>
        </w:rPr>
        <w:t>1</w:t>
      </w:r>
      <w:r w:rsidRPr="00321EC0">
        <w:t>.</w:t>
      </w:r>
      <w:r w:rsidRPr="00321EC0">
        <w:rPr>
          <w:lang w:val="en-AU"/>
        </w:rPr>
        <w:t>2</w:t>
      </w:r>
      <w:r w:rsidRPr="00321EC0">
        <w:t xml:space="preserve">: Performance criteria for Outcome </w:t>
      </w:r>
      <w:r w:rsidRPr="00321EC0">
        <w:rPr>
          <w:lang w:val="en-AU"/>
        </w:rPr>
        <w:t>1</w:t>
      </w:r>
    </w:p>
    <w:p w14:paraId="29C4CFA7" w14:textId="77777777" w:rsidR="004A3E26" w:rsidRPr="00321EC0" w:rsidRDefault="004A3E26" w:rsidP="004A3E26">
      <w:pPr>
        <w:tabs>
          <w:tab w:val="left" w:pos="709"/>
        </w:tabs>
      </w:pPr>
      <w:r w:rsidRPr="00321EC0">
        <w:t xml:space="preserve">Table 2.1.2 below details the performance criteria and program associated with </w:t>
      </w:r>
      <w:r w:rsidRPr="00321EC0">
        <w:br/>
        <w:t xml:space="preserve">Outcome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4A3E26" w:rsidRPr="00321EC0" w14:paraId="1C85818E" w14:textId="77777777" w:rsidTr="00670D85">
        <w:trPr>
          <w:tblHeader/>
        </w:trPr>
        <w:tc>
          <w:tcPr>
            <w:tcW w:w="7593" w:type="dxa"/>
            <w:shd w:val="clear" w:color="auto" w:fill="F2F2F2"/>
            <w:vAlign w:val="center"/>
          </w:tcPr>
          <w:p w14:paraId="7E5EF90E" w14:textId="77777777" w:rsidR="004A3E26" w:rsidRPr="00321EC0" w:rsidRDefault="004A3E26" w:rsidP="00670D85">
            <w:pPr>
              <w:pStyle w:val="TableColumnHeadingLeft"/>
              <w:spacing w:before="120" w:after="120" w:line="240" w:lineRule="auto"/>
              <w:jc w:val="left"/>
            </w:pPr>
            <w:r w:rsidRPr="00321EC0">
              <w:t xml:space="preserve">Outcome 1 – </w:t>
            </w:r>
            <w:r w:rsidRPr="00321EC0">
              <w:rPr>
                <w:b w:val="0"/>
                <w:szCs w:val="16"/>
              </w:rPr>
              <w:t xml:space="preserve">Support for current and former Parliamentarians </w:t>
            </w:r>
            <w:r w:rsidRPr="00A810C3">
              <w:rPr>
                <w:b w:val="0"/>
                <w:szCs w:val="16"/>
              </w:rPr>
              <w:t>and others as</w:t>
            </w:r>
            <w:r w:rsidRPr="00321EC0">
              <w:rPr>
                <w:b w:val="0"/>
                <w:szCs w:val="16"/>
              </w:rPr>
              <w:t xml:space="preserve"> required by the Australian Government through the delivery of, independent oversight and advice on, work resources and travel resources.</w:t>
            </w:r>
          </w:p>
        </w:tc>
      </w:tr>
      <w:tr w:rsidR="004A3E26" w:rsidRPr="00321EC0" w14:paraId="3889FA77" w14:textId="77777777" w:rsidTr="00670D85">
        <w:trPr>
          <w:tblHeader/>
        </w:trPr>
        <w:tc>
          <w:tcPr>
            <w:tcW w:w="7593" w:type="dxa"/>
            <w:shd w:val="clear" w:color="auto" w:fill="F2F2F2"/>
            <w:vAlign w:val="center"/>
          </w:tcPr>
          <w:p w14:paraId="48C7D49D" w14:textId="77777777" w:rsidR="004A3E26" w:rsidRPr="00321EC0" w:rsidRDefault="004A3E26" w:rsidP="00670D85">
            <w:pPr>
              <w:tabs>
                <w:tab w:val="left" w:pos="709"/>
              </w:tabs>
              <w:spacing w:before="120" w:after="120" w:line="240" w:lineRule="auto"/>
              <w:jc w:val="left"/>
              <w:rPr>
                <w:rFonts w:ascii="Arial" w:hAnsi="Arial"/>
                <w:color w:val="000000"/>
                <w:sz w:val="16"/>
                <w:szCs w:val="16"/>
              </w:rPr>
            </w:pPr>
            <w:r w:rsidRPr="00321EC0">
              <w:rPr>
                <w:rFonts w:ascii="Arial" w:hAnsi="Arial" w:cs="Arial"/>
                <w:b/>
                <w:sz w:val="16"/>
                <w:szCs w:val="16"/>
              </w:rPr>
              <w:t>Program 1.1</w:t>
            </w:r>
            <w:r w:rsidRPr="00321EC0">
              <w:rPr>
                <w:rFonts w:ascii="Arial" w:hAnsi="Arial" w:cs="Arial"/>
                <w:sz w:val="16"/>
                <w:szCs w:val="16"/>
              </w:rPr>
              <w:t xml:space="preserve"> – </w:t>
            </w:r>
            <w:r w:rsidRPr="00321EC0">
              <w:rPr>
                <w:rFonts w:ascii="Arial" w:hAnsi="Arial"/>
                <w:color w:val="000000"/>
                <w:sz w:val="16"/>
                <w:szCs w:val="16"/>
              </w:rPr>
              <w:t>Independent Parliamentary Expenses Authority – Travel Oversight and Reporting</w:t>
            </w:r>
          </w:p>
          <w:p w14:paraId="3534756F" w14:textId="77777777" w:rsidR="004A3E26" w:rsidRPr="00321EC0" w:rsidRDefault="004A3E26" w:rsidP="00670D85">
            <w:pPr>
              <w:tabs>
                <w:tab w:val="left" w:pos="709"/>
              </w:tabs>
              <w:spacing w:before="120" w:after="120" w:line="240" w:lineRule="auto"/>
              <w:jc w:val="left"/>
              <w:rPr>
                <w:rFonts w:ascii="Arial" w:hAnsi="Arial" w:cs="Arial"/>
                <w:sz w:val="16"/>
                <w:szCs w:val="16"/>
              </w:rPr>
            </w:pPr>
            <w:r w:rsidRPr="00321EC0">
              <w:rPr>
                <w:rFonts w:ascii="Arial" w:hAnsi="Arial"/>
                <w:color w:val="000000"/>
                <w:sz w:val="16"/>
                <w:szCs w:val="16"/>
              </w:rPr>
              <w:t>No changes have been made to the performance criteria for this program since the 2020-21 Portfolio Budget Statements.</w:t>
            </w:r>
            <w:r w:rsidRPr="00321EC0">
              <w:rPr>
                <w:rFonts w:ascii="Arial" w:hAnsi="Arial" w:cs="Arial"/>
              </w:rPr>
              <w:t xml:space="preserve"> </w:t>
            </w:r>
          </w:p>
        </w:tc>
      </w:tr>
    </w:tbl>
    <w:p w14:paraId="205A8A96" w14:textId="77777777" w:rsidR="004A3E26" w:rsidRPr="00321EC0" w:rsidRDefault="004A3E26" w:rsidP="004A3E26"/>
    <w:p w14:paraId="4C8370C9" w14:textId="77777777" w:rsidR="004A3E26" w:rsidRPr="00321EC0" w:rsidRDefault="004A3E26" w:rsidP="004A3E26"/>
    <w:p w14:paraId="698AB61E" w14:textId="77777777" w:rsidR="004A3E26" w:rsidRPr="00321EC0" w:rsidRDefault="004A3E26" w:rsidP="004A3E26">
      <w:pPr>
        <w:pStyle w:val="Heading2-TOC"/>
      </w:pPr>
      <w:r w:rsidRPr="00321EC0">
        <w:rPr>
          <w:lang w:val="en-GB"/>
        </w:rPr>
        <w:br w:type="page"/>
      </w:r>
      <w:bookmarkStart w:id="515" w:name="_Toc62835743"/>
      <w:bookmarkStart w:id="516" w:name="_Toc63158624"/>
      <w:r w:rsidRPr="00321EC0">
        <w:t>Section 3: Budgeted financial statements</w:t>
      </w:r>
      <w:bookmarkEnd w:id="515"/>
      <w:bookmarkEnd w:id="516"/>
    </w:p>
    <w:p w14:paraId="09799AB5" w14:textId="77777777" w:rsidR="004A3E26" w:rsidRPr="00321EC0" w:rsidRDefault="004A3E26" w:rsidP="004A3E26">
      <w:pPr>
        <w:pStyle w:val="Heading3"/>
      </w:pPr>
      <w:bookmarkStart w:id="517" w:name="_Toc62835744"/>
      <w:bookmarkStart w:id="518" w:name="_Toc63158625"/>
      <w:r w:rsidRPr="00321EC0">
        <w:t>3.</w:t>
      </w:r>
      <w:r w:rsidRPr="00321EC0">
        <w:rPr>
          <w:lang w:val="en-AU"/>
        </w:rPr>
        <w:t>1</w:t>
      </w:r>
      <w:r w:rsidRPr="00321EC0">
        <w:tab/>
        <w:t>Budgeted financial statements</w:t>
      </w:r>
      <w:bookmarkEnd w:id="517"/>
      <w:bookmarkEnd w:id="518"/>
    </w:p>
    <w:p w14:paraId="1930C442" w14:textId="77777777" w:rsidR="004A3E26" w:rsidRPr="00321EC0" w:rsidRDefault="004A3E26" w:rsidP="004A3E26">
      <w:pPr>
        <w:pStyle w:val="Heading4"/>
      </w:pPr>
      <w:r w:rsidRPr="00321EC0">
        <w:t>3.</w:t>
      </w:r>
      <w:r w:rsidRPr="00321EC0">
        <w:rPr>
          <w:lang w:val="en-AU"/>
        </w:rPr>
        <w:t>1.1</w:t>
      </w:r>
      <w:r w:rsidRPr="00321EC0">
        <w:tab/>
        <w:t>Analysis of budgeted financial statements</w:t>
      </w:r>
    </w:p>
    <w:p w14:paraId="7EE5DBC8" w14:textId="77777777" w:rsidR="004A3E26" w:rsidRPr="00321EC0" w:rsidRDefault="004A3E26" w:rsidP="004A3E26">
      <w:r w:rsidRPr="00321EC0">
        <w:t xml:space="preserve">There have been no significant changes to IPEA’s budgeted financial statements since the </w:t>
      </w:r>
      <w:r w:rsidR="004B5C5D">
        <w:t>2020-21</w:t>
      </w:r>
      <w:r w:rsidRPr="00321EC0">
        <w:t xml:space="preserve"> Portfolio Budget Statements.</w:t>
      </w:r>
    </w:p>
    <w:p w14:paraId="532D969E" w14:textId="77777777" w:rsidR="004A3E26" w:rsidRPr="00321EC0" w:rsidRDefault="004A3E26" w:rsidP="004A3E26">
      <w:r w:rsidRPr="00321EC0">
        <w:t>Departmental changes reflect the effect of economic parameter adjustments.</w:t>
      </w:r>
    </w:p>
    <w:p w14:paraId="16F81B1F" w14:textId="77777777" w:rsidR="004A3E26" w:rsidRPr="00321EC0" w:rsidRDefault="004A3E26" w:rsidP="004A3E26">
      <w:r w:rsidRPr="00321EC0">
        <w:t>Administered changes reflect the effect of economic parameter adjustments.</w:t>
      </w:r>
    </w:p>
    <w:p w14:paraId="47352112" w14:textId="77777777" w:rsidR="004A3E26" w:rsidRPr="00321EC0" w:rsidRDefault="004A3E26" w:rsidP="004A3E26">
      <w:pPr>
        <w:rPr>
          <w:rFonts w:ascii="Arial" w:hAnsi="Arial"/>
          <w:b/>
          <w:lang w:val="x-none"/>
        </w:rPr>
      </w:pPr>
      <w:r w:rsidRPr="00321EC0">
        <w:rPr>
          <w:rFonts w:ascii="Arial" w:hAnsi="Arial"/>
          <w:b/>
          <w:lang w:val="x-none"/>
        </w:rPr>
        <w:t>3.</w:t>
      </w:r>
      <w:r w:rsidRPr="00321EC0">
        <w:rPr>
          <w:rFonts w:ascii="Arial" w:hAnsi="Arial"/>
          <w:b/>
        </w:rPr>
        <w:t>1</w:t>
      </w:r>
      <w:r w:rsidRPr="00321EC0">
        <w:rPr>
          <w:rFonts w:ascii="Arial" w:hAnsi="Arial"/>
          <w:b/>
          <w:lang w:val="x-none"/>
        </w:rPr>
        <w:t>.2</w:t>
      </w:r>
      <w:r w:rsidRPr="00321EC0">
        <w:rPr>
          <w:rFonts w:ascii="Arial" w:hAnsi="Arial"/>
          <w:b/>
          <w:lang w:val="x-none"/>
        </w:rPr>
        <w:tab/>
        <w:t>Budgeted financial statements</w:t>
      </w:r>
    </w:p>
    <w:p w14:paraId="5C427AD7" w14:textId="77777777" w:rsidR="004A3E26" w:rsidRPr="00321EC0" w:rsidRDefault="004A3E26" w:rsidP="004A3E26">
      <w:pPr>
        <w:pStyle w:val="TableHeading"/>
        <w:spacing w:before="0"/>
        <w:rPr>
          <w:snapToGrid w:val="0"/>
          <w:lang w:val="en-AU"/>
        </w:rPr>
      </w:pPr>
      <w:r w:rsidRPr="00321EC0">
        <w:rPr>
          <w:snapToGrid w:val="0"/>
        </w:rPr>
        <w:t>Table 3.</w:t>
      </w:r>
      <w:r w:rsidRPr="00321EC0">
        <w:rPr>
          <w:snapToGrid w:val="0"/>
          <w:lang w:val="en-AU"/>
        </w:rPr>
        <w:t>1</w:t>
      </w:r>
      <w:r w:rsidRPr="00321EC0">
        <w:rPr>
          <w:snapToGrid w:val="0"/>
        </w:rPr>
        <w:t>: Comprehensive income statement (showing net cost of services)</w:t>
      </w:r>
      <w:r w:rsidRPr="00321EC0">
        <w:rPr>
          <w:snapToGrid w:val="0"/>
          <w:lang w:val="en-AU"/>
        </w:rPr>
        <w:t xml:space="preserve"> for the period ended 30 June</w:t>
      </w:r>
    </w:p>
    <w:p w14:paraId="7D6F78FF" w14:textId="77777777" w:rsidR="004A3E26" w:rsidRPr="00321EC0" w:rsidRDefault="004A3E26" w:rsidP="004A3E26">
      <w:pPr>
        <w:pStyle w:val="TableGraphic"/>
        <w:rPr>
          <w:i w:val="0"/>
        </w:rPr>
      </w:pPr>
      <w:r w:rsidRPr="00321EC0">
        <w:rPr>
          <w:i w:val="0"/>
        </w:rPr>
        <w:t xml:space="preserve"> </w:t>
      </w:r>
      <w:r w:rsidRPr="00321EC0">
        <w:rPr>
          <w:noProof/>
        </w:rPr>
        <w:drawing>
          <wp:inline distT="0" distB="0" distL="0" distR="0" wp14:anchorId="24370043" wp14:editId="6D11D172">
            <wp:extent cx="4820920" cy="36080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820920" cy="3608070"/>
                    </a:xfrm>
                    <a:prstGeom prst="rect">
                      <a:avLst/>
                    </a:prstGeom>
                    <a:noFill/>
                    <a:ln>
                      <a:noFill/>
                    </a:ln>
                  </pic:spPr>
                </pic:pic>
              </a:graphicData>
            </a:graphic>
          </wp:inline>
        </w:drawing>
      </w:r>
    </w:p>
    <w:p w14:paraId="3881C83F" w14:textId="77777777" w:rsidR="004A3E26" w:rsidRPr="00321EC0" w:rsidRDefault="004A3E26" w:rsidP="004A3E26">
      <w:pPr>
        <w:pStyle w:val="Source"/>
      </w:pPr>
      <w:r w:rsidRPr="00321EC0">
        <w:t>Prepared on Australian Accounting Standards basis.</w:t>
      </w:r>
    </w:p>
    <w:p w14:paraId="65EBEB3B" w14:textId="77777777" w:rsidR="004A3E26" w:rsidRPr="00321EC0" w:rsidRDefault="004A3E26" w:rsidP="004A3E26">
      <w:pPr>
        <w:pStyle w:val="TableHeading"/>
        <w:spacing w:before="0"/>
      </w:pPr>
      <w:r w:rsidRPr="00321EC0">
        <w:br w:type="page"/>
      </w:r>
    </w:p>
    <w:p w14:paraId="26AC282D" w14:textId="77777777" w:rsidR="004A3E26" w:rsidRPr="00321EC0" w:rsidRDefault="004A3E26" w:rsidP="004A3E26">
      <w:pPr>
        <w:pStyle w:val="TableHeading"/>
        <w:spacing w:before="0"/>
        <w:rPr>
          <w:lang w:val="en-AU"/>
        </w:rPr>
      </w:pPr>
      <w:r w:rsidRPr="00321EC0">
        <w:rPr>
          <w:snapToGrid w:val="0"/>
        </w:rPr>
        <w:t>Table 3.</w:t>
      </w:r>
      <w:r w:rsidRPr="00321EC0">
        <w:rPr>
          <w:snapToGrid w:val="0"/>
          <w:lang w:val="en-AU"/>
        </w:rPr>
        <w:t>2</w:t>
      </w:r>
      <w:r w:rsidRPr="00321EC0">
        <w:rPr>
          <w:snapToGrid w:val="0"/>
        </w:rPr>
        <w:t>: Budgeted departmental balance sheet (as at 30 June)</w:t>
      </w:r>
      <w:r w:rsidRPr="00321EC0">
        <w:rPr>
          <w:b w:val="0"/>
          <w:snapToGrid w:val="0"/>
        </w:rPr>
        <w:t xml:space="preserve"> </w:t>
      </w:r>
    </w:p>
    <w:p w14:paraId="358E15D9" w14:textId="77777777" w:rsidR="004A3E26" w:rsidRPr="00321EC0" w:rsidRDefault="004A3E26" w:rsidP="004A3E26">
      <w:pPr>
        <w:pStyle w:val="TableGraphic"/>
      </w:pPr>
      <w:r w:rsidRPr="00321EC0">
        <w:rPr>
          <w:i w:val="0"/>
        </w:rPr>
        <w:t xml:space="preserve"> </w:t>
      </w:r>
      <w:r w:rsidRPr="00321EC0">
        <w:rPr>
          <w:noProof/>
        </w:rPr>
        <w:drawing>
          <wp:inline distT="0" distB="0" distL="0" distR="0" wp14:anchorId="5F9CEAB6" wp14:editId="21E54254">
            <wp:extent cx="4825365" cy="40513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825365" cy="4051300"/>
                    </a:xfrm>
                    <a:prstGeom prst="rect">
                      <a:avLst/>
                    </a:prstGeom>
                    <a:noFill/>
                    <a:ln>
                      <a:noFill/>
                    </a:ln>
                  </pic:spPr>
                </pic:pic>
              </a:graphicData>
            </a:graphic>
          </wp:inline>
        </w:drawing>
      </w:r>
    </w:p>
    <w:p w14:paraId="26E8F4F5" w14:textId="77777777" w:rsidR="004A3E26" w:rsidRPr="00321EC0" w:rsidRDefault="004A3E26" w:rsidP="004A3E26">
      <w:pPr>
        <w:pStyle w:val="Source"/>
      </w:pPr>
      <w:r w:rsidRPr="00321EC0">
        <w:t>Prepared on Australian Accounting Standards basis.</w:t>
      </w:r>
    </w:p>
    <w:p w14:paraId="520A2DA6" w14:textId="77777777" w:rsidR="004A3E26" w:rsidRPr="00321EC0" w:rsidRDefault="004A3E26" w:rsidP="004A3E26">
      <w:pPr>
        <w:pStyle w:val="Source"/>
      </w:pPr>
      <w:r w:rsidRPr="00321EC0">
        <w:t>* Equity is the residual interest in assets after the deduction of liabilities.</w:t>
      </w:r>
    </w:p>
    <w:p w14:paraId="6B86208E" w14:textId="77777777" w:rsidR="004A3E26" w:rsidRPr="00321EC0" w:rsidRDefault="004A3E26" w:rsidP="004A3E26">
      <w:pPr>
        <w:pStyle w:val="SingleParagraph"/>
        <w:rPr>
          <w:snapToGrid w:val="0"/>
        </w:rPr>
      </w:pPr>
    </w:p>
    <w:p w14:paraId="139BCCF8" w14:textId="77777777" w:rsidR="004A3E26" w:rsidRPr="00321EC0" w:rsidRDefault="004A3E26" w:rsidP="004A3E26">
      <w:pPr>
        <w:pStyle w:val="TableHeading"/>
        <w:spacing w:before="0"/>
        <w:rPr>
          <w:snapToGrid w:val="0"/>
        </w:rPr>
      </w:pPr>
    </w:p>
    <w:p w14:paraId="5B12F06D" w14:textId="77777777" w:rsidR="004A3E26" w:rsidRPr="00321EC0" w:rsidRDefault="004A3E26" w:rsidP="004A3E26">
      <w:pPr>
        <w:pStyle w:val="TableHeading"/>
        <w:spacing w:before="0"/>
        <w:rPr>
          <w:snapToGrid w:val="0"/>
        </w:rPr>
      </w:pPr>
      <w:r w:rsidRPr="00321EC0">
        <w:rPr>
          <w:snapToGrid w:val="0"/>
        </w:rPr>
        <w:t>Table 3.</w:t>
      </w:r>
      <w:r w:rsidRPr="00321EC0">
        <w:rPr>
          <w:snapToGrid w:val="0"/>
          <w:lang w:val="en-AU"/>
        </w:rPr>
        <w:t>3</w:t>
      </w:r>
      <w:r w:rsidRPr="00321EC0">
        <w:rPr>
          <w:snapToGrid w:val="0"/>
        </w:rPr>
        <w:t xml:space="preserve">: Departmental statement of changes in equity — summary of movement (Budget Year </w:t>
      </w:r>
      <w:r w:rsidRPr="00321EC0">
        <w:rPr>
          <w:snapToGrid w:val="0"/>
          <w:lang w:val="en-AU"/>
        </w:rPr>
        <w:t>2020-21</w:t>
      </w:r>
      <w:r w:rsidRPr="00321EC0">
        <w:rPr>
          <w:snapToGrid w:val="0"/>
        </w:rPr>
        <w:t>)</w:t>
      </w:r>
      <w:r w:rsidRPr="00321EC0">
        <w:rPr>
          <w:b w:val="0"/>
          <w:snapToGrid w:val="0"/>
        </w:rPr>
        <w:t xml:space="preserve"> </w:t>
      </w:r>
    </w:p>
    <w:p w14:paraId="009E777E" w14:textId="77777777" w:rsidR="004A3E26" w:rsidRPr="00321EC0" w:rsidRDefault="004A3E26" w:rsidP="004A3E26">
      <w:pPr>
        <w:pStyle w:val="TableGraphic"/>
      </w:pPr>
      <w:r w:rsidRPr="00321EC0">
        <w:rPr>
          <w:i w:val="0"/>
        </w:rPr>
        <w:t xml:space="preserve"> </w:t>
      </w:r>
      <w:r w:rsidRPr="00321EC0">
        <w:rPr>
          <w:noProof/>
        </w:rPr>
        <w:drawing>
          <wp:inline distT="0" distB="0" distL="0" distR="0" wp14:anchorId="732E4DCE" wp14:editId="526BC801">
            <wp:extent cx="4825365" cy="182435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825365" cy="1824355"/>
                    </a:xfrm>
                    <a:prstGeom prst="rect">
                      <a:avLst/>
                    </a:prstGeom>
                    <a:noFill/>
                    <a:ln>
                      <a:noFill/>
                    </a:ln>
                  </pic:spPr>
                </pic:pic>
              </a:graphicData>
            </a:graphic>
          </wp:inline>
        </w:drawing>
      </w:r>
    </w:p>
    <w:p w14:paraId="5A5AD3D8" w14:textId="77777777" w:rsidR="004A3E26" w:rsidRPr="00321EC0" w:rsidRDefault="004A3E26" w:rsidP="004A3E26">
      <w:pPr>
        <w:pStyle w:val="Source"/>
        <w:rPr>
          <w:snapToGrid w:val="0"/>
        </w:rPr>
      </w:pPr>
      <w:r w:rsidRPr="00321EC0">
        <w:t>Prepared on Australian Accounting Standards basis</w:t>
      </w:r>
      <w:r w:rsidRPr="00321EC0">
        <w:rPr>
          <w:snapToGrid w:val="0"/>
        </w:rPr>
        <w:t>.</w:t>
      </w:r>
    </w:p>
    <w:p w14:paraId="697DF2B7" w14:textId="77777777" w:rsidR="004A3E26" w:rsidRPr="00321EC0" w:rsidRDefault="004A3E26" w:rsidP="004A3E26">
      <w:pPr>
        <w:pStyle w:val="TableHeading"/>
        <w:spacing w:before="0"/>
        <w:rPr>
          <w:lang w:val="en-AU"/>
        </w:rPr>
      </w:pPr>
      <w:r w:rsidRPr="00321EC0">
        <w:rPr>
          <w:snapToGrid w:val="0"/>
        </w:rPr>
        <w:t>Table 3.</w:t>
      </w:r>
      <w:r w:rsidRPr="00321EC0">
        <w:rPr>
          <w:snapToGrid w:val="0"/>
          <w:lang w:val="en-AU"/>
        </w:rPr>
        <w:t>4</w:t>
      </w:r>
      <w:r w:rsidRPr="00321EC0">
        <w:rPr>
          <w:snapToGrid w:val="0"/>
        </w:rPr>
        <w:t>: Budgeted departmental statement of cash flows (</w:t>
      </w:r>
      <w:r w:rsidRPr="00321EC0">
        <w:rPr>
          <w:snapToGrid w:val="0"/>
          <w:lang w:val="en-AU"/>
        </w:rPr>
        <w:t>for the period ended</w:t>
      </w:r>
      <w:r w:rsidRPr="00321EC0">
        <w:rPr>
          <w:snapToGrid w:val="0"/>
        </w:rPr>
        <w:t xml:space="preserve"> 30 June)</w:t>
      </w:r>
      <w:r w:rsidRPr="00321EC0">
        <w:rPr>
          <w:b w:val="0"/>
          <w:snapToGrid w:val="0"/>
        </w:rPr>
        <w:t xml:space="preserve"> </w:t>
      </w:r>
    </w:p>
    <w:p w14:paraId="1FD53558" w14:textId="77777777" w:rsidR="004A3E26" w:rsidRPr="00321EC0" w:rsidRDefault="004A3E26" w:rsidP="004A3E26">
      <w:pPr>
        <w:pStyle w:val="TableGraphic"/>
      </w:pPr>
      <w:r w:rsidRPr="00321EC0">
        <w:rPr>
          <w:i w:val="0"/>
        </w:rPr>
        <w:t xml:space="preserve"> </w:t>
      </w:r>
      <w:r w:rsidRPr="00321EC0">
        <w:rPr>
          <w:noProof/>
        </w:rPr>
        <w:drawing>
          <wp:inline distT="0" distB="0" distL="0" distR="0" wp14:anchorId="0BE4A50F" wp14:editId="5D9CE9FE">
            <wp:extent cx="4857115" cy="3249930"/>
            <wp:effectExtent l="0" t="0" r="635" b="762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57115" cy="3249930"/>
                    </a:xfrm>
                    <a:prstGeom prst="rect">
                      <a:avLst/>
                    </a:prstGeom>
                    <a:noFill/>
                    <a:ln>
                      <a:noFill/>
                    </a:ln>
                  </pic:spPr>
                </pic:pic>
              </a:graphicData>
            </a:graphic>
          </wp:inline>
        </w:drawing>
      </w:r>
    </w:p>
    <w:p w14:paraId="516C22CC" w14:textId="77777777" w:rsidR="004A3E26" w:rsidRPr="00321EC0" w:rsidRDefault="004A3E26" w:rsidP="004A3E26">
      <w:pPr>
        <w:pStyle w:val="Source"/>
      </w:pPr>
      <w:r w:rsidRPr="00321EC0">
        <w:t>Prepared on Australian Accounting Standards basis.</w:t>
      </w:r>
    </w:p>
    <w:p w14:paraId="3C7FBDEE" w14:textId="77777777" w:rsidR="004A3E26" w:rsidRPr="00321EC0" w:rsidRDefault="004A3E26" w:rsidP="004A3E26">
      <w:pPr>
        <w:pStyle w:val="Source"/>
        <w:rPr>
          <w:snapToGrid w:val="0"/>
        </w:rPr>
      </w:pPr>
    </w:p>
    <w:p w14:paraId="0BA63ACA" w14:textId="77777777" w:rsidR="004A3E26" w:rsidRPr="00321EC0" w:rsidRDefault="004A3E26" w:rsidP="004A3E26">
      <w:pPr>
        <w:pStyle w:val="TableHeading"/>
        <w:spacing w:before="0"/>
        <w:rPr>
          <w:snapToGrid w:val="0"/>
        </w:rPr>
      </w:pPr>
    </w:p>
    <w:p w14:paraId="032A1D5F" w14:textId="77777777" w:rsidR="004A3E26" w:rsidRPr="00321EC0" w:rsidRDefault="004A3E26" w:rsidP="004A3E26">
      <w:pPr>
        <w:pStyle w:val="TableHeading"/>
        <w:spacing w:before="0"/>
        <w:rPr>
          <w:lang w:val="en-AU"/>
        </w:rPr>
      </w:pPr>
      <w:r w:rsidRPr="00321EC0">
        <w:rPr>
          <w:snapToGrid w:val="0"/>
        </w:rPr>
        <w:t>Table 3.</w:t>
      </w:r>
      <w:r w:rsidRPr="00321EC0">
        <w:rPr>
          <w:snapToGrid w:val="0"/>
          <w:lang w:val="en-AU"/>
        </w:rPr>
        <w:t>5</w:t>
      </w:r>
      <w:r w:rsidRPr="00321EC0">
        <w:rPr>
          <w:snapToGrid w:val="0"/>
        </w:rPr>
        <w:t xml:space="preserve">: </w:t>
      </w:r>
      <w:r w:rsidRPr="00321EC0">
        <w:rPr>
          <w:snapToGrid w:val="0"/>
          <w:lang w:val="en-AU"/>
        </w:rPr>
        <w:t xml:space="preserve">Departmental </w:t>
      </w:r>
      <w:r w:rsidRPr="00321EC0">
        <w:rPr>
          <w:snapToGrid w:val="0"/>
        </w:rPr>
        <w:t>capital budget statement</w:t>
      </w:r>
      <w:r w:rsidRPr="00321EC0">
        <w:rPr>
          <w:snapToGrid w:val="0"/>
          <w:lang w:val="en-AU"/>
        </w:rPr>
        <w:t xml:space="preserve"> (for the period ended 30 June)</w:t>
      </w:r>
      <w:r w:rsidRPr="00321EC0">
        <w:rPr>
          <w:b w:val="0"/>
          <w:snapToGrid w:val="0"/>
        </w:rPr>
        <w:t xml:space="preserve"> </w:t>
      </w:r>
    </w:p>
    <w:p w14:paraId="01B56BA8" w14:textId="77777777" w:rsidR="004A3E26" w:rsidRPr="00321EC0" w:rsidRDefault="004A3E26" w:rsidP="004A3E26">
      <w:pPr>
        <w:pStyle w:val="TableHeading"/>
        <w:spacing w:before="0"/>
      </w:pPr>
      <w:r w:rsidRPr="00321EC0">
        <w:t xml:space="preserve"> </w:t>
      </w:r>
    </w:p>
    <w:p w14:paraId="27EFAA9B" w14:textId="77777777" w:rsidR="004A3E26" w:rsidRPr="00321EC0" w:rsidRDefault="004A3E26" w:rsidP="004A3E26">
      <w:pPr>
        <w:pStyle w:val="TableHeading"/>
        <w:spacing w:before="0"/>
        <w:rPr>
          <w:rFonts w:ascii="Book Antiqua" w:hAnsi="Book Antiqua"/>
          <w:b w:val="0"/>
          <w:lang w:val="en-AU"/>
        </w:rPr>
      </w:pPr>
      <w:r w:rsidRPr="00321EC0">
        <w:rPr>
          <w:rFonts w:ascii="Book Antiqua" w:hAnsi="Book Antiqua"/>
          <w:b w:val="0"/>
          <w:lang w:val="en-AU"/>
        </w:rPr>
        <w:t>IPEA has no departmental capital budget.</w:t>
      </w:r>
    </w:p>
    <w:p w14:paraId="3070CAFB" w14:textId="77777777" w:rsidR="004A3E26" w:rsidRPr="00321EC0" w:rsidRDefault="004A3E26" w:rsidP="004A3E26">
      <w:pPr>
        <w:pStyle w:val="TableGraphic"/>
      </w:pPr>
    </w:p>
    <w:p w14:paraId="7227C6BD" w14:textId="77777777" w:rsidR="004A3E26" w:rsidRPr="00321EC0" w:rsidRDefault="004A3E26" w:rsidP="004A3E26">
      <w:pPr>
        <w:pStyle w:val="SingleParagraph"/>
        <w:rPr>
          <w:snapToGrid w:val="0"/>
        </w:rPr>
      </w:pPr>
    </w:p>
    <w:p w14:paraId="7B002C67" w14:textId="77777777" w:rsidR="004A3E26" w:rsidRPr="00321EC0" w:rsidRDefault="004A3E26" w:rsidP="004A3E26">
      <w:pPr>
        <w:pStyle w:val="TableHeading"/>
        <w:spacing w:before="0"/>
        <w:rPr>
          <w:snapToGrid w:val="0"/>
        </w:rPr>
      </w:pPr>
      <w:r w:rsidRPr="00321EC0">
        <w:rPr>
          <w:snapToGrid w:val="0"/>
        </w:rPr>
        <w:t>Table 3.</w:t>
      </w:r>
      <w:r w:rsidRPr="00321EC0">
        <w:rPr>
          <w:snapToGrid w:val="0"/>
          <w:lang w:val="en-AU"/>
        </w:rPr>
        <w:t>6</w:t>
      </w:r>
      <w:r w:rsidRPr="00321EC0">
        <w:rPr>
          <w:snapToGrid w:val="0"/>
        </w:rPr>
        <w:t>: Statement of asset movements (</w:t>
      </w:r>
      <w:r w:rsidRPr="00321EC0">
        <w:rPr>
          <w:snapToGrid w:val="0"/>
          <w:lang w:val="en-AU"/>
        </w:rPr>
        <w:t>2020-21 Budget year</w:t>
      </w:r>
      <w:r w:rsidRPr="00321EC0">
        <w:rPr>
          <w:snapToGrid w:val="0"/>
        </w:rPr>
        <w:t>)</w:t>
      </w:r>
    </w:p>
    <w:p w14:paraId="50B4736A" w14:textId="77777777" w:rsidR="004A3E26" w:rsidRPr="00321EC0" w:rsidRDefault="004A3E26" w:rsidP="004A3E26">
      <w:pPr>
        <w:pStyle w:val="TableGraphic"/>
        <w:rPr>
          <w:lang w:val="x-none"/>
        </w:rPr>
      </w:pPr>
    </w:p>
    <w:p w14:paraId="35BC770F" w14:textId="77777777" w:rsidR="004A3E26" w:rsidRPr="00321EC0" w:rsidRDefault="004A3E26" w:rsidP="004A3E26">
      <w:pPr>
        <w:pStyle w:val="TableHeading"/>
        <w:spacing w:before="0"/>
        <w:rPr>
          <w:rFonts w:ascii="Book Antiqua" w:hAnsi="Book Antiqua"/>
          <w:b w:val="0"/>
          <w:lang w:val="en-AU"/>
        </w:rPr>
      </w:pPr>
      <w:r w:rsidRPr="00321EC0">
        <w:rPr>
          <w:rFonts w:ascii="Book Antiqua" w:hAnsi="Book Antiqua"/>
          <w:b w:val="0"/>
          <w:lang w:val="en-AU"/>
        </w:rPr>
        <w:t>IPEA has no budgeted non-financial assets.</w:t>
      </w:r>
    </w:p>
    <w:p w14:paraId="1A305437" w14:textId="77777777" w:rsidR="00E82539" w:rsidRDefault="00E82539" w:rsidP="004A3E26">
      <w:pPr>
        <w:rPr>
          <w:lang w:val="x-none"/>
        </w:rPr>
        <w:sectPr w:rsidR="00E82539" w:rsidSect="00D37F3B">
          <w:headerReference w:type="first" r:id="rId175"/>
          <w:footerReference w:type="first" r:id="rId176"/>
          <w:pgSz w:w="11907" w:h="16840" w:code="9"/>
          <w:pgMar w:top="2466" w:right="2098" w:bottom="2466" w:left="2098" w:header="1899" w:footer="1899" w:gutter="0"/>
          <w:cols w:space="708"/>
          <w:titlePg/>
          <w:docGrid w:linePitch="360"/>
        </w:sectPr>
      </w:pPr>
    </w:p>
    <w:p w14:paraId="4B1B8CAF" w14:textId="77777777" w:rsidR="004A3E26" w:rsidRPr="00321EC0" w:rsidRDefault="004A3E26" w:rsidP="004A3E26">
      <w:pPr>
        <w:pStyle w:val="TableHeading"/>
        <w:spacing w:before="0"/>
        <w:rPr>
          <w:lang w:val="en-AU"/>
        </w:rPr>
      </w:pPr>
      <w:r w:rsidRPr="00321EC0">
        <w:rPr>
          <w:snapToGrid w:val="0"/>
        </w:rPr>
        <w:t>Table 3.</w:t>
      </w:r>
      <w:r w:rsidRPr="00321EC0">
        <w:rPr>
          <w:snapToGrid w:val="0"/>
          <w:lang w:val="en-AU"/>
        </w:rPr>
        <w:t>7</w:t>
      </w:r>
      <w:r w:rsidRPr="00321EC0">
        <w:rPr>
          <w:snapToGrid w:val="0"/>
        </w:rPr>
        <w:t>: Schedule of budgeted income and expenses administered on behalf of Government (for the period ended 30 June)</w:t>
      </w:r>
      <w:r w:rsidRPr="00321EC0">
        <w:rPr>
          <w:b w:val="0"/>
          <w:snapToGrid w:val="0"/>
        </w:rPr>
        <w:t xml:space="preserve"> </w:t>
      </w:r>
    </w:p>
    <w:p w14:paraId="7AF0F315" w14:textId="77777777" w:rsidR="004A3E26" w:rsidRPr="00321EC0" w:rsidRDefault="00EF6E2E" w:rsidP="004A3E26">
      <w:pPr>
        <w:pStyle w:val="TableGraphic"/>
      </w:pPr>
      <w:r w:rsidRPr="00EF6E2E">
        <w:rPr>
          <w:noProof/>
        </w:rPr>
        <w:drawing>
          <wp:inline distT="0" distB="0" distL="0" distR="0" wp14:anchorId="67C9A24B" wp14:editId="3D63FC1A">
            <wp:extent cx="4631055" cy="2868295"/>
            <wp:effectExtent l="0" t="0" r="0" b="825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631055" cy="2868295"/>
                    </a:xfrm>
                    <a:prstGeom prst="rect">
                      <a:avLst/>
                    </a:prstGeom>
                    <a:noFill/>
                    <a:ln>
                      <a:noFill/>
                    </a:ln>
                  </pic:spPr>
                </pic:pic>
              </a:graphicData>
            </a:graphic>
          </wp:inline>
        </w:drawing>
      </w:r>
    </w:p>
    <w:p w14:paraId="08AA60D9" w14:textId="77777777" w:rsidR="004A3E26" w:rsidRPr="00E82539" w:rsidRDefault="004A3E26" w:rsidP="00E82539">
      <w:pPr>
        <w:pStyle w:val="Source"/>
      </w:pPr>
      <w:r w:rsidRPr="00321EC0">
        <w:t>Prepared on Australian Accounting Standards basis.</w:t>
      </w:r>
    </w:p>
    <w:p w14:paraId="0B520DD2" w14:textId="77777777" w:rsidR="004A3E26" w:rsidRPr="00321EC0" w:rsidRDefault="004A3E26" w:rsidP="004A3E26">
      <w:pPr>
        <w:pStyle w:val="TableHeading"/>
        <w:spacing w:before="0"/>
        <w:rPr>
          <w:snapToGrid w:val="0"/>
        </w:rPr>
      </w:pPr>
    </w:p>
    <w:p w14:paraId="65E8F27A" w14:textId="77777777" w:rsidR="004A3E26" w:rsidRPr="00321EC0" w:rsidRDefault="004A3E26" w:rsidP="004A3E26">
      <w:pPr>
        <w:pStyle w:val="TableHeading"/>
        <w:spacing w:before="0"/>
        <w:rPr>
          <w:b w:val="0"/>
          <w:snapToGrid w:val="0"/>
          <w:lang w:val="en-AU"/>
        </w:rPr>
      </w:pPr>
      <w:r w:rsidRPr="00321EC0">
        <w:rPr>
          <w:snapToGrid w:val="0"/>
        </w:rPr>
        <w:t>Table 3.</w:t>
      </w:r>
      <w:r w:rsidRPr="00321EC0">
        <w:rPr>
          <w:snapToGrid w:val="0"/>
          <w:lang w:val="en-AU"/>
        </w:rPr>
        <w:t>8</w:t>
      </w:r>
      <w:r w:rsidRPr="00321EC0">
        <w:rPr>
          <w:snapToGrid w:val="0"/>
        </w:rPr>
        <w:t>: Schedule of budgeted assets and liabilities administered on behalf of Government (as at 30 June)</w:t>
      </w:r>
    </w:p>
    <w:p w14:paraId="34AB0D36" w14:textId="77777777" w:rsidR="004A3E26" w:rsidRPr="00321EC0" w:rsidRDefault="004A3E26" w:rsidP="004A3E26">
      <w:pPr>
        <w:pStyle w:val="TableGraphic"/>
      </w:pPr>
      <w:r w:rsidRPr="00321EC0">
        <w:rPr>
          <w:noProof/>
        </w:rPr>
        <w:drawing>
          <wp:inline distT="0" distB="0" distL="0" distR="0" wp14:anchorId="3FCB37A7" wp14:editId="7222E312">
            <wp:extent cx="4857115" cy="3670935"/>
            <wp:effectExtent l="0" t="0" r="635" b="571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857115" cy="3670935"/>
                    </a:xfrm>
                    <a:prstGeom prst="rect">
                      <a:avLst/>
                    </a:prstGeom>
                    <a:noFill/>
                    <a:ln>
                      <a:noFill/>
                    </a:ln>
                  </pic:spPr>
                </pic:pic>
              </a:graphicData>
            </a:graphic>
          </wp:inline>
        </w:drawing>
      </w:r>
      <w:r w:rsidRPr="00321EC0">
        <w:rPr>
          <w:i w:val="0"/>
        </w:rPr>
        <w:t xml:space="preserve"> </w:t>
      </w:r>
    </w:p>
    <w:p w14:paraId="212690C2" w14:textId="77777777" w:rsidR="00E82539" w:rsidRDefault="004A3E26" w:rsidP="004A3E26">
      <w:pPr>
        <w:pStyle w:val="Source"/>
        <w:sectPr w:rsidR="00E82539" w:rsidSect="00E82539">
          <w:headerReference w:type="first" r:id="rId179"/>
          <w:pgSz w:w="11907" w:h="16840" w:code="9"/>
          <w:pgMar w:top="2466" w:right="2098" w:bottom="2466" w:left="2098" w:header="1899" w:footer="1899" w:gutter="0"/>
          <w:cols w:space="708"/>
          <w:titlePg/>
          <w:docGrid w:linePitch="360"/>
        </w:sectPr>
      </w:pPr>
      <w:r w:rsidRPr="00321EC0">
        <w:t>Prepared on Australian Accounting Standards basis.</w:t>
      </w:r>
    </w:p>
    <w:p w14:paraId="5F8C2888" w14:textId="77777777" w:rsidR="004A3E26" w:rsidRPr="00321EC0" w:rsidRDefault="004A3E26" w:rsidP="004A3E26">
      <w:pPr>
        <w:pStyle w:val="TableHeading"/>
        <w:spacing w:before="0"/>
        <w:rPr>
          <w:snapToGrid w:val="0"/>
          <w:lang w:val="en-AU"/>
        </w:rPr>
      </w:pPr>
      <w:r w:rsidRPr="00321EC0">
        <w:rPr>
          <w:snapToGrid w:val="0"/>
        </w:rPr>
        <w:t>Table 3.</w:t>
      </w:r>
      <w:r w:rsidRPr="00321EC0">
        <w:rPr>
          <w:snapToGrid w:val="0"/>
          <w:lang w:val="en-AU"/>
        </w:rPr>
        <w:t>9</w:t>
      </w:r>
      <w:r w:rsidRPr="00321EC0">
        <w:rPr>
          <w:snapToGrid w:val="0"/>
        </w:rPr>
        <w:t xml:space="preserve">: Schedule of budgeted administered cash flows (for the period ended 30 June) </w:t>
      </w:r>
    </w:p>
    <w:p w14:paraId="1EFBE33E" w14:textId="77777777" w:rsidR="004A3E26" w:rsidRPr="00321EC0" w:rsidRDefault="004A3E26" w:rsidP="004A3E26">
      <w:pPr>
        <w:pStyle w:val="TableGraphic"/>
      </w:pPr>
      <w:r w:rsidRPr="00321EC0">
        <w:rPr>
          <w:i w:val="0"/>
        </w:rPr>
        <w:t xml:space="preserve"> </w:t>
      </w:r>
      <w:r w:rsidR="00EF6E2E" w:rsidRPr="00EF6E2E">
        <w:rPr>
          <w:noProof/>
        </w:rPr>
        <w:drawing>
          <wp:inline distT="0" distB="0" distL="0" distR="0" wp14:anchorId="3F6E2ED6" wp14:editId="0107A6FB">
            <wp:extent cx="4631055" cy="54197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631055" cy="5419725"/>
                    </a:xfrm>
                    <a:prstGeom prst="rect">
                      <a:avLst/>
                    </a:prstGeom>
                    <a:noFill/>
                    <a:ln>
                      <a:noFill/>
                    </a:ln>
                  </pic:spPr>
                </pic:pic>
              </a:graphicData>
            </a:graphic>
          </wp:inline>
        </w:drawing>
      </w:r>
    </w:p>
    <w:p w14:paraId="40498256" w14:textId="77777777" w:rsidR="004A3E26" w:rsidRPr="00321EC0" w:rsidRDefault="004A3E26" w:rsidP="004A3E26">
      <w:pPr>
        <w:pStyle w:val="Source"/>
      </w:pPr>
      <w:r w:rsidRPr="00321EC0">
        <w:t>Prepared on Australian Accounting Standards basis.</w:t>
      </w:r>
    </w:p>
    <w:p w14:paraId="5F19FBA6" w14:textId="77777777" w:rsidR="00E82539" w:rsidRDefault="00E82539" w:rsidP="004A3E26">
      <w:pPr>
        <w:pStyle w:val="TableHeading"/>
        <w:spacing w:before="0"/>
        <w:rPr>
          <w:snapToGrid w:val="0"/>
        </w:rPr>
      </w:pPr>
    </w:p>
    <w:p w14:paraId="02D80A6A" w14:textId="77777777" w:rsidR="004A3E26" w:rsidRPr="00321EC0" w:rsidRDefault="004A3E26" w:rsidP="004A3E26">
      <w:pPr>
        <w:pStyle w:val="TableHeading"/>
        <w:spacing w:before="0"/>
        <w:rPr>
          <w:lang w:val="en-AU"/>
        </w:rPr>
      </w:pPr>
      <w:r w:rsidRPr="00321EC0">
        <w:rPr>
          <w:snapToGrid w:val="0"/>
        </w:rPr>
        <w:t>Table 3.1</w:t>
      </w:r>
      <w:r w:rsidRPr="00321EC0">
        <w:rPr>
          <w:snapToGrid w:val="0"/>
          <w:lang w:val="en-AU"/>
        </w:rPr>
        <w:t>0</w:t>
      </w:r>
      <w:r w:rsidRPr="00321EC0">
        <w:rPr>
          <w:snapToGrid w:val="0"/>
        </w:rPr>
        <w:t>: Schedule of administered capital budget</w:t>
      </w:r>
      <w:r w:rsidRPr="00321EC0">
        <w:rPr>
          <w:snapToGrid w:val="0"/>
          <w:lang w:val="en-AU"/>
        </w:rPr>
        <w:t xml:space="preserve"> (for the period ended 30 June)</w:t>
      </w:r>
    </w:p>
    <w:p w14:paraId="351448B2" w14:textId="77777777" w:rsidR="00E82539" w:rsidRPr="00E82539" w:rsidRDefault="004A3E26" w:rsidP="00E82539">
      <w:pPr>
        <w:pStyle w:val="TableGraphic"/>
      </w:pPr>
      <w:r w:rsidRPr="00321EC0">
        <w:t xml:space="preserve"> </w:t>
      </w:r>
    </w:p>
    <w:p w14:paraId="66359361" w14:textId="1028C641" w:rsidR="004A3E26" w:rsidRDefault="004A3E26" w:rsidP="00E82539">
      <w:pPr>
        <w:pStyle w:val="TableHeading"/>
        <w:spacing w:before="0"/>
        <w:rPr>
          <w:rFonts w:ascii="Book Antiqua" w:hAnsi="Book Antiqua"/>
          <w:b w:val="0"/>
          <w:lang w:val="en-AU"/>
        </w:rPr>
      </w:pPr>
      <w:r w:rsidRPr="00321EC0">
        <w:rPr>
          <w:rFonts w:ascii="Book Antiqua" w:hAnsi="Book Antiqua"/>
          <w:b w:val="0"/>
          <w:lang w:val="en-AU"/>
        </w:rPr>
        <w:t>IPEA has no capital budget administer</w:t>
      </w:r>
      <w:r w:rsidR="00E82539">
        <w:rPr>
          <w:rFonts w:ascii="Book Antiqua" w:hAnsi="Book Antiqua"/>
          <w:b w:val="0"/>
          <w:lang w:val="en-AU"/>
        </w:rPr>
        <w:t xml:space="preserve">ed </w:t>
      </w:r>
      <w:r w:rsidR="007F71ED">
        <w:rPr>
          <w:rFonts w:ascii="Book Antiqua" w:hAnsi="Book Antiqua"/>
          <w:b w:val="0"/>
          <w:lang w:val="en-AU"/>
        </w:rPr>
        <w:t xml:space="preserve">on </w:t>
      </w:r>
      <w:r w:rsidR="00E82539">
        <w:rPr>
          <w:rFonts w:ascii="Book Antiqua" w:hAnsi="Book Antiqua"/>
          <w:b w:val="0"/>
          <w:lang w:val="en-AU"/>
        </w:rPr>
        <w:t>behalf of the Government.</w:t>
      </w:r>
    </w:p>
    <w:p w14:paraId="3063E25B" w14:textId="77777777" w:rsidR="00E82539" w:rsidRPr="00E82539" w:rsidRDefault="00E82539" w:rsidP="00E82539">
      <w:pPr>
        <w:pStyle w:val="TableGraphic"/>
      </w:pPr>
    </w:p>
    <w:p w14:paraId="02EF890A" w14:textId="77777777" w:rsidR="004A3E26" w:rsidRPr="00321EC0" w:rsidRDefault="004A3E26" w:rsidP="004A3E26">
      <w:pPr>
        <w:pStyle w:val="TableHeading"/>
        <w:spacing w:before="0"/>
        <w:rPr>
          <w:b w:val="0"/>
          <w:snapToGrid w:val="0"/>
        </w:rPr>
      </w:pPr>
      <w:r w:rsidRPr="00321EC0">
        <w:rPr>
          <w:snapToGrid w:val="0"/>
        </w:rPr>
        <w:t>Table 3.1</w:t>
      </w:r>
      <w:r w:rsidRPr="00321EC0">
        <w:rPr>
          <w:snapToGrid w:val="0"/>
          <w:lang w:val="en-AU"/>
        </w:rPr>
        <w:t>1</w:t>
      </w:r>
      <w:r w:rsidRPr="00321EC0">
        <w:rPr>
          <w:snapToGrid w:val="0"/>
        </w:rPr>
        <w:t>: Statement of administered asset movements (</w:t>
      </w:r>
      <w:r w:rsidRPr="00321EC0">
        <w:rPr>
          <w:snapToGrid w:val="0"/>
          <w:lang w:val="en-AU"/>
        </w:rPr>
        <w:t>2020-21 Budget year</w:t>
      </w:r>
      <w:r w:rsidRPr="00321EC0">
        <w:rPr>
          <w:snapToGrid w:val="0"/>
        </w:rPr>
        <w:t>)</w:t>
      </w:r>
      <w:r w:rsidRPr="00321EC0">
        <w:rPr>
          <w:b w:val="0"/>
          <w:snapToGrid w:val="0"/>
        </w:rPr>
        <w:t xml:space="preserve"> </w:t>
      </w:r>
    </w:p>
    <w:p w14:paraId="3A68FF27" w14:textId="77777777" w:rsidR="004A3E26" w:rsidRPr="00321EC0" w:rsidRDefault="004A3E26" w:rsidP="004A3E26">
      <w:pPr>
        <w:pStyle w:val="TableGraphic"/>
        <w:rPr>
          <w:lang w:val="x-none"/>
        </w:rPr>
      </w:pPr>
    </w:p>
    <w:p w14:paraId="69114FB0" w14:textId="074A77F8" w:rsidR="004A3E26" w:rsidRPr="00321EC0" w:rsidRDefault="004A3E26" w:rsidP="004A3E26">
      <w:pPr>
        <w:pStyle w:val="TableHeading"/>
        <w:spacing w:before="0"/>
        <w:rPr>
          <w:rFonts w:ascii="Book Antiqua" w:hAnsi="Book Antiqua"/>
          <w:b w:val="0"/>
          <w:lang w:val="en-AU"/>
        </w:rPr>
      </w:pPr>
      <w:r w:rsidRPr="00321EC0">
        <w:rPr>
          <w:rFonts w:ascii="Book Antiqua" w:hAnsi="Book Antiqua"/>
          <w:b w:val="0"/>
          <w:lang w:val="en-AU"/>
        </w:rPr>
        <w:t xml:space="preserve">IPEA has no budgeted non-financial assets administered </w:t>
      </w:r>
      <w:r w:rsidR="007F71ED">
        <w:rPr>
          <w:rFonts w:ascii="Book Antiqua" w:hAnsi="Book Antiqua"/>
          <w:b w:val="0"/>
          <w:lang w:val="en-AU"/>
        </w:rPr>
        <w:t>on</w:t>
      </w:r>
      <w:r w:rsidR="007F71ED" w:rsidRPr="00321EC0">
        <w:rPr>
          <w:rFonts w:ascii="Book Antiqua" w:hAnsi="Book Antiqua"/>
          <w:b w:val="0"/>
          <w:lang w:val="en-AU"/>
        </w:rPr>
        <w:t xml:space="preserve"> </w:t>
      </w:r>
      <w:r w:rsidRPr="00321EC0">
        <w:rPr>
          <w:rFonts w:ascii="Book Antiqua" w:hAnsi="Book Antiqua"/>
          <w:b w:val="0"/>
          <w:lang w:val="en-AU"/>
        </w:rPr>
        <w:t>behalf of the Government.</w:t>
      </w:r>
      <w:r w:rsidRPr="00321EC0">
        <w:rPr>
          <w:rFonts w:ascii="Book Antiqua" w:hAnsi="Book Antiqua"/>
          <w:b w:val="0"/>
          <w:lang w:val="en-AU"/>
        </w:rPr>
        <w:br w:type="page"/>
      </w:r>
    </w:p>
    <w:p w14:paraId="582AFF95" w14:textId="77777777" w:rsidR="004A3E26" w:rsidRPr="00321EC0" w:rsidRDefault="004A3E26" w:rsidP="004A3E26">
      <w:pPr>
        <w:pStyle w:val="TableHeading"/>
        <w:spacing w:before="0"/>
        <w:rPr>
          <w:snapToGrid w:val="0"/>
        </w:rPr>
        <w:sectPr w:rsidR="004A3E26" w:rsidRPr="00321EC0" w:rsidSect="00E82539">
          <w:headerReference w:type="first" r:id="rId181"/>
          <w:pgSz w:w="11907" w:h="16840" w:code="9"/>
          <w:pgMar w:top="2466" w:right="2098" w:bottom="2466" w:left="2098" w:header="1899" w:footer="1899" w:gutter="0"/>
          <w:cols w:space="708"/>
          <w:titlePg/>
          <w:docGrid w:linePitch="360"/>
        </w:sectPr>
      </w:pPr>
    </w:p>
    <w:p w14:paraId="049BDF82" w14:textId="77777777" w:rsidR="004D41E3" w:rsidRPr="00321EC0" w:rsidRDefault="004D41E3" w:rsidP="004D41E3">
      <w:pPr>
        <w:pStyle w:val="Heading1"/>
      </w:pPr>
      <w:bookmarkStart w:id="519" w:name="_Toc63157722"/>
      <w:bookmarkStart w:id="520" w:name="_Toc63157969"/>
      <w:r w:rsidRPr="00321EC0">
        <w:t>Portfolio glossary</w:t>
      </w:r>
      <w:bookmarkEnd w:id="519"/>
      <w:bookmarkEnd w:id="520"/>
    </w:p>
    <w:tbl>
      <w:tblPr>
        <w:tblW w:w="0" w:type="auto"/>
        <w:tblInd w:w="-34" w:type="dxa"/>
        <w:tblLook w:val="01E0" w:firstRow="1" w:lastRow="1" w:firstColumn="1" w:lastColumn="1" w:noHBand="0" w:noVBand="0"/>
      </w:tblPr>
      <w:tblGrid>
        <w:gridCol w:w="2253"/>
        <w:gridCol w:w="5492"/>
      </w:tblGrid>
      <w:tr w:rsidR="004D41E3" w:rsidRPr="00321EC0" w14:paraId="04B6D7DC" w14:textId="77777777" w:rsidTr="008F3986">
        <w:trPr>
          <w:tblHeader/>
        </w:trPr>
        <w:tc>
          <w:tcPr>
            <w:tcW w:w="2273" w:type="dxa"/>
          </w:tcPr>
          <w:p w14:paraId="6ADA32AD" w14:textId="77777777" w:rsidR="004D41E3" w:rsidRPr="00321EC0" w:rsidRDefault="004D41E3" w:rsidP="008F3986">
            <w:pPr>
              <w:pStyle w:val="TableColumnHeadingLeft"/>
            </w:pPr>
            <w:r w:rsidRPr="00321EC0">
              <w:t>Term</w:t>
            </w:r>
          </w:p>
        </w:tc>
        <w:tc>
          <w:tcPr>
            <w:tcW w:w="5609" w:type="dxa"/>
          </w:tcPr>
          <w:p w14:paraId="4FD6F661" w14:textId="77777777" w:rsidR="004D41E3" w:rsidRPr="00321EC0" w:rsidRDefault="004D41E3" w:rsidP="008F3986">
            <w:pPr>
              <w:pStyle w:val="TableColumnHeadingLeft"/>
            </w:pPr>
            <w:r w:rsidRPr="00321EC0">
              <w:t>Meaning</w:t>
            </w:r>
          </w:p>
        </w:tc>
      </w:tr>
      <w:tr w:rsidR="004D41E3" w:rsidRPr="00321EC0" w14:paraId="32B1DEB5" w14:textId="77777777" w:rsidTr="008F3986">
        <w:tc>
          <w:tcPr>
            <w:tcW w:w="2273" w:type="dxa"/>
          </w:tcPr>
          <w:p w14:paraId="7583C69F" w14:textId="77777777" w:rsidR="004D41E3" w:rsidRPr="00321EC0" w:rsidRDefault="004D41E3" w:rsidP="008F3986">
            <w:pPr>
              <w:spacing w:beforeLines="40" w:before="96" w:after="120"/>
              <w:jc w:val="left"/>
            </w:pPr>
            <w:r w:rsidRPr="00321EC0">
              <w:t>Accumulated Depreciation</w:t>
            </w:r>
          </w:p>
        </w:tc>
        <w:tc>
          <w:tcPr>
            <w:tcW w:w="5609" w:type="dxa"/>
          </w:tcPr>
          <w:p w14:paraId="5B67A856" w14:textId="77777777" w:rsidR="004D41E3" w:rsidRPr="00321EC0" w:rsidRDefault="004D41E3" w:rsidP="008F3986">
            <w:pPr>
              <w:spacing w:beforeLines="40" w:before="96" w:after="120"/>
              <w:jc w:val="left"/>
            </w:pPr>
            <w:r w:rsidRPr="00321EC0">
              <w:t>The aggregate depreciation recorded for a particular depreciating asset.</w:t>
            </w:r>
          </w:p>
        </w:tc>
      </w:tr>
      <w:tr w:rsidR="004D41E3" w:rsidRPr="00321EC0" w14:paraId="09E0A26F" w14:textId="77777777" w:rsidTr="008F3986">
        <w:tc>
          <w:tcPr>
            <w:tcW w:w="2273" w:type="dxa"/>
          </w:tcPr>
          <w:p w14:paraId="6CB99C12" w14:textId="77777777" w:rsidR="004D41E3" w:rsidRPr="00321EC0" w:rsidRDefault="004D41E3" w:rsidP="008F3986">
            <w:pPr>
              <w:spacing w:beforeLines="40" w:before="96" w:after="120"/>
              <w:jc w:val="left"/>
            </w:pPr>
            <w:r w:rsidRPr="00321EC0">
              <w:t>Administered Items</w:t>
            </w:r>
          </w:p>
        </w:tc>
        <w:tc>
          <w:tcPr>
            <w:tcW w:w="5609" w:type="dxa"/>
          </w:tcPr>
          <w:p w14:paraId="27A541F9" w14:textId="77777777" w:rsidR="004D41E3" w:rsidRPr="00321EC0" w:rsidRDefault="004D41E3" w:rsidP="008F3986">
            <w:pPr>
              <w:spacing w:beforeLines="40" w:before="96" w:after="120"/>
              <w:jc w:val="left"/>
            </w:pPr>
            <w:r w:rsidRPr="00321EC0">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4D41E3" w:rsidRPr="00321EC0" w14:paraId="203E5C53" w14:textId="77777777" w:rsidTr="008F3986">
        <w:tc>
          <w:tcPr>
            <w:tcW w:w="2273" w:type="dxa"/>
          </w:tcPr>
          <w:p w14:paraId="09C43FEA" w14:textId="77777777" w:rsidR="004D41E3" w:rsidRPr="00321EC0" w:rsidRDefault="004D41E3" w:rsidP="008F3986">
            <w:pPr>
              <w:spacing w:beforeLines="40" w:before="96" w:after="120"/>
              <w:jc w:val="left"/>
            </w:pPr>
            <w:r w:rsidRPr="00321EC0">
              <w:t>Additional Estimates</w:t>
            </w:r>
          </w:p>
        </w:tc>
        <w:tc>
          <w:tcPr>
            <w:tcW w:w="5609" w:type="dxa"/>
          </w:tcPr>
          <w:p w14:paraId="48D4A157" w14:textId="77777777" w:rsidR="004D41E3" w:rsidRPr="00321EC0" w:rsidRDefault="004D41E3" w:rsidP="008F3986">
            <w:pPr>
              <w:spacing w:beforeLines="40" w:before="96" w:after="120"/>
              <w:jc w:val="left"/>
            </w:pPr>
            <w:r w:rsidRPr="00321EC0">
              <w:t xml:space="preserve">Where amounts appropriated at Budget time are insufficient, Parliament may appropriate more funds to portfolios through the Additional Estimates Acts. </w:t>
            </w:r>
          </w:p>
        </w:tc>
      </w:tr>
      <w:tr w:rsidR="004D41E3" w:rsidRPr="00321EC0" w14:paraId="534EF2AC" w14:textId="77777777" w:rsidTr="008F3986">
        <w:tc>
          <w:tcPr>
            <w:tcW w:w="2273" w:type="dxa"/>
          </w:tcPr>
          <w:p w14:paraId="1368AE34" w14:textId="77777777" w:rsidR="004D41E3" w:rsidRPr="00321EC0" w:rsidRDefault="004D41E3" w:rsidP="008F3986">
            <w:pPr>
              <w:spacing w:beforeLines="40" w:before="96" w:after="120"/>
              <w:jc w:val="left"/>
            </w:pPr>
            <w:r w:rsidRPr="00321EC0">
              <w:t>Additional Estimates Bills or Acts</w:t>
            </w:r>
          </w:p>
        </w:tc>
        <w:tc>
          <w:tcPr>
            <w:tcW w:w="5609" w:type="dxa"/>
          </w:tcPr>
          <w:p w14:paraId="31EFB065" w14:textId="77777777" w:rsidR="004D41E3" w:rsidRPr="00321EC0" w:rsidRDefault="004D41E3" w:rsidP="008F3986">
            <w:pPr>
              <w:spacing w:beforeLines="40" w:before="96" w:after="120"/>
              <w:jc w:val="left"/>
            </w:pPr>
            <w:r w:rsidRPr="00321EC0">
              <w:t>These are Appropriation Bills (No. 3) and (No .4) and a separate Bill for the Parliamentary Departments ((Parliamentary Departments) Bill (No.2)). These Bills are introduced into Parliament after the Budget Bills.</w:t>
            </w:r>
          </w:p>
        </w:tc>
      </w:tr>
      <w:tr w:rsidR="004D41E3" w:rsidRPr="00321EC0" w14:paraId="020BCAE3" w14:textId="77777777" w:rsidTr="008F3986">
        <w:tc>
          <w:tcPr>
            <w:tcW w:w="2273" w:type="dxa"/>
          </w:tcPr>
          <w:p w14:paraId="16C0A47A" w14:textId="77777777" w:rsidR="004D41E3" w:rsidRPr="00321EC0" w:rsidRDefault="004D41E3" w:rsidP="008F3986">
            <w:pPr>
              <w:spacing w:beforeLines="40" w:before="96" w:after="120"/>
              <w:jc w:val="left"/>
            </w:pPr>
            <w:r w:rsidRPr="00321EC0">
              <w:t>Appropriation</w:t>
            </w:r>
          </w:p>
        </w:tc>
        <w:tc>
          <w:tcPr>
            <w:tcW w:w="5609" w:type="dxa"/>
          </w:tcPr>
          <w:p w14:paraId="777296B0" w14:textId="77777777" w:rsidR="004D41E3" w:rsidRPr="00321EC0" w:rsidRDefault="004D41E3" w:rsidP="008F3986">
            <w:pPr>
              <w:spacing w:beforeLines="40" w:before="96" w:after="120"/>
              <w:jc w:val="left"/>
            </w:pPr>
            <w:r w:rsidRPr="00321EC0">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4D41E3" w:rsidRPr="00321EC0" w14:paraId="7A9118F9" w14:textId="77777777" w:rsidTr="008F3986">
        <w:tc>
          <w:tcPr>
            <w:tcW w:w="2273" w:type="dxa"/>
          </w:tcPr>
          <w:p w14:paraId="19731E24" w14:textId="77777777" w:rsidR="004D41E3" w:rsidRPr="00321EC0" w:rsidRDefault="004D41E3" w:rsidP="008F3986">
            <w:pPr>
              <w:spacing w:beforeLines="40" w:before="96" w:after="120"/>
              <w:jc w:val="left"/>
            </w:pPr>
            <w:r w:rsidRPr="00321EC0">
              <w:t>Annual Appropriation</w:t>
            </w:r>
          </w:p>
        </w:tc>
        <w:tc>
          <w:tcPr>
            <w:tcW w:w="5609" w:type="dxa"/>
          </w:tcPr>
          <w:p w14:paraId="7057FCFB" w14:textId="77777777" w:rsidR="004D41E3" w:rsidRPr="00321EC0" w:rsidRDefault="004D41E3" w:rsidP="008F3986">
            <w:pPr>
              <w:spacing w:beforeLines="40" w:before="96" w:after="120"/>
              <w:jc w:val="left"/>
            </w:pPr>
            <w:r w:rsidRPr="00321EC0">
              <w:t>Two appropriation Bills are introduced into Parliament in May and comprise the Budget. Further Bills are introduced later in the financial year as part of the Additional Estimates. Parliamentary departments have their own appropriations.</w:t>
            </w:r>
          </w:p>
        </w:tc>
      </w:tr>
      <w:tr w:rsidR="004D41E3" w:rsidRPr="00321EC0" w14:paraId="11ABA600" w14:textId="77777777" w:rsidTr="008F3986">
        <w:tc>
          <w:tcPr>
            <w:tcW w:w="2273" w:type="dxa"/>
          </w:tcPr>
          <w:p w14:paraId="2B7808F6" w14:textId="77777777" w:rsidR="004D41E3" w:rsidRPr="00321EC0" w:rsidRDefault="004D41E3" w:rsidP="008F3986">
            <w:pPr>
              <w:spacing w:beforeLines="40" w:before="96" w:after="120"/>
              <w:jc w:val="left"/>
            </w:pPr>
            <w:r w:rsidRPr="00321EC0">
              <w:t>Capital Expenditure</w:t>
            </w:r>
          </w:p>
        </w:tc>
        <w:tc>
          <w:tcPr>
            <w:tcW w:w="5609" w:type="dxa"/>
          </w:tcPr>
          <w:p w14:paraId="36FC8CA0" w14:textId="77777777" w:rsidR="004D41E3" w:rsidRPr="00321EC0" w:rsidRDefault="004D41E3" w:rsidP="008F3986">
            <w:pPr>
              <w:spacing w:beforeLines="40" w:before="96" w:after="120"/>
              <w:jc w:val="left"/>
            </w:pPr>
            <w:r w:rsidRPr="00321EC0">
              <w:t>Expenditure by an entity on capital projects, for example purchasing a building.</w:t>
            </w:r>
          </w:p>
        </w:tc>
      </w:tr>
      <w:tr w:rsidR="004D41E3" w:rsidRPr="00321EC0" w14:paraId="35EFF875" w14:textId="77777777" w:rsidTr="008F3986">
        <w:tblPrEx>
          <w:tblLook w:val="0000" w:firstRow="0" w:lastRow="0" w:firstColumn="0" w:lastColumn="0" w:noHBand="0" w:noVBand="0"/>
        </w:tblPrEx>
        <w:trPr>
          <w:cantSplit/>
          <w:trHeight w:val="567"/>
        </w:trPr>
        <w:tc>
          <w:tcPr>
            <w:tcW w:w="2273" w:type="dxa"/>
          </w:tcPr>
          <w:p w14:paraId="010C199B" w14:textId="77777777" w:rsidR="004D41E3" w:rsidRPr="00321EC0" w:rsidRDefault="004D41E3" w:rsidP="008F3986">
            <w:pPr>
              <w:spacing w:beforeLines="40" w:before="96" w:after="120"/>
              <w:jc w:val="left"/>
            </w:pPr>
            <w:r w:rsidRPr="00321EC0">
              <w:t>Charter of Budget Honesty Act</w:t>
            </w:r>
          </w:p>
        </w:tc>
        <w:tc>
          <w:tcPr>
            <w:tcW w:w="5609" w:type="dxa"/>
          </w:tcPr>
          <w:p w14:paraId="483F0D59" w14:textId="77777777" w:rsidR="004D41E3" w:rsidRPr="00321EC0" w:rsidRDefault="004D41E3" w:rsidP="008F3986">
            <w:pPr>
              <w:spacing w:beforeLines="40" w:before="96" w:after="120"/>
              <w:jc w:val="left"/>
            </w:pPr>
            <w:r w:rsidRPr="00321EC0">
              <w:t xml:space="preserve">The </w:t>
            </w:r>
            <w:r w:rsidRPr="00321EC0">
              <w:rPr>
                <w:i/>
              </w:rPr>
              <w:t>Charter of Budget Honesty Act 1998</w:t>
            </w:r>
            <w:r w:rsidRPr="00321EC0">
              <w:t xml:space="preserve"> provides a legislative framework for the conduct and reporting of fiscal policy. </w:t>
            </w:r>
          </w:p>
        </w:tc>
      </w:tr>
      <w:tr w:rsidR="004D41E3" w:rsidRPr="00321EC0" w14:paraId="1A305C19" w14:textId="77777777" w:rsidTr="008F3986">
        <w:tblPrEx>
          <w:tblLook w:val="0000" w:firstRow="0" w:lastRow="0" w:firstColumn="0" w:lastColumn="0" w:noHBand="0" w:noVBand="0"/>
        </w:tblPrEx>
        <w:trPr>
          <w:cantSplit/>
          <w:trHeight w:val="567"/>
        </w:trPr>
        <w:tc>
          <w:tcPr>
            <w:tcW w:w="2273" w:type="dxa"/>
          </w:tcPr>
          <w:p w14:paraId="521B7FBD" w14:textId="77777777" w:rsidR="004D41E3" w:rsidRPr="00321EC0" w:rsidRDefault="004D41E3" w:rsidP="004D41E3">
            <w:pPr>
              <w:spacing w:beforeLines="40" w:before="96" w:after="120"/>
              <w:jc w:val="left"/>
            </w:pPr>
            <w:r w:rsidRPr="00321EC0">
              <w:t>Departmental Items</w:t>
            </w:r>
          </w:p>
        </w:tc>
        <w:tc>
          <w:tcPr>
            <w:tcW w:w="5609" w:type="dxa"/>
          </w:tcPr>
          <w:p w14:paraId="04004A55" w14:textId="77777777" w:rsidR="004D41E3" w:rsidRPr="00321EC0" w:rsidRDefault="004D41E3" w:rsidP="008F3986">
            <w:pPr>
              <w:spacing w:beforeLines="40" w:before="96" w:after="120"/>
              <w:jc w:val="left"/>
            </w:pPr>
            <w:r w:rsidRPr="00321EC0">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4D41E3" w:rsidRPr="00321EC0" w14:paraId="6B37A9BC" w14:textId="77777777" w:rsidTr="008F3986">
        <w:tblPrEx>
          <w:tblLook w:val="0000" w:firstRow="0" w:lastRow="0" w:firstColumn="0" w:lastColumn="0" w:noHBand="0" w:noVBand="0"/>
        </w:tblPrEx>
        <w:trPr>
          <w:cantSplit/>
          <w:trHeight w:val="845"/>
        </w:trPr>
        <w:tc>
          <w:tcPr>
            <w:tcW w:w="2273" w:type="dxa"/>
          </w:tcPr>
          <w:p w14:paraId="4C49EDEB" w14:textId="77777777" w:rsidR="004D41E3" w:rsidRPr="00321EC0" w:rsidRDefault="004D41E3" w:rsidP="008F3986">
            <w:pPr>
              <w:spacing w:beforeLines="40" w:before="96" w:after="120"/>
              <w:jc w:val="left"/>
            </w:pPr>
            <w:r w:rsidRPr="00321EC0">
              <w:t>Depreciation and Amortisation</w:t>
            </w:r>
          </w:p>
        </w:tc>
        <w:tc>
          <w:tcPr>
            <w:tcW w:w="5609" w:type="dxa"/>
          </w:tcPr>
          <w:p w14:paraId="4B392B1C" w14:textId="77777777" w:rsidR="004D41E3" w:rsidRPr="00321EC0" w:rsidRDefault="004D41E3" w:rsidP="008F3986">
            <w:pPr>
              <w:spacing w:beforeLines="40" w:before="96" w:after="120"/>
              <w:jc w:val="left"/>
            </w:pPr>
            <w:r w:rsidRPr="00321EC0">
              <w:t>Apportionment of an asset’s capital value as an expense over its estimated useful life to take account of normal usage, obsolescence, or the passage of time.</w:t>
            </w:r>
          </w:p>
        </w:tc>
      </w:tr>
      <w:tr w:rsidR="004D41E3" w:rsidRPr="00321EC0" w14:paraId="4B487715" w14:textId="77777777" w:rsidTr="008F3986">
        <w:tblPrEx>
          <w:tblLook w:val="0000" w:firstRow="0" w:lastRow="0" w:firstColumn="0" w:lastColumn="0" w:noHBand="0" w:noVBand="0"/>
        </w:tblPrEx>
        <w:trPr>
          <w:cantSplit/>
        </w:trPr>
        <w:tc>
          <w:tcPr>
            <w:tcW w:w="2273" w:type="dxa"/>
          </w:tcPr>
          <w:p w14:paraId="517785F6" w14:textId="77777777" w:rsidR="004D41E3" w:rsidRPr="00321EC0" w:rsidRDefault="004D41E3" w:rsidP="008F3986">
            <w:pPr>
              <w:spacing w:beforeLines="40" w:before="96" w:after="120"/>
              <w:jc w:val="left"/>
            </w:pPr>
            <w:r w:rsidRPr="00321EC0">
              <w:t>Equity or Net Assets</w:t>
            </w:r>
          </w:p>
        </w:tc>
        <w:tc>
          <w:tcPr>
            <w:tcW w:w="5609" w:type="dxa"/>
          </w:tcPr>
          <w:p w14:paraId="715B0129" w14:textId="77777777" w:rsidR="004D41E3" w:rsidRPr="00321EC0" w:rsidRDefault="004D41E3" w:rsidP="008F3986">
            <w:pPr>
              <w:spacing w:beforeLines="40" w:before="96" w:after="120"/>
              <w:jc w:val="left"/>
            </w:pPr>
            <w:r w:rsidRPr="00321EC0">
              <w:t>Residual interest in the assets of an entity after deduction of its liabilities.</w:t>
            </w:r>
          </w:p>
        </w:tc>
      </w:tr>
      <w:tr w:rsidR="004D41E3" w:rsidRPr="00321EC0" w14:paraId="76044047" w14:textId="77777777" w:rsidTr="008F3986">
        <w:tblPrEx>
          <w:tblLook w:val="0000" w:firstRow="0" w:lastRow="0" w:firstColumn="0" w:lastColumn="0" w:noHBand="0" w:noVBand="0"/>
        </w:tblPrEx>
        <w:trPr>
          <w:cantSplit/>
        </w:trPr>
        <w:tc>
          <w:tcPr>
            <w:tcW w:w="2273" w:type="dxa"/>
          </w:tcPr>
          <w:p w14:paraId="360D3DC4" w14:textId="77777777" w:rsidR="004D41E3" w:rsidRPr="00321EC0" w:rsidRDefault="004D41E3" w:rsidP="008F3986">
            <w:pPr>
              <w:spacing w:beforeLines="40" w:before="96" w:after="120"/>
              <w:jc w:val="left"/>
            </w:pPr>
            <w:r w:rsidRPr="00321EC0">
              <w:t xml:space="preserve">Expense </w:t>
            </w:r>
          </w:p>
        </w:tc>
        <w:tc>
          <w:tcPr>
            <w:tcW w:w="5609" w:type="dxa"/>
          </w:tcPr>
          <w:p w14:paraId="35075994" w14:textId="77777777" w:rsidR="004D41E3" w:rsidRPr="00321EC0" w:rsidRDefault="004D41E3" w:rsidP="008F3986">
            <w:pPr>
              <w:spacing w:beforeLines="40" w:before="96" w:after="120"/>
              <w:jc w:val="left"/>
            </w:pPr>
            <w:r w:rsidRPr="00321EC0">
              <w:t xml:space="preserve">Total value of all of the resources consumed in producing goods and services or the loss of future economic benefits in the form of reductions in assets or increases in liabilities of an entity. </w:t>
            </w:r>
          </w:p>
        </w:tc>
      </w:tr>
      <w:tr w:rsidR="004D41E3" w:rsidRPr="00321EC0" w14:paraId="45AEB5FB" w14:textId="77777777" w:rsidTr="008F3986">
        <w:tblPrEx>
          <w:tblLook w:val="0000" w:firstRow="0" w:lastRow="0" w:firstColumn="0" w:lastColumn="0" w:noHBand="0" w:noVBand="0"/>
        </w:tblPrEx>
        <w:trPr>
          <w:cantSplit/>
        </w:trPr>
        <w:tc>
          <w:tcPr>
            <w:tcW w:w="2273" w:type="dxa"/>
          </w:tcPr>
          <w:p w14:paraId="1C22E8DE" w14:textId="77777777" w:rsidR="004D41E3" w:rsidRPr="00321EC0" w:rsidRDefault="004D41E3" w:rsidP="008F3986">
            <w:pPr>
              <w:spacing w:beforeLines="40" w:before="96" w:after="120"/>
              <w:jc w:val="left"/>
            </w:pPr>
            <w:r w:rsidRPr="00321EC0">
              <w:br w:type="page"/>
              <w:t>Fair Value</w:t>
            </w:r>
          </w:p>
        </w:tc>
        <w:tc>
          <w:tcPr>
            <w:tcW w:w="5609" w:type="dxa"/>
          </w:tcPr>
          <w:p w14:paraId="024C56E8" w14:textId="77777777" w:rsidR="004D41E3" w:rsidRPr="00321EC0" w:rsidRDefault="004D41E3" w:rsidP="008F3986">
            <w:pPr>
              <w:spacing w:beforeLines="40" w:before="96" w:after="120"/>
              <w:jc w:val="left"/>
            </w:pPr>
            <w:r w:rsidRPr="00321EC0">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4D41E3" w:rsidRPr="00321EC0" w14:paraId="24D3C14C" w14:textId="77777777" w:rsidTr="008F3986">
        <w:tblPrEx>
          <w:tblLook w:val="0000" w:firstRow="0" w:lastRow="0" w:firstColumn="0" w:lastColumn="0" w:noHBand="0" w:noVBand="0"/>
        </w:tblPrEx>
        <w:trPr>
          <w:cantSplit/>
          <w:trHeight w:val="635"/>
        </w:trPr>
        <w:tc>
          <w:tcPr>
            <w:tcW w:w="2273" w:type="dxa"/>
          </w:tcPr>
          <w:p w14:paraId="5A8844C3" w14:textId="77777777" w:rsidR="004D41E3" w:rsidRPr="00321EC0" w:rsidRDefault="004D41E3" w:rsidP="008F3986">
            <w:pPr>
              <w:spacing w:beforeLines="40" w:before="96" w:after="120"/>
              <w:jc w:val="left"/>
            </w:pPr>
            <w:r w:rsidRPr="00321EC0">
              <w:t>Measure</w:t>
            </w:r>
          </w:p>
        </w:tc>
        <w:tc>
          <w:tcPr>
            <w:tcW w:w="5609" w:type="dxa"/>
          </w:tcPr>
          <w:p w14:paraId="38C2D0DF" w14:textId="77777777" w:rsidR="004D41E3" w:rsidRPr="00321EC0" w:rsidRDefault="004D41E3" w:rsidP="008F3986">
            <w:pPr>
              <w:spacing w:beforeLines="40" w:before="96" w:after="120"/>
              <w:jc w:val="left"/>
            </w:pPr>
            <w:r w:rsidRPr="00321EC0">
              <w:t xml:space="preserve">A new policy or savings decision of the government with financial impacts. </w:t>
            </w:r>
          </w:p>
        </w:tc>
      </w:tr>
      <w:tr w:rsidR="004D41E3" w:rsidRPr="00321EC0" w14:paraId="577AEEEF" w14:textId="77777777" w:rsidTr="008F3986">
        <w:tblPrEx>
          <w:tblLook w:val="0000" w:firstRow="0" w:lastRow="0" w:firstColumn="0" w:lastColumn="0" w:noHBand="0" w:noVBand="0"/>
        </w:tblPrEx>
        <w:trPr>
          <w:cantSplit/>
          <w:trHeight w:val="417"/>
        </w:trPr>
        <w:tc>
          <w:tcPr>
            <w:tcW w:w="2273" w:type="dxa"/>
          </w:tcPr>
          <w:p w14:paraId="6AAB429E" w14:textId="77777777" w:rsidR="004D41E3" w:rsidRPr="00321EC0" w:rsidRDefault="004D41E3" w:rsidP="008F3986">
            <w:pPr>
              <w:spacing w:beforeLines="40" w:before="96" w:after="120"/>
              <w:jc w:val="left"/>
            </w:pPr>
            <w:r w:rsidRPr="00321EC0">
              <w:t>Operating Result</w:t>
            </w:r>
          </w:p>
        </w:tc>
        <w:tc>
          <w:tcPr>
            <w:tcW w:w="5609" w:type="dxa"/>
          </w:tcPr>
          <w:p w14:paraId="4727A893" w14:textId="77777777" w:rsidR="004D41E3" w:rsidRPr="00321EC0" w:rsidRDefault="004D41E3" w:rsidP="008F3986">
            <w:pPr>
              <w:spacing w:beforeLines="40" w:before="96" w:after="120"/>
              <w:jc w:val="left"/>
            </w:pPr>
            <w:r w:rsidRPr="00321EC0">
              <w:t>Equals income less expense.</w:t>
            </w:r>
          </w:p>
        </w:tc>
      </w:tr>
      <w:tr w:rsidR="004D41E3" w:rsidRPr="00321EC0" w14:paraId="328E0939" w14:textId="77777777" w:rsidTr="008F3986">
        <w:tblPrEx>
          <w:tblLook w:val="0000" w:firstRow="0" w:lastRow="0" w:firstColumn="0" w:lastColumn="0" w:noHBand="0" w:noVBand="0"/>
        </w:tblPrEx>
        <w:trPr>
          <w:cantSplit/>
          <w:trHeight w:val="283"/>
        </w:trPr>
        <w:tc>
          <w:tcPr>
            <w:tcW w:w="2273" w:type="dxa"/>
          </w:tcPr>
          <w:p w14:paraId="222D375E" w14:textId="77777777" w:rsidR="004D41E3" w:rsidRPr="00321EC0" w:rsidRDefault="004D41E3" w:rsidP="008F3986">
            <w:pPr>
              <w:spacing w:beforeLines="40" w:before="96" w:after="120"/>
              <w:jc w:val="left"/>
            </w:pPr>
            <w:r w:rsidRPr="00321EC0">
              <w:t>Outcomes</w:t>
            </w:r>
          </w:p>
        </w:tc>
        <w:tc>
          <w:tcPr>
            <w:tcW w:w="5609" w:type="dxa"/>
          </w:tcPr>
          <w:p w14:paraId="3BB1E43F" w14:textId="77777777" w:rsidR="004D41E3" w:rsidRPr="00321EC0" w:rsidRDefault="004D41E3" w:rsidP="008F3986">
            <w:pPr>
              <w:spacing w:beforeLines="40" w:before="96" w:after="120"/>
              <w:jc w:val="left"/>
            </w:pPr>
            <w:r w:rsidRPr="00321EC0">
              <w:t>The government's objectives in each portfolio area. Outcomes are desired results, impacts or consequences for the Australian community influenced by the actions of the Australian Government. Actual outcomes are the results or impacts actually achieved.</w:t>
            </w:r>
          </w:p>
        </w:tc>
      </w:tr>
      <w:tr w:rsidR="004D41E3" w:rsidRPr="00321EC0" w14:paraId="33B53B0A" w14:textId="77777777" w:rsidTr="008F3986">
        <w:tblPrEx>
          <w:tblLook w:val="0000" w:firstRow="0" w:lastRow="0" w:firstColumn="0" w:lastColumn="0" w:noHBand="0" w:noVBand="0"/>
        </w:tblPrEx>
        <w:trPr>
          <w:cantSplit/>
          <w:trHeight w:val="627"/>
        </w:trPr>
        <w:tc>
          <w:tcPr>
            <w:tcW w:w="2273" w:type="dxa"/>
          </w:tcPr>
          <w:p w14:paraId="0E049C5D" w14:textId="77777777" w:rsidR="004D41E3" w:rsidRPr="00321EC0" w:rsidRDefault="004D41E3" w:rsidP="008F3986">
            <w:pPr>
              <w:spacing w:beforeLines="40" w:before="96" w:after="120"/>
              <w:ind w:left="65" w:hanging="65"/>
              <w:jc w:val="left"/>
            </w:pPr>
            <w:r w:rsidRPr="00321EC0">
              <w:t>Portfolio</w:t>
            </w:r>
          </w:p>
        </w:tc>
        <w:tc>
          <w:tcPr>
            <w:tcW w:w="5609" w:type="dxa"/>
          </w:tcPr>
          <w:p w14:paraId="61EF484A" w14:textId="77777777" w:rsidR="004D41E3" w:rsidRPr="00321EC0" w:rsidRDefault="004D41E3" w:rsidP="008F3986">
            <w:pPr>
              <w:spacing w:beforeLines="40" w:before="96" w:after="120"/>
              <w:jc w:val="left"/>
            </w:pPr>
            <w:r w:rsidRPr="00321EC0">
              <w:t>A Minister’s area of responsibility as a member of Cabinet. A portfolio consists of one or more Departments of State and a number of entities with similar general objectives and outcomes.</w:t>
            </w:r>
          </w:p>
        </w:tc>
      </w:tr>
      <w:tr w:rsidR="004D41E3" w:rsidRPr="00321EC0" w14:paraId="5B813BE2" w14:textId="77777777" w:rsidTr="008F3986">
        <w:tblPrEx>
          <w:tblLook w:val="0000" w:firstRow="0" w:lastRow="0" w:firstColumn="0" w:lastColumn="0" w:noHBand="0" w:noVBand="0"/>
        </w:tblPrEx>
        <w:trPr>
          <w:cantSplit/>
          <w:trHeight w:val="291"/>
        </w:trPr>
        <w:tc>
          <w:tcPr>
            <w:tcW w:w="2273" w:type="dxa"/>
          </w:tcPr>
          <w:p w14:paraId="4AA6C7A6" w14:textId="77777777" w:rsidR="004D41E3" w:rsidRPr="00321EC0" w:rsidRDefault="004D41E3" w:rsidP="008F3986">
            <w:pPr>
              <w:spacing w:beforeLines="40" w:before="96" w:after="120"/>
              <w:jc w:val="left"/>
            </w:pPr>
            <w:r w:rsidRPr="00321EC0">
              <w:t xml:space="preserve">PGPA Act </w:t>
            </w:r>
          </w:p>
          <w:p w14:paraId="7B45FD0C" w14:textId="77777777" w:rsidR="004D41E3" w:rsidRPr="00321EC0" w:rsidRDefault="004D41E3" w:rsidP="008F3986">
            <w:pPr>
              <w:spacing w:beforeLines="40" w:before="96" w:after="120"/>
              <w:jc w:val="left"/>
            </w:pPr>
          </w:p>
        </w:tc>
        <w:tc>
          <w:tcPr>
            <w:tcW w:w="5609" w:type="dxa"/>
          </w:tcPr>
          <w:p w14:paraId="4709BC15" w14:textId="77777777" w:rsidR="004D41E3" w:rsidRPr="00321EC0" w:rsidRDefault="004D41E3" w:rsidP="008F3986">
            <w:pPr>
              <w:spacing w:beforeLines="40" w:before="96" w:after="120"/>
              <w:jc w:val="left"/>
            </w:pPr>
            <w:r w:rsidRPr="00321EC0">
              <w:rPr>
                <w:i/>
              </w:rPr>
              <w:t xml:space="preserve">Public Governance, Performance and Accountability Act 2013 </w:t>
            </w:r>
            <w:r w:rsidRPr="00321EC0">
              <w:t>(PGPA Act).</w:t>
            </w:r>
          </w:p>
        </w:tc>
      </w:tr>
      <w:tr w:rsidR="004D41E3" w:rsidRPr="00321EC0" w14:paraId="48904AC5" w14:textId="77777777" w:rsidTr="008F3986">
        <w:tblPrEx>
          <w:tblLook w:val="0000" w:firstRow="0" w:lastRow="0" w:firstColumn="0" w:lastColumn="0" w:noHBand="0" w:noVBand="0"/>
        </w:tblPrEx>
        <w:trPr>
          <w:cantSplit/>
          <w:trHeight w:val="663"/>
        </w:trPr>
        <w:tc>
          <w:tcPr>
            <w:tcW w:w="2273" w:type="dxa"/>
          </w:tcPr>
          <w:p w14:paraId="07E3272B" w14:textId="77777777" w:rsidR="004D41E3" w:rsidRPr="00321EC0" w:rsidRDefault="004D41E3" w:rsidP="008F3986">
            <w:pPr>
              <w:spacing w:beforeLines="40" w:before="96" w:after="120"/>
              <w:jc w:val="left"/>
            </w:pPr>
            <w:r w:rsidRPr="00321EC0">
              <w:t>Revenue</w:t>
            </w:r>
          </w:p>
        </w:tc>
        <w:tc>
          <w:tcPr>
            <w:tcW w:w="5609" w:type="dxa"/>
          </w:tcPr>
          <w:p w14:paraId="30625CD6" w14:textId="77777777" w:rsidR="004D41E3" w:rsidRPr="00321EC0" w:rsidRDefault="004D41E3" w:rsidP="008F3986">
            <w:pPr>
              <w:spacing w:beforeLines="40" w:before="96" w:after="120"/>
              <w:jc w:val="left"/>
            </w:pPr>
            <w:r w:rsidRPr="00321EC0">
              <w:t>Total value of resources earned or received to cover the production of goods and services or increases in future economic benefits in the form of increases in assets or reductions in liabilities of an entity.</w:t>
            </w:r>
          </w:p>
        </w:tc>
      </w:tr>
      <w:tr w:rsidR="004D41E3" w:rsidRPr="00321EC0" w14:paraId="7D40C6D5" w14:textId="77777777" w:rsidTr="008F3986">
        <w:tblPrEx>
          <w:tblLook w:val="0000" w:firstRow="0" w:lastRow="0" w:firstColumn="0" w:lastColumn="0" w:noHBand="0" w:noVBand="0"/>
        </w:tblPrEx>
        <w:trPr>
          <w:cantSplit/>
          <w:trHeight w:val="663"/>
        </w:trPr>
        <w:tc>
          <w:tcPr>
            <w:tcW w:w="2273" w:type="dxa"/>
          </w:tcPr>
          <w:p w14:paraId="629136EA" w14:textId="77777777" w:rsidR="004D41E3" w:rsidRPr="00321EC0" w:rsidRDefault="004D41E3" w:rsidP="008F3986">
            <w:pPr>
              <w:spacing w:beforeLines="40" w:before="96" w:after="120"/>
              <w:jc w:val="left"/>
            </w:pPr>
            <w:r w:rsidRPr="00321EC0">
              <w:t>Special Accounts</w:t>
            </w:r>
          </w:p>
        </w:tc>
        <w:tc>
          <w:tcPr>
            <w:tcW w:w="5609" w:type="dxa"/>
          </w:tcPr>
          <w:p w14:paraId="77F4968E" w14:textId="77777777" w:rsidR="004D41E3" w:rsidRPr="00321EC0" w:rsidRDefault="004D41E3" w:rsidP="008F3986">
            <w:pPr>
              <w:spacing w:beforeLines="40" w:before="96" w:after="120"/>
              <w:jc w:val="left"/>
            </w:pPr>
            <w:r w:rsidRPr="00321EC0">
              <w:t xml:space="preserve">A type of </w:t>
            </w:r>
            <w:hyperlink r:id="rId182" w:anchor="special_appropriation" w:history="1">
              <w:r w:rsidRPr="00321EC0">
                <w:t>special appropriation</w:t>
              </w:r>
            </w:hyperlink>
            <w:r w:rsidRPr="00321EC0">
              <w:t>, limited by amount, criteria or time, which may be established under sections 78 and 80 of the PGPA Act.</w:t>
            </w:r>
          </w:p>
        </w:tc>
      </w:tr>
      <w:tr w:rsidR="004D41E3" w:rsidRPr="00CC6E45" w14:paraId="4E688FDF" w14:textId="77777777" w:rsidTr="008F3986">
        <w:tblPrEx>
          <w:tblLook w:val="0000" w:firstRow="0" w:lastRow="0" w:firstColumn="0" w:lastColumn="0" w:noHBand="0" w:noVBand="0"/>
        </w:tblPrEx>
        <w:trPr>
          <w:cantSplit/>
          <w:trHeight w:val="350"/>
        </w:trPr>
        <w:tc>
          <w:tcPr>
            <w:tcW w:w="2273" w:type="dxa"/>
          </w:tcPr>
          <w:p w14:paraId="3918E652" w14:textId="77777777" w:rsidR="004D41E3" w:rsidRPr="00321EC0" w:rsidRDefault="004D41E3" w:rsidP="008F3986">
            <w:pPr>
              <w:spacing w:beforeLines="40" w:before="96" w:after="120"/>
              <w:jc w:val="left"/>
            </w:pPr>
            <w:r w:rsidRPr="00321EC0">
              <w:t xml:space="preserve">Special Appropriations </w:t>
            </w:r>
          </w:p>
        </w:tc>
        <w:tc>
          <w:tcPr>
            <w:tcW w:w="5609" w:type="dxa"/>
          </w:tcPr>
          <w:p w14:paraId="0B48A4E5" w14:textId="77777777" w:rsidR="004D41E3" w:rsidRPr="00CC6E45" w:rsidRDefault="004D41E3" w:rsidP="008F3986">
            <w:pPr>
              <w:spacing w:beforeLines="40" w:before="96" w:after="120"/>
              <w:jc w:val="left"/>
            </w:pPr>
            <w:r w:rsidRPr="00321EC0">
              <w:t xml:space="preserve">Authority within an Act (other than an </w:t>
            </w:r>
            <w:hyperlink r:id="rId183" w:anchor="annual_appropriations" w:history="1">
              <w:r w:rsidRPr="00321EC0">
                <w:t>annual Appropriation</w:t>
              </w:r>
            </w:hyperlink>
            <w:r w:rsidRPr="00321EC0">
              <w:t xml:space="preserve"> Act) to spend money from the </w:t>
            </w:r>
            <w:hyperlink r:id="rId184" w:anchor="crf" w:history="1">
              <w:r w:rsidRPr="00321EC0">
                <w:t>Consolidated Revenue Fund</w:t>
              </w:r>
            </w:hyperlink>
            <w:r w:rsidRPr="00321EC0">
              <w:t xml:space="preserve"> for particular purposes. </w:t>
            </w:r>
            <w:r w:rsidRPr="00321EC0">
              <w:rPr>
                <w:i/>
              </w:rPr>
              <w:t>The Social Security (Administration) Act 1999</w:t>
            </w:r>
            <w:r w:rsidRPr="00321EC0">
              <w:t>, for example, contains several special appropriations to make social security payments. Special appropriations support around 80% of all government expenditure each year.</w:t>
            </w:r>
          </w:p>
          <w:p w14:paraId="7CEA9524" w14:textId="77777777" w:rsidR="004D41E3" w:rsidRPr="00CC6E45" w:rsidRDefault="004D41E3" w:rsidP="008F3986">
            <w:pPr>
              <w:spacing w:beforeLines="40" w:before="96" w:after="120"/>
              <w:jc w:val="left"/>
            </w:pPr>
          </w:p>
        </w:tc>
      </w:tr>
    </w:tbl>
    <w:p w14:paraId="1C64395A" w14:textId="77777777" w:rsidR="004D41E3" w:rsidRDefault="004D41E3" w:rsidP="00C46874">
      <w:pPr>
        <w:pStyle w:val="ExampleText"/>
      </w:pPr>
    </w:p>
    <w:p w14:paraId="4BF8F548" w14:textId="77777777" w:rsidR="004D41E3" w:rsidRDefault="004D41E3" w:rsidP="00C46874">
      <w:pPr>
        <w:pStyle w:val="ExampleText"/>
      </w:pPr>
    </w:p>
    <w:sectPr w:rsidR="004D41E3" w:rsidSect="00D37F3B">
      <w:headerReference w:type="even" r:id="rId185"/>
      <w:headerReference w:type="default" r:id="rId186"/>
      <w:footerReference w:type="default" r:id="rId187"/>
      <w:headerReference w:type="first" r:id="rId188"/>
      <w:footerReference w:type="first" r:id="rId189"/>
      <w:type w:val="oddPage"/>
      <w:pgSz w:w="11907" w:h="16840"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3B4CF" w14:textId="77777777" w:rsidR="004254A3" w:rsidRDefault="004254A3" w:rsidP="00F51DAC">
      <w:pPr>
        <w:spacing w:after="0" w:line="240" w:lineRule="auto"/>
      </w:pPr>
      <w:r>
        <w:separator/>
      </w:r>
    </w:p>
  </w:endnote>
  <w:endnote w:type="continuationSeparator" w:id="0">
    <w:p w14:paraId="3623CEC1" w14:textId="77777777" w:rsidR="004254A3" w:rsidRDefault="004254A3"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71C3" w14:textId="28286D88" w:rsidR="009E45BA" w:rsidRDefault="009E45BA">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2346" w14:textId="6EBE0011" w:rsidR="009E45BA" w:rsidRDefault="009E45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14599"/>
      <w:docPartObj>
        <w:docPartGallery w:val="Page Numbers (Bottom of Page)"/>
        <w:docPartUnique/>
      </w:docPartObj>
    </w:sdtPr>
    <w:sdtEndPr>
      <w:rPr>
        <w:noProof/>
      </w:rPr>
    </w:sdtEndPr>
    <w:sdtContent>
      <w:p w14:paraId="469B2A55" w14:textId="42693528" w:rsidR="009E45BA" w:rsidRDefault="009E45BA">
        <w:pPr>
          <w:pStyle w:val="Footer"/>
        </w:pPr>
        <w:r>
          <w:fldChar w:fldCharType="begin"/>
        </w:r>
        <w:r>
          <w:instrText xml:space="preserve"> PAGE   \* MERGEFORMAT </w:instrText>
        </w:r>
        <w:r>
          <w:fldChar w:fldCharType="separate"/>
        </w:r>
        <w:r w:rsidR="0019528E">
          <w:rPr>
            <w:noProof/>
          </w:rPr>
          <w:t>3</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705873"/>
      <w:docPartObj>
        <w:docPartGallery w:val="Page Numbers (Bottom of Page)"/>
        <w:docPartUnique/>
      </w:docPartObj>
    </w:sdtPr>
    <w:sdtEndPr>
      <w:rPr>
        <w:noProof/>
      </w:rPr>
    </w:sdtEndPr>
    <w:sdtContent>
      <w:p w14:paraId="37D82754" w14:textId="40C9BE8C" w:rsidR="009E45BA" w:rsidRPr="00F33D2A" w:rsidRDefault="009E45BA" w:rsidP="006127D0">
        <w:pPr>
          <w:pStyle w:val="Footer"/>
        </w:pPr>
        <w:r>
          <w:fldChar w:fldCharType="begin"/>
        </w:r>
        <w:r>
          <w:instrText xml:space="preserve"> PAGE   \* MERGEFORMAT </w:instrText>
        </w:r>
        <w:r>
          <w:fldChar w:fldCharType="separate"/>
        </w:r>
        <w:r w:rsidR="0019528E">
          <w:rPr>
            <w:noProof/>
          </w:rPr>
          <w:t>5</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250565"/>
      <w:docPartObj>
        <w:docPartGallery w:val="Page Numbers (Bottom of Page)"/>
        <w:docPartUnique/>
      </w:docPartObj>
    </w:sdtPr>
    <w:sdtEndPr>
      <w:rPr>
        <w:noProof/>
      </w:rPr>
    </w:sdtEndPr>
    <w:sdtContent>
      <w:p w14:paraId="238FAC32" w14:textId="2FF6A6E3" w:rsidR="009E45BA" w:rsidRDefault="009E45BA">
        <w:pPr>
          <w:pStyle w:val="Footer"/>
        </w:pPr>
        <w:r>
          <w:fldChar w:fldCharType="begin"/>
        </w:r>
        <w:r>
          <w:instrText xml:space="preserve"> PAGE   \* MERGEFORMAT </w:instrText>
        </w:r>
        <w:r>
          <w:fldChar w:fldCharType="separate"/>
        </w:r>
        <w:r w:rsidR="0019528E">
          <w:rPr>
            <w:noProof/>
          </w:rPr>
          <w:t>7</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92240980"/>
      <w:docPartObj>
        <w:docPartGallery w:val="Page Numbers (Bottom of Page)"/>
        <w:docPartUnique/>
      </w:docPartObj>
    </w:sdtPr>
    <w:sdtEndPr/>
    <w:sdtContent>
      <w:p w14:paraId="5EF6AADA" w14:textId="0C3B655D" w:rsidR="009E45BA" w:rsidRPr="00B42A65" w:rsidRDefault="009E45BA" w:rsidP="00E74F9F">
        <w:pPr>
          <w:pStyle w:val="Footer"/>
          <w:rPr>
            <w:noProof/>
          </w:rPr>
        </w:pPr>
        <w:r>
          <w:rPr>
            <w:noProof/>
          </w:rPr>
          <w:fldChar w:fldCharType="begin"/>
        </w:r>
        <w:r>
          <w:rPr>
            <w:noProof/>
          </w:rPr>
          <w:instrText xml:space="preserve"> PAGE   \* MERGEFORMAT </w:instrText>
        </w:r>
        <w:r>
          <w:rPr>
            <w:noProof/>
          </w:rPr>
          <w:fldChar w:fldCharType="separate"/>
        </w:r>
        <w:r w:rsidR="0019528E">
          <w:rPr>
            <w:noProof/>
          </w:rPr>
          <w:t>9</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487846805"/>
      <w:docPartObj>
        <w:docPartGallery w:val="Page Numbers (Bottom of Page)"/>
        <w:docPartUnique/>
      </w:docPartObj>
    </w:sdtPr>
    <w:sdtEndPr/>
    <w:sdtContent>
      <w:p w14:paraId="621BE23D" w14:textId="0083ABD6" w:rsidR="009E45BA" w:rsidRDefault="009E45BA">
        <w:pPr>
          <w:pStyle w:val="Footer"/>
          <w:rPr>
            <w:noProof/>
          </w:rPr>
        </w:pPr>
        <w:r>
          <w:rPr>
            <w:noProof/>
          </w:rPr>
          <w:fldChar w:fldCharType="begin"/>
        </w:r>
        <w:r>
          <w:rPr>
            <w:noProof/>
          </w:rPr>
          <w:instrText xml:space="preserve"> PAGE   \* MERGEFORMAT </w:instrText>
        </w:r>
        <w:r>
          <w:rPr>
            <w:noProof/>
          </w:rPr>
          <w:fldChar w:fldCharType="separate"/>
        </w:r>
        <w:r>
          <w:rPr>
            <w:noProof/>
          </w:rPr>
          <w:t>51</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2116734315"/>
      <w:docPartObj>
        <w:docPartGallery w:val="Page Numbers (Bottom of Page)"/>
        <w:docPartUnique/>
      </w:docPartObj>
    </w:sdtPr>
    <w:sdtEndPr/>
    <w:sdtContent>
      <w:p w14:paraId="68854D51" w14:textId="27512907" w:rsidR="009E45BA" w:rsidRDefault="009E45BA">
        <w:pPr>
          <w:pStyle w:val="Footer"/>
          <w:rPr>
            <w:noProof/>
          </w:rPr>
        </w:pPr>
        <w:r>
          <w:rPr>
            <w:noProof/>
          </w:rPr>
          <w:fldChar w:fldCharType="begin"/>
        </w:r>
        <w:r>
          <w:rPr>
            <w:noProof/>
          </w:rPr>
          <w:instrText xml:space="preserve"> PAGE   \* MERGEFORMAT </w:instrText>
        </w:r>
        <w:r>
          <w:rPr>
            <w:noProof/>
          </w:rPr>
          <w:fldChar w:fldCharType="separate"/>
        </w:r>
        <w:r w:rsidR="0019528E">
          <w:rPr>
            <w:noProof/>
          </w:rPr>
          <w:t>57</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62659"/>
      <w:docPartObj>
        <w:docPartGallery w:val="Page Numbers (Bottom of Page)"/>
        <w:docPartUnique/>
      </w:docPartObj>
    </w:sdtPr>
    <w:sdtEndPr>
      <w:rPr>
        <w:noProof/>
      </w:rPr>
    </w:sdtEndPr>
    <w:sdtContent>
      <w:p w14:paraId="72BD9AF8" w14:textId="717F57E4" w:rsidR="009E45BA" w:rsidRDefault="009E45BA">
        <w:pPr>
          <w:pStyle w:val="Footer"/>
        </w:pPr>
        <w:r>
          <w:fldChar w:fldCharType="begin"/>
        </w:r>
        <w:r>
          <w:instrText xml:space="preserve"> PAGE   \* MERGEFORMAT </w:instrText>
        </w:r>
        <w:r>
          <w:fldChar w:fldCharType="separate"/>
        </w:r>
        <w:r w:rsidR="0019528E">
          <w:rPr>
            <w:noProof/>
          </w:rPr>
          <w:t>54</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481891"/>
      <w:docPartObj>
        <w:docPartGallery w:val="Page Numbers (Bottom of Page)"/>
        <w:docPartUnique/>
      </w:docPartObj>
    </w:sdtPr>
    <w:sdtEndPr>
      <w:rPr>
        <w:noProof/>
      </w:rPr>
    </w:sdtEndPr>
    <w:sdtContent>
      <w:p w14:paraId="04D0B752" w14:textId="127B1826" w:rsidR="009E45BA" w:rsidRDefault="0019528E">
        <w:pPr>
          <w:pStyle w:val="Footer"/>
        </w:pP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563104"/>
      <w:docPartObj>
        <w:docPartGallery w:val="Page Numbers (Bottom of Page)"/>
        <w:docPartUnique/>
      </w:docPartObj>
    </w:sdtPr>
    <w:sdtEndPr>
      <w:rPr>
        <w:noProof/>
      </w:rPr>
    </w:sdtEndPr>
    <w:sdtContent>
      <w:p w14:paraId="72A0B1B4" w14:textId="5EE5D04F" w:rsidR="009E45BA" w:rsidRDefault="009E45BA">
        <w:pPr>
          <w:pStyle w:val="Footer"/>
          <w:rPr>
            <w:noProof/>
          </w:rPr>
        </w:pPr>
        <w:r>
          <w:rPr>
            <w:noProof/>
          </w:rPr>
          <w:fldChar w:fldCharType="begin"/>
        </w:r>
        <w:r>
          <w:rPr>
            <w:noProof/>
          </w:rPr>
          <w:instrText xml:space="preserve"> PAGE   \* MERGEFORMAT </w:instrText>
        </w:r>
        <w:r>
          <w:rPr>
            <w:noProof/>
          </w:rPr>
          <w:fldChar w:fldCharType="separate"/>
        </w:r>
        <w:r w:rsidR="0019528E">
          <w:rPr>
            <w:noProof/>
          </w:rPr>
          <w:t>59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C887" w14:textId="0FF1B2D3" w:rsidR="009E45BA" w:rsidRDefault="009E45B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8462"/>
      <w:docPartObj>
        <w:docPartGallery w:val="Page Numbers (Bottom of Page)"/>
        <w:docPartUnique/>
      </w:docPartObj>
    </w:sdtPr>
    <w:sdtEndPr>
      <w:rPr>
        <w:noProof/>
      </w:rPr>
    </w:sdtEndPr>
    <w:sdtContent>
      <w:p w14:paraId="383C034A" w14:textId="7C05AB1C" w:rsidR="009E45BA" w:rsidRPr="00B42A65" w:rsidRDefault="009E45BA" w:rsidP="0079249B">
        <w:pPr>
          <w:pStyle w:val="Footer"/>
        </w:pPr>
        <w:r>
          <w:fldChar w:fldCharType="begin"/>
        </w:r>
        <w:r>
          <w:instrText xml:space="preserve"> PAGE   \* MERGEFORMAT </w:instrText>
        </w:r>
        <w:r>
          <w:fldChar w:fldCharType="separate"/>
        </w:r>
        <w:r w:rsidR="0019528E">
          <w:rPr>
            <w:noProof/>
          </w:rPr>
          <w:t>60</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30208"/>
      <w:docPartObj>
        <w:docPartGallery w:val="Page Numbers (Bottom of Page)"/>
        <w:docPartUnique/>
      </w:docPartObj>
    </w:sdtPr>
    <w:sdtEndPr>
      <w:rPr>
        <w:noProof/>
      </w:rPr>
    </w:sdtEndPr>
    <w:sdtContent>
      <w:p w14:paraId="207D1125" w14:textId="303731E1" w:rsidR="009E45BA" w:rsidRPr="0079249B" w:rsidRDefault="009E45BA" w:rsidP="0079249B">
        <w:pPr>
          <w:pStyle w:val="Footer"/>
        </w:pPr>
        <w:r>
          <w:fldChar w:fldCharType="begin"/>
        </w:r>
        <w:r>
          <w:instrText xml:space="preserve"> PAGE   \* MERGEFORMAT </w:instrText>
        </w:r>
        <w:r>
          <w:fldChar w:fldCharType="separate"/>
        </w:r>
        <w:r w:rsidR="0019528E">
          <w:rPr>
            <w:noProof/>
          </w:rPr>
          <w:t>94</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BBEA9" w14:textId="68F1E515" w:rsidR="009E45BA" w:rsidRPr="00D37F3B" w:rsidRDefault="009E45BA" w:rsidP="00140F6E">
    <w:pPr>
      <w:pStyle w:val="Footer"/>
      <w:rPr>
        <w:lang w:val="en-AU"/>
      </w:rPr>
    </w:pPr>
    <w:r>
      <w:fldChar w:fldCharType="begin"/>
    </w:r>
    <w:r>
      <w:instrText xml:space="preserve"> PAGE   \* MERGEFORMAT </w:instrText>
    </w:r>
    <w:r>
      <w:fldChar w:fldCharType="separate"/>
    </w:r>
    <w:r w:rsidR="0019528E">
      <w:rPr>
        <w:noProof/>
      </w:rPr>
      <w:t>89</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B407" w14:textId="21536ED1" w:rsidR="009E45BA" w:rsidRPr="00B42A65" w:rsidRDefault="0019528E" w:rsidP="0079249B">
    <w:pPr>
      <w:pStyle w:val="Footer"/>
    </w:pPr>
    <w:sdt>
      <w:sdtPr>
        <w:id w:val="1668204209"/>
        <w:docPartObj>
          <w:docPartGallery w:val="Page Numbers (Bottom of Page)"/>
          <w:docPartUnique/>
        </w:docPartObj>
      </w:sdtPr>
      <w:sdtEndPr>
        <w:rPr>
          <w:noProof/>
        </w:rPr>
      </w:sdtEndPr>
      <w:sdtContent>
        <w:r w:rsidR="009E45BA">
          <w:fldChar w:fldCharType="begin"/>
        </w:r>
        <w:r w:rsidR="009E45BA">
          <w:instrText xml:space="preserve"> PAGE   \* MERGEFORMAT </w:instrText>
        </w:r>
        <w:r w:rsidR="009E45BA">
          <w:fldChar w:fldCharType="separate"/>
        </w:r>
        <w:r>
          <w:rPr>
            <w:noProof/>
          </w:rPr>
          <w:t>61</w:t>
        </w:r>
        <w:r w:rsidR="009E45BA">
          <w:rPr>
            <w:noProof/>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05208"/>
      <w:docPartObj>
        <w:docPartGallery w:val="Page Numbers (Bottom of Page)"/>
        <w:docPartUnique/>
      </w:docPartObj>
    </w:sdtPr>
    <w:sdtEndPr>
      <w:rPr>
        <w:noProof/>
      </w:rPr>
    </w:sdtEndPr>
    <w:sdtContent>
      <w:p w14:paraId="32F8665E" w14:textId="6DC685AA" w:rsidR="009E45BA" w:rsidRDefault="009E45BA">
        <w:pPr>
          <w:pStyle w:val="Footer"/>
        </w:pPr>
        <w:r>
          <w:fldChar w:fldCharType="begin"/>
        </w:r>
        <w:r>
          <w:instrText xml:space="preserve"> PAGE   \* MERGEFORMAT </w:instrText>
        </w:r>
        <w:r>
          <w:fldChar w:fldCharType="separate"/>
        </w:r>
        <w:r w:rsidR="0019528E">
          <w:rPr>
            <w:noProof/>
          </w:rPr>
          <w:t>78</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425762"/>
      <w:docPartObj>
        <w:docPartGallery w:val="Page Numbers (Bottom of Page)"/>
        <w:docPartUnique/>
      </w:docPartObj>
    </w:sdtPr>
    <w:sdtEndPr>
      <w:rPr>
        <w:noProof/>
      </w:rPr>
    </w:sdtEndPr>
    <w:sdtContent>
      <w:p w14:paraId="5A5EE3F8" w14:textId="29E6547A" w:rsidR="009E45BA" w:rsidRDefault="009E45BA">
        <w:pPr>
          <w:pStyle w:val="Footer"/>
        </w:pPr>
        <w:r>
          <w:fldChar w:fldCharType="begin"/>
        </w:r>
        <w:r>
          <w:instrText xml:space="preserve"> PAGE   \* MERGEFORMAT </w:instrText>
        </w:r>
        <w:r>
          <w:fldChar w:fldCharType="separate"/>
        </w:r>
        <w:r w:rsidR="0019528E">
          <w:rPr>
            <w:noProof/>
          </w:rPr>
          <w:t>79</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413745"/>
      <w:docPartObj>
        <w:docPartGallery w:val="Page Numbers (Bottom of Page)"/>
        <w:docPartUnique/>
      </w:docPartObj>
    </w:sdtPr>
    <w:sdtEndPr>
      <w:rPr>
        <w:noProof/>
      </w:rPr>
    </w:sdtEndPr>
    <w:sdtContent>
      <w:p w14:paraId="51771630" w14:textId="3DEC464B" w:rsidR="009E45BA" w:rsidRPr="00B42A65" w:rsidRDefault="009E45BA" w:rsidP="00161F54">
        <w:pPr>
          <w:pStyle w:val="Footer"/>
        </w:pPr>
        <w:r>
          <w:fldChar w:fldCharType="begin"/>
        </w:r>
        <w:r>
          <w:instrText xml:space="preserve"> PAGE   \* MERGEFORMAT </w:instrText>
        </w:r>
        <w:r>
          <w:fldChar w:fldCharType="separate"/>
        </w:r>
        <w:r w:rsidR="0019528E">
          <w:rPr>
            <w:noProof/>
          </w:rPr>
          <w:t>91</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969496"/>
      <w:docPartObj>
        <w:docPartGallery w:val="Page Numbers (Bottom of Page)"/>
        <w:docPartUnique/>
      </w:docPartObj>
    </w:sdtPr>
    <w:sdtEndPr>
      <w:rPr>
        <w:noProof/>
      </w:rPr>
    </w:sdtEndPr>
    <w:sdtContent>
      <w:p w14:paraId="678E64B1" w14:textId="0A2532D6" w:rsidR="009E45BA" w:rsidRPr="001C76BC" w:rsidRDefault="009E45BA" w:rsidP="00161F54">
        <w:pPr>
          <w:pStyle w:val="Footer"/>
        </w:pPr>
        <w:r>
          <w:fldChar w:fldCharType="begin"/>
        </w:r>
        <w:r>
          <w:instrText xml:space="preserve"> PAGE   \* MERGEFORMAT </w:instrText>
        </w:r>
        <w:r>
          <w:fldChar w:fldCharType="separate"/>
        </w:r>
        <w:r w:rsidR="0019528E">
          <w:rPr>
            <w:noProof/>
          </w:rPr>
          <w:t>95</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7B40" w14:textId="77777777" w:rsidR="009E45BA" w:rsidRPr="00050FE6" w:rsidRDefault="009E45BA"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FFEF" w14:textId="77777777" w:rsidR="009E45BA" w:rsidRDefault="009E45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D608" w14:textId="5DFCB4FA" w:rsidR="009E45BA" w:rsidRDefault="009E45BA">
    <w:pPr>
      <w:pStyle w:val="Footer"/>
      <w:rPr>
        <w:noProof/>
      </w:rPr>
    </w:pPr>
    <w:r>
      <w:rPr>
        <w:noProof/>
      </w:rPr>
      <w:fldChar w:fldCharType="begin"/>
    </w:r>
    <w:r>
      <w:rPr>
        <w:noProof/>
      </w:rPr>
      <w:instrText xml:space="preserve"> PAGE   \* MERGEFORMAT </w:instrText>
    </w:r>
    <w:r>
      <w:rPr>
        <w:noProof/>
      </w:rPr>
      <w:fldChar w:fldCharType="separate"/>
    </w:r>
    <w:r w:rsidR="0019528E">
      <w:rPr>
        <w:noProof/>
      </w:rPr>
      <w:t>12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B3D8" w14:textId="77777777" w:rsidR="009E45BA" w:rsidRDefault="009E45B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1230" w14:textId="56BD3D8B" w:rsidR="009E45BA" w:rsidRDefault="009E45BA">
    <w:pPr>
      <w:pStyle w:val="Footer"/>
    </w:pPr>
    <w:r>
      <w:rPr>
        <w:rStyle w:val="PageNumber"/>
      </w:rPr>
      <w:fldChar w:fldCharType="begin"/>
    </w:r>
    <w:r>
      <w:rPr>
        <w:rStyle w:val="PageNumber"/>
      </w:rPr>
      <w:instrText xml:space="preserve"> PAGE </w:instrText>
    </w:r>
    <w:r>
      <w:rPr>
        <w:rStyle w:val="PageNumber"/>
      </w:rPr>
      <w:fldChar w:fldCharType="separate"/>
    </w:r>
    <w:r w:rsidR="0019528E">
      <w:rPr>
        <w:rStyle w:val="PageNumber"/>
        <w:noProof/>
      </w:rPr>
      <w:t>iv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3C91" w14:textId="3EC02323" w:rsidR="009E45BA" w:rsidRPr="00670D85" w:rsidRDefault="009E45BA">
    <w:pPr>
      <w:pStyle w:val="Footer"/>
      <w:rPr>
        <w:lang w:val="en-AU"/>
      </w:rPr>
    </w:pPr>
    <w:r>
      <w:fldChar w:fldCharType="begin"/>
    </w:r>
    <w:r>
      <w:instrText xml:space="preserve"> PAGE   \* MERGEFORMAT </w:instrText>
    </w:r>
    <w:r>
      <w:fldChar w:fldCharType="separate"/>
    </w:r>
    <w:r w:rsidR="0019528E">
      <w:rPr>
        <w:noProof/>
      </w:rPr>
      <w:t>11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BCF5" w14:textId="2922F5EF" w:rsidR="009E45BA" w:rsidRDefault="009E45BA" w:rsidP="00842573">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61471"/>
      <w:docPartObj>
        <w:docPartGallery w:val="Page Numbers (Bottom of Page)"/>
        <w:docPartUnique/>
      </w:docPartObj>
    </w:sdtPr>
    <w:sdtEndPr>
      <w:rPr>
        <w:noProof/>
      </w:rPr>
    </w:sdtEndPr>
    <w:sdtContent>
      <w:p w14:paraId="325FA731" w14:textId="4A68C8AC" w:rsidR="009E45BA" w:rsidRDefault="009E45BA" w:rsidP="00842573">
        <w:pPr>
          <w:pStyle w:val="Footer"/>
        </w:pPr>
        <w:r>
          <w:fldChar w:fldCharType="begin"/>
        </w:r>
        <w:r>
          <w:instrText xml:space="preserve"> PAGE   \* MERGEFORMAT </w:instrText>
        </w:r>
        <w:r>
          <w:fldChar w:fldCharType="separate"/>
        </w:r>
        <w:r w:rsidR="0019528E">
          <w:rPr>
            <w:noProof/>
          </w:rPr>
          <w:t>vii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65B61" w14:textId="77777777" w:rsidR="004254A3" w:rsidRDefault="004254A3" w:rsidP="00F51DAC">
      <w:pPr>
        <w:spacing w:after="0" w:line="240" w:lineRule="auto"/>
      </w:pPr>
      <w:r>
        <w:separator/>
      </w:r>
    </w:p>
  </w:footnote>
  <w:footnote w:type="continuationSeparator" w:id="0">
    <w:p w14:paraId="6BC9D025" w14:textId="77777777" w:rsidR="004254A3" w:rsidRDefault="004254A3"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729DD" w14:textId="77777777" w:rsidR="009E45BA" w:rsidRDefault="009E45BA">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DE0B" w14:textId="77777777" w:rsidR="009E45BA" w:rsidRDefault="009E45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4BE1" w14:textId="77777777" w:rsidR="009E45BA" w:rsidRDefault="009E45BA">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1676" w14:textId="77777777" w:rsidR="009E45BA" w:rsidRDefault="009E45BA">
    <w:pPr>
      <w:pStyle w:val="Header"/>
    </w:pPr>
    <w:r>
      <w:t>User Guide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A4B7" w14:textId="77777777" w:rsidR="009E45BA" w:rsidRPr="00817DE7" w:rsidRDefault="009E45BA" w:rsidP="00817D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4782" w14:textId="77777777" w:rsidR="009E45BA" w:rsidRDefault="009E45BA" w:rsidP="00D37F3B">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48C1" w14:textId="77777777" w:rsidR="009E45BA" w:rsidRDefault="009E45B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1DED" w14:textId="77777777" w:rsidR="009E45BA" w:rsidRPr="00D10E29" w:rsidRDefault="009E45BA" w:rsidP="00C83B5E">
    <w:pPr>
      <w:pStyle w:val="Header"/>
      <w:rPr>
        <w:lang w:val="en-AU"/>
      </w:rPr>
    </w:pPr>
    <w:r>
      <w:rPr>
        <w:lang w:val="en-AU"/>
      </w:rPr>
      <w:t>Portfolio Overview</w:t>
    </w:r>
  </w:p>
  <w:p w14:paraId="25C2CD17" w14:textId="77777777" w:rsidR="009E45BA" w:rsidRDefault="009E45BA" w:rsidP="00C83B5E">
    <w:pPr>
      <w:pStyle w:val="Header"/>
      <w:jc w:val="both"/>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5B08" w14:textId="77777777" w:rsidR="009E45BA" w:rsidRPr="00D10E29" w:rsidRDefault="009E45BA" w:rsidP="00C83B5E">
    <w:pPr>
      <w:pStyle w:val="Header"/>
      <w:jc w:val="right"/>
      <w:rPr>
        <w:lang w:val="en-AU"/>
      </w:rPr>
    </w:pPr>
    <w:r>
      <w:rPr>
        <w:lang w:val="en-AU"/>
      </w:rPr>
      <w:t>Portfolio Overview</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ED76" w14:textId="77777777" w:rsidR="009E45BA" w:rsidRPr="00D10E29" w:rsidRDefault="009E45BA" w:rsidP="00D37F3B">
    <w:pPr>
      <w:pStyle w:val="Header"/>
      <w:rPr>
        <w:lang w:val="en-AU"/>
      </w:rPr>
    </w:pPr>
    <w:r>
      <w:rPr>
        <w:lang w:val="en-AU"/>
      </w:rPr>
      <w:t>Portfolio Overview</w:t>
    </w:r>
  </w:p>
  <w:p w14:paraId="0408196D" w14:textId="724D70DF" w:rsidR="009E45BA" w:rsidRDefault="009E45BA" w:rsidP="00D37F3B">
    <w:pPr>
      <w:pStyle w:val="Header"/>
      <w:jc w:val="both"/>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212D" w14:textId="10F368E0" w:rsidR="009E45BA" w:rsidRPr="00D37F3B" w:rsidRDefault="009E45BA" w:rsidP="00D37F3B">
    <w:pPr>
      <w:pStyle w:val="Header"/>
      <w:jc w:val="right"/>
      <w:rPr>
        <w:lang w:val="en-AU"/>
      </w:rPr>
    </w:pPr>
    <w:r>
      <w:rPr>
        <w:lang w:val="en-AU"/>
      </w:rPr>
      <w:t>Portfolio Overview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44AD" w14:textId="5AD0C154" w:rsidR="009E45BA" w:rsidRDefault="0019528E">
    <w:pPr>
      <w:framePr w:wrap="around" w:vAnchor="page" w:hAnchor="margin" w:x="14460" w:y="7939" w:anchorLock="1"/>
    </w:pPr>
    <w:r>
      <w:fldChar w:fldCharType="begin"/>
    </w:r>
    <w:r>
      <w:instrText xml:space="preserve"> TITLE  \* MERGEFORMAT </w:instrText>
    </w:r>
    <w:r>
      <w:fldChar w:fldCharType="separate"/>
    </w:r>
    <w:r w:rsidR="009E45BA">
      <w:t>1. 2020-21 PAES - performance team edits</w:t>
    </w:r>
    <w:r>
      <w:fldChar w:fldCharType="end"/>
    </w:r>
  </w:p>
  <w:p w14:paraId="5F4B5692" w14:textId="77777777" w:rsidR="009E45BA" w:rsidRDefault="009E45BA">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A4B7" w14:textId="77777777" w:rsidR="009E45BA" w:rsidRDefault="009E45B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CE74" w14:textId="77777777" w:rsidR="009E45BA" w:rsidRDefault="009E45BA">
    <w:pPr>
      <w:pStyle w:val="HeaderEven"/>
    </w:pPr>
    <w:r>
      <w:t>Entity Additional Estimates Statements — Department of Finance</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6534" w14:textId="77777777" w:rsidR="009E45BA" w:rsidRDefault="009E45BA">
    <w:pPr>
      <w:pStyle w:val="HeaderOdd"/>
    </w:pPr>
    <w:r>
      <w:t>Entity Additional Estimates Statements — Department of Finance</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9723" w14:textId="77777777" w:rsidR="009E45BA" w:rsidRPr="00D47649" w:rsidRDefault="009E45BA" w:rsidP="00906FA2">
    <w:pPr>
      <w:pStyle w:val="HeaderEven"/>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0155" w14:textId="77777777" w:rsidR="009E45BA" w:rsidRDefault="009E45BA">
    <w:pPr>
      <w:pStyle w:val="HeaderEven"/>
    </w:pPr>
    <w:r>
      <w:t>Entity Additional Estimates Statements — Department of Finance</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80ED" w14:textId="77777777" w:rsidR="009E45BA" w:rsidRDefault="009E45BA">
    <w:pPr>
      <w:pStyle w:val="HeaderOdd"/>
    </w:pPr>
    <w:r>
      <w:t>Entity Additional Estimates Statements — Department of Finance</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3A53" w14:textId="77777777" w:rsidR="009E45BA" w:rsidRPr="00D47649" w:rsidRDefault="009E45BA" w:rsidP="00D37F3B">
    <w:pPr>
      <w:pStyle w:val="HeaderEven"/>
    </w:pPr>
    <w:r>
      <w:t>Entity Additional Estimates Statements — Department of Finance</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4CC0" w14:textId="77777777" w:rsidR="009E45BA" w:rsidRPr="00D47649" w:rsidRDefault="009E45BA" w:rsidP="00D37F3B">
    <w:pPr>
      <w:pStyle w:val="HeaderEven"/>
      <w:jc w:val="right"/>
    </w:pPr>
    <w:r>
      <w:t>Entity Additional Estimates Statements — Department of Finance</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1630" w14:textId="77777777" w:rsidR="009E45BA" w:rsidRDefault="009E45BA" w:rsidP="00D37F3B">
    <w:pPr>
      <w:pStyle w:val="HeaderEven"/>
    </w:pPr>
    <w:r>
      <w:t>Entity Additional Estimates Statements — Department of Finance</w:t>
    </w:r>
  </w:p>
  <w:p w14:paraId="2A372CCB" w14:textId="77777777" w:rsidR="009E45BA" w:rsidRPr="00D47649" w:rsidRDefault="009E45BA" w:rsidP="007E69CB">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30AB" w14:textId="77777777" w:rsidR="009E45BA" w:rsidRDefault="009E45BA" w:rsidP="00D37F3B">
    <w:pPr>
      <w:pStyle w:val="HeaderEven"/>
    </w:pPr>
    <w:r>
      <w:t>Entity Additional Estimates Statements — Department of Finance</w:t>
    </w:r>
  </w:p>
  <w:p w14:paraId="2B97CBFE" w14:textId="77777777" w:rsidR="009E45BA" w:rsidRPr="00D47649" w:rsidRDefault="009E45BA" w:rsidP="00D47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38FD" w14:textId="77777777" w:rsidR="009E45BA" w:rsidRDefault="009E45B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68C2" w14:textId="77777777" w:rsidR="009E45BA" w:rsidRPr="00906FA2" w:rsidRDefault="009E45BA" w:rsidP="00D37F3B">
    <w:pPr>
      <w:pStyle w:val="HeaderEven"/>
      <w:jc w:val="right"/>
    </w:pPr>
    <w:r>
      <w:t>Entity Additional Estimates Statements — Department of Finance</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A6CE" w14:textId="77777777" w:rsidR="009E45BA" w:rsidRPr="00D47649" w:rsidRDefault="009E45BA" w:rsidP="00D37F3B">
    <w:pPr>
      <w:pStyle w:val="HeaderEven"/>
    </w:pPr>
    <w:r>
      <w:t>Entity Additional Estimates Statements — Department of Finance</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D3B1" w14:textId="77777777" w:rsidR="009E45BA" w:rsidRPr="00D47649" w:rsidRDefault="009E45BA" w:rsidP="00D37F3B">
    <w:pPr>
      <w:pStyle w:val="HeaderEven"/>
      <w:jc w:val="right"/>
    </w:pPr>
    <w:r>
      <w:t>Entity Additional Estimates Statements — Department of Finance</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ABE9" w14:textId="77777777" w:rsidR="009E45BA" w:rsidRDefault="009E45BA" w:rsidP="00D37F3B">
    <w:pPr>
      <w:pStyle w:val="HeaderEven"/>
    </w:pPr>
    <w:r>
      <w:t>Entity Additional Estimates Statements — Department of Finance</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5D34" w14:textId="77777777" w:rsidR="009E45BA" w:rsidRPr="00D47649" w:rsidRDefault="009E45BA" w:rsidP="00D37F3B">
    <w:pPr>
      <w:pStyle w:val="HeaderEven"/>
      <w:jc w:val="right"/>
    </w:pPr>
    <w:r>
      <w:t>Entity Additional Estimates Statements — Department of Finance</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CDD5" w14:textId="77777777" w:rsidR="009E45BA" w:rsidRPr="00D47649" w:rsidRDefault="009E45BA" w:rsidP="00D37F3B">
    <w:pPr>
      <w:pStyle w:val="HeaderEven"/>
    </w:pPr>
    <w:r>
      <w:t>Entity Additional Estimates Statements — Department of Finance</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AA6E" w14:textId="77777777" w:rsidR="009E45BA" w:rsidRDefault="009E45BA" w:rsidP="002D78B8">
    <w:pPr>
      <w:pStyle w:val="HeaderEven"/>
    </w:pPr>
    <w:r>
      <w:t>Entity Additional Estimates Statements — Department of Finance</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0CE45" w14:textId="77777777" w:rsidR="009E45BA" w:rsidRDefault="009E45BA">
    <w:pPr>
      <w:pStyle w:val="HeaderOdd"/>
    </w:pPr>
    <w:r>
      <w:t>Entity Additional Estimates Statements — Department of Finance</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3A34" w14:textId="77777777" w:rsidR="009E45BA" w:rsidRPr="00D47649" w:rsidRDefault="009E45BA" w:rsidP="00D37F3B">
    <w:pPr>
      <w:pStyle w:val="HeaderEven"/>
      <w:jc w:val="right"/>
    </w:pPr>
    <w:r>
      <w:t>Entity Additional Estimates Statements — Department of Finance</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D770" w14:textId="77777777" w:rsidR="009E45BA" w:rsidRDefault="009E45BA">
    <w:pPr>
      <w:pStyle w:val="HeaderEven"/>
    </w:pPr>
    <w:r>
      <w:t>Entity Additional Estimates Statements — Department of Finance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C28F" w14:textId="77777777" w:rsidR="009E45BA" w:rsidRDefault="009E45BA" w:rsidP="00F53464">
    <w:pPr>
      <w:pStyle w:val="Header"/>
      <w:jc w:val="center"/>
    </w:pPr>
    <w:r>
      <w:rPr>
        <w:noProof/>
        <w:lang w:val="en-AU"/>
      </w:rPr>
      <w:drawing>
        <wp:inline distT="0" distB="0" distL="0" distR="0" wp14:anchorId="110EED3C" wp14:editId="04AFC3C2">
          <wp:extent cx="880110" cy="690245"/>
          <wp:effectExtent l="0" t="0" r="0" b="0"/>
          <wp:docPr id="22"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p w14:paraId="7C8ABF76" w14:textId="77777777" w:rsidR="009E45BA" w:rsidRPr="00F53464" w:rsidRDefault="009E45BA" w:rsidP="00F53464">
    <w:pPr>
      <w:pStyle w:val="Header"/>
      <w:jc w:val="cent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4DEA" w14:textId="77777777" w:rsidR="009E45BA" w:rsidRDefault="009E45BA" w:rsidP="00D37F3B">
    <w:pPr>
      <w:pStyle w:val="HeaderOdd"/>
    </w:pPr>
    <w:r>
      <w:t>Entity Additional Estimates Statements — Department of Finance</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BCF4" w14:textId="77777777" w:rsidR="009E45BA" w:rsidRDefault="009E45BA" w:rsidP="00E74F9F">
    <w:pPr>
      <w:pStyle w:val="HeaderEven"/>
      <w:jc w:val="right"/>
    </w:pPr>
    <w:r>
      <w:t>Entity Additional Estimates Statements — Department of Finance</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50CA" w14:textId="77777777" w:rsidR="009E45BA" w:rsidRDefault="009E45BA">
    <w:pPr>
      <w:pStyle w:val="HeaderEven"/>
    </w:pPr>
    <w:r>
      <w:t>Entity Additional Estimates Statements — Department of Finance</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B500" w14:textId="77777777" w:rsidR="009E45BA" w:rsidRDefault="009E45BA">
    <w:pPr>
      <w:pStyle w:val="HeaderOdd"/>
    </w:pPr>
    <w:r>
      <w:t>Entity Additional Estimates Statements — Department of Finance</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B542" w14:textId="77777777" w:rsidR="009E45BA" w:rsidRDefault="009E45BA" w:rsidP="00E74F9F">
    <w:pPr>
      <w:pStyle w:val="HeaderEven"/>
      <w:jc w:val="right"/>
    </w:pPr>
    <w:r>
      <w:t>Entity Additional Estimates Statements — Department of Finance</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781DB" w14:textId="77777777" w:rsidR="009E45BA" w:rsidRPr="00D47649" w:rsidRDefault="009E45BA" w:rsidP="00D37F3B">
    <w:pPr>
      <w:pStyle w:val="HeaderEven"/>
      <w:jc w:val="right"/>
    </w:pPr>
    <w:r>
      <w:t>Entity Additional Estimates Statements — Department of Finance</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B57B" w14:textId="77777777" w:rsidR="009E45BA" w:rsidRPr="00906FA2" w:rsidRDefault="009E45BA" w:rsidP="00D37F3B">
    <w:pPr>
      <w:pStyle w:val="HeaderEven"/>
    </w:pPr>
    <w:r>
      <w:t>Entity Additional Estimates Statements — Department of Finance</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2830" w14:textId="77777777" w:rsidR="009E45BA" w:rsidRPr="00906FA2" w:rsidRDefault="009E45BA" w:rsidP="00D37F3B">
    <w:pPr>
      <w:pStyle w:val="HeaderEven"/>
      <w:jc w:val="right"/>
    </w:pPr>
    <w:r>
      <w:t>Entity Additional Estimates Statements — Department of Finance</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1DF3" w14:textId="77777777" w:rsidR="009E45BA" w:rsidRDefault="009E45BA" w:rsidP="00D37F3B">
    <w:pPr>
      <w:pStyle w:val="HeaderEven"/>
    </w:pPr>
    <w:r>
      <w:t>Entity Additional Estimates Statements — Department of Finance</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A005" w14:textId="77777777" w:rsidR="009E45BA" w:rsidRDefault="009E45BA" w:rsidP="00D37F3B">
    <w:pPr>
      <w:pStyle w:val="HeaderEven"/>
      <w:jc w:val="right"/>
    </w:pPr>
    <w:r>
      <w:t>Entity Additional Estimates Statements — Department of Finance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03F1" w14:textId="77777777" w:rsidR="009E45BA" w:rsidRPr="00F53464" w:rsidRDefault="009E45BA" w:rsidP="00F53464"/>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C7D3" w14:textId="77777777" w:rsidR="009E45BA" w:rsidRPr="005042A4" w:rsidRDefault="009E45BA" w:rsidP="00CC0BEA">
    <w:pPr>
      <w:pStyle w:val="HeaderOdd"/>
      <w:jc w:val="left"/>
    </w:pPr>
    <w:r>
      <w:t>Entity Additional Estimates Statements — Department of Finance</w:t>
    </w:r>
    <w:r>
      <w:rPr>
        <w:noProof/>
      </w:rPr>
      <mc:AlternateContent>
        <mc:Choice Requires="wps">
          <w:drawing>
            <wp:anchor distT="0" distB="0" distL="114300" distR="114300" simplePos="0" relativeHeight="251677184" behindDoc="0" locked="0" layoutInCell="1" allowOverlap="1" wp14:anchorId="65F59C5A" wp14:editId="1A7C0F5A">
              <wp:simplePos x="0" y="0"/>
              <wp:positionH relativeFrom="page">
                <wp:posOffset>1392919</wp:posOffset>
              </wp:positionH>
              <wp:positionV relativeFrom="margin">
                <wp:align>top</wp:align>
              </wp:positionV>
              <wp:extent cx="147955" cy="4829175"/>
              <wp:effectExtent l="0" t="0" r="4445"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988A4" w14:textId="5838875D" w:rsidR="009E45BA" w:rsidRPr="00597721" w:rsidRDefault="009E45BA" w:rsidP="00CC0BEA">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66</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59C5A" id="_x0000_t202" coordsize="21600,21600" o:spt="202" path="m,l,21600r21600,l21600,xe">
              <v:stroke joinstyle="miter"/>
              <v:path gradientshapeok="t" o:connecttype="rect"/>
            </v:shapetype>
            <v:shape id="Text Box 7" o:spid="_x0000_s1062" type="#_x0000_t202" style="position:absolute;margin-left:109.7pt;margin-top:0;width:11.65pt;height:380.25pt;z-index:25167718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" stroked="f">
              <v:textbox style="layout-flow:vertical" inset="0,0,0,0">
                <w:txbxContent>
                  <w:p w14:paraId="0DE988A4" w14:textId="5838875D" w:rsidR="009E45BA" w:rsidRPr="00597721" w:rsidRDefault="009E45BA" w:rsidP="00CC0BEA">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Pr>
                        <w:rStyle w:val="PageNumber"/>
                        <w:noProof/>
                      </w:rPr>
                      <w:t>66</w:t>
                    </w:r>
                    <w:r w:rsidRPr="00597721">
                      <w:rPr>
                        <w:rStyle w:val="PageNumber"/>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76160" behindDoc="0" locked="0" layoutInCell="1" allowOverlap="1" wp14:anchorId="24659D54" wp14:editId="69516ABE">
              <wp:simplePos x="0" y="0"/>
              <wp:positionH relativeFrom="column">
                <wp:posOffset>7667625</wp:posOffset>
              </wp:positionH>
              <wp:positionV relativeFrom="paragraph">
                <wp:posOffset>314960</wp:posOffset>
              </wp:positionV>
              <wp:extent cx="371475" cy="4951095"/>
              <wp:effectExtent l="0" t="635" r="0" b="12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12088" w14:textId="77777777" w:rsidR="009E45BA" w:rsidRPr="004C04CB" w:rsidRDefault="009E45BA" w:rsidP="00CC0BEA">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59D54" id="Text Box 6" o:spid="_x0000_s1063" type="#_x0000_t202" style="position:absolute;margin-left:603.75pt;margin-top:24.8pt;width:29.25pt;height:38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" stroked="f">
              <v:textbox style="layout-flow:vertical">
                <w:txbxContent>
                  <w:p w14:paraId="50712088" w14:textId="77777777" w:rsidR="009E45BA" w:rsidRPr="004C04CB" w:rsidRDefault="009E45BA" w:rsidP="00CC0BEA">
                    <w:pPr>
                      <w:pStyle w:val="HeaderEven"/>
                    </w:pPr>
                    <w:r>
                      <w:t>Entity Additional Estimates Statement — Entity name</w:t>
                    </w:r>
                  </w:p>
                </w:txbxContent>
              </v:textbox>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DA2A" w14:textId="77777777" w:rsidR="009E45BA" w:rsidRDefault="009E45BA" w:rsidP="00D37F3B">
    <w:pPr>
      <w:pStyle w:val="HeaderOdd"/>
      <w:jc w:val="left"/>
    </w:pPr>
    <w:r w:rsidRPr="00ED29F7">
      <w:t xml:space="preserve"> </w:t>
    </w:r>
    <w:r>
      <w:t>Entity Additional Estimates Statements — Department of Finance</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F072" w14:textId="77777777" w:rsidR="009E45BA" w:rsidRDefault="009E45BA" w:rsidP="00D37F3B">
    <w:pPr>
      <w:pStyle w:val="HeaderOdd"/>
      <w:jc w:val="left"/>
    </w:pPr>
    <w:r>
      <w:t>Entity Additional Estimates Statements — Department of Finance</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8281" w14:textId="77777777" w:rsidR="009E45BA" w:rsidRPr="005042A4" w:rsidRDefault="009E45BA" w:rsidP="00CC0BEA">
    <w:pPr>
      <w:pStyle w:val="HeaderOdd"/>
      <w:jc w:val="left"/>
    </w:pPr>
    <w:r>
      <w:t>Entity Additional Estimates Statements — Department of Finance</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F7B1" w14:textId="77777777" w:rsidR="009E45BA" w:rsidRDefault="009E45BA">
    <w:pPr>
      <w:pStyle w:val="HeaderOdd"/>
    </w:pPr>
    <w:r w:rsidRPr="00ED29F7">
      <w:t xml:space="preserve"> </w:t>
    </w:r>
    <w:r>
      <w:t>Entity Additional Estimates Statements — Department of Finance</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FD8AE" w14:textId="77777777" w:rsidR="009E45BA" w:rsidRPr="00670D85" w:rsidRDefault="009E45BA" w:rsidP="00D37F3B">
    <w:pPr>
      <w:pStyle w:val="Header"/>
      <w:jc w:val="right"/>
    </w:pPr>
    <w:r>
      <w:t>Entity Additional Estimates Statements — Department of Finance</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ECA7" w14:textId="77777777" w:rsidR="009E45BA" w:rsidRPr="00670D85" w:rsidRDefault="009E45BA" w:rsidP="00D37F3B">
    <w:pPr>
      <w:pStyle w:val="Header"/>
      <w:jc w:val="right"/>
    </w:pPr>
    <w:r>
      <w:t>Entity Additional Estimates Statements — Department of Finance</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E560" w14:textId="77777777" w:rsidR="009E45BA" w:rsidRPr="00670D85" w:rsidRDefault="009E45BA" w:rsidP="00D37F3B">
    <w:pPr>
      <w:pStyle w:val="Header"/>
      <w:jc w:val="right"/>
    </w:pPr>
    <w:r>
      <w:t>Entity Additional Estimates Statements — Department of Finance</w:t>
    </w:r>
  </w:p>
  <w:p w14:paraId="497F6ADB" w14:textId="39DB1572" w:rsidR="009E45BA" w:rsidRDefault="009E45BA" w:rsidP="004C04CB">
    <w:pPr>
      <w:pStyle w:val="HeaderOdd"/>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3A55" w14:textId="3023153B" w:rsidR="009E45BA" w:rsidRPr="00AF4B12" w:rsidRDefault="009E45BA" w:rsidP="00FB37AA">
    <w:pPr>
      <w:pStyle w:val="HeaderOdd"/>
      <w:jc w:val="left"/>
    </w:pPr>
    <w:r>
      <w:t>Entity Additional Estimates Statements — Department of Finance</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C033" w14:textId="1E1B07E6" w:rsidR="009E45BA" w:rsidRPr="00AF4B12" w:rsidRDefault="009E45BA" w:rsidP="00FB37AA">
    <w:pPr>
      <w:pStyle w:val="HeaderOdd"/>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B77F" w14:textId="77777777" w:rsidR="009E45BA" w:rsidRDefault="009E45B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6766" w14:textId="77777777" w:rsidR="009E45BA" w:rsidRPr="00D87406" w:rsidRDefault="009E45BA" w:rsidP="00D87406">
    <w:pPr>
      <w:pStyle w:val="Header"/>
      <w:rPr>
        <w:lang w:val="en-AU"/>
      </w:rPr>
    </w:pPr>
    <w:r>
      <w:t xml:space="preserve">Entity Additional Estimates Statements — </w:t>
    </w:r>
    <w:r>
      <w:rPr>
        <w:lang w:val="en-AU"/>
      </w:rPr>
      <w:t>Australian Electoral Commission</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1143" w14:textId="77777777" w:rsidR="009E45BA" w:rsidRPr="00670D85" w:rsidRDefault="009E45BA" w:rsidP="00CC0BEA">
    <w:pPr>
      <w:pStyle w:val="Header"/>
      <w:jc w:val="righ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4E7D" w14:textId="77777777" w:rsidR="009E45BA" w:rsidRPr="00D87406" w:rsidRDefault="009E45BA" w:rsidP="00D87406">
    <w:pPr>
      <w:pStyle w:val="Header"/>
      <w:rPr>
        <w:lang w:val="en-AU"/>
      </w:rPr>
    </w:pPr>
    <w:r>
      <w:t xml:space="preserve">Entity Additional Estimates Statements — </w:t>
    </w:r>
    <w:r>
      <w:rPr>
        <w:lang w:val="en-AU"/>
      </w:rPr>
      <w:t>Australian Electoral Commission</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6AC1" w14:textId="0AA8338D" w:rsidR="009E45BA" w:rsidRPr="00D37F3B" w:rsidRDefault="009E45BA" w:rsidP="00D37F3B">
    <w:pPr>
      <w:pStyle w:val="Header"/>
      <w:rPr>
        <w:lang w:val="en-AU"/>
      </w:rPr>
    </w:pPr>
    <w:r>
      <w:t xml:space="preserve">Entity Additional Estimates Statements — </w:t>
    </w:r>
    <w:r>
      <w:rPr>
        <w:lang w:val="en-AU"/>
      </w:rPr>
      <w:t>Australian Electoral Commission</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6B0B4" w14:textId="77777777" w:rsidR="009E45BA" w:rsidRPr="00D87406" w:rsidRDefault="009E45BA">
    <w:pPr>
      <w:pStyle w:val="Header"/>
      <w:rPr>
        <w:lang w:val="en-AU"/>
      </w:rPr>
    </w:pPr>
    <w:r>
      <w:t xml:space="preserve">Entity Additional Estimates Statements — </w:t>
    </w:r>
    <w:r>
      <w:rPr>
        <w:lang w:val="en-AU"/>
      </w:rPr>
      <w:t>Australian Electoral Commission</w:t>
    </w:r>
  </w:p>
  <w:p w14:paraId="2F25BE36" w14:textId="77777777" w:rsidR="009E45BA" w:rsidRPr="00906FA2" w:rsidRDefault="009E45BA" w:rsidP="00E64C08">
    <w:pPr>
      <w:pStyle w:val="Header"/>
      <w:rPr>
        <w:lang w:val="en-AU"/>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AE86" w14:textId="77777777" w:rsidR="009E45BA" w:rsidRPr="00D87406" w:rsidRDefault="009E45BA">
    <w:pPr>
      <w:pStyle w:val="Header"/>
      <w:jc w:val="right"/>
      <w:rPr>
        <w:lang w:val="en-AU"/>
      </w:rPr>
    </w:pPr>
    <w:r>
      <w:t xml:space="preserve">Entity Additional Estimates Statements — </w:t>
    </w:r>
    <w:r>
      <w:rPr>
        <w:lang w:val="en-AU"/>
      </w:rPr>
      <w:t>Australian Electoral Commission</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A776" w14:textId="77777777" w:rsidR="009E45BA" w:rsidRPr="00D87406" w:rsidRDefault="009E45BA">
    <w:pPr>
      <w:pStyle w:val="Header"/>
      <w:jc w:val="right"/>
      <w:rPr>
        <w:lang w:val="en-AU"/>
      </w:rPr>
    </w:pPr>
    <w:r>
      <w:t xml:space="preserve">Entity Additional Estimates Statements — </w:t>
    </w:r>
    <w:r>
      <w:rPr>
        <w:lang w:val="en-AU"/>
      </w:rPr>
      <w:t>Australian Electoral Commission</w:t>
    </w:r>
  </w:p>
  <w:p w14:paraId="15BCEFD2" w14:textId="77777777" w:rsidR="009E45BA" w:rsidRPr="00F40462" w:rsidRDefault="009E45BA" w:rsidP="00D37F3B">
    <w:pPr>
      <w:pStyle w:val="Header"/>
      <w:jc w:val="both"/>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081BE" w14:textId="77777777" w:rsidR="009E45BA" w:rsidRPr="00D87406" w:rsidRDefault="009E45BA" w:rsidP="00A67512">
    <w:pPr>
      <w:pStyle w:val="Header"/>
      <w:rPr>
        <w:lang w:val="en-AU"/>
      </w:rPr>
    </w:pPr>
    <w:r>
      <w:t xml:space="preserve">Entity Additional Estimates Statements — </w:t>
    </w:r>
    <w:r>
      <w:rPr>
        <w:lang w:val="en-AU"/>
      </w:rPr>
      <w:t>Australian Electoral Commission</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39E4" w14:textId="77777777" w:rsidR="009E45BA" w:rsidRPr="00906FA2" w:rsidRDefault="009E45BA" w:rsidP="001C76BC">
    <w:pPr>
      <w:pStyle w:val="Header"/>
    </w:pPr>
    <w:r>
      <w:t>Entity Additional Estimates Statements — IPEA</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8065" w14:textId="77777777" w:rsidR="009E45BA" w:rsidRPr="00906FA2" w:rsidRDefault="009E45BA" w:rsidP="001C76BC">
    <w:pPr>
      <w:pStyle w:val="Header"/>
      <w:jc w:val="right"/>
    </w:pPr>
    <w:r>
      <w:t>Entity Additional Estimates Statements — IPEA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E434" w14:textId="77777777" w:rsidR="009E45BA" w:rsidRDefault="009E45B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6BDF" w14:textId="696BEEED" w:rsidR="009E45BA" w:rsidRPr="00503A6C" w:rsidRDefault="009E45BA" w:rsidP="00D37F3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3AA0" w14:textId="77777777" w:rsidR="009E45BA" w:rsidRPr="00906FA2" w:rsidRDefault="009E45BA" w:rsidP="00D37F3B">
    <w:pPr>
      <w:pStyle w:val="Header"/>
      <w:jc w:val="right"/>
    </w:pPr>
    <w:r>
      <w:t>Entity Additional Estimates Statements — IPEA</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157A" w14:textId="77777777" w:rsidR="009E45BA" w:rsidRPr="00906FA2" w:rsidRDefault="009E45BA" w:rsidP="00D37F3B">
    <w:pPr>
      <w:pStyle w:val="Header"/>
    </w:pPr>
    <w:r>
      <w:t>Entity Additional Estimates Statements — IPEA</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447ED" w14:textId="77777777" w:rsidR="009E45BA" w:rsidRPr="00906FA2" w:rsidRDefault="009E45BA" w:rsidP="002E0AAF">
    <w:pPr>
      <w:pStyle w:val="Header"/>
      <w:jc w:val="right"/>
    </w:pPr>
    <w:r>
      <w:t>Entity Additional Estimates Statements — IPEA</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16BB" w14:textId="77777777" w:rsidR="009E45BA" w:rsidRPr="0042698D" w:rsidRDefault="009E45BA" w:rsidP="001C76BC">
    <w:pPr>
      <w:pStyle w:val="Header"/>
      <w:rPr>
        <w:lang w:val="en-AU"/>
      </w:rPr>
    </w:pPr>
    <w:r>
      <w:rPr>
        <w:lang w:val="en-AU"/>
      </w:rPr>
      <w:t>Glossary</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4607" w14:textId="77777777" w:rsidR="009E45BA" w:rsidRPr="0042698D" w:rsidRDefault="009E45BA" w:rsidP="001C76BC">
    <w:pPr>
      <w:pStyle w:val="Header"/>
      <w:jc w:val="right"/>
      <w:rPr>
        <w:lang w:val="en-AU"/>
      </w:rPr>
    </w:pPr>
    <w:r>
      <w:rPr>
        <w:lang w:val="en-AU"/>
      </w:rPr>
      <w:t>Glossary</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FF11" w14:textId="77777777" w:rsidR="009E45BA" w:rsidRPr="0042698D" w:rsidRDefault="009E45BA" w:rsidP="004A3E26">
    <w:pPr>
      <w:pStyle w:val="Header"/>
      <w:rPr>
        <w:lang w:val="en-AU"/>
      </w:rPr>
    </w:pPr>
    <w:r>
      <w:rPr>
        <w:lang w:val="en-AU"/>
      </w:rPr>
      <w:t>Glossary</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5FDC" w14:textId="77777777" w:rsidR="009E45BA" w:rsidRDefault="009E45BA">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D7D1" w14:textId="77777777" w:rsidR="009E45BA" w:rsidRDefault="009E45BA">
    <w:pPr>
      <w:pStyle w:val="Header"/>
    </w:pPr>
    <w: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5C5"/>
    <w:multiLevelType w:val="hybridMultilevel"/>
    <w:tmpl w:val="EE22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33471"/>
    <w:multiLevelType w:val="multilevel"/>
    <w:tmpl w:val="412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6977EA1"/>
    <w:multiLevelType w:val="hybridMultilevel"/>
    <w:tmpl w:val="7662ED42"/>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EA3959"/>
    <w:multiLevelType w:val="multilevel"/>
    <w:tmpl w:val="269EC61C"/>
    <w:name w:val="Chart and Table Footnote Alpha Small"/>
    <w:lvl w:ilvl="0">
      <w:start w:val="1"/>
      <w:numFmt w:val="bullet"/>
      <w:pStyle w:val="ChartandTableFootnoteAlphaSmall"/>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4"/>
  </w:num>
  <w:num w:numId="2">
    <w:abstractNumId w:val="2"/>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6"/>
  </w:num>
  <w:num w:numId="10">
    <w:abstractNumId w:val="3"/>
  </w:num>
  <w:num w:numId="11">
    <w:abstractNumId w:val="1"/>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num>
  <w:num w:numId="39">
    <w:abstractNumId w:val="0"/>
  </w:num>
  <w:num w:numId="4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1360"/>
    <w:rsid w:val="00004333"/>
    <w:rsid w:val="00004CE4"/>
    <w:rsid w:val="00005E29"/>
    <w:rsid w:val="00007854"/>
    <w:rsid w:val="00007B03"/>
    <w:rsid w:val="00010511"/>
    <w:rsid w:val="0001091E"/>
    <w:rsid w:val="00013B41"/>
    <w:rsid w:val="00013C0D"/>
    <w:rsid w:val="0002274A"/>
    <w:rsid w:val="000229BF"/>
    <w:rsid w:val="000267FC"/>
    <w:rsid w:val="0003359A"/>
    <w:rsid w:val="00034F19"/>
    <w:rsid w:val="00035159"/>
    <w:rsid w:val="00037677"/>
    <w:rsid w:val="0004015F"/>
    <w:rsid w:val="00041B1F"/>
    <w:rsid w:val="00043BFF"/>
    <w:rsid w:val="00050FE6"/>
    <w:rsid w:val="000515E9"/>
    <w:rsid w:val="00052CB7"/>
    <w:rsid w:val="00065897"/>
    <w:rsid w:val="000662DC"/>
    <w:rsid w:val="000663E4"/>
    <w:rsid w:val="00066C8B"/>
    <w:rsid w:val="00070E92"/>
    <w:rsid w:val="0007721A"/>
    <w:rsid w:val="00077F00"/>
    <w:rsid w:val="00080C92"/>
    <w:rsid w:val="00081A0B"/>
    <w:rsid w:val="00081CBA"/>
    <w:rsid w:val="00081E07"/>
    <w:rsid w:val="0008347E"/>
    <w:rsid w:val="00084EF4"/>
    <w:rsid w:val="0009010F"/>
    <w:rsid w:val="00097F41"/>
    <w:rsid w:val="000A3249"/>
    <w:rsid w:val="000A3DD8"/>
    <w:rsid w:val="000B4F23"/>
    <w:rsid w:val="000B5080"/>
    <w:rsid w:val="000B5844"/>
    <w:rsid w:val="000B6397"/>
    <w:rsid w:val="000B70F2"/>
    <w:rsid w:val="000B7B84"/>
    <w:rsid w:val="000C0433"/>
    <w:rsid w:val="000C3374"/>
    <w:rsid w:val="000C3730"/>
    <w:rsid w:val="000C65AB"/>
    <w:rsid w:val="000C6C70"/>
    <w:rsid w:val="000D06B5"/>
    <w:rsid w:val="000D289E"/>
    <w:rsid w:val="000D47E3"/>
    <w:rsid w:val="000D6DEF"/>
    <w:rsid w:val="000D6E2A"/>
    <w:rsid w:val="000D7280"/>
    <w:rsid w:val="000E33CD"/>
    <w:rsid w:val="000E4C61"/>
    <w:rsid w:val="000F37E6"/>
    <w:rsid w:val="000F6716"/>
    <w:rsid w:val="001000AA"/>
    <w:rsid w:val="0010221E"/>
    <w:rsid w:val="0010280E"/>
    <w:rsid w:val="0010438C"/>
    <w:rsid w:val="00106558"/>
    <w:rsid w:val="00107F3E"/>
    <w:rsid w:val="001130AC"/>
    <w:rsid w:val="00114E90"/>
    <w:rsid w:val="001202F0"/>
    <w:rsid w:val="001217B7"/>
    <w:rsid w:val="001222F0"/>
    <w:rsid w:val="00123BFB"/>
    <w:rsid w:val="00124105"/>
    <w:rsid w:val="00126251"/>
    <w:rsid w:val="001262AB"/>
    <w:rsid w:val="001268F7"/>
    <w:rsid w:val="00132748"/>
    <w:rsid w:val="00134C11"/>
    <w:rsid w:val="00135C33"/>
    <w:rsid w:val="00136507"/>
    <w:rsid w:val="00136E15"/>
    <w:rsid w:val="0013756B"/>
    <w:rsid w:val="00137600"/>
    <w:rsid w:val="00140F6E"/>
    <w:rsid w:val="00141D77"/>
    <w:rsid w:val="00142854"/>
    <w:rsid w:val="001436E5"/>
    <w:rsid w:val="001465AD"/>
    <w:rsid w:val="0014702B"/>
    <w:rsid w:val="00147274"/>
    <w:rsid w:val="001507FB"/>
    <w:rsid w:val="00150DB4"/>
    <w:rsid w:val="001546BB"/>
    <w:rsid w:val="00161F54"/>
    <w:rsid w:val="00165D31"/>
    <w:rsid w:val="00166803"/>
    <w:rsid w:val="00166AB8"/>
    <w:rsid w:val="00167953"/>
    <w:rsid w:val="001744B6"/>
    <w:rsid w:val="0017469A"/>
    <w:rsid w:val="00174C8A"/>
    <w:rsid w:val="00175180"/>
    <w:rsid w:val="00176054"/>
    <w:rsid w:val="001779AF"/>
    <w:rsid w:val="00180E14"/>
    <w:rsid w:val="00183126"/>
    <w:rsid w:val="00184273"/>
    <w:rsid w:val="0018719D"/>
    <w:rsid w:val="00192802"/>
    <w:rsid w:val="00192A5F"/>
    <w:rsid w:val="0019340E"/>
    <w:rsid w:val="00193704"/>
    <w:rsid w:val="00193FEB"/>
    <w:rsid w:val="001943F1"/>
    <w:rsid w:val="00194616"/>
    <w:rsid w:val="001949E8"/>
    <w:rsid w:val="0019528E"/>
    <w:rsid w:val="00195563"/>
    <w:rsid w:val="001A186D"/>
    <w:rsid w:val="001A1C55"/>
    <w:rsid w:val="001A3F6B"/>
    <w:rsid w:val="001A7D0D"/>
    <w:rsid w:val="001B1E37"/>
    <w:rsid w:val="001C2722"/>
    <w:rsid w:val="001C3660"/>
    <w:rsid w:val="001C5388"/>
    <w:rsid w:val="001C53F2"/>
    <w:rsid w:val="001C76BC"/>
    <w:rsid w:val="001C7715"/>
    <w:rsid w:val="001D1D26"/>
    <w:rsid w:val="001D4659"/>
    <w:rsid w:val="001D491D"/>
    <w:rsid w:val="001E0F8F"/>
    <w:rsid w:val="001E1BB6"/>
    <w:rsid w:val="001E2260"/>
    <w:rsid w:val="001E3E83"/>
    <w:rsid w:val="001E4872"/>
    <w:rsid w:val="001E4A2D"/>
    <w:rsid w:val="001E5518"/>
    <w:rsid w:val="001E7047"/>
    <w:rsid w:val="001F0092"/>
    <w:rsid w:val="001F46A6"/>
    <w:rsid w:val="001F766E"/>
    <w:rsid w:val="00200B41"/>
    <w:rsid w:val="0020337B"/>
    <w:rsid w:val="0020754F"/>
    <w:rsid w:val="002126C6"/>
    <w:rsid w:val="00213A28"/>
    <w:rsid w:val="00221A4B"/>
    <w:rsid w:val="00221A5A"/>
    <w:rsid w:val="00221E2A"/>
    <w:rsid w:val="00223058"/>
    <w:rsid w:val="002230B9"/>
    <w:rsid w:val="0022327D"/>
    <w:rsid w:val="002243CF"/>
    <w:rsid w:val="00224F95"/>
    <w:rsid w:val="00226BC6"/>
    <w:rsid w:val="00230083"/>
    <w:rsid w:val="00230BD3"/>
    <w:rsid w:val="002322E9"/>
    <w:rsid w:val="0023233B"/>
    <w:rsid w:val="00233AE8"/>
    <w:rsid w:val="002354AC"/>
    <w:rsid w:val="00237039"/>
    <w:rsid w:val="00237790"/>
    <w:rsid w:val="002406AD"/>
    <w:rsid w:val="0024247A"/>
    <w:rsid w:val="00242560"/>
    <w:rsid w:val="00243A1A"/>
    <w:rsid w:val="00244E40"/>
    <w:rsid w:val="00245CD1"/>
    <w:rsid w:val="00245EA6"/>
    <w:rsid w:val="00246884"/>
    <w:rsid w:val="002506F1"/>
    <w:rsid w:val="00250F15"/>
    <w:rsid w:val="00252DC2"/>
    <w:rsid w:val="0026051F"/>
    <w:rsid w:val="00264523"/>
    <w:rsid w:val="00270269"/>
    <w:rsid w:val="00272B20"/>
    <w:rsid w:val="00273E70"/>
    <w:rsid w:val="00274EB3"/>
    <w:rsid w:val="00280D94"/>
    <w:rsid w:val="0028230B"/>
    <w:rsid w:val="0028272C"/>
    <w:rsid w:val="00286317"/>
    <w:rsid w:val="00286697"/>
    <w:rsid w:val="00292683"/>
    <w:rsid w:val="00294BCA"/>
    <w:rsid w:val="002A14ED"/>
    <w:rsid w:val="002A19FF"/>
    <w:rsid w:val="002A272D"/>
    <w:rsid w:val="002A2A2C"/>
    <w:rsid w:val="002A3DD7"/>
    <w:rsid w:val="002A6A15"/>
    <w:rsid w:val="002A70ED"/>
    <w:rsid w:val="002B0C37"/>
    <w:rsid w:val="002B24B5"/>
    <w:rsid w:val="002B5CB5"/>
    <w:rsid w:val="002C2651"/>
    <w:rsid w:val="002C48C5"/>
    <w:rsid w:val="002C505F"/>
    <w:rsid w:val="002C781F"/>
    <w:rsid w:val="002D1B14"/>
    <w:rsid w:val="002D394D"/>
    <w:rsid w:val="002D5545"/>
    <w:rsid w:val="002D68E9"/>
    <w:rsid w:val="002D69C3"/>
    <w:rsid w:val="002D78B8"/>
    <w:rsid w:val="002E0AAF"/>
    <w:rsid w:val="002E474B"/>
    <w:rsid w:val="002E5E71"/>
    <w:rsid w:val="002E692E"/>
    <w:rsid w:val="002F36D9"/>
    <w:rsid w:val="00304E76"/>
    <w:rsid w:val="00306FF4"/>
    <w:rsid w:val="00307A5C"/>
    <w:rsid w:val="00311529"/>
    <w:rsid w:val="003129EB"/>
    <w:rsid w:val="00313371"/>
    <w:rsid w:val="003137E5"/>
    <w:rsid w:val="003203F2"/>
    <w:rsid w:val="00321EC0"/>
    <w:rsid w:val="00323672"/>
    <w:rsid w:val="00325A5A"/>
    <w:rsid w:val="00327424"/>
    <w:rsid w:val="003336A6"/>
    <w:rsid w:val="00333EF1"/>
    <w:rsid w:val="00336EAC"/>
    <w:rsid w:val="00337167"/>
    <w:rsid w:val="0034347C"/>
    <w:rsid w:val="003472B3"/>
    <w:rsid w:val="0035086F"/>
    <w:rsid w:val="00351674"/>
    <w:rsid w:val="003553EB"/>
    <w:rsid w:val="00356D02"/>
    <w:rsid w:val="00360D95"/>
    <w:rsid w:val="00360F76"/>
    <w:rsid w:val="0036285B"/>
    <w:rsid w:val="0036637F"/>
    <w:rsid w:val="00370629"/>
    <w:rsid w:val="003709E5"/>
    <w:rsid w:val="00371CA8"/>
    <w:rsid w:val="00371DF2"/>
    <w:rsid w:val="003748D5"/>
    <w:rsid w:val="003756BD"/>
    <w:rsid w:val="003829CC"/>
    <w:rsid w:val="00386AC4"/>
    <w:rsid w:val="0038784C"/>
    <w:rsid w:val="00390354"/>
    <w:rsid w:val="0039046F"/>
    <w:rsid w:val="0039195F"/>
    <w:rsid w:val="00391CDB"/>
    <w:rsid w:val="00392181"/>
    <w:rsid w:val="0039259E"/>
    <w:rsid w:val="00393289"/>
    <w:rsid w:val="003962BF"/>
    <w:rsid w:val="00396EDD"/>
    <w:rsid w:val="00397AD9"/>
    <w:rsid w:val="003A09B7"/>
    <w:rsid w:val="003A0F90"/>
    <w:rsid w:val="003A1C3B"/>
    <w:rsid w:val="003A50D5"/>
    <w:rsid w:val="003B7884"/>
    <w:rsid w:val="003C0E26"/>
    <w:rsid w:val="003C5C6A"/>
    <w:rsid w:val="003C7D75"/>
    <w:rsid w:val="003D740D"/>
    <w:rsid w:val="003E364D"/>
    <w:rsid w:val="003E3AC0"/>
    <w:rsid w:val="003E4BAB"/>
    <w:rsid w:val="003E5422"/>
    <w:rsid w:val="003E56B0"/>
    <w:rsid w:val="00400F22"/>
    <w:rsid w:val="00401D29"/>
    <w:rsid w:val="004033E0"/>
    <w:rsid w:val="00406C69"/>
    <w:rsid w:val="004119ED"/>
    <w:rsid w:val="00411D6F"/>
    <w:rsid w:val="004153A4"/>
    <w:rsid w:val="00417601"/>
    <w:rsid w:val="00417671"/>
    <w:rsid w:val="00417F08"/>
    <w:rsid w:val="00420013"/>
    <w:rsid w:val="00422025"/>
    <w:rsid w:val="00422E0D"/>
    <w:rsid w:val="0042389B"/>
    <w:rsid w:val="0042403B"/>
    <w:rsid w:val="004249BD"/>
    <w:rsid w:val="00424E42"/>
    <w:rsid w:val="004254A3"/>
    <w:rsid w:val="0042698D"/>
    <w:rsid w:val="0042737D"/>
    <w:rsid w:val="0042762D"/>
    <w:rsid w:val="00430179"/>
    <w:rsid w:val="004316D1"/>
    <w:rsid w:val="004345E7"/>
    <w:rsid w:val="004372D0"/>
    <w:rsid w:val="00442229"/>
    <w:rsid w:val="004465BA"/>
    <w:rsid w:val="00447FEF"/>
    <w:rsid w:val="004503FA"/>
    <w:rsid w:val="00454041"/>
    <w:rsid w:val="00455218"/>
    <w:rsid w:val="00455F0F"/>
    <w:rsid w:val="00456A63"/>
    <w:rsid w:val="004600AE"/>
    <w:rsid w:val="004673EC"/>
    <w:rsid w:val="00470D18"/>
    <w:rsid w:val="004712B7"/>
    <w:rsid w:val="004726ED"/>
    <w:rsid w:val="00475448"/>
    <w:rsid w:val="0047566D"/>
    <w:rsid w:val="0047633F"/>
    <w:rsid w:val="004775B2"/>
    <w:rsid w:val="004825D1"/>
    <w:rsid w:val="00484590"/>
    <w:rsid w:val="00484CB3"/>
    <w:rsid w:val="0048531B"/>
    <w:rsid w:val="0048620D"/>
    <w:rsid w:val="00491A08"/>
    <w:rsid w:val="004927A7"/>
    <w:rsid w:val="004A2942"/>
    <w:rsid w:val="004A3E26"/>
    <w:rsid w:val="004A541E"/>
    <w:rsid w:val="004A548B"/>
    <w:rsid w:val="004A5D4C"/>
    <w:rsid w:val="004A6255"/>
    <w:rsid w:val="004B2864"/>
    <w:rsid w:val="004B31C5"/>
    <w:rsid w:val="004B4149"/>
    <w:rsid w:val="004B5C5D"/>
    <w:rsid w:val="004B5E4A"/>
    <w:rsid w:val="004B6E42"/>
    <w:rsid w:val="004B76DC"/>
    <w:rsid w:val="004C04CB"/>
    <w:rsid w:val="004C0BD7"/>
    <w:rsid w:val="004C12D6"/>
    <w:rsid w:val="004C4F3E"/>
    <w:rsid w:val="004C7038"/>
    <w:rsid w:val="004D3886"/>
    <w:rsid w:val="004D3E2B"/>
    <w:rsid w:val="004D418D"/>
    <w:rsid w:val="004D41E3"/>
    <w:rsid w:val="004D4533"/>
    <w:rsid w:val="004D46D7"/>
    <w:rsid w:val="004D70FE"/>
    <w:rsid w:val="004D711D"/>
    <w:rsid w:val="004E017C"/>
    <w:rsid w:val="004E11CA"/>
    <w:rsid w:val="004E1872"/>
    <w:rsid w:val="004E3104"/>
    <w:rsid w:val="004E4187"/>
    <w:rsid w:val="004E6669"/>
    <w:rsid w:val="004F14E4"/>
    <w:rsid w:val="004F73C1"/>
    <w:rsid w:val="00500554"/>
    <w:rsid w:val="00502B76"/>
    <w:rsid w:val="00503A6C"/>
    <w:rsid w:val="005042A4"/>
    <w:rsid w:val="00507D14"/>
    <w:rsid w:val="00511266"/>
    <w:rsid w:val="00512831"/>
    <w:rsid w:val="0051350D"/>
    <w:rsid w:val="005151B0"/>
    <w:rsid w:val="0051627E"/>
    <w:rsid w:val="00520ECC"/>
    <w:rsid w:val="0052227C"/>
    <w:rsid w:val="00523531"/>
    <w:rsid w:val="005269F0"/>
    <w:rsid w:val="00533B16"/>
    <w:rsid w:val="00535BEC"/>
    <w:rsid w:val="00535DB1"/>
    <w:rsid w:val="005366D4"/>
    <w:rsid w:val="00541613"/>
    <w:rsid w:val="00541BE0"/>
    <w:rsid w:val="00541D82"/>
    <w:rsid w:val="005421DF"/>
    <w:rsid w:val="005433AF"/>
    <w:rsid w:val="00543489"/>
    <w:rsid w:val="00543672"/>
    <w:rsid w:val="0054405A"/>
    <w:rsid w:val="00545927"/>
    <w:rsid w:val="00547016"/>
    <w:rsid w:val="00547069"/>
    <w:rsid w:val="00550253"/>
    <w:rsid w:val="00552630"/>
    <w:rsid w:val="00552885"/>
    <w:rsid w:val="005554F9"/>
    <w:rsid w:val="00557137"/>
    <w:rsid w:val="00560F94"/>
    <w:rsid w:val="0056239E"/>
    <w:rsid w:val="00564C0F"/>
    <w:rsid w:val="00564C56"/>
    <w:rsid w:val="005724F4"/>
    <w:rsid w:val="00573402"/>
    <w:rsid w:val="00574B74"/>
    <w:rsid w:val="00574D0D"/>
    <w:rsid w:val="00575269"/>
    <w:rsid w:val="005762FE"/>
    <w:rsid w:val="00584EEB"/>
    <w:rsid w:val="005852E3"/>
    <w:rsid w:val="005866EE"/>
    <w:rsid w:val="00586E41"/>
    <w:rsid w:val="00593B0B"/>
    <w:rsid w:val="005966D0"/>
    <w:rsid w:val="00596C82"/>
    <w:rsid w:val="005A4A29"/>
    <w:rsid w:val="005A698A"/>
    <w:rsid w:val="005B1BC8"/>
    <w:rsid w:val="005B1F84"/>
    <w:rsid w:val="005B2FBA"/>
    <w:rsid w:val="005B3016"/>
    <w:rsid w:val="005B3509"/>
    <w:rsid w:val="005B3EA0"/>
    <w:rsid w:val="005B5124"/>
    <w:rsid w:val="005B574A"/>
    <w:rsid w:val="005C00E8"/>
    <w:rsid w:val="005C6257"/>
    <w:rsid w:val="005D1C4E"/>
    <w:rsid w:val="005D407E"/>
    <w:rsid w:val="005D48A6"/>
    <w:rsid w:val="005D73BF"/>
    <w:rsid w:val="005D78DB"/>
    <w:rsid w:val="005E1F0B"/>
    <w:rsid w:val="005E6794"/>
    <w:rsid w:val="005E7B5B"/>
    <w:rsid w:val="005F2824"/>
    <w:rsid w:val="005F375D"/>
    <w:rsid w:val="005F384B"/>
    <w:rsid w:val="005F3DC1"/>
    <w:rsid w:val="005F6D5F"/>
    <w:rsid w:val="005F71AF"/>
    <w:rsid w:val="005F788E"/>
    <w:rsid w:val="00601A87"/>
    <w:rsid w:val="006030AA"/>
    <w:rsid w:val="00604771"/>
    <w:rsid w:val="006050E7"/>
    <w:rsid w:val="00605DEC"/>
    <w:rsid w:val="006127D0"/>
    <w:rsid w:val="00617C2B"/>
    <w:rsid w:val="00621956"/>
    <w:rsid w:val="006223A7"/>
    <w:rsid w:val="00622A38"/>
    <w:rsid w:val="00623714"/>
    <w:rsid w:val="00625C8C"/>
    <w:rsid w:val="00626AFD"/>
    <w:rsid w:val="006341D7"/>
    <w:rsid w:val="0063528A"/>
    <w:rsid w:val="0064123B"/>
    <w:rsid w:val="00642EC1"/>
    <w:rsid w:val="00643B7D"/>
    <w:rsid w:val="006447EE"/>
    <w:rsid w:val="006465A9"/>
    <w:rsid w:val="00650545"/>
    <w:rsid w:val="00650FD3"/>
    <w:rsid w:val="00654304"/>
    <w:rsid w:val="00654B5B"/>
    <w:rsid w:val="00657431"/>
    <w:rsid w:val="006579E5"/>
    <w:rsid w:val="00660B11"/>
    <w:rsid w:val="00660CD5"/>
    <w:rsid w:val="0066225A"/>
    <w:rsid w:val="00663089"/>
    <w:rsid w:val="006641EE"/>
    <w:rsid w:val="00666127"/>
    <w:rsid w:val="00666348"/>
    <w:rsid w:val="006665FC"/>
    <w:rsid w:val="00670D85"/>
    <w:rsid w:val="00674914"/>
    <w:rsid w:val="00674FF1"/>
    <w:rsid w:val="0068037A"/>
    <w:rsid w:val="00682961"/>
    <w:rsid w:val="0068356C"/>
    <w:rsid w:val="006839FC"/>
    <w:rsid w:val="0068602E"/>
    <w:rsid w:val="00686F5C"/>
    <w:rsid w:val="006916F5"/>
    <w:rsid w:val="006930EB"/>
    <w:rsid w:val="00693269"/>
    <w:rsid w:val="00694E7E"/>
    <w:rsid w:val="006A2FB6"/>
    <w:rsid w:val="006A362E"/>
    <w:rsid w:val="006A4182"/>
    <w:rsid w:val="006A5195"/>
    <w:rsid w:val="006B0608"/>
    <w:rsid w:val="006B1D05"/>
    <w:rsid w:val="006B3603"/>
    <w:rsid w:val="006B4634"/>
    <w:rsid w:val="006C14DE"/>
    <w:rsid w:val="006C4D86"/>
    <w:rsid w:val="006C7442"/>
    <w:rsid w:val="006D2873"/>
    <w:rsid w:val="006D67EF"/>
    <w:rsid w:val="006E165C"/>
    <w:rsid w:val="006E16D5"/>
    <w:rsid w:val="006E2555"/>
    <w:rsid w:val="006E26A4"/>
    <w:rsid w:val="006E4CE9"/>
    <w:rsid w:val="006E7940"/>
    <w:rsid w:val="006E7CCA"/>
    <w:rsid w:val="006F19D3"/>
    <w:rsid w:val="006F23BE"/>
    <w:rsid w:val="006F324B"/>
    <w:rsid w:val="006F4FF8"/>
    <w:rsid w:val="006F7895"/>
    <w:rsid w:val="007008EC"/>
    <w:rsid w:val="00701B3C"/>
    <w:rsid w:val="00704A42"/>
    <w:rsid w:val="00705DF7"/>
    <w:rsid w:val="00706A98"/>
    <w:rsid w:val="00706C4D"/>
    <w:rsid w:val="00706E56"/>
    <w:rsid w:val="00710147"/>
    <w:rsid w:val="0071086F"/>
    <w:rsid w:val="00710B72"/>
    <w:rsid w:val="0071608B"/>
    <w:rsid w:val="007168FE"/>
    <w:rsid w:val="007201ED"/>
    <w:rsid w:val="007227D5"/>
    <w:rsid w:val="00722A33"/>
    <w:rsid w:val="00725558"/>
    <w:rsid w:val="00726A60"/>
    <w:rsid w:val="0072718A"/>
    <w:rsid w:val="00733403"/>
    <w:rsid w:val="007336FC"/>
    <w:rsid w:val="007356B6"/>
    <w:rsid w:val="00736907"/>
    <w:rsid w:val="00737439"/>
    <w:rsid w:val="0073762B"/>
    <w:rsid w:val="00742CB6"/>
    <w:rsid w:val="007434AE"/>
    <w:rsid w:val="00744B03"/>
    <w:rsid w:val="00745CBB"/>
    <w:rsid w:val="00750272"/>
    <w:rsid w:val="0075306B"/>
    <w:rsid w:val="00754E60"/>
    <w:rsid w:val="0075500F"/>
    <w:rsid w:val="00755EB5"/>
    <w:rsid w:val="007644BB"/>
    <w:rsid w:val="0076466B"/>
    <w:rsid w:val="007651FA"/>
    <w:rsid w:val="0076711B"/>
    <w:rsid w:val="007703A4"/>
    <w:rsid w:val="0077308A"/>
    <w:rsid w:val="00774485"/>
    <w:rsid w:val="0077534D"/>
    <w:rsid w:val="007766EE"/>
    <w:rsid w:val="00776C93"/>
    <w:rsid w:val="00776CAC"/>
    <w:rsid w:val="007810E3"/>
    <w:rsid w:val="0078466D"/>
    <w:rsid w:val="00785550"/>
    <w:rsid w:val="00791517"/>
    <w:rsid w:val="0079249B"/>
    <w:rsid w:val="007949D6"/>
    <w:rsid w:val="007963D7"/>
    <w:rsid w:val="00797BBD"/>
    <w:rsid w:val="00797E8B"/>
    <w:rsid w:val="007A29F8"/>
    <w:rsid w:val="007A369D"/>
    <w:rsid w:val="007A3931"/>
    <w:rsid w:val="007A46ED"/>
    <w:rsid w:val="007B1343"/>
    <w:rsid w:val="007B3DA1"/>
    <w:rsid w:val="007B4EA6"/>
    <w:rsid w:val="007B58CE"/>
    <w:rsid w:val="007B59FB"/>
    <w:rsid w:val="007C0692"/>
    <w:rsid w:val="007C521E"/>
    <w:rsid w:val="007D18F8"/>
    <w:rsid w:val="007D25AD"/>
    <w:rsid w:val="007D48CC"/>
    <w:rsid w:val="007D49E4"/>
    <w:rsid w:val="007D4D53"/>
    <w:rsid w:val="007D5358"/>
    <w:rsid w:val="007D74C9"/>
    <w:rsid w:val="007E3A67"/>
    <w:rsid w:val="007E4B42"/>
    <w:rsid w:val="007E5423"/>
    <w:rsid w:val="007E5A21"/>
    <w:rsid w:val="007E69CB"/>
    <w:rsid w:val="007E6B56"/>
    <w:rsid w:val="007F19BF"/>
    <w:rsid w:val="007F1B6A"/>
    <w:rsid w:val="007F39AE"/>
    <w:rsid w:val="007F4DD1"/>
    <w:rsid w:val="007F62FE"/>
    <w:rsid w:val="007F7130"/>
    <w:rsid w:val="007F71ED"/>
    <w:rsid w:val="007F72B0"/>
    <w:rsid w:val="007F7756"/>
    <w:rsid w:val="00800904"/>
    <w:rsid w:val="00801D0C"/>
    <w:rsid w:val="008038FA"/>
    <w:rsid w:val="008041B6"/>
    <w:rsid w:val="00805B89"/>
    <w:rsid w:val="00805D3A"/>
    <w:rsid w:val="008104D4"/>
    <w:rsid w:val="00810DB8"/>
    <w:rsid w:val="0081119E"/>
    <w:rsid w:val="00813025"/>
    <w:rsid w:val="00815915"/>
    <w:rsid w:val="00817DE7"/>
    <w:rsid w:val="008215CF"/>
    <w:rsid w:val="0082225F"/>
    <w:rsid w:val="00824F5A"/>
    <w:rsid w:val="008251FF"/>
    <w:rsid w:val="008252CB"/>
    <w:rsid w:val="0083015C"/>
    <w:rsid w:val="0083469B"/>
    <w:rsid w:val="00835DDC"/>
    <w:rsid w:val="00842573"/>
    <w:rsid w:val="00842C17"/>
    <w:rsid w:val="00845E3E"/>
    <w:rsid w:val="00846879"/>
    <w:rsid w:val="0085031C"/>
    <w:rsid w:val="0085098A"/>
    <w:rsid w:val="00852752"/>
    <w:rsid w:val="00852F42"/>
    <w:rsid w:val="008534F9"/>
    <w:rsid w:val="00855105"/>
    <w:rsid w:val="00862E94"/>
    <w:rsid w:val="00863373"/>
    <w:rsid w:val="008701DC"/>
    <w:rsid w:val="008712FF"/>
    <w:rsid w:val="00871C50"/>
    <w:rsid w:val="008745EC"/>
    <w:rsid w:val="00874FD6"/>
    <w:rsid w:val="008804E7"/>
    <w:rsid w:val="00881200"/>
    <w:rsid w:val="008828CE"/>
    <w:rsid w:val="008846DB"/>
    <w:rsid w:val="00893330"/>
    <w:rsid w:val="0089686B"/>
    <w:rsid w:val="00896C2F"/>
    <w:rsid w:val="008A0393"/>
    <w:rsid w:val="008A43F2"/>
    <w:rsid w:val="008A5F47"/>
    <w:rsid w:val="008A6813"/>
    <w:rsid w:val="008A753F"/>
    <w:rsid w:val="008B34E5"/>
    <w:rsid w:val="008B7C04"/>
    <w:rsid w:val="008C18A5"/>
    <w:rsid w:val="008C521E"/>
    <w:rsid w:val="008C72D1"/>
    <w:rsid w:val="008D30B9"/>
    <w:rsid w:val="008D3959"/>
    <w:rsid w:val="008D4221"/>
    <w:rsid w:val="008D4F88"/>
    <w:rsid w:val="008D56F6"/>
    <w:rsid w:val="008D57E4"/>
    <w:rsid w:val="008D6A75"/>
    <w:rsid w:val="008D79D6"/>
    <w:rsid w:val="008E0E73"/>
    <w:rsid w:val="008E15E2"/>
    <w:rsid w:val="008E1967"/>
    <w:rsid w:val="008E1EA4"/>
    <w:rsid w:val="008E25FD"/>
    <w:rsid w:val="008E728F"/>
    <w:rsid w:val="008F3986"/>
    <w:rsid w:val="008F3B77"/>
    <w:rsid w:val="008F754F"/>
    <w:rsid w:val="008F77A2"/>
    <w:rsid w:val="0090206F"/>
    <w:rsid w:val="00905B3A"/>
    <w:rsid w:val="00906FA2"/>
    <w:rsid w:val="009111C4"/>
    <w:rsid w:val="009138A0"/>
    <w:rsid w:val="00913A7A"/>
    <w:rsid w:val="00914A3E"/>
    <w:rsid w:val="009157A4"/>
    <w:rsid w:val="009223F8"/>
    <w:rsid w:val="00925688"/>
    <w:rsid w:val="0092657C"/>
    <w:rsid w:val="00931238"/>
    <w:rsid w:val="00931DE0"/>
    <w:rsid w:val="00932E2C"/>
    <w:rsid w:val="00933282"/>
    <w:rsid w:val="009335FC"/>
    <w:rsid w:val="00936B35"/>
    <w:rsid w:val="00937AAD"/>
    <w:rsid w:val="009406E3"/>
    <w:rsid w:val="009411B5"/>
    <w:rsid w:val="00941438"/>
    <w:rsid w:val="00941A17"/>
    <w:rsid w:val="00941A6A"/>
    <w:rsid w:val="00945357"/>
    <w:rsid w:val="00945FEB"/>
    <w:rsid w:val="00946C0D"/>
    <w:rsid w:val="0095283F"/>
    <w:rsid w:val="00954B7B"/>
    <w:rsid w:val="00955715"/>
    <w:rsid w:val="0095620B"/>
    <w:rsid w:val="009563CF"/>
    <w:rsid w:val="0095744B"/>
    <w:rsid w:val="00960353"/>
    <w:rsid w:val="0096313B"/>
    <w:rsid w:val="00966AA9"/>
    <w:rsid w:val="0096764F"/>
    <w:rsid w:val="00970264"/>
    <w:rsid w:val="009739F7"/>
    <w:rsid w:val="009758F8"/>
    <w:rsid w:val="0097614B"/>
    <w:rsid w:val="00976C31"/>
    <w:rsid w:val="00977DD5"/>
    <w:rsid w:val="0098080E"/>
    <w:rsid w:val="00980B2C"/>
    <w:rsid w:val="00980F8F"/>
    <w:rsid w:val="00982760"/>
    <w:rsid w:val="00982DEC"/>
    <w:rsid w:val="0098343F"/>
    <w:rsid w:val="00983995"/>
    <w:rsid w:val="00987789"/>
    <w:rsid w:val="0099113A"/>
    <w:rsid w:val="009932F5"/>
    <w:rsid w:val="00995A6E"/>
    <w:rsid w:val="009A4D07"/>
    <w:rsid w:val="009A6E95"/>
    <w:rsid w:val="009A79C1"/>
    <w:rsid w:val="009B4F32"/>
    <w:rsid w:val="009B51A2"/>
    <w:rsid w:val="009B5F07"/>
    <w:rsid w:val="009C0F2F"/>
    <w:rsid w:val="009C3377"/>
    <w:rsid w:val="009C33E9"/>
    <w:rsid w:val="009C5015"/>
    <w:rsid w:val="009C73E0"/>
    <w:rsid w:val="009D2566"/>
    <w:rsid w:val="009D4599"/>
    <w:rsid w:val="009D4B20"/>
    <w:rsid w:val="009D54F9"/>
    <w:rsid w:val="009D5FE2"/>
    <w:rsid w:val="009D76DE"/>
    <w:rsid w:val="009D7D47"/>
    <w:rsid w:val="009E45BA"/>
    <w:rsid w:val="009E488C"/>
    <w:rsid w:val="009E512C"/>
    <w:rsid w:val="009E5300"/>
    <w:rsid w:val="009E6C51"/>
    <w:rsid w:val="009F003F"/>
    <w:rsid w:val="009F015F"/>
    <w:rsid w:val="009F272D"/>
    <w:rsid w:val="009F363C"/>
    <w:rsid w:val="009F4338"/>
    <w:rsid w:val="009F5CC1"/>
    <w:rsid w:val="00A0524E"/>
    <w:rsid w:val="00A073FD"/>
    <w:rsid w:val="00A10F6A"/>
    <w:rsid w:val="00A110CB"/>
    <w:rsid w:val="00A1234B"/>
    <w:rsid w:val="00A156A3"/>
    <w:rsid w:val="00A22A5B"/>
    <w:rsid w:val="00A245CE"/>
    <w:rsid w:val="00A24674"/>
    <w:rsid w:val="00A24B8D"/>
    <w:rsid w:val="00A25E7B"/>
    <w:rsid w:val="00A3097B"/>
    <w:rsid w:val="00A309AA"/>
    <w:rsid w:val="00A310B1"/>
    <w:rsid w:val="00A32C0D"/>
    <w:rsid w:val="00A33A5F"/>
    <w:rsid w:val="00A357EB"/>
    <w:rsid w:val="00A37941"/>
    <w:rsid w:val="00A40EBD"/>
    <w:rsid w:val="00A455A0"/>
    <w:rsid w:val="00A45D03"/>
    <w:rsid w:val="00A552AD"/>
    <w:rsid w:val="00A55F1D"/>
    <w:rsid w:val="00A577E7"/>
    <w:rsid w:val="00A61DFC"/>
    <w:rsid w:val="00A64635"/>
    <w:rsid w:val="00A657FF"/>
    <w:rsid w:val="00A67512"/>
    <w:rsid w:val="00A7055A"/>
    <w:rsid w:val="00A71499"/>
    <w:rsid w:val="00A715E2"/>
    <w:rsid w:val="00A71638"/>
    <w:rsid w:val="00A71B28"/>
    <w:rsid w:val="00A720E9"/>
    <w:rsid w:val="00A73170"/>
    <w:rsid w:val="00A75442"/>
    <w:rsid w:val="00A754E0"/>
    <w:rsid w:val="00A77FAD"/>
    <w:rsid w:val="00A804ED"/>
    <w:rsid w:val="00A810C3"/>
    <w:rsid w:val="00A81706"/>
    <w:rsid w:val="00A81944"/>
    <w:rsid w:val="00A81E21"/>
    <w:rsid w:val="00A84050"/>
    <w:rsid w:val="00A87546"/>
    <w:rsid w:val="00A920F2"/>
    <w:rsid w:val="00A9394D"/>
    <w:rsid w:val="00A93C8E"/>
    <w:rsid w:val="00A94F3F"/>
    <w:rsid w:val="00AA0090"/>
    <w:rsid w:val="00AA5656"/>
    <w:rsid w:val="00AB2DC2"/>
    <w:rsid w:val="00AB2F5F"/>
    <w:rsid w:val="00AC32A4"/>
    <w:rsid w:val="00AC331E"/>
    <w:rsid w:val="00AC4D6E"/>
    <w:rsid w:val="00AC530C"/>
    <w:rsid w:val="00AC6E1C"/>
    <w:rsid w:val="00AD097A"/>
    <w:rsid w:val="00AD0A14"/>
    <w:rsid w:val="00AD1826"/>
    <w:rsid w:val="00AD3B76"/>
    <w:rsid w:val="00AD5174"/>
    <w:rsid w:val="00AE22AB"/>
    <w:rsid w:val="00AE29BE"/>
    <w:rsid w:val="00AE4899"/>
    <w:rsid w:val="00AE6133"/>
    <w:rsid w:val="00AE7172"/>
    <w:rsid w:val="00AF18AD"/>
    <w:rsid w:val="00AF1AC3"/>
    <w:rsid w:val="00AF2DC9"/>
    <w:rsid w:val="00AF309F"/>
    <w:rsid w:val="00AF3A66"/>
    <w:rsid w:val="00AF42F2"/>
    <w:rsid w:val="00AF489C"/>
    <w:rsid w:val="00AF4B12"/>
    <w:rsid w:val="00B05716"/>
    <w:rsid w:val="00B07921"/>
    <w:rsid w:val="00B12ED5"/>
    <w:rsid w:val="00B133E0"/>
    <w:rsid w:val="00B13D65"/>
    <w:rsid w:val="00B15A98"/>
    <w:rsid w:val="00B208BE"/>
    <w:rsid w:val="00B22435"/>
    <w:rsid w:val="00B2289F"/>
    <w:rsid w:val="00B22D58"/>
    <w:rsid w:val="00B23D94"/>
    <w:rsid w:val="00B26B34"/>
    <w:rsid w:val="00B3269D"/>
    <w:rsid w:val="00B3505B"/>
    <w:rsid w:val="00B350F3"/>
    <w:rsid w:val="00B35B01"/>
    <w:rsid w:val="00B3795A"/>
    <w:rsid w:val="00B40DFE"/>
    <w:rsid w:val="00B43532"/>
    <w:rsid w:val="00B4522C"/>
    <w:rsid w:val="00B50972"/>
    <w:rsid w:val="00B55D66"/>
    <w:rsid w:val="00B567F0"/>
    <w:rsid w:val="00B57EC6"/>
    <w:rsid w:val="00B60748"/>
    <w:rsid w:val="00B6240D"/>
    <w:rsid w:val="00B62847"/>
    <w:rsid w:val="00B64B73"/>
    <w:rsid w:val="00B64E47"/>
    <w:rsid w:val="00B653D8"/>
    <w:rsid w:val="00B710E7"/>
    <w:rsid w:val="00B728E5"/>
    <w:rsid w:val="00B74A96"/>
    <w:rsid w:val="00B7550E"/>
    <w:rsid w:val="00B808E9"/>
    <w:rsid w:val="00B80993"/>
    <w:rsid w:val="00B8160D"/>
    <w:rsid w:val="00B82E6F"/>
    <w:rsid w:val="00B830B0"/>
    <w:rsid w:val="00B83C78"/>
    <w:rsid w:val="00B8566D"/>
    <w:rsid w:val="00B86A9D"/>
    <w:rsid w:val="00B908BF"/>
    <w:rsid w:val="00B94BE6"/>
    <w:rsid w:val="00B97789"/>
    <w:rsid w:val="00BA1B7B"/>
    <w:rsid w:val="00BA60CC"/>
    <w:rsid w:val="00BA764F"/>
    <w:rsid w:val="00BA7716"/>
    <w:rsid w:val="00BA7825"/>
    <w:rsid w:val="00BB19FE"/>
    <w:rsid w:val="00BB21C5"/>
    <w:rsid w:val="00BB2E54"/>
    <w:rsid w:val="00BB60DD"/>
    <w:rsid w:val="00BB6DF1"/>
    <w:rsid w:val="00BB7ADC"/>
    <w:rsid w:val="00BC1334"/>
    <w:rsid w:val="00BC2363"/>
    <w:rsid w:val="00BD3CA0"/>
    <w:rsid w:val="00BD3FDE"/>
    <w:rsid w:val="00BD48EE"/>
    <w:rsid w:val="00BD507F"/>
    <w:rsid w:val="00BD6A8C"/>
    <w:rsid w:val="00BE0F28"/>
    <w:rsid w:val="00BE1A2C"/>
    <w:rsid w:val="00BE31AF"/>
    <w:rsid w:val="00BF478F"/>
    <w:rsid w:val="00BF5E8A"/>
    <w:rsid w:val="00BF696F"/>
    <w:rsid w:val="00C0041C"/>
    <w:rsid w:val="00C00A07"/>
    <w:rsid w:val="00C01C8D"/>
    <w:rsid w:val="00C05D7E"/>
    <w:rsid w:val="00C1009A"/>
    <w:rsid w:val="00C10DE5"/>
    <w:rsid w:val="00C11F96"/>
    <w:rsid w:val="00C11FBD"/>
    <w:rsid w:val="00C12315"/>
    <w:rsid w:val="00C12363"/>
    <w:rsid w:val="00C12CE2"/>
    <w:rsid w:val="00C144AB"/>
    <w:rsid w:val="00C20167"/>
    <w:rsid w:val="00C2199C"/>
    <w:rsid w:val="00C21B40"/>
    <w:rsid w:val="00C21F25"/>
    <w:rsid w:val="00C22EF2"/>
    <w:rsid w:val="00C247A2"/>
    <w:rsid w:val="00C24F1D"/>
    <w:rsid w:val="00C25A16"/>
    <w:rsid w:val="00C264AC"/>
    <w:rsid w:val="00C33583"/>
    <w:rsid w:val="00C33871"/>
    <w:rsid w:val="00C33E2C"/>
    <w:rsid w:val="00C42434"/>
    <w:rsid w:val="00C46874"/>
    <w:rsid w:val="00C47491"/>
    <w:rsid w:val="00C47C8B"/>
    <w:rsid w:val="00C50FF7"/>
    <w:rsid w:val="00C52588"/>
    <w:rsid w:val="00C61E74"/>
    <w:rsid w:val="00C66148"/>
    <w:rsid w:val="00C672C8"/>
    <w:rsid w:val="00C7148E"/>
    <w:rsid w:val="00C71726"/>
    <w:rsid w:val="00C72500"/>
    <w:rsid w:val="00C73746"/>
    <w:rsid w:val="00C7554D"/>
    <w:rsid w:val="00C76E53"/>
    <w:rsid w:val="00C81AD1"/>
    <w:rsid w:val="00C83B5E"/>
    <w:rsid w:val="00C8459D"/>
    <w:rsid w:val="00C90396"/>
    <w:rsid w:val="00C936D5"/>
    <w:rsid w:val="00C94042"/>
    <w:rsid w:val="00C97848"/>
    <w:rsid w:val="00CA08DE"/>
    <w:rsid w:val="00CA0F82"/>
    <w:rsid w:val="00CA4ACB"/>
    <w:rsid w:val="00CA5993"/>
    <w:rsid w:val="00CA6362"/>
    <w:rsid w:val="00CB0B94"/>
    <w:rsid w:val="00CB0C07"/>
    <w:rsid w:val="00CB1A8A"/>
    <w:rsid w:val="00CB3F14"/>
    <w:rsid w:val="00CB5427"/>
    <w:rsid w:val="00CC0BEA"/>
    <w:rsid w:val="00CC1331"/>
    <w:rsid w:val="00CC394E"/>
    <w:rsid w:val="00CC7FF7"/>
    <w:rsid w:val="00CD1478"/>
    <w:rsid w:val="00CD2237"/>
    <w:rsid w:val="00CD61FC"/>
    <w:rsid w:val="00CD62D7"/>
    <w:rsid w:val="00CD6FA0"/>
    <w:rsid w:val="00CD7D99"/>
    <w:rsid w:val="00CE7428"/>
    <w:rsid w:val="00CE7C74"/>
    <w:rsid w:val="00CF087B"/>
    <w:rsid w:val="00CF2852"/>
    <w:rsid w:val="00CF6368"/>
    <w:rsid w:val="00CF751C"/>
    <w:rsid w:val="00D0497B"/>
    <w:rsid w:val="00D05A82"/>
    <w:rsid w:val="00D05B39"/>
    <w:rsid w:val="00D0667F"/>
    <w:rsid w:val="00D07EC4"/>
    <w:rsid w:val="00D102F8"/>
    <w:rsid w:val="00D129EE"/>
    <w:rsid w:val="00D1390F"/>
    <w:rsid w:val="00D16DED"/>
    <w:rsid w:val="00D20281"/>
    <w:rsid w:val="00D209CC"/>
    <w:rsid w:val="00D32D05"/>
    <w:rsid w:val="00D33068"/>
    <w:rsid w:val="00D333D3"/>
    <w:rsid w:val="00D35407"/>
    <w:rsid w:val="00D35707"/>
    <w:rsid w:val="00D37F3B"/>
    <w:rsid w:val="00D403DE"/>
    <w:rsid w:val="00D43997"/>
    <w:rsid w:val="00D46B36"/>
    <w:rsid w:val="00D47649"/>
    <w:rsid w:val="00D47F7B"/>
    <w:rsid w:val="00D50B85"/>
    <w:rsid w:val="00D51CA4"/>
    <w:rsid w:val="00D52F41"/>
    <w:rsid w:val="00D53CC4"/>
    <w:rsid w:val="00D5737A"/>
    <w:rsid w:val="00D57F9F"/>
    <w:rsid w:val="00D60197"/>
    <w:rsid w:val="00D62BC6"/>
    <w:rsid w:val="00D63685"/>
    <w:rsid w:val="00D672DF"/>
    <w:rsid w:val="00D71AEE"/>
    <w:rsid w:val="00D72565"/>
    <w:rsid w:val="00D7785C"/>
    <w:rsid w:val="00D8031D"/>
    <w:rsid w:val="00D82CBA"/>
    <w:rsid w:val="00D82D30"/>
    <w:rsid w:val="00D87406"/>
    <w:rsid w:val="00D90212"/>
    <w:rsid w:val="00D90342"/>
    <w:rsid w:val="00D93D58"/>
    <w:rsid w:val="00D9401B"/>
    <w:rsid w:val="00D944F1"/>
    <w:rsid w:val="00D948BC"/>
    <w:rsid w:val="00D95DEB"/>
    <w:rsid w:val="00DB2C89"/>
    <w:rsid w:val="00DB3B0D"/>
    <w:rsid w:val="00DB47A6"/>
    <w:rsid w:val="00DB4FE0"/>
    <w:rsid w:val="00DB60BB"/>
    <w:rsid w:val="00DB6F4C"/>
    <w:rsid w:val="00DB7514"/>
    <w:rsid w:val="00DC40B1"/>
    <w:rsid w:val="00DC46F5"/>
    <w:rsid w:val="00DC6C39"/>
    <w:rsid w:val="00DD3FDE"/>
    <w:rsid w:val="00DD5B0C"/>
    <w:rsid w:val="00DD620A"/>
    <w:rsid w:val="00DD667D"/>
    <w:rsid w:val="00DE0C3B"/>
    <w:rsid w:val="00DE17C7"/>
    <w:rsid w:val="00DE2037"/>
    <w:rsid w:val="00DE30DD"/>
    <w:rsid w:val="00DE4BDD"/>
    <w:rsid w:val="00DE5930"/>
    <w:rsid w:val="00DE7FD7"/>
    <w:rsid w:val="00DF066A"/>
    <w:rsid w:val="00DF37B3"/>
    <w:rsid w:val="00DF7380"/>
    <w:rsid w:val="00DF7D6A"/>
    <w:rsid w:val="00E0250F"/>
    <w:rsid w:val="00E040C1"/>
    <w:rsid w:val="00E07355"/>
    <w:rsid w:val="00E14944"/>
    <w:rsid w:val="00E158E5"/>
    <w:rsid w:val="00E15CF3"/>
    <w:rsid w:val="00E2105B"/>
    <w:rsid w:val="00E211A1"/>
    <w:rsid w:val="00E21891"/>
    <w:rsid w:val="00E25360"/>
    <w:rsid w:val="00E25909"/>
    <w:rsid w:val="00E26676"/>
    <w:rsid w:val="00E27AAF"/>
    <w:rsid w:val="00E40CD0"/>
    <w:rsid w:val="00E41681"/>
    <w:rsid w:val="00E41895"/>
    <w:rsid w:val="00E45FD4"/>
    <w:rsid w:val="00E47FA0"/>
    <w:rsid w:val="00E53E7C"/>
    <w:rsid w:val="00E563A4"/>
    <w:rsid w:val="00E6008A"/>
    <w:rsid w:val="00E63FC5"/>
    <w:rsid w:val="00E64C08"/>
    <w:rsid w:val="00E65AAB"/>
    <w:rsid w:val="00E66AF4"/>
    <w:rsid w:val="00E66C81"/>
    <w:rsid w:val="00E6784F"/>
    <w:rsid w:val="00E73750"/>
    <w:rsid w:val="00E73A27"/>
    <w:rsid w:val="00E73AFE"/>
    <w:rsid w:val="00E74F9F"/>
    <w:rsid w:val="00E75F2E"/>
    <w:rsid w:val="00E811CF"/>
    <w:rsid w:val="00E81CE6"/>
    <w:rsid w:val="00E82539"/>
    <w:rsid w:val="00E82576"/>
    <w:rsid w:val="00E82979"/>
    <w:rsid w:val="00E83AB7"/>
    <w:rsid w:val="00E84034"/>
    <w:rsid w:val="00E863EB"/>
    <w:rsid w:val="00E9083B"/>
    <w:rsid w:val="00E91FFF"/>
    <w:rsid w:val="00E95167"/>
    <w:rsid w:val="00E95DE7"/>
    <w:rsid w:val="00E97015"/>
    <w:rsid w:val="00EA3FDB"/>
    <w:rsid w:val="00EA64B7"/>
    <w:rsid w:val="00EA6DF8"/>
    <w:rsid w:val="00EB2D35"/>
    <w:rsid w:val="00EB312F"/>
    <w:rsid w:val="00EB3946"/>
    <w:rsid w:val="00EB5D34"/>
    <w:rsid w:val="00EC2120"/>
    <w:rsid w:val="00EC2D28"/>
    <w:rsid w:val="00EC4790"/>
    <w:rsid w:val="00EC689E"/>
    <w:rsid w:val="00EC73D1"/>
    <w:rsid w:val="00EC7A01"/>
    <w:rsid w:val="00ED0235"/>
    <w:rsid w:val="00ED29F7"/>
    <w:rsid w:val="00ED5D96"/>
    <w:rsid w:val="00ED6B43"/>
    <w:rsid w:val="00EE0D8E"/>
    <w:rsid w:val="00EE2C73"/>
    <w:rsid w:val="00EE32C4"/>
    <w:rsid w:val="00EE4E08"/>
    <w:rsid w:val="00EE70B9"/>
    <w:rsid w:val="00EE739F"/>
    <w:rsid w:val="00EF65C9"/>
    <w:rsid w:val="00EF6E2E"/>
    <w:rsid w:val="00F026DE"/>
    <w:rsid w:val="00F0320D"/>
    <w:rsid w:val="00F045E6"/>
    <w:rsid w:val="00F05CAE"/>
    <w:rsid w:val="00F06690"/>
    <w:rsid w:val="00F0682F"/>
    <w:rsid w:val="00F11EF2"/>
    <w:rsid w:val="00F14437"/>
    <w:rsid w:val="00F16B1B"/>
    <w:rsid w:val="00F20D6E"/>
    <w:rsid w:val="00F21894"/>
    <w:rsid w:val="00F30F4C"/>
    <w:rsid w:val="00F34776"/>
    <w:rsid w:val="00F35459"/>
    <w:rsid w:val="00F36897"/>
    <w:rsid w:val="00F40462"/>
    <w:rsid w:val="00F5023F"/>
    <w:rsid w:val="00F50B89"/>
    <w:rsid w:val="00F51330"/>
    <w:rsid w:val="00F51DAC"/>
    <w:rsid w:val="00F51DB3"/>
    <w:rsid w:val="00F527BC"/>
    <w:rsid w:val="00F53464"/>
    <w:rsid w:val="00F54D50"/>
    <w:rsid w:val="00F561A3"/>
    <w:rsid w:val="00F61A3B"/>
    <w:rsid w:val="00F65BC3"/>
    <w:rsid w:val="00F73EB4"/>
    <w:rsid w:val="00F74359"/>
    <w:rsid w:val="00F74562"/>
    <w:rsid w:val="00F76AB0"/>
    <w:rsid w:val="00F82D79"/>
    <w:rsid w:val="00F84592"/>
    <w:rsid w:val="00F84A3C"/>
    <w:rsid w:val="00F8568F"/>
    <w:rsid w:val="00F862B3"/>
    <w:rsid w:val="00F8636B"/>
    <w:rsid w:val="00F92F68"/>
    <w:rsid w:val="00F94AF4"/>
    <w:rsid w:val="00F95E91"/>
    <w:rsid w:val="00F95F5E"/>
    <w:rsid w:val="00F967E1"/>
    <w:rsid w:val="00F96D34"/>
    <w:rsid w:val="00F97634"/>
    <w:rsid w:val="00FA1541"/>
    <w:rsid w:val="00FA4915"/>
    <w:rsid w:val="00FB0470"/>
    <w:rsid w:val="00FB1A10"/>
    <w:rsid w:val="00FB1F01"/>
    <w:rsid w:val="00FB2AE1"/>
    <w:rsid w:val="00FB37AA"/>
    <w:rsid w:val="00FB47DF"/>
    <w:rsid w:val="00FB6D56"/>
    <w:rsid w:val="00FC1FF4"/>
    <w:rsid w:val="00FC21D2"/>
    <w:rsid w:val="00FC3D02"/>
    <w:rsid w:val="00FC405E"/>
    <w:rsid w:val="00FC430E"/>
    <w:rsid w:val="00FC5CDE"/>
    <w:rsid w:val="00FD1569"/>
    <w:rsid w:val="00FD2564"/>
    <w:rsid w:val="00FD2A26"/>
    <w:rsid w:val="00FD3373"/>
    <w:rsid w:val="00FD351B"/>
    <w:rsid w:val="00FD5C75"/>
    <w:rsid w:val="00FE3DAA"/>
    <w:rsid w:val="00FE494F"/>
    <w:rsid w:val="00FE4A38"/>
    <w:rsid w:val="00FE7685"/>
    <w:rsid w:val="00FF6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1EA7EE12"/>
  <w15:chartTrackingRefBased/>
  <w15:docId w15:val="{934F0079-3AE5-4D80-91F4-2607A6B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20"/>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customStyle="1" w:styleId="ChartandTableFootnoteAlphaSmall">
    <w:name w:val="Chart and Table Footnote Alpha Small"/>
    <w:basedOn w:val="Normal"/>
    <w:next w:val="Normal"/>
    <w:rsid w:val="00AC6E1C"/>
    <w:pPr>
      <w:keepNext/>
      <w:numPr>
        <w:numId w:val="9"/>
      </w:numPr>
      <w:spacing w:after="0" w:line="240" w:lineRule="auto"/>
    </w:pPr>
    <w:rPr>
      <w:rFonts w:ascii="Arial" w:hAnsi="Arial"/>
      <w:sz w:val="15"/>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AC6E1C"/>
    <w:pPr>
      <w:spacing w:after="200" w:line="276" w:lineRule="auto"/>
      <w:ind w:left="720"/>
      <w:contextualSpacing/>
      <w:jc w:val="left"/>
    </w:pPr>
    <w:rPr>
      <w:rFonts w:ascii="Calibri" w:eastAsia="Calibri" w:hAnsi="Calibri"/>
      <w:sz w:val="22"/>
      <w:szCs w:val="22"/>
      <w:lang w:val="en-US" w:eastAsia="en-US"/>
    </w:rPr>
  </w:style>
  <w:style w:type="paragraph" w:styleId="NormalWeb">
    <w:name w:val="Normal (Web)"/>
    <w:basedOn w:val="Normal"/>
    <w:uiPriority w:val="99"/>
    <w:unhideWhenUsed/>
    <w:rsid w:val="00AC6E1C"/>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AC6E1C"/>
    <w:rPr>
      <w:rFonts w:eastAsia="Calibri"/>
      <w:sz w:val="22"/>
      <w:szCs w:val="22"/>
      <w:lang w:val="en-US" w:eastAsia="en-US"/>
    </w:rPr>
  </w:style>
  <w:style w:type="character" w:styleId="FootnoteReference">
    <w:name w:val="footnote reference"/>
    <w:rsid w:val="007F72B0"/>
    <w:rPr>
      <w:vertAlign w:val="superscript"/>
    </w:rPr>
  </w:style>
  <w:style w:type="paragraph" w:styleId="FootnoteText">
    <w:name w:val="footnote text"/>
    <w:basedOn w:val="Normal"/>
    <w:link w:val="FootnoteTextChar"/>
    <w:rsid w:val="007F72B0"/>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7F72B0"/>
    <w:rPr>
      <w:rFonts w:ascii="Book Antiqua" w:hAnsi="Book Antiqua"/>
      <w:sz w:val="18"/>
    </w:rPr>
  </w:style>
  <w:style w:type="paragraph" w:styleId="Revision">
    <w:name w:val="Revision"/>
    <w:hidden/>
    <w:uiPriority w:val="99"/>
    <w:semiHidden/>
    <w:rsid w:val="00F35459"/>
    <w:rPr>
      <w:rFonts w:ascii="Book Antiqua" w:hAnsi="Book Antiqua"/>
    </w:rPr>
  </w:style>
  <w:style w:type="paragraph" w:customStyle="1" w:styleId="HeadingMin">
    <w:name w:val="HeadingMin"/>
    <w:basedOn w:val="Normal"/>
    <w:rsid w:val="00541D82"/>
    <w:pPr>
      <w:spacing w:after="0" w:line="240" w:lineRule="auto"/>
      <w:jc w:val="center"/>
    </w:pPr>
    <w:rPr>
      <w:rFonts w:ascii="Arial" w:hAnsi="Arial"/>
      <w:caps/>
      <w:spacing w:val="20"/>
      <w:sz w:val="40"/>
      <w:szCs w:val="24"/>
    </w:rPr>
  </w:style>
  <w:style w:type="paragraph" w:customStyle="1" w:styleId="HeadingOffice">
    <w:name w:val="HeadingOffice"/>
    <w:basedOn w:val="Normal"/>
    <w:rsid w:val="00541D82"/>
    <w:pPr>
      <w:spacing w:after="0" w:line="240" w:lineRule="auto"/>
      <w:jc w:val="center"/>
    </w:pPr>
    <w:rPr>
      <w:rFonts w:ascii="Arial" w:hAnsi="Arial"/>
      <w:spacing w:val="10"/>
      <w:sz w:val="28"/>
      <w:szCs w:val="24"/>
    </w:rPr>
  </w:style>
  <w:style w:type="paragraph" w:customStyle="1" w:styleId="Crest">
    <w:name w:val="Crest"/>
    <w:basedOn w:val="Normal"/>
    <w:next w:val="Normal"/>
    <w:semiHidden/>
    <w:rsid w:val="00541D82"/>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33118381">
      <w:bodyDiv w:val="1"/>
      <w:marLeft w:val="0"/>
      <w:marRight w:val="0"/>
      <w:marTop w:val="0"/>
      <w:marBottom w:val="0"/>
      <w:divBdr>
        <w:top w:val="none" w:sz="0" w:space="0" w:color="auto"/>
        <w:left w:val="none" w:sz="0" w:space="0" w:color="auto"/>
        <w:bottom w:val="none" w:sz="0" w:space="0" w:color="auto"/>
        <w:right w:val="none" w:sz="0" w:space="0" w:color="auto"/>
      </w:divBdr>
    </w:div>
    <w:div w:id="43260408">
      <w:bodyDiv w:val="1"/>
      <w:marLeft w:val="0"/>
      <w:marRight w:val="0"/>
      <w:marTop w:val="0"/>
      <w:marBottom w:val="0"/>
      <w:divBdr>
        <w:top w:val="none" w:sz="0" w:space="0" w:color="auto"/>
        <w:left w:val="none" w:sz="0" w:space="0" w:color="auto"/>
        <w:bottom w:val="none" w:sz="0" w:space="0" w:color="auto"/>
        <w:right w:val="none" w:sz="0" w:space="0" w:color="auto"/>
      </w:divBdr>
    </w:div>
    <w:div w:id="4891830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36138585">
      <w:bodyDiv w:val="1"/>
      <w:marLeft w:val="0"/>
      <w:marRight w:val="0"/>
      <w:marTop w:val="0"/>
      <w:marBottom w:val="0"/>
      <w:divBdr>
        <w:top w:val="none" w:sz="0" w:space="0" w:color="auto"/>
        <w:left w:val="none" w:sz="0" w:space="0" w:color="auto"/>
        <w:bottom w:val="none" w:sz="0" w:space="0" w:color="auto"/>
        <w:right w:val="none" w:sz="0" w:space="0" w:color="auto"/>
      </w:divBdr>
    </w:div>
    <w:div w:id="341709028">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87997075">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23696608">
      <w:bodyDiv w:val="1"/>
      <w:marLeft w:val="0"/>
      <w:marRight w:val="0"/>
      <w:marTop w:val="0"/>
      <w:marBottom w:val="0"/>
      <w:divBdr>
        <w:top w:val="none" w:sz="0" w:space="0" w:color="auto"/>
        <w:left w:val="none" w:sz="0" w:space="0" w:color="auto"/>
        <w:bottom w:val="none" w:sz="0" w:space="0" w:color="auto"/>
        <w:right w:val="none" w:sz="0" w:space="0" w:color="auto"/>
      </w:divBdr>
    </w:div>
    <w:div w:id="453409834">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80657543">
      <w:bodyDiv w:val="1"/>
      <w:marLeft w:val="0"/>
      <w:marRight w:val="0"/>
      <w:marTop w:val="0"/>
      <w:marBottom w:val="0"/>
      <w:divBdr>
        <w:top w:val="none" w:sz="0" w:space="0" w:color="auto"/>
        <w:left w:val="none" w:sz="0" w:space="0" w:color="auto"/>
        <w:bottom w:val="none" w:sz="0" w:space="0" w:color="auto"/>
        <w:right w:val="none" w:sz="0" w:space="0" w:color="auto"/>
      </w:divBdr>
    </w:div>
    <w:div w:id="485754241">
      <w:bodyDiv w:val="1"/>
      <w:marLeft w:val="0"/>
      <w:marRight w:val="0"/>
      <w:marTop w:val="0"/>
      <w:marBottom w:val="0"/>
      <w:divBdr>
        <w:top w:val="none" w:sz="0" w:space="0" w:color="auto"/>
        <w:left w:val="none" w:sz="0" w:space="0" w:color="auto"/>
        <w:bottom w:val="none" w:sz="0" w:space="0" w:color="auto"/>
        <w:right w:val="none" w:sz="0" w:space="0" w:color="auto"/>
      </w:divBdr>
    </w:div>
    <w:div w:id="486436001">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0041568">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07035959">
      <w:bodyDiv w:val="1"/>
      <w:marLeft w:val="0"/>
      <w:marRight w:val="0"/>
      <w:marTop w:val="0"/>
      <w:marBottom w:val="0"/>
      <w:divBdr>
        <w:top w:val="none" w:sz="0" w:space="0" w:color="auto"/>
        <w:left w:val="none" w:sz="0" w:space="0" w:color="auto"/>
        <w:bottom w:val="none" w:sz="0" w:space="0" w:color="auto"/>
        <w:right w:val="none" w:sz="0" w:space="0" w:color="auto"/>
      </w:divBdr>
    </w:div>
    <w:div w:id="1136947804">
      <w:bodyDiv w:val="1"/>
      <w:marLeft w:val="0"/>
      <w:marRight w:val="0"/>
      <w:marTop w:val="0"/>
      <w:marBottom w:val="0"/>
      <w:divBdr>
        <w:top w:val="none" w:sz="0" w:space="0" w:color="auto"/>
        <w:left w:val="none" w:sz="0" w:space="0" w:color="auto"/>
        <w:bottom w:val="none" w:sz="0" w:space="0" w:color="auto"/>
        <w:right w:val="none" w:sz="0" w:space="0" w:color="auto"/>
      </w:divBdr>
    </w:div>
    <w:div w:id="1146044331">
      <w:bodyDiv w:val="1"/>
      <w:marLeft w:val="0"/>
      <w:marRight w:val="0"/>
      <w:marTop w:val="0"/>
      <w:marBottom w:val="0"/>
      <w:divBdr>
        <w:top w:val="none" w:sz="0" w:space="0" w:color="auto"/>
        <w:left w:val="none" w:sz="0" w:space="0" w:color="auto"/>
        <w:bottom w:val="none" w:sz="0" w:space="0" w:color="auto"/>
        <w:right w:val="none" w:sz="0" w:space="0" w:color="auto"/>
      </w:divBdr>
    </w:div>
    <w:div w:id="1159230331">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92920939">
      <w:bodyDiv w:val="1"/>
      <w:marLeft w:val="0"/>
      <w:marRight w:val="0"/>
      <w:marTop w:val="0"/>
      <w:marBottom w:val="0"/>
      <w:divBdr>
        <w:top w:val="none" w:sz="0" w:space="0" w:color="auto"/>
        <w:left w:val="none" w:sz="0" w:space="0" w:color="auto"/>
        <w:bottom w:val="none" w:sz="0" w:space="0" w:color="auto"/>
        <w:right w:val="none" w:sz="0" w:space="0" w:color="auto"/>
      </w:divBdr>
    </w:div>
    <w:div w:id="1428232476">
      <w:bodyDiv w:val="1"/>
      <w:marLeft w:val="0"/>
      <w:marRight w:val="0"/>
      <w:marTop w:val="0"/>
      <w:marBottom w:val="0"/>
      <w:divBdr>
        <w:top w:val="none" w:sz="0" w:space="0" w:color="auto"/>
        <w:left w:val="none" w:sz="0" w:space="0" w:color="auto"/>
        <w:bottom w:val="none" w:sz="0" w:space="0" w:color="auto"/>
        <w:right w:val="none" w:sz="0" w:space="0" w:color="auto"/>
      </w:divBdr>
    </w:div>
    <w:div w:id="1449853410">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13036022">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658456506">
      <w:bodyDiv w:val="1"/>
      <w:marLeft w:val="0"/>
      <w:marRight w:val="0"/>
      <w:marTop w:val="0"/>
      <w:marBottom w:val="0"/>
      <w:divBdr>
        <w:top w:val="none" w:sz="0" w:space="0" w:color="auto"/>
        <w:left w:val="none" w:sz="0" w:space="0" w:color="auto"/>
        <w:bottom w:val="none" w:sz="0" w:space="0" w:color="auto"/>
        <w:right w:val="none" w:sz="0" w:space="0" w:color="auto"/>
      </w:divBdr>
    </w:div>
    <w:div w:id="1672372716">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5105865">
      <w:bodyDiv w:val="1"/>
      <w:marLeft w:val="0"/>
      <w:marRight w:val="0"/>
      <w:marTop w:val="0"/>
      <w:marBottom w:val="0"/>
      <w:divBdr>
        <w:top w:val="none" w:sz="0" w:space="0" w:color="auto"/>
        <w:left w:val="none" w:sz="0" w:space="0" w:color="auto"/>
        <w:bottom w:val="none" w:sz="0" w:space="0" w:color="auto"/>
        <w:right w:val="none" w:sz="0" w:space="0" w:color="auto"/>
      </w:divBdr>
    </w:div>
    <w:div w:id="1751148392">
      <w:bodyDiv w:val="1"/>
      <w:marLeft w:val="0"/>
      <w:marRight w:val="0"/>
      <w:marTop w:val="0"/>
      <w:marBottom w:val="0"/>
      <w:divBdr>
        <w:top w:val="none" w:sz="0" w:space="0" w:color="auto"/>
        <w:left w:val="none" w:sz="0" w:space="0" w:color="auto"/>
        <w:bottom w:val="none" w:sz="0" w:space="0" w:color="auto"/>
        <w:right w:val="none" w:sz="0" w:space="0" w:color="auto"/>
      </w:divBdr>
    </w:div>
    <w:div w:id="1776703530">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63808739">
      <w:bodyDiv w:val="1"/>
      <w:marLeft w:val="0"/>
      <w:marRight w:val="0"/>
      <w:marTop w:val="0"/>
      <w:marBottom w:val="0"/>
      <w:divBdr>
        <w:top w:val="none" w:sz="0" w:space="0" w:color="auto"/>
        <w:left w:val="none" w:sz="0" w:space="0" w:color="auto"/>
        <w:bottom w:val="none" w:sz="0" w:space="0" w:color="auto"/>
        <w:right w:val="none" w:sz="0" w:space="0" w:color="auto"/>
      </w:divBdr>
    </w:div>
    <w:div w:id="20923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header" Target="header52.xml"/><Relationship Id="rId21" Type="http://schemas.openxmlformats.org/officeDocument/2006/relationships/header" Target="header3.xml"/><Relationship Id="rId42" Type="http://schemas.openxmlformats.org/officeDocument/2006/relationships/footer" Target="footer10.xml"/><Relationship Id="rId47" Type="http://schemas.openxmlformats.org/officeDocument/2006/relationships/header" Target="header19.xml"/><Relationship Id="rId63" Type="http://schemas.openxmlformats.org/officeDocument/2006/relationships/image" Target="media/image11.emf"/><Relationship Id="rId68" Type="http://schemas.openxmlformats.org/officeDocument/2006/relationships/image" Target="media/image13.emf"/><Relationship Id="rId84" Type="http://schemas.openxmlformats.org/officeDocument/2006/relationships/image" Target="media/image22.emf"/><Relationship Id="rId89" Type="http://schemas.openxmlformats.org/officeDocument/2006/relationships/header" Target="header36.xml"/><Relationship Id="rId112" Type="http://schemas.openxmlformats.org/officeDocument/2006/relationships/header" Target="header49.xml"/><Relationship Id="rId133" Type="http://schemas.openxmlformats.org/officeDocument/2006/relationships/footer" Target="footer18.xml"/><Relationship Id="rId138" Type="http://schemas.openxmlformats.org/officeDocument/2006/relationships/header" Target="header63.xml"/><Relationship Id="rId154" Type="http://schemas.openxmlformats.org/officeDocument/2006/relationships/header" Target="header64.xml"/><Relationship Id="rId159" Type="http://schemas.openxmlformats.org/officeDocument/2006/relationships/footer" Target="footer23.xml"/><Relationship Id="rId175" Type="http://schemas.openxmlformats.org/officeDocument/2006/relationships/header" Target="header71.xml"/><Relationship Id="rId170" Type="http://schemas.openxmlformats.org/officeDocument/2006/relationships/image" Target="media/image60.emf"/><Relationship Id="rId191" Type="http://schemas.openxmlformats.org/officeDocument/2006/relationships/theme" Target="theme/theme1.xml"/><Relationship Id="rId16" Type="http://schemas.openxmlformats.org/officeDocument/2006/relationships/hyperlink" Target="http://creativecommons.org/licenses/by/3.0/au/deed.en" TargetMode="External"/><Relationship Id="rId107" Type="http://schemas.openxmlformats.org/officeDocument/2006/relationships/image" Target="media/image32.emf"/><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header" Target="header12.xml"/><Relationship Id="rId53" Type="http://schemas.openxmlformats.org/officeDocument/2006/relationships/image" Target="media/image5.emf"/><Relationship Id="rId58" Type="http://schemas.openxmlformats.org/officeDocument/2006/relationships/header" Target="header21.xml"/><Relationship Id="rId74" Type="http://schemas.openxmlformats.org/officeDocument/2006/relationships/image" Target="media/image17.emf"/><Relationship Id="rId79" Type="http://schemas.openxmlformats.org/officeDocument/2006/relationships/header" Target="header31.xml"/><Relationship Id="rId102" Type="http://schemas.openxmlformats.org/officeDocument/2006/relationships/header" Target="header44.xml"/><Relationship Id="rId123" Type="http://schemas.openxmlformats.org/officeDocument/2006/relationships/header" Target="header56.xml"/><Relationship Id="rId128" Type="http://schemas.openxmlformats.org/officeDocument/2006/relationships/header" Target="header57.xml"/><Relationship Id="rId144" Type="http://schemas.openxmlformats.org/officeDocument/2006/relationships/image" Target="media/image46.emf"/><Relationship Id="rId149" Type="http://schemas.openxmlformats.org/officeDocument/2006/relationships/image" Target="media/image51.emf"/><Relationship Id="rId5" Type="http://schemas.openxmlformats.org/officeDocument/2006/relationships/customXml" Target="../customXml/item5.xml"/><Relationship Id="rId90" Type="http://schemas.openxmlformats.org/officeDocument/2006/relationships/header" Target="header37.xml"/><Relationship Id="rId95" Type="http://schemas.openxmlformats.org/officeDocument/2006/relationships/header" Target="header40.xml"/><Relationship Id="rId160" Type="http://schemas.openxmlformats.org/officeDocument/2006/relationships/image" Target="media/image56.emf"/><Relationship Id="rId165" Type="http://schemas.openxmlformats.org/officeDocument/2006/relationships/header" Target="header70.xml"/><Relationship Id="rId181" Type="http://schemas.openxmlformats.org/officeDocument/2006/relationships/header" Target="header73.xml"/><Relationship Id="rId186" Type="http://schemas.openxmlformats.org/officeDocument/2006/relationships/header" Target="header75.xml"/><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header" Target="header16.xml"/><Relationship Id="rId48" Type="http://schemas.openxmlformats.org/officeDocument/2006/relationships/footer" Target="footer12.xml"/><Relationship Id="rId64" Type="http://schemas.openxmlformats.org/officeDocument/2006/relationships/image" Target="media/image12.emf"/><Relationship Id="rId69" Type="http://schemas.openxmlformats.org/officeDocument/2006/relationships/image" Target="media/image14.emf"/><Relationship Id="rId113" Type="http://schemas.openxmlformats.org/officeDocument/2006/relationships/image" Target="media/image35.emf"/><Relationship Id="rId118" Type="http://schemas.openxmlformats.org/officeDocument/2006/relationships/image" Target="media/image36.emf"/><Relationship Id="rId134" Type="http://schemas.openxmlformats.org/officeDocument/2006/relationships/header" Target="header60.xml"/><Relationship Id="rId139" Type="http://schemas.openxmlformats.org/officeDocument/2006/relationships/footer" Target="footer20.xml"/><Relationship Id="rId80" Type="http://schemas.openxmlformats.org/officeDocument/2006/relationships/image" Target="media/image20.emf"/><Relationship Id="rId85" Type="http://schemas.openxmlformats.org/officeDocument/2006/relationships/header" Target="header34.xml"/><Relationship Id="rId150" Type="http://schemas.openxmlformats.org/officeDocument/2006/relationships/image" Target="media/image52.emf"/><Relationship Id="rId155" Type="http://schemas.openxmlformats.org/officeDocument/2006/relationships/header" Target="header65.xml"/><Relationship Id="rId171" Type="http://schemas.openxmlformats.org/officeDocument/2006/relationships/image" Target="media/image61.emf"/><Relationship Id="rId176" Type="http://schemas.openxmlformats.org/officeDocument/2006/relationships/footer" Target="footer26.xml"/><Relationship Id="rId12" Type="http://schemas.openxmlformats.org/officeDocument/2006/relationships/header" Target="header1.xml"/><Relationship Id="rId17" Type="http://schemas.openxmlformats.org/officeDocument/2006/relationships/hyperlink" Target="http://creativecommons.org/licenses/by/3.0/au/legalcode" TargetMode="External"/><Relationship Id="rId33" Type="http://schemas.openxmlformats.org/officeDocument/2006/relationships/header" Target="header10.xml"/><Relationship Id="rId38" Type="http://schemas.openxmlformats.org/officeDocument/2006/relationships/header" Target="header13.xml"/><Relationship Id="rId59" Type="http://schemas.openxmlformats.org/officeDocument/2006/relationships/header" Target="header22.xml"/><Relationship Id="rId103" Type="http://schemas.openxmlformats.org/officeDocument/2006/relationships/image" Target="media/image30.emf"/><Relationship Id="rId108" Type="http://schemas.openxmlformats.org/officeDocument/2006/relationships/header" Target="header47.xml"/><Relationship Id="rId124" Type="http://schemas.openxmlformats.org/officeDocument/2006/relationships/image" Target="media/image38.emf"/><Relationship Id="rId129" Type="http://schemas.openxmlformats.org/officeDocument/2006/relationships/footer" Target="footer16.xml"/><Relationship Id="rId54" Type="http://schemas.openxmlformats.org/officeDocument/2006/relationships/image" Target="media/image6.emf"/><Relationship Id="rId70" Type="http://schemas.openxmlformats.org/officeDocument/2006/relationships/image" Target="media/image15.emf"/><Relationship Id="rId75" Type="http://schemas.openxmlformats.org/officeDocument/2006/relationships/header" Target="header29.xml"/><Relationship Id="rId91" Type="http://schemas.openxmlformats.org/officeDocument/2006/relationships/header" Target="header38.xml"/><Relationship Id="rId96" Type="http://schemas.openxmlformats.org/officeDocument/2006/relationships/header" Target="header41.xml"/><Relationship Id="rId140" Type="http://schemas.openxmlformats.org/officeDocument/2006/relationships/image" Target="media/image42.emf"/><Relationship Id="rId145" Type="http://schemas.openxmlformats.org/officeDocument/2006/relationships/image" Target="media/image47.emf"/><Relationship Id="rId161" Type="http://schemas.openxmlformats.org/officeDocument/2006/relationships/header" Target="header67.xml"/><Relationship Id="rId166" Type="http://schemas.openxmlformats.org/officeDocument/2006/relationships/footer" Target="footer25.xml"/><Relationship Id="rId182" Type="http://schemas.openxmlformats.org/officeDocument/2006/relationships/hyperlink" Target="http://www.finance.gov.au/resource-management/introduction/glossary/" TargetMode="External"/><Relationship Id="rId187"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5.xml"/><Relationship Id="rId28" Type="http://schemas.openxmlformats.org/officeDocument/2006/relationships/footer" Target="footer4.xml"/><Relationship Id="rId49" Type="http://schemas.openxmlformats.org/officeDocument/2006/relationships/header" Target="header20.xml"/><Relationship Id="rId114" Type="http://schemas.openxmlformats.org/officeDocument/2006/relationships/header" Target="header50.xml"/><Relationship Id="rId119" Type="http://schemas.openxmlformats.org/officeDocument/2006/relationships/header" Target="header53.xml"/><Relationship Id="rId44" Type="http://schemas.openxmlformats.org/officeDocument/2006/relationships/header" Target="header17.xml"/><Relationship Id="rId60" Type="http://schemas.openxmlformats.org/officeDocument/2006/relationships/header" Target="header23.xml"/><Relationship Id="rId65" Type="http://schemas.openxmlformats.org/officeDocument/2006/relationships/header" Target="header24.xml"/><Relationship Id="rId81" Type="http://schemas.openxmlformats.org/officeDocument/2006/relationships/header" Target="header32.xml"/><Relationship Id="rId86" Type="http://schemas.openxmlformats.org/officeDocument/2006/relationships/image" Target="media/image23.emf"/><Relationship Id="rId130" Type="http://schemas.openxmlformats.org/officeDocument/2006/relationships/header" Target="header58.xml"/><Relationship Id="rId135" Type="http://schemas.openxmlformats.org/officeDocument/2006/relationships/header" Target="header61.xml"/><Relationship Id="rId151" Type="http://schemas.openxmlformats.org/officeDocument/2006/relationships/image" Target="media/image53.emf"/><Relationship Id="rId156" Type="http://schemas.openxmlformats.org/officeDocument/2006/relationships/footer" Target="footer21.xml"/><Relationship Id="rId177" Type="http://schemas.openxmlformats.org/officeDocument/2006/relationships/image" Target="media/image65.emf"/><Relationship Id="rId172" Type="http://schemas.openxmlformats.org/officeDocument/2006/relationships/image" Target="media/image62.emf"/><Relationship Id="rId13" Type="http://schemas.openxmlformats.org/officeDocument/2006/relationships/header" Target="header2.xml"/><Relationship Id="rId18" Type="http://schemas.openxmlformats.org/officeDocument/2006/relationships/image" Target="media/image1.png"/><Relationship Id="rId39" Type="http://schemas.openxmlformats.org/officeDocument/2006/relationships/header" Target="header14.xml"/><Relationship Id="rId109" Type="http://schemas.openxmlformats.org/officeDocument/2006/relationships/image" Target="media/image33.emf"/><Relationship Id="rId34" Type="http://schemas.openxmlformats.org/officeDocument/2006/relationships/footer" Target="footer7.xml"/><Relationship Id="rId50" Type="http://schemas.openxmlformats.org/officeDocument/2006/relationships/footer" Target="footer13.xml"/><Relationship Id="rId55" Type="http://schemas.openxmlformats.org/officeDocument/2006/relationships/image" Target="media/image7.emf"/><Relationship Id="rId76" Type="http://schemas.openxmlformats.org/officeDocument/2006/relationships/image" Target="media/image18.emf"/><Relationship Id="rId97" Type="http://schemas.openxmlformats.org/officeDocument/2006/relationships/image" Target="media/image27.emf"/><Relationship Id="rId104" Type="http://schemas.openxmlformats.org/officeDocument/2006/relationships/header" Target="header45.xml"/><Relationship Id="rId120" Type="http://schemas.openxmlformats.org/officeDocument/2006/relationships/header" Target="header54.xml"/><Relationship Id="rId125" Type="http://schemas.openxmlformats.org/officeDocument/2006/relationships/image" Target="media/image39.emf"/><Relationship Id="rId141" Type="http://schemas.openxmlformats.org/officeDocument/2006/relationships/image" Target="media/image43.emf"/><Relationship Id="rId146" Type="http://schemas.openxmlformats.org/officeDocument/2006/relationships/image" Target="media/image48.emf"/><Relationship Id="rId167" Type="http://schemas.openxmlformats.org/officeDocument/2006/relationships/image" Target="media/image57.emf"/><Relationship Id="rId188" Type="http://schemas.openxmlformats.org/officeDocument/2006/relationships/header" Target="header76.xml"/><Relationship Id="rId7" Type="http://schemas.openxmlformats.org/officeDocument/2006/relationships/styles" Target="styles.xml"/><Relationship Id="rId71" Type="http://schemas.openxmlformats.org/officeDocument/2006/relationships/header" Target="header27.xml"/><Relationship Id="rId92" Type="http://schemas.openxmlformats.org/officeDocument/2006/relationships/image" Target="media/image25.emf"/><Relationship Id="rId162" Type="http://schemas.openxmlformats.org/officeDocument/2006/relationships/footer" Target="footer24.xml"/><Relationship Id="rId183" Type="http://schemas.openxmlformats.org/officeDocument/2006/relationships/hyperlink" Target="http://www.finance.gov.au/resource-management/introduction/glossary/"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footer" Target="footer3.xml"/><Relationship Id="rId40" Type="http://schemas.openxmlformats.org/officeDocument/2006/relationships/footer" Target="footer9.xml"/><Relationship Id="rId45" Type="http://schemas.openxmlformats.org/officeDocument/2006/relationships/footer" Target="footer11.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8.xml"/><Relationship Id="rId115" Type="http://schemas.openxmlformats.org/officeDocument/2006/relationships/header" Target="header51.xml"/><Relationship Id="rId131" Type="http://schemas.openxmlformats.org/officeDocument/2006/relationships/footer" Target="footer17.xml"/><Relationship Id="rId136" Type="http://schemas.openxmlformats.org/officeDocument/2006/relationships/footer" Target="footer19.xml"/><Relationship Id="rId157" Type="http://schemas.openxmlformats.org/officeDocument/2006/relationships/footer" Target="footer22.xml"/><Relationship Id="rId178" Type="http://schemas.openxmlformats.org/officeDocument/2006/relationships/image" Target="media/image66.emf"/><Relationship Id="rId61" Type="http://schemas.openxmlformats.org/officeDocument/2006/relationships/footer" Target="footer14.xml"/><Relationship Id="rId82" Type="http://schemas.openxmlformats.org/officeDocument/2006/relationships/image" Target="media/image21.emf"/><Relationship Id="rId152" Type="http://schemas.openxmlformats.org/officeDocument/2006/relationships/image" Target="media/image54.emf"/><Relationship Id="rId173" Type="http://schemas.openxmlformats.org/officeDocument/2006/relationships/image" Target="media/image63.emf"/><Relationship Id="rId19" Type="http://schemas.openxmlformats.org/officeDocument/2006/relationships/hyperlink" Target="http://creativecommons.org/licenses/by/3.0/au/deed.en" TargetMode="External"/><Relationship Id="rId14" Type="http://schemas.openxmlformats.org/officeDocument/2006/relationships/footer" Target="footer1.xml"/><Relationship Id="rId30" Type="http://schemas.openxmlformats.org/officeDocument/2006/relationships/header" Target="header8.xml"/><Relationship Id="rId35" Type="http://schemas.openxmlformats.org/officeDocument/2006/relationships/header" Target="header11.xml"/><Relationship Id="rId56" Type="http://schemas.openxmlformats.org/officeDocument/2006/relationships/image" Target="media/image8.emf"/><Relationship Id="rId77" Type="http://schemas.openxmlformats.org/officeDocument/2006/relationships/header" Target="header30.xml"/><Relationship Id="rId100" Type="http://schemas.openxmlformats.org/officeDocument/2006/relationships/header" Target="header42.xml"/><Relationship Id="rId105" Type="http://schemas.openxmlformats.org/officeDocument/2006/relationships/image" Target="media/image31.emf"/><Relationship Id="rId126" Type="http://schemas.openxmlformats.org/officeDocument/2006/relationships/image" Target="media/image40.emf"/><Relationship Id="rId147" Type="http://schemas.openxmlformats.org/officeDocument/2006/relationships/image" Target="media/image49.emf"/><Relationship Id="rId168" Type="http://schemas.openxmlformats.org/officeDocument/2006/relationships/image" Target="media/image58.emf"/><Relationship Id="rId8" Type="http://schemas.openxmlformats.org/officeDocument/2006/relationships/settings" Target="settings.xml"/><Relationship Id="rId51" Type="http://schemas.openxmlformats.org/officeDocument/2006/relationships/image" Target="media/image3.emf"/><Relationship Id="rId72" Type="http://schemas.openxmlformats.org/officeDocument/2006/relationships/image" Target="media/image16.emf"/><Relationship Id="rId93" Type="http://schemas.openxmlformats.org/officeDocument/2006/relationships/image" Target="media/image26.emf"/><Relationship Id="rId98" Type="http://schemas.openxmlformats.org/officeDocument/2006/relationships/image" Target="media/image28.emf"/><Relationship Id="rId121" Type="http://schemas.openxmlformats.org/officeDocument/2006/relationships/header" Target="header55.xml"/><Relationship Id="rId142" Type="http://schemas.openxmlformats.org/officeDocument/2006/relationships/image" Target="media/image44.emf"/><Relationship Id="rId163" Type="http://schemas.openxmlformats.org/officeDocument/2006/relationships/header" Target="header68.xml"/><Relationship Id="rId184" Type="http://schemas.openxmlformats.org/officeDocument/2006/relationships/hyperlink" Target="http://www.finance.gov.au/resource-management/introduction/glossary/" TargetMode="External"/><Relationship Id="rId189" Type="http://schemas.openxmlformats.org/officeDocument/2006/relationships/footer" Target="footer28.xml"/><Relationship Id="rId3" Type="http://schemas.openxmlformats.org/officeDocument/2006/relationships/customXml" Target="../customXml/item3.xml"/><Relationship Id="rId25" Type="http://schemas.openxmlformats.org/officeDocument/2006/relationships/hyperlink" Target="file://mercury.network/dfs/groups/FMG/FRACM/Reporting%20and%20Resourcing/BRF/Reporting/BdgPap/2.%20PAES/3.5%20PAES%202019-20/www.budget.gov.au" TargetMode="External"/><Relationship Id="rId46" Type="http://schemas.openxmlformats.org/officeDocument/2006/relationships/header" Target="header18.xml"/><Relationship Id="rId67" Type="http://schemas.openxmlformats.org/officeDocument/2006/relationships/header" Target="header26.xml"/><Relationship Id="rId116" Type="http://schemas.openxmlformats.org/officeDocument/2006/relationships/footer" Target="footer15.xml"/><Relationship Id="rId137" Type="http://schemas.openxmlformats.org/officeDocument/2006/relationships/header" Target="header62.xml"/><Relationship Id="rId158" Type="http://schemas.openxmlformats.org/officeDocument/2006/relationships/header" Target="header66.xml"/><Relationship Id="rId20" Type="http://schemas.openxmlformats.org/officeDocument/2006/relationships/hyperlink" Target="http://www.itsanhonour.gov.au" TargetMode="External"/><Relationship Id="rId41" Type="http://schemas.openxmlformats.org/officeDocument/2006/relationships/header" Target="header15.xml"/><Relationship Id="rId62" Type="http://schemas.openxmlformats.org/officeDocument/2006/relationships/image" Target="media/image10.emf"/><Relationship Id="rId83" Type="http://schemas.openxmlformats.org/officeDocument/2006/relationships/header" Target="header33.xml"/><Relationship Id="rId88" Type="http://schemas.openxmlformats.org/officeDocument/2006/relationships/image" Target="media/image24.emf"/><Relationship Id="rId111" Type="http://schemas.openxmlformats.org/officeDocument/2006/relationships/image" Target="media/image34.emf"/><Relationship Id="rId132" Type="http://schemas.openxmlformats.org/officeDocument/2006/relationships/header" Target="header59.xml"/><Relationship Id="rId153" Type="http://schemas.openxmlformats.org/officeDocument/2006/relationships/image" Target="media/image55.emf"/><Relationship Id="rId174" Type="http://schemas.openxmlformats.org/officeDocument/2006/relationships/image" Target="media/image64.emf"/><Relationship Id="rId179" Type="http://schemas.openxmlformats.org/officeDocument/2006/relationships/header" Target="header72.xml"/><Relationship Id="rId190"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footer" Target="footer8.xml"/><Relationship Id="rId57" Type="http://schemas.openxmlformats.org/officeDocument/2006/relationships/image" Target="media/image9.emf"/><Relationship Id="rId106" Type="http://schemas.openxmlformats.org/officeDocument/2006/relationships/header" Target="header46.xml"/><Relationship Id="rId127" Type="http://schemas.openxmlformats.org/officeDocument/2006/relationships/image" Target="media/image41.emf"/><Relationship Id="rId10" Type="http://schemas.openxmlformats.org/officeDocument/2006/relationships/footnotes" Target="footnotes.xml"/><Relationship Id="rId31" Type="http://schemas.openxmlformats.org/officeDocument/2006/relationships/footer" Target="footer6.xml"/><Relationship Id="rId52" Type="http://schemas.openxmlformats.org/officeDocument/2006/relationships/image" Target="media/image4.emf"/><Relationship Id="rId73" Type="http://schemas.openxmlformats.org/officeDocument/2006/relationships/header" Target="header28.xml"/><Relationship Id="rId78" Type="http://schemas.openxmlformats.org/officeDocument/2006/relationships/image" Target="media/image19.emf"/><Relationship Id="rId94" Type="http://schemas.openxmlformats.org/officeDocument/2006/relationships/header" Target="header39.xml"/><Relationship Id="rId99" Type="http://schemas.openxmlformats.org/officeDocument/2006/relationships/image" Target="media/image29.emf"/><Relationship Id="rId101" Type="http://schemas.openxmlformats.org/officeDocument/2006/relationships/header" Target="header43.xml"/><Relationship Id="rId122" Type="http://schemas.openxmlformats.org/officeDocument/2006/relationships/image" Target="media/image37.emf"/><Relationship Id="rId143" Type="http://schemas.openxmlformats.org/officeDocument/2006/relationships/image" Target="media/image45.emf"/><Relationship Id="rId148" Type="http://schemas.openxmlformats.org/officeDocument/2006/relationships/image" Target="media/image50.emf"/><Relationship Id="rId164" Type="http://schemas.openxmlformats.org/officeDocument/2006/relationships/header" Target="header69.xml"/><Relationship Id="rId169" Type="http://schemas.openxmlformats.org/officeDocument/2006/relationships/image" Target="media/image59.emf"/><Relationship Id="rId185" Type="http://schemas.openxmlformats.org/officeDocument/2006/relationships/header" Target="header74.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67.e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EEA7BBB-243C-4CD4-8FD2-6B740F0B55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4FDB6B0068F954A80A1D804CAB9E5F4" ma:contentTypeVersion="" ma:contentTypeDescription="PDMS Document Site Content Type" ma:contentTypeScope="" ma:versionID="5a1e4f5224f4e7717f0b74d30fa47474">
  <xsd:schema xmlns:xsd="http://www.w3.org/2001/XMLSchema" xmlns:xs="http://www.w3.org/2001/XMLSchema" xmlns:p="http://schemas.microsoft.com/office/2006/metadata/properties" xmlns:ns2="2EEA7BBB-243C-4CD4-8FD2-6B740F0B5533" targetNamespace="http://schemas.microsoft.com/office/2006/metadata/properties" ma:root="true" ma:fieldsID="56e47d40299009d8b368198273c7fdee" ns2:_="">
    <xsd:import namespace="2EEA7BBB-243C-4CD4-8FD2-6B740F0B55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7BBB-243C-4CD4-8FD2-6B740F0B55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BDC0-36EB-42D2-9686-F6C6E998D50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EEA7BBB-243C-4CD4-8FD2-6B740F0B5533"/>
    <ds:schemaRef ds:uri="http://www.w3.org/XML/1998/namespace"/>
    <ds:schemaRef ds:uri="http://purl.org/dc/terms/"/>
  </ds:schemaRefs>
</ds:datastoreItem>
</file>

<file path=customXml/itemProps2.xml><?xml version="1.0" encoding="utf-8"?>
<ds:datastoreItem xmlns:ds="http://schemas.openxmlformats.org/officeDocument/2006/customXml" ds:itemID="{AF023D72-4E05-4774-A041-FF55FEF6D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7BBB-243C-4CD4-8FD2-6B740F0B5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4.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5.xml><?xml version="1.0" encoding="utf-8"?>
<ds:datastoreItem xmlns:ds="http://schemas.openxmlformats.org/officeDocument/2006/customXml" ds:itemID="{8018CCA2-CC0C-4BAC-84A9-4FC5512F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613</TotalTime>
  <Pages>105</Pages>
  <Words>10137</Words>
  <Characters>57784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1. 2020-21 PAES - performance team edits</vt:lpstr>
    </vt:vector>
  </TitlesOfParts>
  <Company>Australian Government</Company>
  <LinksUpToDate>false</LinksUpToDate>
  <CharactersWithSpaces>67786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2020-2021</dc:title>
  <dc:subject/>
  <dc:creator>Department of Finance</dc:creator>
  <cp:keywords/>
  <cp:lastModifiedBy>Truong, Minh</cp:lastModifiedBy>
  <cp:revision>80</cp:revision>
  <cp:lastPrinted>2021-02-08T04:43:00Z</cp:lastPrinted>
  <dcterms:created xsi:type="dcterms:W3CDTF">2021-02-05T07:04:00Z</dcterms:created>
  <dcterms:modified xsi:type="dcterms:W3CDTF">2021-02-10T01:24:00Z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0x010100266966F133664895A6EE3632470D45F50004FDB6B0068F954A80A1D804CAB9E5F4</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2017df64-d65f-4699-b7d0-6c22155c7d99</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KnowledgeTopics">
    <vt:lpwstr/>
  </property>
  <property fmtid="{D5CDD505-2E9C-101B-9397-08002B2CF9AE}" pid="20" name="DocumentType">
    <vt:lpwstr/>
  </property>
  <property fmtid="{D5CDD505-2E9C-101B-9397-08002B2CF9AE}" pid="21" name="ResponsibleArea">
    <vt:lpwstr/>
  </property>
  <property fmtid="{D5CDD505-2E9C-101B-9397-08002B2CF9AE}" pid="22" name="TaxKeyword">
    <vt:lpwstr/>
  </property>
  <property fmtid="{D5CDD505-2E9C-101B-9397-08002B2CF9AE}" pid="23" name="AbtEntity">
    <vt:lpwstr>2;#Department of Finance|fd660e8f-8f31-49bd-92a3-d31d4da31afe</vt:lpwstr>
  </property>
  <property fmtid="{D5CDD505-2E9C-101B-9397-08002B2CF9AE}" pid="24" name="OrgUnit">
    <vt:lpwstr>1;#Parliamentary Liaison and Coordination|52ae007a-2704-4cb0-9610-0561bb3fc76d</vt:lpwstr>
  </property>
  <property fmtid="{D5CDD505-2E9C-101B-9397-08002B2CF9AE}" pid="25" name="InitiatingEntity">
    <vt:lpwstr>2;#Department of Finance|fd660e8f-8f31-49bd-92a3-d31d4da31afe</vt:lpwstr>
  </property>
  <property fmtid="{D5CDD505-2E9C-101B-9397-08002B2CF9AE}" pid="26" name="Function and Activity">
    <vt:lpwstr/>
  </property>
</Properties>
</file>