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BA12ED" w14:textId="77777777" w:rsidR="000C2A48" w:rsidRDefault="000C2A48" w:rsidP="000C2A48"/>
    <w:p w14:paraId="0059650C" w14:textId="77777777" w:rsidR="005E5CB9" w:rsidRDefault="005E5CB9" w:rsidP="00DB6D69">
      <w:pPr>
        <w:pStyle w:val="Title"/>
        <w:rPr>
          <w:rFonts w:ascii="Calibri" w:hAnsi="Calibri"/>
          <w:b/>
          <w:color w:val="000000" w:themeColor="text1"/>
          <w:szCs w:val="40"/>
        </w:rPr>
      </w:pPr>
    </w:p>
    <w:p w14:paraId="6B74E6F6" w14:textId="5A467E1E" w:rsidR="004E058F" w:rsidRPr="00E02371" w:rsidRDefault="00F54D5E" w:rsidP="00DB6D69">
      <w:pPr>
        <w:pStyle w:val="Title"/>
        <w:rPr>
          <w:b/>
          <w:color w:val="000000" w:themeColor="text1"/>
          <w:szCs w:val="40"/>
        </w:rPr>
      </w:pPr>
      <w:bookmarkStart w:id="0" w:name="_Toc465254463"/>
      <w:r>
        <w:rPr>
          <w:rFonts w:ascii="Calibri" w:hAnsi="Calibri"/>
          <w:b/>
          <w:color w:val="000000" w:themeColor="text1"/>
          <w:szCs w:val="40"/>
        </w:rPr>
        <w:t>Commonwealth Grants and Procurement</w:t>
      </w:r>
      <w:r>
        <w:rPr>
          <w:rFonts w:ascii="Calibri" w:hAnsi="Calibri"/>
          <w:b/>
          <w:color w:val="000000" w:themeColor="text1"/>
          <w:szCs w:val="40"/>
        </w:rPr>
        <w:br/>
        <w:t>Connected Policies</w:t>
      </w:r>
      <w:bookmarkEnd w:id="0"/>
    </w:p>
    <w:p w14:paraId="7ECD5589" w14:textId="7AB3B860" w:rsidR="00B13B6E" w:rsidRPr="00E02371" w:rsidRDefault="00E02371" w:rsidP="00B13B6E">
      <w:pPr>
        <w:jc w:val="right"/>
        <w:rPr>
          <w:color w:val="000000" w:themeColor="text1"/>
          <w:sz w:val="34"/>
          <w:szCs w:val="34"/>
        </w:rPr>
      </w:pPr>
      <w:r w:rsidRPr="00E02371">
        <w:rPr>
          <w:sz w:val="34"/>
          <w:szCs w:val="34"/>
        </w:rPr>
        <w:t xml:space="preserve">Resource Management Guide No. </w:t>
      </w:r>
      <w:r w:rsidR="00F54D5E">
        <w:rPr>
          <w:sz w:val="34"/>
          <w:szCs w:val="34"/>
        </w:rPr>
        <w:t>415</w:t>
      </w:r>
    </w:p>
    <w:p w14:paraId="228F6604" w14:textId="77777777" w:rsidR="005E5CB9" w:rsidRDefault="005E5CB9" w:rsidP="006C4DD1"/>
    <w:p w14:paraId="663D8054" w14:textId="77777777" w:rsidR="005E5CB9" w:rsidRDefault="005E5CB9" w:rsidP="006C4DD1"/>
    <w:p w14:paraId="6A89FD73" w14:textId="77777777" w:rsidR="005E5CB9" w:rsidRDefault="005E5CB9" w:rsidP="006C4DD1"/>
    <w:p w14:paraId="76F18FEA" w14:textId="77777777" w:rsidR="005E5CB9" w:rsidRDefault="005E5CB9" w:rsidP="006C4DD1"/>
    <w:p w14:paraId="265777CF" w14:textId="4B12AAED" w:rsidR="000C2A48" w:rsidRDefault="009B4BE8" w:rsidP="006C4DD1">
      <w:r>
        <w:t>NOVEMBER</w:t>
      </w:r>
      <w:r w:rsidR="00F54D5E" w:rsidRPr="00F54D5E">
        <w:t xml:space="preserve"> 2016</w:t>
      </w:r>
      <w:r w:rsidR="000C2A48">
        <w:br w:type="page"/>
      </w:r>
    </w:p>
    <w:p w14:paraId="167833BB" w14:textId="54D8823D" w:rsidR="005E5CB9" w:rsidRDefault="005E5CB9" w:rsidP="006C4DD1"/>
    <w:p w14:paraId="110949FC" w14:textId="1EA68444" w:rsidR="005E5CB9" w:rsidRDefault="005E5CB9" w:rsidP="006C4DD1"/>
    <w:p w14:paraId="752CEF41" w14:textId="12A6F60A" w:rsidR="005E5CB9" w:rsidRDefault="005E5CB9" w:rsidP="006C4DD1"/>
    <w:p w14:paraId="2A399801" w14:textId="3C2BC3E1" w:rsidR="005E5CB9" w:rsidRDefault="005E5CB9" w:rsidP="006C4DD1"/>
    <w:p w14:paraId="76065073" w14:textId="22000547" w:rsidR="005E5CB9" w:rsidRDefault="005E5CB9" w:rsidP="006C4DD1"/>
    <w:p w14:paraId="75D736A7" w14:textId="20F7D39F" w:rsidR="005E5CB9" w:rsidRDefault="005E5CB9" w:rsidP="006C4DD1"/>
    <w:p w14:paraId="5E7E4CA8" w14:textId="15C80811" w:rsidR="005E5CB9" w:rsidRDefault="005E5CB9" w:rsidP="006C4DD1"/>
    <w:p w14:paraId="35EA24A8" w14:textId="77777777" w:rsidR="009A08BD" w:rsidRDefault="009A08BD" w:rsidP="006C4DD1"/>
    <w:p w14:paraId="026627C2" w14:textId="6C515230" w:rsidR="005E5CB9" w:rsidRDefault="005E5CB9" w:rsidP="006C4DD1"/>
    <w:p w14:paraId="17BB3FB0" w14:textId="6B3EFCB7" w:rsidR="005E5CB9" w:rsidRDefault="005E5CB9" w:rsidP="006C4DD1"/>
    <w:p w14:paraId="6A71E640" w14:textId="77777777" w:rsidR="005E5CB9" w:rsidRDefault="005E5CB9" w:rsidP="006C4DD1"/>
    <w:p w14:paraId="274FE9B3" w14:textId="42F1A4ED" w:rsidR="005E5CB9" w:rsidRPr="003469E3" w:rsidRDefault="005E5CB9" w:rsidP="005E5CB9">
      <w:r>
        <w:t xml:space="preserve">© Commonwealth of Australia </w:t>
      </w:r>
      <w:r w:rsidR="00013DD4">
        <w:t>2016</w:t>
      </w:r>
    </w:p>
    <w:p w14:paraId="3FC53F82" w14:textId="61302B4D" w:rsidR="005E5CB9" w:rsidRPr="003469E3" w:rsidRDefault="005E5CB9" w:rsidP="005E5CB9">
      <w:r w:rsidRPr="00394ECE">
        <w:t xml:space="preserve">ISBN: </w:t>
      </w:r>
      <w:r w:rsidR="001F4D49" w:rsidRPr="001F4D49">
        <w:t>978</w:t>
      </w:r>
      <w:r w:rsidR="009A08BD" w:rsidRPr="001F4D49">
        <w:t>-</w:t>
      </w:r>
      <w:r w:rsidR="001F4D49" w:rsidRPr="001F4D49">
        <w:t>1</w:t>
      </w:r>
      <w:r w:rsidR="009A08BD" w:rsidRPr="001F4D49">
        <w:t>-</w:t>
      </w:r>
      <w:r w:rsidR="001F4D49" w:rsidRPr="001F4D49">
        <w:t>925205</w:t>
      </w:r>
      <w:r w:rsidR="009A08BD" w:rsidRPr="001F4D49">
        <w:t>-</w:t>
      </w:r>
      <w:r w:rsidR="001F4D49" w:rsidRPr="001F4D49">
        <w:t>47</w:t>
      </w:r>
      <w:r w:rsidR="009A08BD" w:rsidRPr="001F4D49">
        <w:t>-</w:t>
      </w:r>
      <w:r w:rsidR="001F4D49" w:rsidRPr="001F4D49">
        <w:t>3</w:t>
      </w:r>
      <w:r w:rsidR="009A08BD" w:rsidRPr="001F4D49">
        <w:t xml:space="preserve"> (Online)</w:t>
      </w:r>
    </w:p>
    <w:p w14:paraId="0D224302" w14:textId="77777777" w:rsidR="005E5CB9" w:rsidRPr="003469E3" w:rsidRDefault="005E5CB9" w:rsidP="005E5CB9">
      <w:r w:rsidRPr="003469E3">
        <w:t>With the exception of the Commonwealth Coat of Arms and where otherwise noted</w:t>
      </w:r>
      <w:r>
        <w:t>,</w:t>
      </w:r>
      <w:r w:rsidRPr="003469E3">
        <w:t xml:space="preserve"> all material presented in this document is provided under a Creative Commons Attribution 3.0 Australia (</w:t>
      </w:r>
      <w:hyperlink r:id="rId8" w:history="1">
        <w:r>
          <w:rPr>
            <w:rStyle w:val="Hyperlink"/>
          </w:rPr>
          <w:t>http://creativecommons.org/licenses/by/3.0/au</w:t>
        </w:r>
      </w:hyperlink>
      <w:r w:rsidRPr="003469E3">
        <w:t>) licence.</w:t>
      </w:r>
    </w:p>
    <w:p w14:paraId="767162F7" w14:textId="77777777" w:rsidR="005E5CB9" w:rsidRPr="003469E3" w:rsidRDefault="005E5CB9" w:rsidP="005E5CB9">
      <w:r w:rsidRPr="003469E3">
        <w:rPr>
          <w:noProof/>
          <w:lang w:eastAsia="en-AU"/>
        </w:rPr>
        <w:drawing>
          <wp:inline distT="0" distB="0" distL="0" distR="0" wp14:anchorId="22C6314A" wp14:editId="285DA4B3">
            <wp:extent cx="1152525" cy="397422"/>
            <wp:effectExtent l="0" t="0" r="0" b="3175"/>
            <wp:docPr id="3" name="Picture 1"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153897" cy="397895"/>
                    </a:xfrm>
                    <a:prstGeom prst="rect">
                      <a:avLst/>
                    </a:prstGeom>
                    <a:noFill/>
                    <a:ln w="9525">
                      <a:noFill/>
                      <a:miter lim="800000"/>
                      <a:headEnd/>
                      <a:tailEnd/>
                    </a:ln>
                  </pic:spPr>
                </pic:pic>
              </a:graphicData>
            </a:graphic>
          </wp:inline>
        </w:drawing>
      </w:r>
    </w:p>
    <w:p w14:paraId="76EE8341" w14:textId="77777777" w:rsidR="005E5CB9" w:rsidRPr="006A6123" w:rsidRDefault="005E5CB9" w:rsidP="005E5CB9">
      <w:pPr>
        <w:rPr>
          <w:rFonts w:eastAsia="Times New Roman"/>
          <w:szCs w:val="24"/>
        </w:rPr>
      </w:pPr>
      <w:r w:rsidRPr="006A6123">
        <w:rPr>
          <w:rFonts w:eastAsia="Times New Roman"/>
          <w:szCs w:val="24"/>
        </w:rPr>
        <w:t xml:space="preserve">The details of the relevant licence conditions are available </w:t>
      </w:r>
      <w:r>
        <w:rPr>
          <w:rFonts w:eastAsia="Times New Roman"/>
          <w:szCs w:val="24"/>
        </w:rPr>
        <w:t xml:space="preserve">on the Creative Commons website </w:t>
      </w:r>
      <w:r w:rsidRPr="006A6123">
        <w:rPr>
          <w:rFonts w:eastAsia="Times New Roman"/>
          <w:szCs w:val="24"/>
        </w:rPr>
        <w:t>(accessible using the links provided) as is the full legal code for the CC BY 3 AU licence.</w:t>
      </w:r>
    </w:p>
    <w:p w14:paraId="372E599D" w14:textId="77777777" w:rsidR="005E5CB9" w:rsidRPr="00EC0C11" w:rsidRDefault="005E5CB9" w:rsidP="005E5CB9">
      <w:pPr>
        <w:spacing w:before="240"/>
        <w:rPr>
          <w:rFonts w:eastAsia="Times New Roman"/>
          <w:b/>
          <w:szCs w:val="24"/>
        </w:rPr>
      </w:pPr>
      <w:r w:rsidRPr="00EC0C11">
        <w:rPr>
          <w:rFonts w:eastAsia="Times New Roman"/>
          <w:b/>
          <w:szCs w:val="24"/>
        </w:rPr>
        <w:t>Use of the Coat of Arms</w:t>
      </w:r>
    </w:p>
    <w:p w14:paraId="08309F66" w14:textId="77777777" w:rsidR="005E5CB9" w:rsidRDefault="005E5CB9" w:rsidP="005E5CB9">
      <w:pPr>
        <w:rPr>
          <w:rFonts w:eastAsia="Times New Roman"/>
          <w:szCs w:val="24"/>
        </w:rPr>
      </w:pPr>
      <w:r w:rsidRPr="006A6123">
        <w:rPr>
          <w:rFonts w:eastAsia="Times New Roman"/>
          <w:szCs w:val="24"/>
        </w:rPr>
        <w:t>The terms under which the Coat of Arms can be used are det</w:t>
      </w:r>
      <w:r>
        <w:rPr>
          <w:rFonts w:eastAsia="Times New Roman"/>
          <w:szCs w:val="24"/>
        </w:rPr>
        <w:t xml:space="preserve">ailed on the following website: </w:t>
      </w:r>
      <w:hyperlink r:id="rId10" w:history="1">
        <w:r w:rsidRPr="00592BFA">
          <w:rPr>
            <w:rStyle w:val="Hyperlink"/>
            <w:rFonts w:cstheme="minorBidi"/>
          </w:rPr>
          <w:t>www.dpmc.gov.au/government/its-honour</w:t>
        </w:r>
      </w:hyperlink>
      <w:r w:rsidRPr="006A6123">
        <w:rPr>
          <w:rFonts w:eastAsia="Times New Roman"/>
          <w:szCs w:val="24"/>
        </w:rPr>
        <w:t>.</w:t>
      </w:r>
    </w:p>
    <w:p w14:paraId="4C5FCAD8" w14:textId="35A9C9FA" w:rsidR="005E5CB9" w:rsidRPr="006A6123" w:rsidRDefault="005E5CB9" w:rsidP="005E5CB9">
      <w:pPr>
        <w:spacing w:before="240"/>
        <w:rPr>
          <w:rFonts w:eastAsia="Times New Roman"/>
          <w:b/>
          <w:szCs w:val="24"/>
        </w:rPr>
      </w:pPr>
      <w:r w:rsidRPr="006A6123">
        <w:rPr>
          <w:rFonts w:eastAsia="Times New Roman"/>
          <w:b/>
          <w:szCs w:val="24"/>
        </w:rPr>
        <w:t>Contact us</w:t>
      </w:r>
    </w:p>
    <w:p w14:paraId="11F5A28E" w14:textId="4748243B" w:rsidR="005E5CB9" w:rsidRPr="003469E3" w:rsidRDefault="005E5CB9" w:rsidP="005E5CB9">
      <w:r>
        <w:rPr>
          <w:rFonts w:eastAsia="Times New Roman"/>
          <w:szCs w:val="24"/>
        </w:rPr>
        <w:t>Please direct q</w:t>
      </w:r>
      <w:r w:rsidRPr="00C5547B">
        <w:rPr>
          <w:rFonts w:eastAsia="Times New Roman"/>
          <w:szCs w:val="24"/>
        </w:rPr>
        <w:t>uestions or comments about</w:t>
      </w:r>
      <w:r>
        <w:rPr>
          <w:rFonts w:eastAsia="Times New Roman"/>
          <w:szCs w:val="24"/>
        </w:rPr>
        <w:t xml:space="preserve"> the </w:t>
      </w:r>
      <w:r w:rsidR="009A08BD">
        <w:rPr>
          <w:rFonts w:eastAsia="Times New Roman"/>
          <w:szCs w:val="24"/>
        </w:rPr>
        <w:t>guide</w:t>
      </w:r>
      <w:r>
        <w:rPr>
          <w:rFonts w:eastAsia="Times New Roman"/>
          <w:szCs w:val="24"/>
        </w:rPr>
        <w:t xml:space="preserve"> to:</w:t>
      </w:r>
      <w:r w:rsidRPr="003469E3">
        <w:t xml:space="preserve"> </w:t>
      </w:r>
    </w:p>
    <w:p w14:paraId="50C987E0" w14:textId="1C04B3DC" w:rsidR="005E5CB9" w:rsidRPr="001F4D49" w:rsidRDefault="001F4D49" w:rsidP="005E5CB9">
      <w:pPr>
        <w:spacing w:before="0" w:after="0" w:line="240" w:lineRule="auto"/>
        <w:rPr>
          <w:color w:val="000000" w:themeColor="text1"/>
        </w:rPr>
      </w:pPr>
      <w:r w:rsidRPr="001F4D49">
        <w:rPr>
          <w:color w:val="000000" w:themeColor="text1"/>
        </w:rPr>
        <w:t>Procurement Policy and Advice Branch</w:t>
      </w:r>
    </w:p>
    <w:p w14:paraId="5E6E6D72" w14:textId="77777777" w:rsidR="005E5CB9" w:rsidRPr="001F4D49" w:rsidRDefault="005E5CB9" w:rsidP="005E5CB9">
      <w:pPr>
        <w:spacing w:before="0" w:after="0" w:line="240" w:lineRule="auto"/>
        <w:rPr>
          <w:color w:val="000000" w:themeColor="text1"/>
        </w:rPr>
      </w:pPr>
      <w:r w:rsidRPr="001F4D49">
        <w:rPr>
          <w:color w:val="000000" w:themeColor="text1"/>
        </w:rPr>
        <w:t>Department of Finance</w:t>
      </w:r>
    </w:p>
    <w:p w14:paraId="4D699CC8" w14:textId="77777777" w:rsidR="005E5CB9" w:rsidRPr="001F4D49" w:rsidRDefault="005E5CB9" w:rsidP="005E5CB9">
      <w:pPr>
        <w:spacing w:before="0" w:after="0" w:line="240" w:lineRule="auto"/>
        <w:rPr>
          <w:color w:val="000000" w:themeColor="text1"/>
        </w:rPr>
      </w:pPr>
      <w:r w:rsidRPr="001F4D49">
        <w:rPr>
          <w:color w:val="000000" w:themeColor="text1"/>
        </w:rPr>
        <w:t>1 Canberra Avenue</w:t>
      </w:r>
    </w:p>
    <w:p w14:paraId="67B093D9" w14:textId="77777777" w:rsidR="005E5CB9" w:rsidRPr="001F4D49" w:rsidRDefault="005E5CB9" w:rsidP="009A08BD">
      <w:pPr>
        <w:spacing w:before="0" w:after="120" w:line="240" w:lineRule="auto"/>
        <w:rPr>
          <w:color w:val="000000" w:themeColor="text1"/>
        </w:rPr>
      </w:pPr>
      <w:r w:rsidRPr="001F4D49">
        <w:rPr>
          <w:color w:val="000000" w:themeColor="text1"/>
        </w:rPr>
        <w:t>Forrest ACT 2603</w:t>
      </w:r>
    </w:p>
    <w:p w14:paraId="7C24DAF3" w14:textId="143E97E3" w:rsidR="005E5CB9" w:rsidRPr="001F4D49" w:rsidRDefault="005E5CB9" w:rsidP="009A08BD">
      <w:pPr>
        <w:spacing w:before="0" w:after="120" w:line="240" w:lineRule="auto"/>
        <w:rPr>
          <w:color w:val="000000" w:themeColor="text1"/>
        </w:rPr>
      </w:pPr>
      <w:r w:rsidRPr="001F4D49">
        <w:rPr>
          <w:color w:val="000000" w:themeColor="text1"/>
        </w:rPr>
        <w:t xml:space="preserve">Email: </w:t>
      </w:r>
      <w:hyperlink r:id="rId11" w:history="1">
        <w:r w:rsidR="001F4D49" w:rsidRPr="001F4D49">
          <w:rPr>
            <w:rStyle w:val="Hyperlink"/>
            <w:rFonts w:eastAsia="Times New Roman"/>
            <w:szCs w:val="24"/>
          </w:rPr>
          <w:t>procurementagencyadvice@finance.gov.au</w:t>
        </w:r>
      </w:hyperlink>
    </w:p>
    <w:p w14:paraId="2A9018CA" w14:textId="1BA62244" w:rsidR="005E5CB9" w:rsidRDefault="005E5CB9" w:rsidP="004E71F5">
      <w:pPr>
        <w:spacing w:before="0" w:after="120" w:line="240" w:lineRule="auto"/>
      </w:pPr>
      <w:r w:rsidRPr="001F4D49">
        <w:rPr>
          <w:color w:val="000000" w:themeColor="text1"/>
        </w:rPr>
        <w:t>Internet:</w:t>
      </w:r>
      <w:r w:rsidRPr="001F4D49">
        <w:rPr>
          <w:color w:val="000000" w:themeColor="text1"/>
          <w:lang w:val="en-US"/>
        </w:rPr>
        <w:t xml:space="preserve"> </w:t>
      </w:r>
      <w:hyperlink r:id="rId12" w:history="1">
        <w:r w:rsidR="001F4D49" w:rsidRPr="001F4D49">
          <w:rPr>
            <w:rStyle w:val="Hyperlink"/>
            <w:rFonts w:cstheme="minorBidi"/>
          </w:rPr>
          <w:t>http://www.finance.gov.au/procurement/</w:t>
        </w:r>
      </w:hyperlink>
      <w:r w:rsidR="001F4D49">
        <w:t xml:space="preserve"> </w:t>
      </w:r>
      <w:r>
        <w:br w:type="page"/>
      </w:r>
    </w:p>
    <w:p w14:paraId="394A6E26" w14:textId="77777777" w:rsidR="005E5CB9" w:rsidRDefault="005E5CB9" w:rsidP="006C4DD1"/>
    <w:p w14:paraId="6BA3C35D" w14:textId="77777777" w:rsidR="005E5CB9" w:rsidRDefault="005E5CB9" w:rsidP="006C4DD1"/>
    <w:p w14:paraId="131BE283" w14:textId="77777777" w:rsidR="00E02371" w:rsidRPr="00E02371" w:rsidRDefault="00E02371" w:rsidP="00396E11">
      <w:pPr>
        <w:spacing w:before="0" w:after="120" w:line="240" w:lineRule="auto"/>
        <w:rPr>
          <w:rFonts w:ascii="Arial" w:hAnsi="Arial" w:cs="Arial"/>
          <w:color w:val="000000" w:themeColor="text1"/>
          <w:sz w:val="42"/>
          <w:szCs w:val="42"/>
        </w:rPr>
      </w:pPr>
    </w:p>
    <w:p w14:paraId="049C109A" w14:textId="7736F9D9" w:rsidR="00396E11" w:rsidRDefault="00396E11" w:rsidP="00396E11">
      <w:pPr>
        <w:spacing w:before="0" w:after="120" w:line="240" w:lineRule="auto"/>
        <w:rPr>
          <w:rFonts w:ascii="Arial" w:hAnsi="Arial" w:cs="Arial"/>
          <w:color w:val="92C5C5" w:themeColor="accent2"/>
          <w:sz w:val="42"/>
          <w:szCs w:val="42"/>
        </w:rPr>
      </w:pPr>
      <w:r w:rsidRPr="00E60A81">
        <w:rPr>
          <w:rFonts w:ascii="Arial" w:hAnsi="Arial" w:cs="Arial"/>
          <w:color w:val="92C5C5" w:themeColor="accent2"/>
          <w:sz w:val="42"/>
          <w:szCs w:val="42"/>
        </w:rPr>
        <w:t>Contents</w:t>
      </w:r>
    </w:p>
    <w:p w14:paraId="05D0D107" w14:textId="77777777" w:rsidR="00E02371" w:rsidRPr="00E02371" w:rsidRDefault="00E02371" w:rsidP="00396E11">
      <w:pPr>
        <w:spacing w:before="0" w:after="120" w:line="240" w:lineRule="auto"/>
        <w:rPr>
          <w:rFonts w:ascii="Arial" w:hAnsi="Arial" w:cs="Arial"/>
          <w:color w:val="000000" w:themeColor="text1"/>
          <w:sz w:val="42"/>
          <w:szCs w:val="42"/>
        </w:rPr>
      </w:pPr>
    </w:p>
    <w:p w14:paraId="14F9787D" w14:textId="3A9B62B9" w:rsidR="00756857" w:rsidRDefault="00396E11">
      <w:pPr>
        <w:pStyle w:val="TOC1"/>
        <w:rPr>
          <w:rFonts w:eastAsiaTheme="minorEastAsia"/>
          <w:b w:val="0"/>
          <w:noProof/>
          <w:sz w:val="22"/>
          <w:lang w:eastAsia="en-AU"/>
        </w:rPr>
      </w:pPr>
      <w:r>
        <w:rPr>
          <w:caps/>
          <w:sz w:val="20"/>
        </w:rPr>
        <w:fldChar w:fldCharType="begin"/>
      </w:r>
      <w:r>
        <w:rPr>
          <w:caps/>
          <w:sz w:val="20"/>
        </w:rPr>
        <w:instrText xml:space="preserve"> TOC \o "1-3" \h \z \u </w:instrText>
      </w:r>
      <w:r>
        <w:rPr>
          <w:caps/>
          <w:sz w:val="20"/>
        </w:rPr>
        <w:fldChar w:fldCharType="separate"/>
      </w:r>
      <w:hyperlink w:anchor="_Toc465254463" w:history="1">
        <w:r w:rsidR="00756857" w:rsidRPr="00A62063">
          <w:rPr>
            <w:rStyle w:val="Hyperlink"/>
            <w:rFonts w:cstheme="minorHAnsi"/>
            <w:noProof/>
          </w:rPr>
          <w:t>Commonwealth Grants and Procurement Connected Policies</w:t>
        </w:r>
        <w:r w:rsidR="00756857">
          <w:rPr>
            <w:noProof/>
            <w:webHidden/>
          </w:rPr>
          <w:tab/>
        </w:r>
        <w:r w:rsidR="00756857">
          <w:rPr>
            <w:noProof/>
            <w:webHidden/>
          </w:rPr>
          <w:fldChar w:fldCharType="begin"/>
        </w:r>
        <w:r w:rsidR="00756857">
          <w:rPr>
            <w:noProof/>
            <w:webHidden/>
          </w:rPr>
          <w:instrText xml:space="preserve"> PAGEREF _Toc465254463 \h </w:instrText>
        </w:r>
        <w:r w:rsidR="00756857">
          <w:rPr>
            <w:noProof/>
            <w:webHidden/>
          </w:rPr>
        </w:r>
        <w:r w:rsidR="00756857">
          <w:rPr>
            <w:noProof/>
            <w:webHidden/>
          </w:rPr>
          <w:fldChar w:fldCharType="separate"/>
        </w:r>
        <w:r w:rsidR="008E2D67">
          <w:rPr>
            <w:noProof/>
            <w:webHidden/>
          </w:rPr>
          <w:t>1</w:t>
        </w:r>
        <w:r w:rsidR="00756857">
          <w:rPr>
            <w:noProof/>
            <w:webHidden/>
          </w:rPr>
          <w:fldChar w:fldCharType="end"/>
        </w:r>
      </w:hyperlink>
    </w:p>
    <w:p w14:paraId="41900DC8" w14:textId="24316977" w:rsidR="00756857" w:rsidRPr="008E2D67" w:rsidRDefault="000F5857">
      <w:pPr>
        <w:pStyle w:val="TOC1"/>
        <w:rPr>
          <w:rFonts w:eastAsiaTheme="minorEastAsia"/>
          <w:b w:val="0"/>
          <w:noProof/>
          <w:sz w:val="22"/>
          <w:lang w:eastAsia="en-AU"/>
        </w:rPr>
      </w:pPr>
      <w:hyperlink w:anchor="_Toc465254464" w:history="1">
        <w:r w:rsidR="00756857" w:rsidRPr="008E2D67">
          <w:rPr>
            <w:rStyle w:val="Hyperlink"/>
            <w:b w:val="0"/>
            <w:noProof/>
          </w:rPr>
          <w:t>Audience</w:t>
        </w:r>
        <w:r w:rsidR="00756857" w:rsidRPr="008E2D67">
          <w:rPr>
            <w:b w:val="0"/>
            <w:noProof/>
            <w:webHidden/>
          </w:rPr>
          <w:tab/>
        </w:r>
        <w:r w:rsidR="00756857" w:rsidRPr="008E2D67">
          <w:rPr>
            <w:b w:val="0"/>
            <w:noProof/>
            <w:webHidden/>
          </w:rPr>
          <w:fldChar w:fldCharType="begin"/>
        </w:r>
        <w:r w:rsidR="00756857" w:rsidRPr="008E2D67">
          <w:rPr>
            <w:b w:val="0"/>
            <w:noProof/>
            <w:webHidden/>
          </w:rPr>
          <w:instrText xml:space="preserve"> PAGEREF _Toc465254464 \h </w:instrText>
        </w:r>
        <w:r w:rsidR="00756857" w:rsidRPr="008E2D67">
          <w:rPr>
            <w:b w:val="0"/>
            <w:noProof/>
            <w:webHidden/>
          </w:rPr>
        </w:r>
        <w:r w:rsidR="00756857" w:rsidRPr="008E2D67">
          <w:rPr>
            <w:b w:val="0"/>
            <w:noProof/>
            <w:webHidden/>
          </w:rPr>
          <w:fldChar w:fldCharType="separate"/>
        </w:r>
        <w:r w:rsidR="008E2D67" w:rsidRPr="008E2D67">
          <w:rPr>
            <w:b w:val="0"/>
            <w:noProof/>
            <w:webHidden/>
          </w:rPr>
          <w:t>4</w:t>
        </w:r>
        <w:r w:rsidR="00756857" w:rsidRPr="008E2D67">
          <w:rPr>
            <w:b w:val="0"/>
            <w:noProof/>
            <w:webHidden/>
          </w:rPr>
          <w:fldChar w:fldCharType="end"/>
        </w:r>
      </w:hyperlink>
    </w:p>
    <w:p w14:paraId="4E6D783D" w14:textId="3C15AF87" w:rsidR="00756857" w:rsidRPr="008E2D67" w:rsidRDefault="000F5857">
      <w:pPr>
        <w:pStyle w:val="TOC1"/>
        <w:rPr>
          <w:rFonts w:eastAsiaTheme="minorEastAsia"/>
          <w:b w:val="0"/>
          <w:noProof/>
          <w:sz w:val="22"/>
          <w:lang w:eastAsia="en-AU"/>
        </w:rPr>
      </w:pPr>
      <w:hyperlink w:anchor="_Toc465254465" w:history="1">
        <w:r w:rsidR="00756857" w:rsidRPr="008E2D67">
          <w:rPr>
            <w:rStyle w:val="Hyperlink"/>
            <w:b w:val="0"/>
            <w:noProof/>
          </w:rPr>
          <w:t>Key points</w:t>
        </w:r>
        <w:r w:rsidR="00756857" w:rsidRPr="008E2D67">
          <w:rPr>
            <w:b w:val="0"/>
            <w:noProof/>
            <w:webHidden/>
          </w:rPr>
          <w:tab/>
        </w:r>
        <w:r w:rsidR="00756857" w:rsidRPr="008E2D67">
          <w:rPr>
            <w:b w:val="0"/>
            <w:noProof/>
            <w:webHidden/>
          </w:rPr>
          <w:fldChar w:fldCharType="begin"/>
        </w:r>
        <w:r w:rsidR="00756857" w:rsidRPr="008E2D67">
          <w:rPr>
            <w:b w:val="0"/>
            <w:noProof/>
            <w:webHidden/>
          </w:rPr>
          <w:instrText xml:space="preserve"> PAGEREF _Toc465254465 \h </w:instrText>
        </w:r>
        <w:r w:rsidR="00756857" w:rsidRPr="008E2D67">
          <w:rPr>
            <w:b w:val="0"/>
            <w:noProof/>
            <w:webHidden/>
          </w:rPr>
        </w:r>
        <w:r w:rsidR="00756857" w:rsidRPr="008E2D67">
          <w:rPr>
            <w:b w:val="0"/>
            <w:noProof/>
            <w:webHidden/>
          </w:rPr>
          <w:fldChar w:fldCharType="separate"/>
        </w:r>
        <w:r w:rsidR="008E2D67" w:rsidRPr="008E2D67">
          <w:rPr>
            <w:b w:val="0"/>
            <w:noProof/>
            <w:webHidden/>
          </w:rPr>
          <w:t>4</w:t>
        </w:r>
        <w:r w:rsidR="00756857" w:rsidRPr="008E2D67">
          <w:rPr>
            <w:b w:val="0"/>
            <w:noProof/>
            <w:webHidden/>
          </w:rPr>
          <w:fldChar w:fldCharType="end"/>
        </w:r>
      </w:hyperlink>
    </w:p>
    <w:p w14:paraId="58AA9A0B" w14:textId="1D593250" w:rsidR="00756857" w:rsidRPr="008E2D67" w:rsidRDefault="000F5857">
      <w:pPr>
        <w:pStyle w:val="TOC1"/>
        <w:rPr>
          <w:rFonts w:eastAsiaTheme="minorEastAsia"/>
          <w:b w:val="0"/>
          <w:noProof/>
          <w:sz w:val="22"/>
          <w:lang w:eastAsia="en-AU"/>
        </w:rPr>
      </w:pPr>
      <w:hyperlink w:anchor="_Toc465254466" w:history="1">
        <w:r w:rsidR="00756857" w:rsidRPr="008E2D67">
          <w:rPr>
            <w:rStyle w:val="Hyperlink"/>
            <w:b w:val="0"/>
            <w:noProof/>
          </w:rPr>
          <w:t>Resources</w:t>
        </w:r>
        <w:r w:rsidR="00756857" w:rsidRPr="008E2D67">
          <w:rPr>
            <w:b w:val="0"/>
            <w:noProof/>
            <w:webHidden/>
          </w:rPr>
          <w:tab/>
        </w:r>
        <w:r w:rsidR="00756857" w:rsidRPr="008E2D67">
          <w:rPr>
            <w:b w:val="0"/>
            <w:noProof/>
            <w:webHidden/>
          </w:rPr>
          <w:fldChar w:fldCharType="begin"/>
        </w:r>
        <w:r w:rsidR="00756857" w:rsidRPr="008E2D67">
          <w:rPr>
            <w:b w:val="0"/>
            <w:noProof/>
            <w:webHidden/>
          </w:rPr>
          <w:instrText xml:space="preserve"> PAGEREF _Toc465254466 \h </w:instrText>
        </w:r>
        <w:r w:rsidR="00756857" w:rsidRPr="008E2D67">
          <w:rPr>
            <w:b w:val="0"/>
            <w:noProof/>
            <w:webHidden/>
          </w:rPr>
        </w:r>
        <w:r w:rsidR="00756857" w:rsidRPr="008E2D67">
          <w:rPr>
            <w:b w:val="0"/>
            <w:noProof/>
            <w:webHidden/>
          </w:rPr>
          <w:fldChar w:fldCharType="separate"/>
        </w:r>
        <w:r w:rsidR="008E2D67" w:rsidRPr="008E2D67">
          <w:rPr>
            <w:b w:val="0"/>
            <w:noProof/>
            <w:webHidden/>
          </w:rPr>
          <w:t>4</w:t>
        </w:r>
        <w:r w:rsidR="00756857" w:rsidRPr="008E2D67">
          <w:rPr>
            <w:b w:val="0"/>
            <w:noProof/>
            <w:webHidden/>
          </w:rPr>
          <w:fldChar w:fldCharType="end"/>
        </w:r>
      </w:hyperlink>
    </w:p>
    <w:p w14:paraId="23E488B1" w14:textId="53450E1C" w:rsidR="00756857" w:rsidRPr="008E2D67" w:rsidRDefault="000F5857">
      <w:pPr>
        <w:pStyle w:val="TOC1"/>
        <w:rPr>
          <w:rFonts w:eastAsiaTheme="minorEastAsia"/>
          <w:b w:val="0"/>
          <w:noProof/>
          <w:sz w:val="22"/>
          <w:lang w:eastAsia="en-AU"/>
        </w:rPr>
      </w:pPr>
      <w:hyperlink w:anchor="_Toc465254467" w:history="1">
        <w:r w:rsidR="00756857" w:rsidRPr="008E2D67">
          <w:rPr>
            <w:rStyle w:val="Hyperlink"/>
            <w:b w:val="0"/>
            <w:noProof/>
          </w:rPr>
          <w:t>Introduction</w:t>
        </w:r>
        <w:r w:rsidR="00756857" w:rsidRPr="008E2D67">
          <w:rPr>
            <w:b w:val="0"/>
            <w:noProof/>
            <w:webHidden/>
          </w:rPr>
          <w:tab/>
        </w:r>
        <w:r w:rsidR="00756857" w:rsidRPr="008E2D67">
          <w:rPr>
            <w:b w:val="0"/>
            <w:noProof/>
            <w:webHidden/>
          </w:rPr>
          <w:fldChar w:fldCharType="begin"/>
        </w:r>
        <w:r w:rsidR="00756857" w:rsidRPr="008E2D67">
          <w:rPr>
            <w:b w:val="0"/>
            <w:noProof/>
            <w:webHidden/>
          </w:rPr>
          <w:instrText xml:space="preserve"> PAGEREF _Toc465254467 \h </w:instrText>
        </w:r>
        <w:r w:rsidR="00756857" w:rsidRPr="008E2D67">
          <w:rPr>
            <w:b w:val="0"/>
            <w:noProof/>
            <w:webHidden/>
          </w:rPr>
        </w:r>
        <w:r w:rsidR="00756857" w:rsidRPr="008E2D67">
          <w:rPr>
            <w:b w:val="0"/>
            <w:noProof/>
            <w:webHidden/>
          </w:rPr>
          <w:fldChar w:fldCharType="separate"/>
        </w:r>
        <w:r w:rsidR="008E2D67" w:rsidRPr="008E2D67">
          <w:rPr>
            <w:b w:val="0"/>
            <w:noProof/>
            <w:webHidden/>
          </w:rPr>
          <w:t>5</w:t>
        </w:r>
        <w:r w:rsidR="00756857" w:rsidRPr="008E2D67">
          <w:rPr>
            <w:b w:val="0"/>
            <w:noProof/>
            <w:webHidden/>
          </w:rPr>
          <w:fldChar w:fldCharType="end"/>
        </w:r>
      </w:hyperlink>
    </w:p>
    <w:p w14:paraId="115CA8F9" w14:textId="4888DF43" w:rsidR="00756857" w:rsidRDefault="000F5857">
      <w:pPr>
        <w:pStyle w:val="TOC1"/>
        <w:rPr>
          <w:rFonts w:eastAsiaTheme="minorEastAsia"/>
          <w:b w:val="0"/>
          <w:noProof/>
          <w:sz w:val="22"/>
          <w:lang w:eastAsia="en-AU"/>
        </w:rPr>
      </w:pPr>
      <w:hyperlink w:anchor="_Toc465254468" w:history="1">
        <w:r w:rsidR="00756857" w:rsidRPr="00F52ED9">
          <w:rPr>
            <w:rStyle w:val="Hyperlink"/>
            <w:noProof/>
          </w:rPr>
          <w:t>Part 1 – Grant and Procurement Connected Policies</w:t>
        </w:r>
        <w:r w:rsidR="00756857">
          <w:rPr>
            <w:noProof/>
            <w:webHidden/>
          </w:rPr>
          <w:tab/>
        </w:r>
        <w:r w:rsidR="00756857">
          <w:rPr>
            <w:noProof/>
            <w:webHidden/>
          </w:rPr>
          <w:fldChar w:fldCharType="begin"/>
        </w:r>
        <w:r w:rsidR="00756857">
          <w:rPr>
            <w:noProof/>
            <w:webHidden/>
          </w:rPr>
          <w:instrText xml:space="preserve"> PAGEREF _Toc465254468 \h </w:instrText>
        </w:r>
        <w:r w:rsidR="00756857">
          <w:rPr>
            <w:noProof/>
            <w:webHidden/>
          </w:rPr>
        </w:r>
        <w:r w:rsidR="00756857">
          <w:rPr>
            <w:noProof/>
            <w:webHidden/>
          </w:rPr>
          <w:fldChar w:fldCharType="separate"/>
        </w:r>
        <w:r w:rsidR="008E2D67">
          <w:rPr>
            <w:noProof/>
            <w:webHidden/>
          </w:rPr>
          <w:t>5</w:t>
        </w:r>
        <w:r w:rsidR="00756857">
          <w:rPr>
            <w:noProof/>
            <w:webHidden/>
          </w:rPr>
          <w:fldChar w:fldCharType="end"/>
        </w:r>
      </w:hyperlink>
    </w:p>
    <w:p w14:paraId="2ACB148D" w14:textId="58253EE9" w:rsidR="00756857" w:rsidRDefault="008E2D67">
      <w:pPr>
        <w:pStyle w:val="TOC2"/>
        <w:rPr>
          <w:rFonts w:eastAsiaTheme="minorEastAsia"/>
          <w:noProof/>
          <w:lang w:eastAsia="en-AU"/>
        </w:rPr>
      </w:pPr>
      <w:r>
        <w:rPr>
          <w:rStyle w:val="Hyperlink"/>
          <w:i w:val="0"/>
          <w:noProof/>
          <w:u w:val="none"/>
        </w:rPr>
        <w:tab/>
      </w:r>
      <w:hyperlink w:anchor="_Toc465254469" w:history="1">
        <w:r w:rsidR="00756857" w:rsidRPr="00F52ED9">
          <w:rPr>
            <w:rStyle w:val="Hyperlink"/>
            <w:noProof/>
          </w:rPr>
          <w:t>Objectives</w:t>
        </w:r>
        <w:r w:rsidR="00756857">
          <w:rPr>
            <w:noProof/>
            <w:webHidden/>
          </w:rPr>
          <w:tab/>
        </w:r>
        <w:r w:rsidR="00756857">
          <w:rPr>
            <w:noProof/>
            <w:webHidden/>
          </w:rPr>
          <w:fldChar w:fldCharType="begin"/>
        </w:r>
        <w:r w:rsidR="00756857">
          <w:rPr>
            <w:noProof/>
            <w:webHidden/>
          </w:rPr>
          <w:instrText xml:space="preserve"> PAGEREF _Toc465254469 \h </w:instrText>
        </w:r>
        <w:r w:rsidR="00756857">
          <w:rPr>
            <w:noProof/>
            <w:webHidden/>
          </w:rPr>
        </w:r>
        <w:r w:rsidR="00756857">
          <w:rPr>
            <w:noProof/>
            <w:webHidden/>
          </w:rPr>
          <w:fldChar w:fldCharType="separate"/>
        </w:r>
        <w:r>
          <w:rPr>
            <w:noProof/>
            <w:webHidden/>
          </w:rPr>
          <w:t>5</w:t>
        </w:r>
        <w:r w:rsidR="00756857">
          <w:rPr>
            <w:noProof/>
            <w:webHidden/>
          </w:rPr>
          <w:fldChar w:fldCharType="end"/>
        </w:r>
      </w:hyperlink>
    </w:p>
    <w:p w14:paraId="4BE032A0" w14:textId="0B21B89C" w:rsidR="00756857" w:rsidRDefault="008E2D67">
      <w:pPr>
        <w:pStyle w:val="TOC2"/>
        <w:rPr>
          <w:rFonts w:eastAsiaTheme="minorEastAsia"/>
          <w:noProof/>
          <w:lang w:eastAsia="en-AU"/>
        </w:rPr>
      </w:pPr>
      <w:r>
        <w:rPr>
          <w:rStyle w:val="Hyperlink"/>
          <w:i w:val="0"/>
          <w:noProof/>
          <w:u w:val="none"/>
        </w:rPr>
        <w:tab/>
      </w:r>
      <w:hyperlink w:anchor="_Toc465254470" w:history="1">
        <w:r w:rsidR="00756857" w:rsidRPr="00F52ED9">
          <w:rPr>
            <w:rStyle w:val="Hyperlink"/>
            <w:noProof/>
          </w:rPr>
          <w:t>Policy Rationale</w:t>
        </w:r>
        <w:r w:rsidR="00756857">
          <w:rPr>
            <w:noProof/>
            <w:webHidden/>
          </w:rPr>
          <w:tab/>
        </w:r>
        <w:r w:rsidR="00756857">
          <w:rPr>
            <w:noProof/>
            <w:webHidden/>
          </w:rPr>
          <w:fldChar w:fldCharType="begin"/>
        </w:r>
        <w:r w:rsidR="00756857">
          <w:rPr>
            <w:noProof/>
            <w:webHidden/>
          </w:rPr>
          <w:instrText xml:space="preserve"> PAGEREF _Toc465254470 \h </w:instrText>
        </w:r>
        <w:r w:rsidR="00756857">
          <w:rPr>
            <w:noProof/>
            <w:webHidden/>
          </w:rPr>
        </w:r>
        <w:r w:rsidR="00756857">
          <w:rPr>
            <w:noProof/>
            <w:webHidden/>
          </w:rPr>
          <w:fldChar w:fldCharType="separate"/>
        </w:r>
        <w:r>
          <w:rPr>
            <w:noProof/>
            <w:webHidden/>
          </w:rPr>
          <w:t>6</w:t>
        </w:r>
        <w:r w:rsidR="00756857">
          <w:rPr>
            <w:noProof/>
            <w:webHidden/>
          </w:rPr>
          <w:fldChar w:fldCharType="end"/>
        </w:r>
      </w:hyperlink>
    </w:p>
    <w:p w14:paraId="7302EFF3" w14:textId="1BBB95AE" w:rsidR="00756857" w:rsidRDefault="008E2D67">
      <w:pPr>
        <w:pStyle w:val="TOC2"/>
        <w:rPr>
          <w:rFonts w:eastAsiaTheme="minorEastAsia"/>
          <w:noProof/>
          <w:lang w:eastAsia="en-AU"/>
        </w:rPr>
      </w:pPr>
      <w:r>
        <w:rPr>
          <w:rStyle w:val="Hyperlink"/>
          <w:i w:val="0"/>
          <w:noProof/>
          <w:u w:val="none"/>
        </w:rPr>
        <w:tab/>
      </w:r>
      <w:hyperlink w:anchor="_Toc465254471" w:history="1">
        <w:r w:rsidR="00756857" w:rsidRPr="00F52ED9">
          <w:rPr>
            <w:rStyle w:val="Hyperlink"/>
            <w:noProof/>
          </w:rPr>
          <w:t>Requirements</w:t>
        </w:r>
        <w:r w:rsidR="00756857">
          <w:rPr>
            <w:noProof/>
            <w:webHidden/>
          </w:rPr>
          <w:tab/>
        </w:r>
        <w:r w:rsidR="00756857">
          <w:rPr>
            <w:noProof/>
            <w:webHidden/>
          </w:rPr>
          <w:fldChar w:fldCharType="begin"/>
        </w:r>
        <w:r w:rsidR="00756857">
          <w:rPr>
            <w:noProof/>
            <w:webHidden/>
          </w:rPr>
          <w:instrText xml:space="preserve"> PAGEREF _Toc465254471 \h </w:instrText>
        </w:r>
        <w:r w:rsidR="00756857">
          <w:rPr>
            <w:noProof/>
            <w:webHidden/>
          </w:rPr>
        </w:r>
        <w:r w:rsidR="00756857">
          <w:rPr>
            <w:noProof/>
            <w:webHidden/>
          </w:rPr>
          <w:fldChar w:fldCharType="separate"/>
        </w:r>
        <w:r>
          <w:rPr>
            <w:noProof/>
            <w:webHidden/>
          </w:rPr>
          <w:t>6</w:t>
        </w:r>
        <w:r w:rsidR="00756857">
          <w:rPr>
            <w:noProof/>
            <w:webHidden/>
          </w:rPr>
          <w:fldChar w:fldCharType="end"/>
        </w:r>
      </w:hyperlink>
    </w:p>
    <w:p w14:paraId="52BC3696" w14:textId="6B8DCD41" w:rsidR="00756857" w:rsidRDefault="008E2D67">
      <w:pPr>
        <w:pStyle w:val="TOC2"/>
        <w:rPr>
          <w:rFonts w:eastAsiaTheme="minorEastAsia"/>
          <w:noProof/>
          <w:lang w:eastAsia="en-AU"/>
        </w:rPr>
      </w:pPr>
      <w:r>
        <w:rPr>
          <w:rStyle w:val="Hyperlink"/>
          <w:i w:val="0"/>
          <w:noProof/>
          <w:u w:val="none"/>
        </w:rPr>
        <w:tab/>
      </w:r>
      <w:hyperlink w:anchor="_Toc465254472" w:history="1">
        <w:r w:rsidR="00756857" w:rsidRPr="00F52ED9">
          <w:rPr>
            <w:rStyle w:val="Hyperlink"/>
            <w:noProof/>
          </w:rPr>
          <w:t>Principles</w:t>
        </w:r>
        <w:r w:rsidR="00756857">
          <w:rPr>
            <w:noProof/>
            <w:webHidden/>
          </w:rPr>
          <w:tab/>
        </w:r>
        <w:r w:rsidR="00756857">
          <w:rPr>
            <w:noProof/>
            <w:webHidden/>
          </w:rPr>
          <w:fldChar w:fldCharType="begin"/>
        </w:r>
        <w:r w:rsidR="00756857">
          <w:rPr>
            <w:noProof/>
            <w:webHidden/>
          </w:rPr>
          <w:instrText xml:space="preserve"> PAGEREF _Toc465254472 \h </w:instrText>
        </w:r>
        <w:r w:rsidR="00756857">
          <w:rPr>
            <w:noProof/>
            <w:webHidden/>
          </w:rPr>
        </w:r>
        <w:r w:rsidR="00756857">
          <w:rPr>
            <w:noProof/>
            <w:webHidden/>
          </w:rPr>
          <w:fldChar w:fldCharType="separate"/>
        </w:r>
        <w:r>
          <w:rPr>
            <w:noProof/>
            <w:webHidden/>
          </w:rPr>
          <w:t>7</w:t>
        </w:r>
        <w:r w:rsidR="00756857">
          <w:rPr>
            <w:noProof/>
            <w:webHidden/>
          </w:rPr>
          <w:fldChar w:fldCharType="end"/>
        </w:r>
      </w:hyperlink>
    </w:p>
    <w:p w14:paraId="1986F555" w14:textId="19AF48E1" w:rsidR="00756857" w:rsidRDefault="000F5857">
      <w:pPr>
        <w:pStyle w:val="TOC1"/>
        <w:rPr>
          <w:rFonts w:eastAsiaTheme="minorEastAsia"/>
          <w:b w:val="0"/>
          <w:noProof/>
          <w:sz w:val="22"/>
          <w:lang w:eastAsia="en-AU"/>
        </w:rPr>
      </w:pPr>
      <w:hyperlink w:anchor="_Toc465254473" w:history="1">
        <w:r w:rsidR="00756857" w:rsidRPr="00F52ED9">
          <w:rPr>
            <w:rStyle w:val="Hyperlink"/>
            <w:noProof/>
          </w:rPr>
          <w:t>Part 2 – Roles and Responsibilities</w:t>
        </w:r>
        <w:r w:rsidR="00756857">
          <w:rPr>
            <w:noProof/>
            <w:webHidden/>
          </w:rPr>
          <w:tab/>
        </w:r>
        <w:r w:rsidR="00756857">
          <w:rPr>
            <w:noProof/>
            <w:webHidden/>
          </w:rPr>
          <w:fldChar w:fldCharType="begin"/>
        </w:r>
        <w:r w:rsidR="00756857">
          <w:rPr>
            <w:noProof/>
            <w:webHidden/>
          </w:rPr>
          <w:instrText xml:space="preserve"> PAGEREF _Toc465254473 \h </w:instrText>
        </w:r>
        <w:r w:rsidR="00756857">
          <w:rPr>
            <w:noProof/>
            <w:webHidden/>
          </w:rPr>
        </w:r>
        <w:r w:rsidR="00756857">
          <w:rPr>
            <w:noProof/>
            <w:webHidden/>
          </w:rPr>
          <w:fldChar w:fldCharType="separate"/>
        </w:r>
        <w:r w:rsidR="008E2D67">
          <w:rPr>
            <w:noProof/>
            <w:webHidden/>
          </w:rPr>
          <w:t>7</w:t>
        </w:r>
        <w:r w:rsidR="00756857">
          <w:rPr>
            <w:noProof/>
            <w:webHidden/>
          </w:rPr>
          <w:fldChar w:fldCharType="end"/>
        </w:r>
      </w:hyperlink>
    </w:p>
    <w:p w14:paraId="697E7360" w14:textId="28CF5FD6" w:rsidR="00756857" w:rsidRDefault="000F5857">
      <w:pPr>
        <w:pStyle w:val="TOC1"/>
        <w:rPr>
          <w:rFonts w:eastAsiaTheme="minorEastAsia"/>
          <w:b w:val="0"/>
          <w:noProof/>
          <w:sz w:val="22"/>
          <w:lang w:eastAsia="en-AU"/>
        </w:rPr>
      </w:pPr>
      <w:hyperlink w:anchor="_Toc465254474" w:history="1">
        <w:r w:rsidR="00756857" w:rsidRPr="00F52ED9">
          <w:rPr>
            <w:rStyle w:val="Hyperlink"/>
            <w:noProof/>
          </w:rPr>
          <w:t>Part 3 – Key Steps</w:t>
        </w:r>
        <w:r w:rsidR="00756857">
          <w:rPr>
            <w:noProof/>
            <w:webHidden/>
          </w:rPr>
          <w:tab/>
        </w:r>
        <w:r w:rsidR="00756857">
          <w:rPr>
            <w:noProof/>
            <w:webHidden/>
          </w:rPr>
          <w:fldChar w:fldCharType="begin"/>
        </w:r>
        <w:r w:rsidR="00756857">
          <w:rPr>
            <w:noProof/>
            <w:webHidden/>
          </w:rPr>
          <w:instrText xml:space="preserve"> PAGEREF _Toc465254474 \h </w:instrText>
        </w:r>
        <w:r w:rsidR="00756857">
          <w:rPr>
            <w:noProof/>
            <w:webHidden/>
          </w:rPr>
        </w:r>
        <w:r w:rsidR="00756857">
          <w:rPr>
            <w:noProof/>
            <w:webHidden/>
          </w:rPr>
          <w:fldChar w:fldCharType="separate"/>
        </w:r>
        <w:r w:rsidR="008E2D67">
          <w:rPr>
            <w:noProof/>
            <w:webHidden/>
          </w:rPr>
          <w:t>9</w:t>
        </w:r>
        <w:r w:rsidR="00756857">
          <w:rPr>
            <w:noProof/>
            <w:webHidden/>
          </w:rPr>
          <w:fldChar w:fldCharType="end"/>
        </w:r>
      </w:hyperlink>
    </w:p>
    <w:p w14:paraId="5574C45B" w14:textId="7E5B708B" w:rsidR="00396E11" w:rsidRDefault="00396E11" w:rsidP="00396E11">
      <w:r>
        <w:rPr>
          <w:rFonts w:ascii="Calibri" w:hAnsi="Calibri"/>
          <w:b/>
          <w:bCs/>
          <w:caps/>
          <w:sz w:val="20"/>
          <w:szCs w:val="24"/>
        </w:rPr>
        <w:fldChar w:fldCharType="end"/>
      </w:r>
      <w:r>
        <w:br w:type="page"/>
      </w:r>
    </w:p>
    <w:p w14:paraId="7B9DA954" w14:textId="77777777" w:rsidR="00396E11" w:rsidRPr="00324ECA" w:rsidRDefault="00396E11" w:rsidP="0046056E">
      <w:pPr>
        <w:pStyle w:val="Heading1"/>
      </w:pPr>
      <w:bookmarkStart w:id="1" w:name="_Toc462156017"/>
      <w:bookmarkStart w:id="2" w:name="_Toc462158389"/>
      <w:bookmarkStart w:id="3" w:name="_Toc462158444"/>
      <w:bookmarkStart w:id="4" w:name="_Toc462158497"/>
      <w:bookmarkStart w:id="5" w:name="_Toc462158567"/>
      <w:bookmarkStart w:id="6" w:name="_Toc462158687"/>
      <w:bookmarkStart w:id="7" w:name="_Toc465254464"/>
      <w:bookmarkStart w:id="8" w:name="Audience"/>
      <w:bookmarkStart w:id="9" w:name="_GoBack"/>
      <w:r w:rsidRPr="00324ECA">
        <w:lastRenderedPageBreak/>
        <w:t>Audience</w:t>
      </w:r>
      <w:bookmarkEnd w:id="1"/>
      <w:bookmarkEnd w:id="2"/>
      <w:bookmarkEnd w:id="3"/>
      <w:bookmarkEnd w:id="4"/>
      <w:bookmarkEnd w:id="5"/>
      <w:bookmarkEnd w:id="6"/>
      <w:bookmarkEnd w:id="7"/>
    </w:p>
    <w:bookmarkEnd w:id="8"/>
    <w:bookmarkEnd w:id="9"/>
    <w:p w14:paraId="2D0D91D1" w14:textId="50E4CB80" w:rsidR="005E5CB9" w:rsidRPr="00190D82" w:rsidRDefault="005E5CB9" w:rsidP="00336D5B">
      <w:r w:rsidRPr="00872A62">
        <w:t>This guide is relevant to</w:t>
      </w:r>
      <w:r w:rsidR="00336D5B">
        <w:t xml:space="preserve"> </w:t>
      </w:r>
      <w:r w:rsidR="00832351">
        <w:t xml:space="preserve">policy </w:t>
      </w:r>
      <w:r w:rsidR="00F54D5E">
        <w:t>officials in</w:t>
      </w:r>
      <w:r w:rsidRPr="00190D82">
        <w:t xml:space="preserve"> non-corporate Commonwealth entities (NCEs)</w:t>
      </w:r>
      <w:r w:rsidR="008771D4">
        <w:t>.</w:t>
      </w:r>
    </w:p>
    <w:p w14:paraId="48107894" w14:textId="77777777" w:rsidR="00396E11" w:rsidRPr="00C5547B" w:rsidRDefault="00396E11" w:rsidP="00396E11">
      <w:pPr>
        <w:pStyle w:val="Heading1"/>
      </w:pPr>
      <w:bookmarkStart w:id="10" w:name="_Toc390678609"/>
      <w:bookmarkStart w:id="11" w:name="_Toc390678658"/>
      <w:bookmarkStart w:id="12" w:name="_Toc462156018"/>
      <w:bookmarkStart w:id="13" w:name="_Toc462158390"/>
      <w:bookmarkStart w:id="14" w:name="_Toc462158445"/>
      <w:bookmarkStart w:id="15" w:name="_Toc462158498"/>
      <w:bookmarkStart w:id="16" w:name="_Toc462158568"/>
      <w:bookmarkStart w:id="17" w:name="_Toc462158688"/>
      <w:bookmarkStart w:id="18" w:name="_Toc465254465"/>
      <w:r>
        <w:t>Key points</w:t>
      </w:r>
      <w:bookmarkEnd w:id="10"/>
      <w:bookmarkEnd w:id="11"/>
      <w:bookmarkEnd w:id="12"/>
      <w:bookmarkEnd w:id="13"/>
      <w:bookmarkEnd w:id="14"/>
      <w:bookmarkEnd w:id="15"/>
      <w:bookmarkEnd w:id="16"/>
      <w:bookmarkEnd w:id="17"/>
      <w:bookmarkEnd w:id="18"/>
    </w:p>
    <w:p w14:paraId="0FE9611C" w14:textId="77777777" w:rsidR="005E5CB9" w:rsidRPr="00C5547B" w:rsidRDefault="005E5CB9" w:rsidP="00336D5B">
      <w:bookmarkStart w:id="19" w:name="_Toc390678610"/>
      <w:bookmarkStart w:id="20" w:name="_Toc390678659"/>
      <w:r w:rsidRPr="00C5547B">
        <w:t>This guide:</w:t>
      </w:r>
    </w:p>
    <w:p w14:paraId="073F3529" w14:textId="091D47FA" w:rsidR="005E5CB9" w:rsidRPr="00D16CE4" w:rsidRDefault="00B4010B" w:rsidP="00336D5B">
      <w:pPr>
        <w:pStyle w:val="Bullet1"/>
        <w:spacing w:before="0" w:after="120" w:line="240" w:lineRule="auto"/>
        <w:ind w:left="851"/>
      </w:pPr>
      <w:r w:rsidRPr="00D16CE4">
        <w:t xml:space="preserve">is implementation guidance for sections 4.14 and 4.15 of the Commonwealth Grants Rules and Guidelines (CGRGs) and sections </w:t>
      </w:r>
      <w:r w:rsidR="00D97513">
        <w:t>4.9</w:t>
      </w:r>
      <w:r w:rsidRPr="00D16CE4">
        <w:t xml:space="preserve"> and </w:t>
      </w:r>
      <w:r w:rsidR="00D97513">
        <w:t>4.10</w:t>
      </w:r>
      <w:r w:rsidRPr="00D16CE4">
        <w:t xml:space="preserve"> of the Commonwealth Procurement Rules (CPRs);</w:t>
      </w:r>
    </w:p>
    <w:p w14:paraId="4428BA06" w14:textId="563DE1BF" w:rsidR="00B4010B" w:rsidRPr="00D16CE4" w:rsidRDefault="00B4010B" w:rsidP="00336D5B">
      <w:pPr>
        <w:pStyle w:val="Bullet1"/>
        <w:spacing w:before="0" w:after="120" w:line="240" w:lineRule="auto"/>
        <w:ind w:left="851"/>
      </w:pPr>
      <w:r w:rsidRPr="00D16CE4">
        <w:t>outlines the administrative framework to ensure future Grants-Connected Policies (GCPs) and Procurement-Connected Policies (PCPs) are applied effectively at a whole-of-government level;</w:t>
      </w:r>
      <w:r w:rsidR="00D16CE4" w:rsidRPr="00D16CE4">
        <w:t xml:space="preserve"> and</w:t>
      </w:r>
    </w:p>
    <w:p w14:paraId="27F30015" w14:textId="6F2DE084" w:rsidR="00B4010B" w:rsidRPr="00D16CE4" w:rsidRDefault="00B4010B" w:rsidP="00336D5B">
      <w:pPr>
        <w:pStyle w:val="Bullet1"/>
        <w:spacing w:before="0" w:after="120" w:line="240" w:lineRule="auto"/>
        <w:ind w:left="851"/>
      </w:pPr>
      <w:r w:rsidRPr="00D16CE4">
        <w:t>details the steps required to es</w:t>
      </w:r>
      <w:r w:rsidR="00336D5B">
        <w:t>tablish a recognised GCP or PCP.</w:t>
      </w:r>
    </w:p>
    <w:p w14:paraId="5378E64B" w14:textId="77777777" w:rsidR="00396E11" w:rsidRPr="00C5547B" w:rsidRDefault="00396E11" w:rsidP="00396E11">
      <w:pPr>
        <w:pStyle w:val="Heading1"/>
      </w:pPr>
      <w:bookmarkStart w:id="21" w:name="_Toc462156019"/>
      <w:bookmarkStart w:id="22" w:name="_Toc462158391"/>
      <w:bookmarkStart w:id="23" w:name="_Toc462158446"/>
      <w:bookmarkStart w:id="24" w:name="_Toc462158499"/>
      <w:bookmarkStart w:id="25" w:name="_Toc462158569"/>
      <w:bookmarkStart w:id="26" w:name="_Toc462158689"/>
      <w:bookmarkStart w:id="27" w:name="_Toc465254466"/>
      <w:r>
        <w:t>Resources</w:t>
      </w:r>
      <w:bookmarkEnd w:id="19"/>
      <w:bookmarkEnd w:id="20"/>
      <w:bookmarkEnd w:id="21"/>
      <w:bookmarkEnd w:id="22"/>
      <w:bookmarkEnd w:id="23"/>
      <w:bookmarkEnd w:id="24"/>
      <w:bookmarkEnd w:id="25"/>
      <w:bookmarkEnd w:id="26"/>
      <w:bookmarkEnd w:id="27"/>
    </w:p>
    <w:p w14:paraId="3760F0DE" w14:textId="77777777" w:rsidR="005E5CB9" w:rsidRPr="00C5547B" w:rsidRDefault="005E5CB9" w:rsidP="00336D5B">
      <w:pPr>
        <w:rPr>
          <w:rFonts w:eastAsia="Times New Roman"/>
          <w:szCs w:val="24"/>
        </w:rPr>
      </w:pPr>
      <w:bookmarkStart w:id="28" w:name="_Toc462156020"/>
      <w:bookmarkStart w:id="29" w:name="_Toc462158392"/>
      <w:bookmarkStart w:id="30" w:name="_Toc462158447"/>
      <w:bookmarkStart w:id="31" w:name="_Toc462158500"/>
      <w:bookmarkStart w:id="32" w:name="_Toc462158570"/>
      <w:bookmarkStart w:id="33" w:name="_Toc462158690"/>
      <w:r w:rsidRPr="00C5547B">
        <w:rPr>
          <w:rFonts w:eastAsia="Times New Roman"/>
          <w:szCs w:val="24"/>
        </w:rPr>
        <w:t xml:space="preserve">This guide is available on the Department of Finance website at </w:t>
      </w:r>
      <w:hyperlink r:id="rId13" w:history="1">
        <w:r w:rsidRPr="00247026">
          <w:rPr>
            <w:rStyle w:val="Hyperlink"/>
            <w:rFonts w:eastAsia="Times New Roman"/>
            <w:szCs w:val="24"/>
          </w:rPr>
          <w:t>www.finance.gov.au</w:t>
        </w:r>
      </w:hyperlink>
      <w:r w:rsidRPr="00C5547B">
        <w:rPr>
          <w:rFonts w:eastAsia="Times New Roman"/>
          <w:szCs w:val="24"/>
        </w:rPr>
        <w:t>.</w:t>
      </w:r>
    </w:p>
    <w:p w14:paraId="1D0548B8" w14:textId="77777777" w:rsidR="005E5CB9" w:rsidRPr="00757219" w:rsidRDefault="005E5CB9" w:rsidP="00336D5B">
      <w:pPr>
        <w:rPr>
          <w:i/>
        </w:rPr>
      </w:pPr>
      <w:r w:rsidRPr="00C5547B">
        <w:t>Other relevant publications include:</w:t>
      </w:r>
    </w:p>
    <w:p w14:paraId="6EC38D0A" w14:textId="17F6E700" w:rsidR="005E5CB9" w:rsidRPr="00C5547B" w:rsidRDefault="000F5857" w:rsidP="00336D5B">
      <w:pPr>
        <w:pStyle w:val="Bullet1"/>
        <w:spacing w:before="0" w:after="120" w:line="240" w:lineRule="auto"/>
        <w:ind w:left="851"/>
      </w:pPr>
      <w:hyperlink r:id="rId14" w:history="1">
        <w:r w:rsidR="00F54D5E" w:rsidRPr="00AC400B">
          <w:rPr>
            <w:rStyle w:val="Hyperlink"/>
            <w:rFonts w:cstheme="minorBidi"/>
          </w:rPr>
          <w:t>Commonwealth Grants Rules and Guidelines</w:t>
        </w:r>
      </w:hyperlink>
      <w:r w:rsidR="008771D4">
        <w:t>;</w:t>
      </w:r>
      <w:r w:rsidR="00DE683D">
        <w:t xml:space="preserve"> </w:t>
      </w:r>
    </w:p>
    <w:p w14:paraId="179E7E46" w14:textId="3A41AE21" w:rsidR="002809A5" w:rsidRPr="002809A5" w:rsidRDefault="000F5857" w:rsidP="00336D5B">
      <w:pPr>
        <w:pStyle w:val="Bullet1"/>
        <w:spacing w:before="0" w:after="120" w:line="240" w:lineRule="auto"/>
        <w:ind w:left="851"/>
      </w:pPr>
      <w:hyperlink r:id="rId15" w:history="1">
        <w:r w:rsidR="00F54D5E" w:rsidRPr="00AC400B">
          <w:rPr>
            <w:rStyle w:val="Hyperlink"/>
            <w:rFonts w:cstheme="minorBidi"/>
          </w:rPr>
          <w:t>Commonwealth Procurement Rules</w:t>
        </w:r>
      </w:hyperlink>
      <w:r w:rsidR="008771D4">
        <w:t>;</w:t>
      </w:r>
      <w:r w:rsidR="00DE683D">
        <w:t xml:space="preserve"> </w:t>
      </w:r>
    </w:p>
    <w:p w14:paraId="18DE4902" w14:textId="63F5C1B0" w:rsidR="002809A5" w:rsidRPr="00DE683D" w:rsidRDefault="000F5857" w:rsidP="00336D5B">
      <w:pPr>
        <w:pStyle w:val="Bullet1"/>
        <w:spacing w:before="0" w:after="120" w:line="240" w:lineRule="auto"/>
        <w:ind w:left="851"/>
      </w:pPr>
      <w:hyperlink r:id="rId16" w:history="1">
        <w:r w:rsidR="00F54D5E" w:rsidRPr="00AC400B">
          <w:rPr>
            <w:rStyle w:val="Hyperlink"/>
            <w:rFonts w:cstheme="minorBidi"/>
          </w:rPr>
          <w:t>Public Governance, Performance and Accountability Act 2013</w:t>
        </w:r>
      </w:hyperlink>
      <w:r w:rsidR="00DE683D">
        <w:rPr>
          <w:i/>
        </w:rPr>
        <w:t xml:space="preserve"> </w:t>
      </w:r>
      <w:r w:rsidR="00DE683D" w:rsidRPr="00DE683D">
        <w:t>(PGPA Act)</w:t>
      </w:r>
      <w:r w:rsidR="008771D4">
        <w:t>; and</w:t>
      </w:r>
    </w:p>
    <w:p w14:paraId="382DF01C" w14:textId="433EC4A4" w:rsidR="002809A5" w:rsidRDefault="000F5857" w:rsidP="00336D5B">
      <w:pPr>
        <w:pStyle w:val="Bullet1"/>
        <w:spacing w:before="0" w:after="120" w:line="240" w:lineRule="auto"/>
        <w:ind w:left="851"/>
        <w:rPr>
          <w:i/>
        </w:rPr>
      </w:pPr>
      <w:hyperlink r:id="rId17" w:history="1">
        <w:r w:rsidR="00F54D5E" w:rsidRPr="00AC400B">
          <w:rPr>
            <w:rStyle w:val="Hyperlink"/>
            <w:rFonts w:cstheme="minorBidi"/>
          </w:rPr>
          <w:t>Public Governance, Performance and Accountability Rule 2014</w:t>
        </w:r>
      </w:hyperlink>
      <w:r w:rsidR="00DE683D">
        <w:rPr>
          <w:i/>
        </w:rPr>
        <w:t xml:space="preserve"> </w:t>
      </w:r>
      <w:r w:rsidR="00DE683D">
        <w:t>(PGPA Rule)</w:t>
      </w:r>
      <w:r w:rsidR="008771D4">
        <w:t>.</w:t>
      </w:r>
    </w:p>
    <w:p w14:paraId="0EF57E61" w14:textId="5773F9EF" w:rsidR="00F54D5E" w:rsidRPr="00AC400B" w:rsidRDefault="00AC400B" w:rsidP="00336D5B">
      <w:pPr>
        <w:pStyle w:val="Bullet1"/>
        <w:numPr>
          <w:ilvl w:val="0"/>
          <w:numId w:val="0"/>
        </w:numPr>
      </w:pPr>
      <w:r>
        <w:t xml:space="preserve">Should you have any questions regarding this guide, or require an application form relating to a proposal for a new GCP or PCP, please email: </w:t>
      </w:r>
      <w:hyperlink r:id="rId18" w:history="1">
        <w:r w:rsidRPr="00E942DC">
          <w:rPr>
            <w:rStyle w:val="Hyperlink"/>
            <w:rFonts w:cstheme="minorBidi"/>
          </w:rPr>
          <w:t>grants@finance.gov.au</w:t>
        </w:r>
      </w:hyperlink>
      <w:r>
        <w:t xml:space="preserve"> or </w:t>
      </w:r>
      <w:hyperlink r:id="rId19" w:history="1">
        <w:r w:rsidRPr="00E942DC">
          <w:rPr>
            <w:rStyle w:val="Hyperlink"/>
            <w:rFonts w:cstheme="minorBidi"/>
          </w:rPr>
          <w:t>procurementagencyadvice@finance.gov.au</w:t>
        </w:r>
      </w:hyperlink>
      <w:r>
        <w:t xml:space="preserve">. </w:t>
      </w:r>
    </w:p>
    <w:p w14:paraId="3BFCE656" w14:textId="0B67ABEB" w:rsidR="005E5CB9" w:rsidRDefault="00BF3BA2" w:rsidP="00F54D5E">
      <w:pPr>
        <w:pStyle w:val="Bullet1"/>
        <w:numPr>
          <w:ilvl w:val="0"/>
          <w:numId w:val="0"/>
        </w:numPr>
        <w:ind w:left="852" w:hanging="284"/>
      </w:pPr>
      <w:r>
        <w:br/>
      </w:r>
      <w:r w:rsidR="005E5CB9" w:rsidRPr="002809A5">
        <w:br w:type="page"/>
      </w:r>
    </w:p>
    <w:p w14:paraId="05DF643A" w14:textId="77777777" w:rsidR="005E5CB9" w:rsidRDefault="005E5CB9" w:rsidP="005E5CB9">
      <w:pPr>
        <w:pStyle w:val="Heading1"/>
      </w:pPr>
      <w:bookmarkStart w:id="34" w:name="_Toc463364660"/>
      <w:bookmarkStart w:id="35" w:name="_Toc465254467"/>
      <w:r>
        <w:lastRenderedPageBreak/>
        <w:t>Introduction</w:t>
      </w:r>
      <w:bookmarkEnd w:id="34"/>
      <w:bookmarkEnd w:id="35"/>
    </w:p>
    <w:p w14:paraId="6614C85B" w14:textId="6C6724F6" w:rsidR="005E5CB9" w:rsidRDefault="00AB19E6" w:rsidP="00336D5B">
      <w:pPr>
        <w:pStyle w:val="NumberedList1"/>
        <w:numPr>
          <w:ilvl w:val="0"/>
          <w:numId w:val="14"/>
        </w:numPr>
        <w:ind w:left="425" w:hanging="425"/>
      </w:pPr>
      <w:r>
        <w:t>GCPs and PCPs are Commonwealth policies that the Government has agreed to connect to either the CGRGs or the CPRs or both. These policies seek to support government policy objectives through the Commonwealth’s use of grant and/or procurement activities.</w:t>
      </w:r>
    </w:p>
    <w:p w14:paraId="4657293E" w14:textId="53807D75" w:rsidR="005E5CB9" w:rsidRPr="00F448BB" w:rsidRDefault="00AB19E6" w:rsidP="00336D5B">
      <w:pPr>
        <w:pStyle w:val="NumberedList1"/>
        <w:numPr>
          <w:ilvl w:val="0"/>
          <w:numId w:val="14"/>
        </w:numPr>
        <w:ind w:left="425" w:hanging="425"/>
      </w:pPr>
      <w:r>
        <w:t>This document outlines the administrative process that must be followed in order for a policy to be considered for introduction as a GCP and/or PCP</w:t>
      </w:r>
      <w:r w:rsidR="002809A5">
        <w:t xml:space="preserve">. </w:t>
      </w:r>
    </w:p>
    <w:p w14:paraId="18D615BA" w14:textId="52DD9B9D" w:rsidR="005E5CB9" w:rsidRDefault="00AB19E6" w:rsidP="00336D5B">
      <w:pPr>
        <w:pStyle w:val="NumberedList1"/>
        <w:numPr>
          <w:ilvl w:val="0"/>
          <w:numId w:val="14"/>
        </w:numPr>
        <w:ind w:left="425" w:hanging="425"/>
      </w:pPr>
      <w:r>
        <w:t>The process ensures that future decisions to use the Commonwealth’s granting activities and/or purchasing power for the achievement of</w:t>
      </w:r>
      <w:r w:rsidR="00692F2F">
        <w:t xml:space="preserve"> broader policy objectives are:</w:t>
      </w:r>
    </w:p>
    <w:p w14:paraId="1AA7C72E" w14:textId="16FA4322" w:rsidR="00692F2F" w:rsidRDefault="00692F2F" w:rsidP="00336D5B">
      <w:pPr>
        <w:pStyle w:val="Bullet1"/>
        <w:spacing w:before="0" w:after="120" w:line="240" w:lineRule="auto"/>
        <w:ind w:left="851"/>
      </w:pPr>
      <w:r>
        <w:t>well considered;</w:t>
      </w:r>
    </w:p>
    <w:p w14:paraId="19EE20A8" w14:textId="4D750A7A" w:rsidR="00692F2F" w:rsidRDefault="00692F2F" w:rsidP="00336D5B">
      <w:pPr>
        <w:pStyle w:val="Bullet1"/>
        <w:spacing w:before="0" w:after="120" w:line="240" w:lineRule="auto"/>
        <w:ind w:left="851"/>
      </w:pPr>
      <w:r>
        <w:t>do not impose unnecessary red tape on businesses or community organisations; and</w:t>
      </w:r>
    </w:p>
    <w:p w14:paraId="1E1FC4FC" w14:textId="78812A1C" w:rsidR="00692F2F" w:rsidRDefault="00692F2F" w:rsidP="00336D5B">
      <w:pPr>
        <w:pStyle w:val="Bullet1"/>
        <w:spacing w:before="0" w:after="120" w:line="240" w:lineRule="auto"/>
        <w:ind w:left="851"/>
      </w:pPr>
      <w:r>
        <w:t>do not introduce inefficiencies into procurement or grants activities.</w:t>
      </w:r>
    </w:p>
    <w:p w14:paraId="4896BB4F" w14:textId="76C6EF75" w:rsidR="00396E11" w:rsidRPr="00C5547B" w:rsidRDefault="00941CFB" w:rsidP="00E60A81">
      <w:pPr>
        <w:pStyle w:val="Heading1"/>
        <w:shd w:val="clear" w:color="auto" w:fill="BDDCDF" w:themeFill="accent1"/>
      </w:pPr>
      <w:bookmarkStart w:id="36" w:name="_Toc465254468"/>
      <w:r>
        <w:t xml:space="preserve">Part 1 – </w:t>
      </w:r>
      <w:bookmarkEnd w:id="28"/>
      <w:bookmarkEnd w:id="29"/>
      <w:bookmarkEnd w:id="30"/>
      <w:bookmarkEnd w:id="31"/>
      <w:bookmarkEnd w:id="32"/>
      <w:bookmarkEnd w:id="33"/>
      <w:r w:rsidR="00324ECA">
        <w:t>Grant and Procurement Connected Policies</w:t>
      </w:r>
      <w:bookmarkEnd w:id="36"/>
    </w:p>
    <w:p w14:paraId="599CA4DB" w14:textId="2FBD3506" w:rsidR="00396E11" w:rsidRPr="0046056E" w:rsidRDefault="00692F2F" w:rsidP="00336D5B">
      <w:pPr>
        <w:pStyle w:val="NumberedList1"/>
        <w:ind w:left="425" w:hanging="425"/>
      </w:pPr>
      <w:bookmarkStart w:id="37" w:name="_Toc308092705"/>
      <w:r>
        <w:t xml:space="preserve">The CGRGs and the CPRs set out the Commonwealth’s grants and procurement policy frameworks and establish the requirements and key principles that apply to all Commonwealth grants and procurements. </w:t>
      </w:r>
    </w:p>
    <w:p w14:paraId="696D599F" w14:textId="5A31BC68" w:rsidR="00396E11" w:rsidRPr="00FF709A" w:rsidRDefault="00692F2F" w:rsidP="00336D5B">
      <w:pPr>
        <w:pStyle w:val="Bullet1"/>
        <w:spacing w:before="0" w:after="120" w:line="240" w:lineRule="auto"/>
        <w:ind w:left="851"/>
      </w:pPr>
      <w:r w:rsidRPr="00FF709A">
        <w:t>GCPs are whole-of-government policies which entity staff must take into account before awarding a grant and/or which may impose requirements on grant applicants or recipients in order to receive a grant. Such requirements would be additional to the usual grant application or program guidelines, terms and conditions.</w:t>
      </w:r>
    </w:p>
    <w:p w14:paraId="16E93FF2" w14:textId="7552CA7C" w:rsidR="00AB19E6" w:rsidRPr="00FF709A" w:rsidRDefault="00692F2F" w:rsidP="00336D5B">
      <w:pPr>
        <w:pStyle w:val="Bullet1"/>
        <w:spacing w:before="0" w:after="120" w:line="240" w:lineRule="auto"/>
        <w:ind w:left="851"/>
      </w:pPr>
      <w:r w:rsidRPr="00FF709A">
        <w:t xml:space="preserve">PCPs are specific whole-of-government policies of the Commonwealth for which procurement has been identified as a means of delivery. PCPs are government policies which entity </w:t>
      </w:r>
      <w:r w:rsidR="00C51C6E" w:rsidRPr="00FF709A">
        <w:t xml:space="preserve">staff must take into account during a procurement process. PCPs are linked to the procurement framework through paragraphs </w:t>
      </w:r>
      <w:r w:rsidR="00D97513">
        <w:t>4.9</w:t>
      </w:r>
      <w:r w:rsidR="00C51C6E" w:rsidRPr="00FF709A">
        <w:t xml:space="preserve"> and </w:t>
      </w:r>
      <w:r w:rsidR="00D97513">
        <w:t>4.10</w:t>
      </w:r>
      <w:r w:rsidR="00C51C6E" w:rsidRPr="00FF709A">
        <w:t xml:space="preserve"> of the CPRs. PCPs are listed on Finance’s </w:t>
      </w:r>
      <w:hyperlink r:id="rId20" w:history="1">
        <w:r w:rsidR="00C51C6E" w:rsidRPr="008771D4">
          <w:rPr>
            <w:rStyle w:val="Hyperlink"/>
            <w:rFonts w:cstheme="minorBidi"/>
          </w:rPr>
          <w:t>procurement web pages</w:t>
        </w:r>
      </w:hyperlink>
      <w:r w:rsidR="00C51C6E" w:rsidRPr="00FF709A">
        <w:t>.</w:t>
      </w:r>
    </w:p>
    <w:p w14:paraId="53C867B1" w14:textId="64AA3829" w:rsidR="00396E11" w:rsidRPr="00C5547B" w:rsidRDefault="00C51C6E" w:rsidP="008E2D67">
      <w:pPr>
        <w:pStyle w:val="Heading2"/>
      </w:pPr>
      <w:bookmarkStart w:id="38" w:name="_Toc465254469"/>
      <w:r w:rsidRPr="008E2D67">
        <w:t>Objectives</w:t>
      </w:r>
      <w:bookmarkEnd w:id="38"/>
    </w:p>
    <w:p w14:paraId="4A3ECF8F" w14:textId="3591D835" w:rsidR="00396E11" w:rsidRDefault="00C51C6E" w:rsidP="00336D5B">
      <w:pPr>
        <w:pStyle w:val="NumberedList1"/>
        <w:ind w:left="425" w:hanging="425"/>
      </w:pPr>
      <w:r>
        <w:t>In seeking approval for a GCP and/or PCP, Commonwealth entities must ensure that:</w:t>
      </w:r>
    </w:p>
    <w:p w14:paraId="372049D6" w14:textId="4203C5EE" w:rsidR="00C51C6E" w:rsidRDefault="00C51C6E" w:rsidP="00336D5B">
      <w:pPr>
        <w:pStyle w:val="Bullet1"/>
        <w:spacing w:before="0" w:after="120" w:line="240" w:lineRule="auto"/>
        <w:ind w:left="851"/>
      </w:pPr>
      <w:r>
        <w:t>the objectives of the GCP and/or PCP align with the program objectives or the business needs of the entity;</w:t>
      </w:r>
    </w:p>
    <w:p w14:paraId="25CD0784" w14:textId="7E5C5E8C" w:rsidR="00C51C6E" w:rsidRDefault="00C51C6E" w:rsidP="00336D5B">
      <w:pPr>
        <w:pStyle w:val="Bullet1"/>
        <w:spacing w:before="0" w:after="120" w:line="240" w:lineRule="auto"/>
        <w:ind w:left="851"/>
      </w:pPr>
      <w:r>
        <w:t>the GCP and/or PCP and any compliance requirements impose only the necessary minimum burden on both entity staff and non-government stakeholders involved</w:t>
      </w:r>
      <w:r w:rsidR="00FF709A">
        <w:t xml:space="preserve"> in the development, management, application and evaluation of Commonwealth grants and procurements;</w:t>
      </w:r>
    </w:p>
    <w:p w14:paraId="38A4112D" w14:textId="44A442C3" w:rsidR="00FF709A" w:rsidRDefault="00FF709A" w:rsidP="00336D5B">
      <w:pPr>
        <w:pStyle w:val="Bullet1"/>
        <w:spacing w:before="0" w:after="120" w:line="240" w:lineRule="auto"/>
        <w:ind w:left="851"/>
      </w:pPr>
      <w:r>
        <w:t>the impact, in terms of positive policy outcomes is greater than any burden imposed on Commonwealth entities, grant applicants/recipients and potential suppliers;</w:t>
      </w:r>
    </w:p>
    <w:p w14:paraId="6CA21DAF" w14:textId="10C48557" w:rsidR="00FF709A" w:rsidRDefault="00FF709A" w:rsidP="00336D5B">
      <w:pPr>
        <w:pStyle w:val="Bullet1"/>
        <w:spacing w:before="0" w:after="120" w:line="240" w:lineRule="auto"/>
        <w:ind w:left="851"/>
      </w:pPr>
      <w:r>
        <w:t xml:space="preserve">the GCP and/or PCP will not hinder the proper use of Commonwealth resources or create unnecessary red tape; and </w:t>
      </w:r>
    </w:p>
    <w:p w14:paraId="5E3C0FBA" w14:textId="23AD4726" w:rsidR="00FF709A" w:rsidRPr="0081536D" w:rsidRDefault="00FF709A" w:rsidP="00336D5B">
      <w:pPr>
        <w:pStyle w:val="Bullet1"/>
        <w:spacing w:before="0" w:after="120" w:line="240" w:lineRule="auto"/>
        <w:ind w:left="851"/>
      </w:pPr>
      <w:r>
        <w:lastRenderedPageBreak/>
        <w:t>any increase in a regul</w:t>
      </w:r>
      <w:r w:rsidRPr="0081536D">
        <w:t>atory burden on business, community organisations or individuals is compliant with whole-of-government requirements overseen by the Office of Best Practice Regulation</w:t>
      </w:r>
      <w:r w:rsidR="00013DD4" w:rsidRPr="0081536D">
        <w:t xml:space="preserve"> and the Regulatory Reform Division within the Department of the Prime Minister and Cabinet</w:t>
      </w:r>
      <w:r w:rsidRPr="0081536D">
        <w:t>.</w:t>
      </w:r>
    </w:p>
    <w:p w14:paraId="02418891" w14:textId="1B87992B" w:rsidR="00941CFB" w:rsidRPr="0081536D" w:rsidRDefault="00FF709A" w:rsidP="00FF709A">
      <w:pPr>
        <w:pStyle w:val="Heading2"/>
      </w:pPr>
      <w:bookmarkStart w:id="39" w:name="_Toc465254470"/>
      <w:r w:rsidRPr="0081536D">
        <w:t>Policy Rationale</w:t>
      </w:r>
      <w:bookmarkEnd w:id="39"/>
    </w:p>
    <w:p w14:paraId="66AD8E1E" w14:textId="2FC83C57" w:rsidR="00396E11" w:rsidRPr="0081536D" w:rsidRDefault="00FF709A" w:rsidP="00336D5B">
      <w:pPr>
        <w:pStyle w:val="NumberedList1"/>
        <w:ind w:left="425" w:hanging="425"/>
      </w:pPr>
      <w:r w:rsidRPr="0081536D">
        <w:t>When developing a proposal for consideration of a GCP and/or PCP, Commonwealth entities must consider how the effectiveness of the GCP and/or PCP will be measured</w:t>
      </w:r>
      <w:r w:rsidR="00C043BD" w:rsidRPr="0081536D">
        <w:t>.</w:t>
      </w:r>
      <w:r w:rsidRPr="0081536D">
        <w:t xml:space="preserve"> The outcomes of a GCP and PCP must be carefully defined to ensure they will meet the policy’s objectives. </w:t>
      </w:r>
    </w:p>
    <w:p w14:paraId="0D2A9582" w14:textId="6221EFAC" w:rsidR="002D7560" w:rsidRPr="0081536D" w:rsidRDefault="00FF709A" w:rsidP="00FF709A">
      <w:pPr>
        <w:pStyle w:val="Heading2"/>
      </w:pPr>
      <w:bookmarkStart w:id="40" w:name="_Toc465254471"/>
      <w:r w:rsidRPr="0081536D">
        <w:t>Requirements</w:t>
      </w:r>
      <w:bookmarkEnd w:id="40"/>
    </w:p>
    <w:p w14:paraId="5EE545DC" w14:textId="7C195BDA" w:rsidR="00396E11" w:rsidRPr="0081536D" w:rsidRDefault="00FF709A" w:rsidP="00336D5B">
      <w:pPr>
        <w:pStyle w:val="NumberedList1"/>
        <w:ind w:left="425" w:hanging="425"/>
      </w:pPr>
      <w:r w:rsidRPr="0081536D">
        <w:t xml:space="preserve">When designing a GCP and/or PCP, entity staff should ensure that the proposed policy will support streamlining in grant or procurement processes. </w:t>
      </w:r>
      <w:r w:rsidR="00DE683D" w:rsidRPr="0081536D">
        <w:t>Policies must not impose a disproportionate regulatory burden which is inconsistent with the Government’s commitment to reduce red tape</w:t>
      </w:r>
      <w:r w:rsidR="00C043BD" w:rsidRPr="0081536D">
        <w:t>.</w:t>
      </w:r>
    </w:p>
    <w:p w14:paraId="73E5BA2C" w14:textId="57A01603" w:rsidR="00DE683D" w:rsidRPr="0081536D" w:rsidRDefault="00DE683D" w:rsidP="00336D5B">
      <w:pPr>
        <w:pStyle w:val="NumberedList1"/>
        <w:ind w:left="425" w:hanging="425"/>
      </w:pPr>
      <w:r w:rsidRPr="0081536D">
        <w:t xml:space="preserve">A GCP and/or PCP must be actively managed by the responsible Commonwealth entity. Policies must be monitored and have an appropriate regime for addressing non-compliance. Where is becomes apparent that a policy’s outcomes are not being achieved (through the use of grants and procurements), the policy should be revised or the GCP/PCP status removed. </w:t>
      </w:r>
    </w:p>
    <w:p w14:paraId="3379580B" w14:textId="6955DC2F" w:rsidR="00DE683D" w:rsidRPr="0081536D" w:rsidRDefault="00DE683D" w:rsidP="00336D5B">
      <w:pPr>
        <w:pStyle w:val="NumberedList1"/>
        <w:ind w:left="425" w:hanging="425"/>
      </w:pPr>
      <w:r w:rsidRPr="0081536D">
        <w:t xml:space="preserve">Policy-owning entities of approved GCPs and/or PCPs are required to conduct annual reviews of their policy’s effectiveness in achieving its stated purpose and outcomes. </w:t>
      </w:r>
    </w:p>
    <w:p w14:paraId="1DECEDB0" w14:textId="1437F56F" w:rsidR="00DE683D" w:rsidRDefault="00DE683D" w:rsidP="00336D5B">
      <w:pPr>
        <w:pStyle w:val="NumberedList1"/>
        <w:ind w:left="425" w:hanging="425"/>
      </w:pPr>
      <w:r w:rsidRPr="0081536D">
        <w:t>Five years after a whole-of-government policy receives GCP and/or PCP status, the approved states lapses. Prior to lapsing, the responsible Commonwealth entity should review the reasons for GCP and/or PCP status, and if still appropriate,</w:t>
      </w:r>
      <w:r>
        <w:t xml:space="preserve"> reapply to the </w:t>
      </w:r>
      <w:r w:rsidR="00336D5B">
        <w:t>m</w:t>
      </w:r>
      <w:r>
        <w:t xml:space="preserve">inister for Finance for this recognition. </w:t>
      </w:r>
    </w:p>
    <w:p w14:paraId="4354E448" w14:textId="6ABD4A3D" w:rsidR="00DE683D" w:rsidRDefault="00DE683D" w:rsidP="00336D5B">
      <w:pPr>
        <w:pStyle w:val="NumberedList1"/>
        <w:ind w:left="425" w:hanging="425"/>
      </w:pPr>
      <w:r>
        <w:t>GCPs and/or PCPs must not be inconsistent with legislation or other Commonwealth policies relevant to grants or procurement. The key requirements relating to grants and/or procurement administration include:</w:t>
      </w:r>
    </w:p>
    <w:p w14:paraId="7AD6041D" w14:textId="198D3B1C" w:rsidR="00DE683D" w:rsidRPr="00DE683D" w:rsidRDefault="00DE683D" w:rsidP="00336D5B">
      <w:pPr>
        <w:pStyle w:val="Bullet1"/>
        <w:spacing w:before="0" w:after="120" w:line="240" w:lineRule="auto"/>
        <w:ind w:left="851"/>
      </w:pPr>
      <w:r w:rsidRPr="00DE683D">
        <w:t>the PGPA Act</w:t>
      </w:r>
      <w:r>
        <w:rPr>
          <w:i/>
        </w:rPr>
        <w:t>;</w:t>
      </w:r>
    </w:p>
    <w:p w14:paraId="26E1160D" w14:textId="6CFCF41A" w:rsidR="00DE683D" w:rsidRDefault="00DE683D" w:rsidP="00336D5B">
      <w:pPr>
        <w:pStyle w:val="Bullet1"/>
        <w:spacing w:before="0" w:after="120" w:line="240" w:lineRule="auto"/>
        <w:ind w:left="851"/>
      </w:pPr>
      <w:r>
        <w:t>the PGPA Rule;</w:t>
      </w:r>
    </w:p>
    <w:p w14:paraId="52ADA76A" w14:textId="32FF59C3" w:rsidR="00DE683D" w:rsidRDefault="00DE683D" w:rsidP="00336D5B">
      <w:pPr>
        <w:pStyle w:val="Bullet1"/>
        <w:spacing w:before="0" w:after="120" w:line="240" w:lineRule="auto"/>
        <w:ind w:left="851"/>
      </w:pPr>
      <w:r>
        <w:t>the CGRGs;</w:t>
      </w:r>
    </w:p>
    <w:p w14:paraId="09236151" w14:textId="26DD6BC1" w:rsidR="00DE683D" w:rsidRDefault="00DE683D" w:rsidP="00336D5B">
      <w:pPr>
        <w:pStyle w:val="Bullet1"/>
        <w:spacing w:before="0" w:after="120" w:line="240" w:lineRule="auto"/>
        <w:ind w:left="851"/>
      </w:pPr>
      <w:r>
        <w:t>the CPRs;</w:t>
      </w:r>
    </w:p>
    <w:p w14:paraId="177B9705" w14:textId="0FF256B2" w:rsidR="00DE683D" w:rsidRDefault="00DE683D" w:rsidP="00336D5B">
      <w:pPr>
        <w:pStyle w:val="Bullet1"/>
        <w:spacing w:before="0" w:after="120" w:line="240" w:lineRule="auto"/>
        <w:ind w:left="851"/>
      </w:pPr>
      <w:r>
        <w:t>the guidelines applying to specific grants or procurement activities such as, the relevant grant guidelines or tender documentation;</w:t>
      </w:r>
    </w:p>
    <w:p w14:paraId="5EF49539" w14:textId="4AE9D011" w:rsidR="00DE683D" w:rsidRDefault="00DE683D" w:rsidP="00336D5B">
      <w:pPr>
        <w:pStyle w:val="Bullet1"/>
        <w:spacing w:before="0" w:after="120" w:line="240" w:lineRule="auto"/>
        <w:ind w:left="851"/>
      </w:pPr>
      <w:r>
        <w:t xml:space="preserve">applicable legislation, such as those concerning privacy, government advertising, anti-discrimination, social inclusion, </w:t>
      </w:r>
      <w:r w:rsidR="0081536D">
        <w:t>freedom of information</w:t>
      </w:r>
      <w:r w:rsidR="009F425B">
        <w:t xml:space="preserve"> and freedom to advocate;</w:t>
      </w:r>
    </w:p>
    <w:p w14:paraId="06983A43" w14:textId="7FECF248" w:rsidR="009F425B" w:rsidRDefault="009F425B" w:rsidP="00336D5B">
      <w:pPr>
        <w:pStyle w:val="Bullet1"/>
        <w:spacing w:before="0" w:after="120" w:line="240" w:lineRule="auto"/>
        <w:ind w:left="851"/>
      </w:pPr>
      <w:r>
        <w:t>existing GCPs or PCPs; and</w:t>
      </w:r>
    </w:p>
    <w:p w14:paraId="4017A646" w14:textId="606893A0" w:rsidR="009F425B" w:rsidRDefault="009F425B" w:rsidP="00336D5B">
      <w:pPr>
        <w:pStyle w:val="Bullet1"/>
        <w:spacing w:before="0" w:after="120" w:line="240" w:lineRule="auto"/>
        <w:ind w:left="851"/>
      </w:pPr>
      <w:r>
        <w:t>red tape reduction policies and targets.</w:t>
      </w:r>
    </w:p>
    <w:p w14:paraId="2DAB7A9B" w14:textId="4D1EE161" w:rsidR="009F425B" w:rsidRDefault="009F425B" w:rsidP="009F425B">
      <w:pPr>
        <w:pStyle w:val="Heading2"/>
      </w:pPr>
      <w:bookmarkStart w:id="41" w:name="_Toc465254472"/>
      <w:r>
        <w:lastRenderedPageBreak/>
        <w:t>Principles</w:t>
      </w:r>
      <w:bookmarkEnd w:id="41"/>
    </w:p>
    <w:p w14:paraId="4AE17507" w14:textId="33E4470E" w:rsidR="009F425B" w:rsidRDefault="009F425B" w:rsidP="00336D5B">
      <w:pPr>
        <w:pStyle w:val="NumberedList1"/>
        <w:ind w:left="425" w:hanging="425"/>
      </w:pPr>
      <w:r>
        <w:t>GCPs:</w:t>
      </w:r>
    </w:p>
    <w:p w14:paraId="5786C498" w14:textId="106C1A5A" w:rsidR="009F425B" w:rsidRDefault="009F425B" w:rsidP="00336D5B">
      <w:pPr>
        <w:pStyle w:val="Bullet1"/>
        <w:spacing w:before="0" w:after="120" w:line="240" w:lineRule="auto"/>
        <w:ind w:left="851"/>
      </w:pPr>
      <w:r>
        <w:t>do not form part of the CGRGs, but are standalone policies that are recognised in grants administration and are the responsibility of the entity that owns the policy;</w:t>
      </w:r>
    </w:p>
    <w:p w14:paraId="1E3BBA86" w14:textId="1542CD28" w:rsidR="009F425B" w:rsidRPr="0081536D" w:rsidRDefault="009F425B" w:rsidP="00336D5B">
      <w:pPr>
        <w:pStyle w:val="Bullet1"/>
        <w:spacing w:before="0" w:after="120" w:line="240" w:lineRule="auto"/>
        <w:ind w:left="851"/>
      </w:pPr>
      <w:r w:rsidRPr="0081536D">
        <w:t>should minimise any administrative burden and associated compliance costs for Commonwealth entities, grant applicants, recipients and beneficiaries;</w:t>
      </w:r>
    </w:p>
    <w:p w14:paraId="3EC52EE7" w14:textId="422E7B6E" w:rsidR="009F425B" w:rsidRPr="0081536D" w:rsidRDefault="009F425B" w:rsidP="00336D5B">
      <w:pPr>
        <w:pStyle w:val="Bullet1"/>
        <w:spacing w:before="0" w:after="120" w:line="240" w:lineRule="auto"/>
        <w:ind w:left="851"/>
      </w:pPr>
      <w:r w:rsidRPr="0081536D">
        <w:t>should not unduly increase risks for the Commonwealth and/or grant applicants, recipients and beneficiaries; and</w:t>
      </w:r>
    </w:p>
    <w:p w14:paraId="0C420E05" w14:textId="5814D46E" w:rsidR="009F425B" w:rsidRPr="0081536D" w:rsidRDefault="009F425B" w:rsidP="00336D5B">
      <w:pPr>
        <w:pStyle w:val="Bullet1"/>
        <w:spacing w:before="0" w:after="120" w:line="240" w:lineRule="auto"/>
        <w:ind w:left="851"/>
      </w:pPr>
      <w:r w:rsidRPr="0081536D">
        <w:t>should not stifle competition, innovation or financial viability for grant applicants, recipients and beneficiaries.</w:t>
      </w:r>
    </w:p>
    <w:p w14:paraId="745C3714" w14:textId="71804FB1" w:rsidR="009F425B" w:rsidRPr="0081536D" w:rsidRDefault="009F425B" w:rsidP="00336D5B">
      <w:pPr>
        <w:pStyle w:val="NumberedList1"/>
        <w:ind w:left="425" w:hanging="425"/>
      </w:pPr>
      <w:r w:rsidRPr="0081536D">
        <w:t>PCPs:</w:t>
      </w:r>
    </w:p>
    <w:p w14:paraId="627E395A" w14:textId="60B37789" w:rsidR="009F425B" w:rsidRPr="0081536D" w:rsidRDefault="009F425B" w:rsidP="00336D5B">
      <w:pPr>
        <w:pStyle w:val="Bullet1"/>
        <w:spacing w:before="0" w:after="120" w:line="240" w:lineRule="auto"/>
        <w:ind w:left="851"/>
      </w:pPr>
      <w:r w:rsidRPr="0081536D">
        <w:t>must align with Australia’s international obligations under free trade agreements;</w:t>
      </w:r>
    </w:p>
    <w:p w14:paraId="5FFDB4BC" w14:textId="76429E4C" w:rsidR="009F425B" w:rsidRPr="0081536D" w:rsidRDefault="009F425B" w:rsidP="00336D5B">
      <w:pPr>
        <w:pStyle w:val="Bullet1"/>
        <w:spacing w:before="0" w:after="120" w:line="240" w:lineRule="auto"/>
        <w:ind w:left="851"/>
      </w:pPr>
      <w:r w:rsidRPr="0081536D">
        <w:t>are the responsibility of the entity that owns the policy;</w:t>
      </w:r>
    </w:p>
    <w:p w14:paraId="74BFB3DB" w14:textId="2C6620AC" w:rsidR="009F425B" w:rsidRPr="0081536D" w:rsidRDefault="009F425B" w:rsidP="00336D5B">
      <w:pPr>
        <w:pStyle w:val="Bullet1"/>
        <w:spacing w:before="0" w:after="120" w:line="240" w:lineRule="auto"/>
        <w:ind w:left="851"/>
      </w:pPr>
      <w:r w:rsidRPr="0081536D">
        <w:t>should minimise a</w:t>
      </w:r>
      <w:r w:rsidR="00013DD4" w:rsidRPr="0081536D">
        <w:t>ny administrative burden, risks</w:t>
      </w:r>
      <w:r w:rsidRPr="0081536D">
        <w:t xml:space="preserve"> and associated compliance costs for entities and businesses in achieving the policy outcome; and</w:t>
      </w:r>
    </w:p>
    <w:p w14:paraId="1E45225C" w14:textId="63DD4B84" w:rsidR="009F425B" w:rsidRDefault="009F425B" w:rsidP="00336D5B">
      <w:pPr>
        <w:pStyle w:val="Bullet1"/>
        <w:spacing w:before="0" w:after="120" w:line="240" w:lineRule="auto"/>
        <w:ind w:left="851"/>
      </w:pPr>
      <w:r w:rsidRPr="0081536D">
        <w:t>should promote</w:t>
      </w:r>
      <w:r>
        <w:t xml:space="preserve"> and not restrict competition in the government procurement market. Potential suppliers must remain able to be treated equitably based on their legal, commercial, te</w:t>
      </w:r>
      <w:r w:rsidR="00013DD4">
        <w:t>chnical</w:t>
      </w:r>
      <w:r>
        <w:t xml:space="preserve"> and financial abilities.</w:t>
      </w:r>
    </w:p>
    <w:p w14:paraId="595704CE" w14:textId="54E82E64" w:rsidR="00396E11" w:rsidRPr="00052714" w:rsidRDefault="00C043BD" w:rsidP="00E60A81">
      <w:pPr>
        <w:pStyle w:val="Heading1"/>
        <w:shd w:val="clear" w:color="auto" w:fill="BDDCDF" w:themeFill="accent1"/>
      </w:pPr>
      <w:bookmarkStart w:id="42" w:name="_Toc462156026"/>
      <w:bookmarkStart w:id="43" w:name="_Toc462158398"/>
      <w:bookmarkStart w:id="44" w:name="_Toc462158453"/>
      <w:bookmarkStart w:id="45" w:name="_Toc462158506"/>
      <w:bookmarkStart w:id="46" w:name="_Toc462158576"/>
      <w:bookmarkStart w:id="47" w:name="_Toc462158696"/>
      <w:bookmarkStart w:id="48" w:name="_Toc465254473"/>
      <w:r>
        <w:t xml:space="preserve">Part 2 – </w:t>
      </w:r>
      <w:bookmarkEnd w:id="42"/>
      <w:bookmarkEnd w:id="43"/>
      <w:bookmarkEnd w:id="44"/>
      <w:bookmarkEnd w:id="45"/>
      <w:bookmarkEnd w:id="46"/>
      <w:bookmarkEnd w:id="47"/>
      <w:r w:rsidR="009F425B">
        <w:t>Roles and Responsibilities</w:t>
      </w:r>
      <w:bookmarkEnd w:id="48"/>
    </w:p>
    <w:p w14:paraId="6E917B7E" w14:textId="6ACCDBDB" w:rsidR="00396E11" w:rsidRDefault="009F425B" w:rsidP="00336D5B">
      <w:pPr>
        <w:pStyle w:val="NumberedList1"/>
        <w:ind w:left="425" w:hanging="425"/>
      </w:pPr>
      <w:r>
        <w:t>The responsible Commonwealth entity must:</w:t>
      </w:r>
    </w:p>
    <w:p w14:paraId="2E35F38C" w14:textId="28BF2F66" w:rsidR="009F425B" w:rsidRDefault="00DC6867" w:rsidP="00336D5B">
      <w:pPr>
        <w:pStyle w:val="Bullet1"/>
        <w:spacing w:before="0" w:after="120" w:line="240" w:lineRule="auto"/>
        <w:ind w:left="851"/>
      </w:pPr>
      <w:r>
        <w:t>d</w:t>
      </w:r>
      <w:r w:rsidR="009F425B">
        <w:t>emonstrate that the introduction of a GCP and/or PCP is the most appropriate mechanism for implementing the whole-of-government policy, considering its potential impact on government and external stakeholders;</w:t>
      </w:r>
    </w:p>
    <w:p w14:paraId="01FDA013" w14:textId="4C6AB010" w:rsidR="00DC6867" w:rsidRDefault="00DC6867" w:rsidP="00336D5B">
      <w:pPr>
        <w:pStyle w:val="Bullet1"/>
        <w:spacing w:before="0" w:after="120" w:line="240" w:lineRule="auto"/>
        <w:ind w:left="851"/>
      </w:pPr>
      <w:r>
        <w:t>u</w:t>
      </w:r>
      <w:r w:rsidR="009F425B">
        <w:t>ndertake a cost benefit analysis</w:t>
      </w:r>
      <w:r w:rsidR="0081536D">
        <w:t xml:space="preserve"> (CBA)</w:t>
      </w:r>
      <w:r w:rsidR="009F425B">
        <w:t xml:space="preserve"> of the proposed GCP and/or PCP and advise the responsible portfoli</w:t>
      </w:r>
      <w:r w:rsidR="0081536D">
        <w:t>o minister on the merits, costs</w:t>
      </w:r>
      <w:r w:rsidR="009F425B">
        <w:t xml:space="preserve"> and risks of a specific whole-of-government policy being recognised </w:t>
      </w:r>
      <w:r>
        <w:t>as a GCP and/or PCP prior to seeking the Finance Minister’s agreement to a final submission for consideration by the Cabinet;</w:t>
      </w:r>
    </w:p>
    <w:p w14:paraId="6AB11318" w14:textId="0D3F1CF0" w:rsidR="00DC6867" w:rsidRDefault="00DC6867" w:rsidP="00336D5B">
      <w:pPr>
        <w:pStyle w:val="Bullet1"/>
        <w:spacing w:before="0" w:after="120" w:line="240" w:lineRule="auto"/>
        <w:ind w:left="851"/>
      </w:pPr>
      <w:r>
        <w:t>complete a Regulation Impact Statement (RIS), including measurement of the regulatory burden and the identification of regulatory offsets where a proposal increases the burden. The RIS is required to be submitted with the draft submission to the Cabinet proposing the new GCP and/or PCP;</w:t>
      </w:r>
    </w:p>
    <w:p w14:paraId="399D77B5" w14:textId="77777777" w:rsidR="00DC6867" w:rsidRDefault="00DC6867" w:rsidP="00336D5B">
      <w:pPr>
        <w:pStyle w:val="Bullet1"/>
        <w:spacing w:before="0" w:after="120" w:line="240" w:lineRule="auto"/>
        <w:ind w:left="851"/>
      </w:pPr>
      <w:r>
        <w:t>undertake appropriate consultation with affected stakeholders;</w:t>
      </w:r>
    </w:p>
    <w:p w14:paraId="2A40659B" w14:textId="77777777" w:rsidR="00DC6867" w:rsidRDefault="00DC6867" w:rsidP="00336D5B">
      <w:pPr>
        <w:pStyle w:val="Bullet1"/>
        <w:spacing w:before="0" w:after="120" w:line="240" w:lineRule="auto"/>
        <w:ind w:left="851"/>
      </w:pPr>
      <w:r>
        <w:t>implement, monitor and provide advice on the GCP and/or PCP to entities and other stakeholders;</w:t>
      </w:r>
    </w:p>
    <w:p w14:paraId="3A87D13B" w14:textId="77777777" w:rsidR="00DC6867" w:rsidRDefault="00DC6867" w:rsidP="00336D5B">
      <w:pPr>
        <w:pStyle w:val="Bullet1"/>
        <w:spacing w:before="0" w:after="120" w:line="240" w:lineRule="auto"/>
        <w:ind w:left="851"/>
      </w:pPr>
      <w:r>
        <w:t>review the effectiveness of the GCP and/or PCP annually and notify the Department of Finance of the outcome; and</w:t>
      </w:r>
    </w:p>
    <w:p w14:paraId="56478E33" w14:textId="0842003F" w:rsidR="00DC6867" w:rsidRDefault="00DC6867" w:rsidP="00336D5B">
      <w:pPr>
        <w:pStyle w:val="Bullet1"/>
        <w:spacing w:before="0" w:after="120" w:line="240" w:lineRule="auto"/>
        <w:ind w:left="851"/>
      </w:pPr>
      <w:r>
        <w:t xml:space="preserve">before the expiry of the five-year term (and if required), reapply to the Cabinet to extend the GCP and/or PCP for a further defined period. </w:t>
      </w:r>
    </w:p>
    <w:p w14:paraId="3A8D02BA" w14:textId="77777777" w:rsidR="00C97A45" w:rsidRDefault="00C97A45">
      <w:pPr>
        <w:suppressAutoHyphens w:val="0"/>
        <w:spacing w:before="0" w:after="120" w:line="440" w:lineRule="atLeast"/>
      </w:pPr>
      <w:r>
        <w:br w:type="page"/>
      </w:r>
    </w:p>
    <w:p w14:paraId="0CDCBAA2" w14:textId="21D319AF" w:rsidR="00B378A8" w:rsidRDefault="00B378A8" w:rsidP="00336D5B">
      <w:pPr>
        <w:pStyle w:val="NumberedList1"/>
        <w:ind w:left="425" w:hanging="425"/>
      </w:pPr>
      <w:r>
        <w:lastRenderedPageBreak/>
        <w:t>The Department of Finance will:</w:t>
      </w:r>
    </w:p>
    <w:p w14:paraId="032FDAF6" w14:textId="28BFBD63" w:rsidR="00B378A8" w:rsidRDefault="00B378A8" w:rsidP="00336D5B">
      <w:pPr>
        <w:pStyle w:val="Bullet1"/>
        <w:spacing w:before="0" w:after="120" w:line="240" w:lineRule="auto"/>
        <w:ind w:left="851"/>
      </w:pPr>
      <w:r>
        <w:t>advise as to whether a proposed GCP and/or PCP is consistent with the overarching grants and/or procurement policy frameworks;</w:t>
      </w:r>
    </w:p>
    <w:p w14:paraId="5ED13596" w14:textId="00F3BB6E" w:rsidR="00B378A8" w:rsidRDefault="00B378A8" w:rsidP="00336D5B">
      <w:pPr>
        <w:pStyle w:val="Bullet1"/>
        <w:spacing w:before="0" w:after="120" w:line="240" w:lineRule="auto"/>
        <w:ind w:left="851"/>
      </w:pPr>
      <w:r>
        <w:t>advise on the process to seek policy authority to recognise the GCP and/or PCP;</w:t>
      </w:r>
    </w:p>
    <w:p w14:paraId="216A2209" w14:textId="1BD17531" w:rsidR="00B378A8" w:rsidRDefault="00B378A8" w:rsidP="00336D5B">
      <w:pPr>
        <w:pStyle w:val="Bullet1"/>
        <w:spacing w:before="0" w:after="120" w:line="240" w:lineRule="auto"/>
        <w:ind w:left="851"/>
      </w:pPr>
      <w:r>
        <w:t>consult with, or request the responsible Commonwealth entity to consult with, other Commonwealth entities, including:</w:t>
      </w:r>
    </w:p>
    <w:p w14:paraId="4D8992CB" w14:textId="72C47856" w:rsidR="00B378A8" w:rsidRDefault="00B378A8" w:rsidP="00336D5B">
      <w:pPr>
        <w:pStyle w:val="Bullet2"/>
        <w:spacing w:before="0" w:after="120" w:line="240" w:lineRule="auto"/>
      </w:pPr>
      <w:r>
        <w:t>the Department of the Prime Minister and Cabinet, and in particular the Office of Best Practice Regulation;</w:t>
      </w:r>
    </w:p>
    <w:p w14:paraId="76496D22" w14:textId="5A2628B7" w:rsidR="00B378A8" w:rsidRDefault="00B378A8" w:rsidP="00336D5B">
      <w:pPr>
        <w:pStyle w:val="Bullet2"/>
        <w:spacing w:before="0" w:after="120" w:line="240" w:lineRule="auto"/>
      </w:pPr>
      <w:r>
        <w:t>relevant Commonwealth entities affected by the proposed GCP and/or PCP;</w:t>
      </w:r>
    </w:p>
    <w:p w14:paraId="04F4E7F3" w14:textId="3D6B6740" w:rsidR="0043579F" w:rsidRDefault="0043579F" w:rsidP="00336D5B">
      <w:pPr>
        <w:pStyle w:val="Bullet2"/>
        <w:spacing w:before="0" w:after="120" w:line="240" w:lineRule="auto"/>
      </w:pPr>
      <w:r>
        <w:t>the Department of Foreign Affairs and Trade, in relation to international obligations;</w:t>
      </w:r>
    </w:p>
    <w:p w14:paraId="5C64C935" w14:textId="1DDE97DA" w:rsidR="0043579F" w:rsidRDefault="0043579F" w:rsidP="00336D5B">
      <w:pPr>
        <w:pStyle w:val="Bullet2"/>
        <w:spacing w:before="0" w:after="120" w:line="240" w:lineRule="auto"/>
      </w:pPr>
      <w:r>
        <w:t>other key policy areas, such as Small Business Division in the Department of the Treasury;</w:t>
      </w:r>
    </w:p>
    <w:p w14:paraId="7F7444AF" w14:textId="7BBFB482" w:rsidR="0043579F" w:rsidRDefault="0043579F" w:rsidP="00336D5B">
      <w:pPr>
        <w:pStyle w:val="Bullet2"/>
        <w:spacing w:before="0" w:after="120" w:line="240" w:lineRule="auto"/>
      </w:pPr>
      <w:r>
        <w:t>Senior Procurement Official’s Reference Group; and</w:t>
      </w:r>
    </w:p>
    <w:p w14:paraId="047CD88A" w14:textId="0C30E11B" w:rsidR="0043579F" w:rsidRDefault="0043579F" w:rsidP="00336D5B">
      <w:pPr>
        <w:pStyle w:val="Bullet2"/>
        <w:spacing w:before="0" w:after="120" w:line="240" w:lineRule="auto"/>
      </w:pPr>
      <w:r>
        <w:t>other grant forums.</w:t>
      </w:r>
    </w:p>
    <w:p w14:paraId="3F901FD2" w14:textId="7E53964B" w:rsidR="0043579F" w:rsidRDefault="0043579F" w:rsidP="00336D5B">
      <w:pPr>
        <w:pStyle w:val="NumberedList1"/>
        <w:ind w:left="425" w:hanging="425"/>
      </w:pPr>
      <w:r>
        <w:t xml:space="preserve">The </w:t>
      </w:r>
      <w:r w:rsidR="0041615A">
        <w:t>Department of F</w:t>
      </w:r>
      <w:r w:rsidR="0005582A">
        <w:t>inance and Office of Best Practice Regulation</w:t>
      </w:r>
      <w:r>
        <w:t xml:space="preserve"> will advise:</w:t>
      </w:r>
    </w:p>
    <w:p w14:paraId="559AF2D3" w14:textId="2150920A" w:rsidR="0043579F" w:rsidRDefault="0043579F" w:rsidP="00336D5B">
      <w:pPr>
        <w:pStyle w:val="Bullet1"/>
        <w:spacing w:before="0" w:after="120" w:line="240" w:lineRule="auto"/>
        <w:ind w:left="851"/>
      </w:pPr>
      <w:r>
        <w:t>whether a RIS is required (officials are required to contact the Office of Best Practice Regulation to seek advice on whether a RIS is required for any new proposal that has a regulatory effect);</w:t>
      </w:r>
    </w:p>
    <w:p w14:paraId="2AFF4068" w14:textId="49895069" w:rsidR="0043579F" w:rsidRDefault="0043579F" w:rsidP="00336D5B">
      <w:pPr>
        <w:pStyle w:val="Bullet1"/>
        <w:spacing w:before="0" w:after="120" w:line="240" w:lineRule="auto"/>
        <w:ind w:left="851"/>
      </w:pPr>
      <w:r>
        <w:t>on the impact of a proposed GCP and/or PCP on other whole-of-government policies, including assisting Commonwealth entities to understand any unintended consequences of decisions; and</w:t>
      </w:r>
    </w:p>
    <w:p w14:paraId="05DE1843" w14:textId="315BB6EB" w:rsidR="0043579F" w:rsidRDefault="0043579F" w:rsidP="00336D5B">
      <w:pPr>
        <w:pStyle w:val="Bullet1"/>
        <w:spacing w:before="0" w:after="120" w:line="240" w:lineRule="auto"/>
        <w:ind w:left="851"/>
      </w:pPr>
      <w:r>
        <w:t xml:space="preserve">how the proposed GCP and/or PCP could be implemented. </w:t>
      </w:r>
    </w:p>
    <w:p w14:paraId="4EAAD00B" w14:textId="60F33AC6" w:rsidR="0043579F" w:rsidRDefault="0043579F" w:rsidP="00336D5B">
      <w:pPr>
        <w:pStyle w:val="NumberedList1"/>
        <w:ind w:left="425" w:hanging="425"/>
      </w:pPr>
      <w:r>
        <w:t>Finance Minister involvement:</w:t>
      </w:r>
    </w:p>
    <w:p w14:paraId="6E22B896" w14:textId="68546F09" w:rsidR="0043579F" w:rsidRDefault="0043579F" w:rsidP="00336D5B">
      <w:pPr>
        <w:pStyle w:val="Bullet1"/>
        <w:spacing w:before="0" w:after="120" w:line="240" w:lineRule="auto"/>
        <w:ind w:left="851"/>
      </w:pPr>
      <w:r>
        <w:t xml:space="preserve">The Finance Minister will decide whether to support a policy being brought forward to the Cabinet to be recognised as a GCP and/or PCP. </w:t>
      </w:r>
    </w:p>
    <w:p w14:paraId="61E69C78" w14:textId="58CB3567" w:rsidR="0043579F" w:rsidRDefault="0043579F" w:rsidP="00336D5B">
      <w:pPr>
        <w:pStyle w:val="Bullet1"/>
        <w:spacing w:before="0" w:after="120" w:line="240" w:lineRule="auto"/>
        <w:ind w:left="851"/>
      </w:pPr>
      <w:r>
        <w:t>The responsible portfolio minister must seek the Finance Minister’s support to bring forward a whole-of-government policy to be recognised as a GCP and/or PCP and seek policy approval from the Cabinet noting whether the Finance Minister supports the application.</w:t>
      </w:r>
    </w:p>
    <w:p w14:paraId="5CEBC1A6" w14:textId="7F17730A" w:rsidR="0043579F" w:rsidRDefault="0043579F" w:rsidP="00336D5B">
      <w:pPr>
        <w:pStyle w:val="NumberedList1"/>
        <w:ind w:left="425" w:hanging="425"/>
      </w:pPr>
      <w:r>
        <w:t>Final documented approval:</w:t>
      </w:r>
    </w:p>
    <w:p w14:paraId="64706233" w14:textId="4330B643" w:rsidR="0043579F" w:rsidRDefault="0043579F" w:rsidP="00336D5B">
      <w:pPr>
        <w:pStyle w:val="Bullet1"/>
        <w:spacing w:before="0" w:after="120" w:line="240" w:lineRule="auto"/>
        <w:ind w:left="851"/>
      </w:pPr>
      <w:r>
        <w:t>A documented decision, by way of a Cabinet Minute, is required to e</w:t>
      </w:r>
      <w:r w:rsidR="00B4010B">
        <w:t xml:space="preserve">stablish a new GCP and/or PCP. </w:t>
      </w:r>
    </w:p>
    <w:p w14:paraId="18E6CFD5" w14:textId="77777777" w:rsidR="0043579F" w:rsidRDefault="0043579F">
      <w:pPr>
        <w:suppressAutoHyphens w:val="0"/>
        <w:spacing w:before="0" w:after="120" w:line="440" w:lineRule="atLeast"/>
        <w:rPr>
          <w:rFonts w:asciiTheme="majorHAnsi" w:eastAsiaTheme="majorEastAsia" w:hAnsiTheme="majorHAnsi" w:cstheme="majorBidi"/>
          <w:bCs/>
          <w:color w:val="1C1C1C" w:themeColor="text2"/>
          <w:sz w:val="40"/>
          <w:szCs w:val="28"/>
        </w:rPr>
      </w:pPr>
      <w:r>
        <w:br w:type="page"/>
      </w:r>
    </w:p>
    <w:p w14:paraId="6A88A3D2" w14:textId="074DAE1A" w:rsidR="00BF6958" w:rsidRPr="00052714" w:rsidRDefault="0043579F" w:rsidP="00BF6958">
      <w:pPr>
        <w:pStyle w:val="Heading1"/>
        <w:shd w:val="clear" w:color="auto" w:fill="BDDCDF" w:themeFill="accent1"/>
      </w:pPr>
      <w:bookmarkStart w:id="49" w:name="_Toc465254474"/>
      <w:r>
        <w:lastRenderedPageBreak/>
        <w:t>Part 3 – Key Steps</w:t>
      </w:r>
      <w:bookmarkEnd w:id="49"/>
      <w:r>
        <w:t xml:space="preserve"> </w:t>
      </w:r>
    </w:p>
    <w:bookmarkEnd w:id="37"/>
    <w:p w14:paraId="7870E648" w14:textId="7A91E585" w:rsidR="0043579F" w:rsidRDefault="0043579F" w:rsidP="00336D5B">
      <w:pPr>
        <w:pStyle w:val="NumberedList1"/>
        <w:ind w:left="425" w:hanging="425"/>
      </w:pPr>
      <w:r>
        <w:t>The key steps for gaining GCP and/or PCP recognition are detailed in the application form, which is provided upon request. The steps are summarised in the diagram below:</w:t>
      </w:r>
    </w:p>
    <w:p w14:paraId="66D6D73C" w14:textId="66613EAC" w:rsidR="0092289A" w:rsidRDefault="00E57349" w:rsidP="0043579F">
      <w:pPr>
        <w:pStyle w:val="NumberedList1"/>
        <w:numPr>
          <w:ilvl w:val="0"/>
          <w:numId w:val="0"/>
        </w:numPr>
      </w:pPr>
      <w:r w:rsidRPr="00F75B73">
        <w:rPr>
          <w:noProof/>
          <w:lang w:eastAsia="en-AU"/>
        </w:rPr>
        <w:drawing>
          <wp:inline distT="0" distB="0" distL="0" distR="0" wp14:anchorId="51F86D2D" wp14:editId="08FE4E7E">
            <wp:extent cx="5737695" cy="4306460"/>
            <wp:effectExtent l="0" t="57150" r="0" b="94615"/>
            <wp:docPr id="7" name="Diagram 1" descr="Diagram shows the ten steps in a circle.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sectPr w:rsidR="0092289A" w:rsidSect="005B696C">
      <w:headerReference w:type="default" r:id="rId26"/>
      <w:footerReference w:type="default" r:id="rId27"/>
      <w:headerReference w:type="first" r:id="rId28"/>
      <w:footerReference w:type="first" r:id="rId29"/>
      <w:type w:val="continuous"/>
      <w:pgSz w:w="11906" w:h="16838" w:code="9"/>
      <w:pgMar w:top="1560"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463F8F" w14:textId="77777777" w:rsidR="000F5857" w:rsidRDefault="000F5857" w:rsidP="00EF4574">
      <w:pPr>
        <w:spacing w:before="0" w:after="0" w:line="240" w:lineRule="auto"/>
      </w:pPr>
      <w:r>
        <w:separator/>
      </w:r>
    </w:p>
    <w:p w14:paraId="2B010075" w14:textId="77777777" w:rsidR="000F5857" w:rsidRDefault="000F5857"/>
  </w:endnote>
  <w:endnote w:type="continuationSeparator" w:id="0">
    <w:p w14:paraId="73A4933F" w14:textId="77777777" w:rsidR="000F5857" w:rsidRDefault="000F5857" w:rsidP="00EF4574">
      <w:pPr>
        <w:spacing w:before="0" w:after="0" w:line="240" w:lineRule="auto"/>
      </w:pPr>
      <w:r>
        <w:continuationSeparator/>
      </w:r>
    </w:p>
    <w:p w14:paraId="0BB1DEFC" w14:textId="77777777" w:rsidR="000F5857" w:rsidRDefault="000F58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9DC52" w14:textId="5B05235D" w:rsidR="00D16CE4" w:rsidRDefault="00D16CE4" w:rsidP="005B696C">
    <w:pPr>
      <w:pStyle w:val="Footer"/>
    </w:pPr>
    <w:r>
      <w:rPr>
        <w:noProof/>
        <w:lang w:eastAsia="en-AU"/>
      </w:rPr>
      <mc:AlternateContent>
        <mc:Choice Requires="wps">
          <w:drawing>
            <wp:anchor distT="0" distB="0" distL="114300" distR="114300" simplePos="0" relativeHeight="251651065" behindDoc="1" locked="0" layoutInCell="1" allowOverlap="1" wp14:anchorId="4B0178D1" wp14:editId="1284D154">
              <wp:simplePos x="0" y="0"/>
              <wp:positionH relativeFrom="page">
                <wp:posOffset>6341926</wp:posOffset>
              </wp:positionH>
              <wp:positionV relativeFrom="page">
                <wp:posOffset>10076815</wp:posOffset>
              </wp:positionV>
              <wp:extent cx="324000" cy="324000"/>
              <wp:effectExtent l="0" t="0" r="19050" b="19050"/>
              <wp:wrapNone/>
              <wp:docPr id="5" name="Oval 5"/>
              <wp:cNvGraphicFramePr/>
              <a:graphic xmlns:a="http://schemas.openxmlformats.org/drawingml/2006/main">
                <a:graphicData uri="http://schemas.microsoft.com/office/word/2010/wordprocessingShape">
                  <wps:wsp>
                    <wps:cNvSpPr/>
                    <wps:spPr>
                      <a:xfrm>
                        <a:off x="0" y="0"/>
                        <a:ext cx="324000" cy="324000"/>
                      </a:xfrm>
                      <a:prstGeom prst="ellipse">
                        <a:avLst/>
                      </a:prstGeom>
                      <a:solidFill>
                        <a:schemeClr val="accent1"/>
                      </a:solidFill>
                      <a:ln w="63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01DD6E" w14:textId="77777777" w:rsidR="00D16CE4" w:rsidRDefault="00D16CE4" w:rsidP="005B696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0178D1" id="Oval 5" o:spid="_x0000_s1026" style="position:absolute;margin-left:499.35pt;margin-top:793.45pt;width:25.5pt;height:25.5pt;z-index:-2516654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" fillcolor="#bddcdf [3204]" strokecolor="#1c1c1c [3215]" strokeweight=".5pt">
              <v:stroke joinstyle="miter"/>
              <v:textbox>
                <w:txbxContent>
                  <w:p w14:paraId="4801DD6E" w14:textId="77777777" w:rsidR="00D16CE4" w:rsidRDefault="00D16CE4" w:rsidP="005B696C">
                    <w:pPr>
                      <w:jc w:val="center"/>
                    </w:pPr>
                  </w:p>
                </w:txbxContent>
              </v:textbox>
              <w10:wrap anchorx="page" anchory="page"/>
            </v:oval>
          </w:pict>
        </mc:Fallback>
      </mc:AlternateContent>
    </w:r>
    <w:r>
      <w:tab/>
    </w:r>
    <w:r>
      <w:tab/>
    </w:r>
    <w:r>
      <w:fldChar w:fldCharType="begin"/>
    </w:r>
    <w:r>
      <w:instrText xml:space="preserve"> PAGE   \* MERGEFORMAT </w:instrText>
    </w:r>
    <w:r>
      <w:fldChar w:fldCharType="separate"/>
    </w:r>
    <w:r w:rsidR="00B1254E">
      <w:rPr>
        <w:noProof/>
      </w:rPr>
      <w:t>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C3FCA" w14:textId="77777777" w:rsidR="00D16CE4" w:rsidRDefault="00D16CE4">
    <w:pPr>
      <w:pStyle w:val="Footer"/>
    </w:pPr>
  </w:p>
  <w:p w14:paraId="6B380AE9" w14:textId="7D9BC0AF" w:rsidR="00D16CE4" w:rsidRDefault="00D16CE4" w:rsidP="000A6A8B">
    <w:pPr>
      <w:pStyle w:val="Footer"/>
      <w:jc w:val="center"/>
      <w:rPr>
        <w:rStyle w:val="Classification"/>
      </w:rPr>
    </w:pPr>
  </w:p>
  <w:p w14:paraId="60078760" w14:textId="77777777" w:rsidR="00D16CE4" w:rsidRPr="000A6A8B" w:rsidRDefault="00D16CE4" w:rsidP="000A6A8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0F485F" w14:textId="77777777" w:rsidR="000F5857" w:rsidRDefault="000F5857" w:rsidP="0020122A">
      <w:pPr>
        <w:pStyle w:val="FootnoteSeparator"/>
      </w:pPr>
    </w:p>
  </w:footnote>
  <w:footnote w:type="continuationSeparator" w:id="0">
    <w:p w14:paraId="2F9651C8" w14:textId="77777777" w:rsidR="000F5857" w:rsidRDefault="000F5857" w:rsidP="00EF4574">
      <w:pPr>
        <w:spacing w:before="0" w:after="0" w:line="240" w:lineRule="auto"/>
      </w:pPr>
      <w:r>
        <w:continuationSeparator/>
      </w:r>
    </w:p>
    <w:p w14:paraId="34CC395A" w14:textId="77777777" w:rsidR="000F5857" w:rsidRDefault="000F585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D8896" w14:textId="1A08A350" w:rsidR="00D16CE4" w:rsidRPr="00DB6D69" w:rsidRDefault="00D16CE4">
    <w:pPr>
      <w:pStyle w:val="Header"/>
      <w:rPr>
        <w:b/>
      </w:rPr>
    </w:pPr>
    <w:r w:rsidRPr="00DB6D69">
      <w:rPr>
        <w:b/>
      </w:rPr>
      <w:t>Department of Finance</w:t>
    </w:r>
  </w:p>
  <w:p w14:paraId="264DBDE8" w14:textId="196FB275" w:rsidR="00D16CE4" w:rsidRDefault="00D16CE4">
    <w:pPr>
      <w:pStyle w:val="Header"/>
    </w:pPr>
    <w:r w:rsidRPr="00F54D5E">
      <w:t xml:space="preserve">RMG-415: </w:t>
    </w:r>
    <w:r>
      <w:t>Commonwealth Grants and Procurement Connected Policies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2EDD7" w14:textId="53B57CEF" w:rsidR="00D16CE4" w:rsidRDefault="00D16CE4" w:rsidP="000A6A8B">
    <w:pPr>
      <w:pStyle w:val="Header"/>
      <w:jc w:val="center"/>
    </w:pPr>
    <w:r>
      <w:rPr>
        <w:noProof/>
        <w:lang w:eastAsia="en-AU"/>
      </w:rPr>
      <w:drawing>
        <wp:anchor distT="0" distB="0" distL="114300" distR="114300" simplePos="0" relativeHeight="251654140" behindDoc="1" locked="0" layoutInCell="1" allowOverlap="1" wp14:anchorId="0C5F5078" wp14:editId="3F9ED3FA">
          <wp:simplePos x="0" y="0"/>
          <wp:positionH relativeFrom="page">
            <wp:posOffset>0</wp:posOffset>
          </wp:positionH>
          <wp:positionV relativeFrom="page">
            <wp:posOffset>0</wp:posOffset>
          </wp:positionV>
          <wp:extent cx="7559640" cy="1069416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nance_Long_Report_Mask.png"/>
                  <pic:cNvPicPr/>
                </pic:nvPicPr>
                <pic:blipFill>
                  <a:blip r:embed="rId1">
                    <a:extLst>
                      <a:ext uri="{28A0092B-C50C-407E-A947-70E740481C1C}">
                        <a14:useLocalDpi xmlns:a14="http://schemas.microsoft.com/office/drawing/2010/main" val="0"/>
                      </a:ext>
                    </a:extLst>
                  </a:blip>
                  <a:stretch>
                    <a:fillRect/>
                  </a:stretch>
                </pic:blipFill>
                <pic:spPr>
                  <a:xfrm>
                    <a:off x="0" y="0"/>
                    <a:ext cx="7559640" cy="1069416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3115" behindDoc="1" locked="0" layoutInCell="1" allowOverlap="1" wp14:anchorId="4B36E321" wp14:editId="13B44381">
              <wp:simplePos x="0" y="0"/>
              <wp:positionH relativeFrom="column">
                <wp:posOffset>-633730</wp:posOffset>
              </wp:positionH>
              <wp:positionV relativeFrom="paragraph">
                <wp:posOffset>2319655</wp:posOffset>
              </wp:positionV>
              <wp:extent cx="7086600" cy="3949700"/>
              <wp:effectExtent l="0" t="0" r="0" b="0"/>
              <wp:wrapNone/>
              <wp:docPr id="4" name="Isosceles Triangle 4"/>
              <wp:cNvGraphicFramePr/>
              <a:graphic xmlns:a="http://schemas.openxmlformats.org/drawingml/2006/main">
                <a:graphicData uri="http://schemas.microsoft.com/office/word/2010/wordprocessingShape">
                  <wps:wsp>
                    <wps:cNvSpPr/>
                    <wps:spPr>
                      <a:xfrm>
                        <a:off x="0" y="0"/>
                        <a:ext cx="7086600" cy="3949700"/>
                      </a:xfrm>
                      <a:prstGeom prst="triangle">
                        <a:avLst>
                          <a:gd name="adj" fmla="val 100000"/>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8CE97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6" type="#_x0000_t5" style="position:absolute;margin-left:-49.9pt;margin-top:182.65pt;width:558pt;height:311pt;z-index:-2516633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" adj="21600" fillcolor="#92c5c5 [3205]" stroked="f" strokeweight="1pt"/>
          </w:pict>
        </mc:Fallback>
      </mc:AlternateContent>
    </w:r>
    <w:r>
      <w:rPr>
        <w:noProof/>
        <w:lang w:eastAsia="en-AU"/>
      </w:rPr>
      <mc:AlternateContent>
        <mc:Choice Requires="wps">
          <w:drawing>
            <wp:anchor distT="0" distB="0" distL="114300" distR="114300" simplePos="0" relativeHeight="251652090" behindDoc="1" locked="0" layoutInCell="1" allowOverlap="1" wp14:anchorId="058E6F87" wp14:editId="44594258">
              <wp:simplePos x="0" y="0"/>
              <wp:positionH relativeFrom="column">
                <wp:posOffset>-633730</wp:posOffset>
              </wp:positionH>
              <wp:positionV relativeFrom="paragraph">
                <wp:posOffset>2624455</wp:posOffset>
              </wp:positionV>
              <wp:extent cx="7086600" cy="7467600"/>
              <wp:effectExtent l="0" t="0" r="0" b="0"/>
              <wp:wrapNone/>
              <wp:docPr id="2" name="Rectangle 2"/>
              <wp:cNvGraphicFramePr/>
              <a:graphic xmlns:a="http://schemas.openxmlformats.org/drawingml/2006/main">
                <a:graphicData uri="http://schemas.microsoft.com/office/word/2010/wordprocessingShape">
                  <wps:wsp>
                    <wps:cNvSpPr/>
                    <wps:spPr>
                      <a:xfrm>
                        <a:off x="0" y="0"/>
                        <a:ext cx="7086600" cy="7467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15E58B" id="Rectangle 2" o:spid="_x0000_s1026" style="position:absolute;margin-left:-49.9pt;margin-top:206.65pt;width:558pt;height:588pt;z-index:-2516643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" fillcolor="#bddcdf [3204]" stroked="f" strokeweight="1pt"/>
          </w:pict>
        </mc:Fallback>
      </mc:AlternateContent>
    </w:r>
    <w:r>
      <w:rPr>
        <w:noProof/>
        <w:lang w:eastAsia="en-AU"/>
      </w:rPr>
      <w:drawing>
        <wp:anchor distT="0" distB="0" distL="114300" distR="114300" simplePos="0" relativeHeight="251658240" behindDoc="0" locked="0" layoutInCell="1" allowOverlap="1" wp14:anchorId="2F52FB91" wp14:editId="1D89BC19">
          <wp:simplePos x="0" y="0"/>
          <wp:positionH relativeFrom="page">
            <wp:posOffset>900430</wp:posOffset>
          </wp:positionH>
          <wp:positionV relativeFrom="page">
            <wp:posOffset>900430</wp:posOffset>
          </wp:positionV>
          <wp:extent cx="2350800" cy="5749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nce_Logo.png"/>
                  <pic:cNvPicPr/>
                </pic:nvPicPr>
                <pic:blipFill>
                  <a:blip r:embed="rId2">
                    <a:extLst>
                      <a:ext uri="{28A0092B-C50C-407E-A947-70E740481C1C}">
                        <a14:useLocalDpi xmlns:a14="http://schemas.microsoft.com/office/drawing/2010/main" val="0"/>
                      </a:ext>
                    </a:extLst>
                  </a:blip>
                  <a:stretch>
                    <a:fillRect/>
                  </a:stretch>
                </pic:blipFill>
                <pic:spPr>
                  <a:xfrm>
                    <a:off x="0" y="0"/>
                    <a:ext cx="2350800" cy="5749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F6B80"/>
    <w:multiLevelType w:val="multilevel"/>
    <w:tmpl w:val="D7C2EA40"/>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11BD4530"/>
    <w:multiLevelType w:val="multilevel"/>
    <w:tmpl w:val="E1EEE818"/>
    <w:lvl w:ilvl="0">
      <w:start w:val="1"/>
      <w:numFmt w:val="bullet"/>
      <w:pStyle w:val="Bullet2"/>
      <w:lvlText w:val="o"/>
      <w:lvlJc w:val="left"/>
      <w:pPr>
        <w:ind w:left="284" w:hanging="284"/>
      </w:pPr>
      <w:rPr>
        <w:rFonts w:ascii="Courier New" w:hAnsi="Courier New" w:cs="Courier New"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14DE32EA"/>
    <w:multiLevelType w:val="hybridMultilevel"/>
    <w:tmpl w:val="E40E815E"/>
    <w:lvl w:ilvl="0" w:tplc="59AEC392">
      <w:start w:val="1"/>
      <w:numFmt w:val="bullet"/>
      <w:lvlText w:val=""/>
      <w:lvlJc w:val="left"/>
      <w:pPr>
        <w:ind w:left="1277" w:hanging="284"/>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 w15:restartNumberingAfterBreak="0">
    <w:nsid w:val="19D8176B"/>
    <w:multiLevelType w:val="hybridMultilevel"/>
    <w:tmpl w:val="8D4E8DE6"/>
    <w:lvl w:ilvl="0" w:tplc="2FCC1686">
      <w:start w:val="1"/>
      <w:numFmt w:val="bullet"/>
      <w:pStyle w:val="Bullets2ndindent"/>
      <w:lvlText w:val=""/>
      <w:lvlJc w:val="left"/>
      <w:pPr>
        <w:ind w:left="1211"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94214C9"/>
    <w:multiLevelType w:val="multilevel"/>
    <w:tmpl w:val="0D18962A"/>
    <w:styleLink w:val="Bullets"/>
    <w:lvl w:ilvl="0">
      <w:start w:val="1"/>
      <w:numFmt w:val="bullet"/>
      <w:pStyle w:val="FCList"/>
      <w:lvlText w:val="•"/>
      <w:lvlJc w:val="left"/>
      <w:pPr>
        <w:tabs>
          <w:tab w:val="num" w:pos="284"/>
        </w:tabs>
        <w:ind w:left="284" w:hanging="284"/>
      </w:pPr>
      <w:rPr>
        <w:rFonts w:ascii="Cambria" w:hAnsi="Cambria" w:hint="default"/>
        <w:color w:val="C2B000"/>
      </w:rPr>
    </w:lvl>
    <w:lvl w:ilvl="1">
      <w:start w:val="1"/>
      <w:numFmt w:val="bullet"/>
      <w:lvlText w:val="•"/>
      <w:lvlJc w:val="left"/>
      <w:pPr>
        <w:tabs>
          <w:tab w:val="num" w:pos="567"/>
        </w:tabs>
        <w:ind w:left="567" w:hanging="283"/>
      </w:pPr>
      <w:rPr>
        <w:rFonts w:ascii="Cambria" w:hAnsi="Cambria" w:hint="default"/>
        <w:color w:val="C2B000"/>
      </w:rPr>
    </w:lvl>
    <w:lvl w:ilvl="2">
      <w:start w:val="1"/>
      <w:numFmt w:val="bullet"/>
      <w:pStyle w:val="Bulletslast1stindent"/>
      <w:lvlText w:val="•"/>
      <w:lvlJc w:val="left"/>
      <w:pPr>
        <w:tabs>
          <w:tab w:val="num" w:pos="284"/>
        </w:tabs>
        <w:ind w:left="284" w:hanging="284"/>
      </w:pPr>
      <w:rPr>
        <w:rFonts w:ascii="Cambria" w:hAnsi="Cambria" w:hint="default"/>
        <w:color w:val="C2B000"/>
      </w:rPr>
    </w:lvl>
    <w:lvl w:ilvl="3">
      <w:start w:val="1"/>
      <w:numFmt w:val="bullet"/>
      <w:pStyle w:val="Bulletslast2ndindent"/>
      <w:lvlText w:val="•"/>
      <w:lvlJc w:val="left"/>
      <w:pPr>
        <w:tabs>
          <w:tab w:val="num" w:pos="567"/>
        </w:tabs>
        <w:ind w:left="567" w:hanging="283"/>
      </w:pPr>
      <w:rPr>
        <w:rFonts w:ascii="Cambria" w:hAnsi="Cambria" w:hint="default"/>
        <w:color w:val="C2B000"/>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615800"/>
        <w:sz w:val="16"/>
      </w:rPr>
    </w:lvl>
    <w:lvl w:ilvl="6">
      <w:start w:val="1"/>
      <w:numFmt w:val="bullet"/>
      <w:pStyle w:val="Tablebullets2ndindent"/>
      <w:lvlText w:val=""/>
      <w:lvlJc w:val="left"/>
      <w:pPr>
        <w:tabs>
          <w:tab w:val="num" w:pos="437"/>
        </w:tabs>
        <w:ind w:left="437" w:hanging="171"/>
      </w:pPr>
      <w:rPr>
        <w:rFonts w:ascii="Symbol" w:hAnsi="Symbol" w:hint="default"/>
        <w:color w:val="615800"/>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305E4FDB"/>
    <w:multiLevelType w:val="hybridMultilevel"/>
    <w:tmpl w:val="8A1CC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64F29A9"/>
    <w:multiLevelType w:val="multilevel"/>
    <w:tmpl w:val="92A42DD2"/>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rPr>
    </w:lvl>
    <w:lvl w:ilvl="2">
      <w:start w:val="1"/>
      <w:numFmt w:val="bullet"/>
      <w:pStyle w:val="Bullet1"/>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36EB1A5E"/>
    <w:multiLevelType w:val="hybridMultilevel"/>
    <w:tmpl w:val="996A17AE"/>
    <w:lvl w:ilvl="0" w:tplc="59AEC392">
      <w:start w:val="1"/>
      <w:numFmt w:val="bullet"/>
      <w:lvlText w:val=""/>
      <w:lvlJc w:val="left"/>
      <w:pPr>
        <w:ind w:left="851"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C025CA6"/>
    <w:multiLevelType w:val="hybridMultilevel"/>
    <w:tmpl w:val="1D78E136"/>
    <w:lvl w:ilvl="0" w:tplc="59AEC392">
      <w:start w:val="1"/>
      <w:numFmt w:val="bullet"/>
      <w:lvlText w:val=""/>
      <w:lvlJc w:val="left"/>
      <w:pPr>
        <w:ind w:left="851"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87D31C8"/>
    <w:multiLevelType w:val="hybridMultilevel"/>
    <w:tmpl w:val="6C78A2C8"/>
    <w:lvl w:ilvl="0" w:tplc="77F6B5E2">
      <w:start w:val="1"/>
      <w:numFmt w:val="bullet"/>
      <w:pStyle w:val="Bullets1stindent"/>
      <w:lvlText w:val=""/>
      <w:lvlJc w:val="left"/>
      <w:pPr>
        <w:ind w:left="720" w:hanging="360"/>
      </w:pPr>
      <w:rPr>
        <w:rFonts w:ascii="Symbol" w:hAnsi="Symbol" w:hint="default"/>
      </w:rPr>
    </w:lvl>
    <w:lvl w:ilvl="1" w:tplc="0C090017">
      <w:start w:val="1"/>
      <w:numFmt w:val="bullet"/>
      <w:lvlText w:val="o"/>
      <w:lvlJc w:val="left"/>
      <w:pPr>
        <w:ind w:left="1440" w:hanging="360"/>
      </w:pPr>
      <w:rPr>
        <w:rFonts w:ascii="Courier New" w:hAnsi="Courier New" w:cs="Courier New" w:hint="default"/>
      </w:rPr>
    </w:lvl>
    <w:lvl w:ilvl="2" w:tplc="0C09001B">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11" w15:restartNumberingAfterBreak="0">
    <w:nsid w:val="4B45690C"/>
    <w:multiLevelType w:val="multilevel"/>
    <w:tmpl w:val="E37458BA"/>
    <w:lvl w:ilvl="0">
      <w:start w:val="1"/>
      <w:numFmt w:val="bullet"/>
      <w:pStyle w:val="Bullet3"/>
      <w:lvlText w:val=""/>
      <w:lvlJc w:val="left"/>
      <w:pPr>
        <w:ind w:left="284" w:hanging="284"/>
      </w:pPr>
      <w:rPr>
        <w:rFonts w:ascii="Wingdings" w:hAnsi="Wingdings"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4F1523F7"/>
    <w:multiLevelType w:val="multilevel"/>
    <w:tmpl w:val="1C5C7DB0"/>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13" w15:restartNumberingAfterBreak="0">
    <w:nsid w:val="53EC49A7"/>
    <w:multiLevelType w:val="hybridMultilevel"/>
    <w:tmpl w:val="EFC6007C"/>
    <w:lvl w:ilvl="0" w:tplc="93384DE0">
      <w:start w:val="1"/>
      <w:numFmt w:val="decimal"/>
      <w:pStyle w:val="ListParagraph"/>
      <w:lvlText w:val="%1."/>
      <w:lvlJc w:val="left"/>
      <w:pPr>
        <w:ind w:left="360" w:hanging="360"/>
      </w:pPr>
      <w:rPr>
        <w:rFonts w:hint="default"/>
      </w:rPr>
    </w:lvl>
    <w:lvl w:ilvl="1" w:tplc="A7ACFB9C">
      <w:start w:val="1"/>
      <w:numFmt w:val="lowerLetter"/>
      <w:pStyle w:val="Numberedpara1stindent"/>
      <w:lvlText w:val="%2."/>
      <w:lvlJc w:val="left"/>
      <w:pPr>
        <w:ind w:left="1440" w:hanging="360"/>
      </w:pPr>
      <w:rPr>
        <w:rFonts w:hint="default"/>
      </w:rPr>
    </w:lvl>
    <w:lvl w:ilvl="2" w:tplc="FDDA3FAC">
      <w:start w:val="1"/>
      <w:numFmt w:val="bullet"/>
      <w:lvlText w:val="–"/>
      <w:lvlJc w:val="left"/>
      <w:pPr>
        <w:ind w:left="2160" w:hanging="180"/>
      </w:pPr>
      <w:rPr>
        <w:rFonts w:ascii="Calibri" w:hAnsi="Calibri" w:hint="default"/>
      </w:rPr>
    </w:lvl>
    <w:lvl w:ilvl="3" w:tplc="0C09000F">
      <w:start w:val="1"/>
      <w:numFmt w:val="decimal"/>
      <w:lvlText w:val="%4."/>
      <w:lvlJc w:val="left"/>
      <w:pPr>
        <w:ind w:left="2880" w:hanging="360"/>
      </w:pPr>
    </w:lvl>
    <w:lvl w:ilvl="4" w:tplc="DDE67586">
      <w:numFmt w:val="bullet"/>
      <w:lvlText w:val="-"/>
      <w:lvlJc w:val="left"/>
      <w:pPr>
        <w:ind w:left="3600" w:hanging="360"/>
      </w:pPr>
      <w:rPr>
        <w:rFonts w:ascii="Cambria" w:eastAsia="Times New Roman" w:hAnsi="Cambria" w:cs="Times New Roman"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62B0173"/>
    <w:multiLevelType w:val="hybridMultilevel"/>
    <w:tmpl w:val="A5DA386E"/>
    <w:lvl w:ilvl="0" w:tplc="59AEC392">
      <w:start w:val="1"/>
      <w:numFmt w:val="bullet"/>
      <w:lvlText w:val=""/>
      <w:lvlJc w:val="left"/>
      <w:pPr>
        <w:ind w:left="1277" w:hanging="284"/>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5"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6" w15:restartNumberingAfterBreak="0">
    <w:nsid w:val="5C5037DA"/>
    <w:multiLevelType w:val="hybridMultilevel"/>
    <w:tmpl w:val="CCEE5346"/>
    <w:lvl w:ilvl="0" w:tplc="724C3ADE">
      <w:start w:val="1"/>
      <w:numFmt w:val="bullet"/>
      <w:pStyle w:val="Bullets3rdindent"/>
      <w:lvlText w:val="o"/>
      <w:lvlJc w:val="left"/>
      <w:pPr>
        <w:ind w:left="1996" w:hanging="360"/>
      </w:pPr>
      <w:rPr>
        <w:rFonts w:ascii="Courier New" w:hAnsi="Courier New" w:cs="Courier New"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17"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8" w15:restartNumberingAfterBreak="0">
    <w:nsid w:val="60AF5CA9"/>
    <w:multiLevelType w:val="hybridMultilevel"/>
    <w:tmpl w:val="EE96A07C"/>
    <w:lvl w:ilvl="0" w:tplc="59AEC392">
      <w:start w:val="1"/>
      <w:numFmt w:val="bullet"/>
      <w:lvlText w:val=""/>
      <w:lvlJc w:val="left"/>
      <w:pPr>
        <w:ind w:left="1277" w:hanging="284"/>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9" w15:restartNumberingAfterBreak="0">
    <w:nsid w:val="66D54D56"/>
    <w:multiLevelType w:val="hybridMultilevel"/>
    <w:tmpl w:val="557A7C12"/>
    <w:lvl w:ilvl="0" w:tplc="59AEC392">
      <w:start w:val="1"/>
      <w:numFmt w:val="bullet"/>
      <w:lvlText w:val=""/>
      <w:lvlJc w:val="left"/>
      <w:pPr>
        <w:ind w:left="851"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1FA5281"/>
    <w:multiLevelType w:val="multilevel"/>
    <w:tmpl w:val="52FE3B94"/>
    <w:lvl w:ilvl="0">
      <w:start w:val="1"/>
      <w:numFmt w:val="decimal"/>
      <w:pStyle w:val="Bulletsnumbers"/>
      <w:lvlText w:val="%1."/>
      <w:lvlJc w:val="left"/>
      <w:pPr>
        <w:tabs>
          <w:tab w:val="num" w:pos="284"/>
        </w:tabs>
        <w:ind w:left="284" w:hanging="284"/>
      </w:pPr>
      <w:rPr>
        <w:rFonts w:hint="default"/>
        <w:color w:val="auto"/>
      </w:rPr>
    </w:lvl>
    <w:lvl w:ilvl="1">
      <w:start w:val="1"/>
      <w:numFmt w:val="bullet"/>
      <w:lvlText w:val="•"/>
      <w:lvlJc w:val="left"/>
      <w:pPr>
        <w:tabs>
          <w:tab w:val="num" w:pos="567"/>
        </w:tabs>
        <w:ind w:left="567" w:hanging="283"/>
      </w:pPr>
      <w:rPr>
        <w:rFonts w:ascii="Cambria" w:hAnsi="Cambria" w:hint="default"/>
        <w:color w:val="C2B000"/>
      </w:rPr>
    </w:lvl>
    <w:lvl w:ilvl="2">
      <w:start w:val="1"/>
      <w:numFmt w:val="bullet"/>
      <w:lvlText w:val="•"/>
      <w:lvlJc w:val="left"/>
      <w:pPr>
        <w:tabs>
          <w:tab w:val="num" w:pos="284"/>
        </w:tabs>
        <w:ind w:left="284" w:hanging="284"/>
      </w:pPr>
      <w:rPr>
        <w:rFonts w:ascii="Cambria" w:hAnsi="Cambria" w:hint="default"/>
        <w:color w:val="C2B000"/>
      </w:rPr>
    </w:lvl>
    <w:lvl w:ilvl="3">
      <w:start w:val="1"/>
      <w:numFmt w:val="bullet"/>
      <w:lvlText w:val="•"/>
      <w:lvlJc w:val="left"/>
      <w:pPr>
        <w:tabs>
          <w:tab w:val="num" w:pos="567"/>
        </w:tabs>
        <w:ind w:left="567" w:hanging="283"/>
      </w:pPr>
      <w:rPr>
        <w:rFonts w:ascii="Cambria" w:hAnsi="Cambria" w:hint="default"/>
        <w:color w:val="C2B000"/>
      </w:rPr>
    </w:lvl>
    <w:lvl w:ilvl="4">
      <w:start w:val="1"/>
      <w:numFmt w:val="none"/>
      <w:lvlText w:val=""/>
      <w:lvlJc w:val="left"/>
      <w:pPr>
        <w:ind w:left="0" w:firstLine="0"/>
      </w:pPr>
      <w:rPr>
        <w:rFonts w:hint="default"/>
      </w:rPr>
    </w:lvl>
    <w:lvl w:ilvl="5">
      <w:start w:val="1"/>
      <w:numFmt w:val="bullet"/>
      <w:lvlText w:val="•"/>
      <w:lvlJc w:val="left"/>
      <w:pPr>
        <w:tabs>
          <w:tab w:val="num" w:pos="266"/>
        </w:tabs>
        <w:ind w:left="266" w:hanging="170"/>
      </w:pPr>
      <w:rPr>
        <w:rFonts w:ascii="Cambria" w:hAnsi="Cambria" w:hint="default"/>
        <w:color w:val="C2B000"/>
      </w:rPr>
    </w:lvl>
    <w:lvl w:ilvl="6">
      <w:start w:val="1"/>
      <w:numFmt w:val="bullet"/>
      <w:lvlText w:val="•"/>
      <w:lvlJc w:val="left"/>
      <w:pPr>
        <w:tabs>
          <w:tab w:val="num" w:pos="437"/>
        </w:tabs>
        <w:ind w:left="437" w:hanging="171"/>
      </w:pPr>
      <w:rPr>
        <w:rFonts w:ascii="Cambria" w:hAnsi="Cambria" w:hint="default"/>
        <w:color w:val="C2B000"/>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1" w15:restartNumberingAfterBreak="0">
    <w:nsid w:val="720D3B21"/>
    <w:multiLevelType w:val="hybridMultilevel"/>
    <w:tmpl w:val="2CCC0E36"/>
    <w:lvl w:ilvl="0" w:tplc="59AEC392">
      <w:start w:val="1"/>
      <w:numFmt w:val="bullet"/>
      <w:lvlText w:val=""/>
      <w:lvlJc w:val="left"/>
      <w:pPr>
        <w:ind w:left="1277" w:hanging="284"/>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2" w15:restartNumberingAfterBreak="0">
    <w:nsid w:val="73107305"/>
    <w:multiLevelType w:val="multilevel"/>
    <w:tmpl w:val="79262C7A"/>
    <w:styleLink w:val="BulletsList"/>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3" w15:restartNumberingAfterBreak="0">
    <w:nsid w:val="78390469"/>
    <w:multiLevelType w:val="hybridMultilevel"/>
    <w:tmpl w:val="A2F07110"/>
    <w:lvl w:ilvl="0" w:tplc="0C090001">
      <w:start w:val="1"/>
      <w:numFmt w:val="bullet"/>
      <w:lvlText w:val=""/>
      <w:lvlJc w:val="left"/>
      <w:pPr>
        <w:ind w:left="1212" w:hanging="360"/>
      </w:pPr>
      <w:rPr>
        <w:rFonts w:ascii="Symbol" w:hAnsi="Symbol" w:hint="default"/>
      </w:rPr>
    </w:lvl>
    <w:lvl w:ilvl="1" w:tplc="0C090003" w:tentative="1">
      <w:start w:val="1"/>
      <w:numFmt w:val="bullet"/>
      <w:lvlText w:val="o"/>
      <w:lvlJc w:val="left"/>
      <w:pPr>
        <w:ind w:left="1932" w:hanging="360"/>
      </w:pPr>
      <w:rPr>
        <w:rFonts w:ascii="Courier New" w:hAnsi="Courier New" w:cs="Courier New" w:hint="default"/>
      </w:rPr>
    </w:lvl>
    <w:lvl w:ilvl="2" w:tplc="0C090005" w:tentative="1">
      <w:start w:val="1"/>
      <w:numFmt w:val="bullet"/>
      <w:lvlText w:val=""/>
      <w:lvlJc w:val="left"/>
      <w:pPr>
        <w:ind w:left="2652" w:hanging="360"/>
      </w:pPr>
      <w:rPr>
        <w:rFonts w:ascii="Wingdings" w:hAnsi="Wingdings" w:hint="default"/>
      </w:rPr>
    </w:lvl>
    <w:lvl w:ilvl="3" w:tplc="0C090001" w:tentative="1">
      <w:start w:val="1"/>
      <w:numFmt w:val="bullet"/>
      <w:lvlText w:val=""/>
      <w:lvlJc w:val="left"/>
      <w:pPr>
        <w:ind w:left="3372" w:hanging="360"/>
      </w:pPr>
      <w:rPr>
        <w:rFonts w:ascii="Symbol" w:hAnsi="Symbol" w:hint="default"/>
      </w:rPr>
    </w:lvl>
    <w:lvl w:ilvl="4" w:tplc="0C090003" w:tentative="1">
      <w:start w:val="1"/>
      <w:numFmt w:val="bullet"/>
      <w:lvlText w:val="o"/>
      <w:lvlJc w:val="left"/>
      <w:pPr>
        <w:ind w:left="4092" w:hanging="360"/>
      </w:pPr>
      <w:rPr>
        <w:rFonts w:ascii="Courier New" w:hAnsi="Courier New" w:cs="Courier New" w:hint="default"/>
      </w:rPr>
    </w:lvl>
    <w:lvl w:ilvl="5" w:tplc="0C090005" w:tentative="1">
      <w:start w:val="1"/>
      <w:numFmt w:val="bullet"/>
      <w:lvlText w:val=""/>
      <w:lvlJc w:val="left"/>
      <w:pPr>
        <w:ind w:left="4812" w:hanging="360"/>
      </w:pPr>
      <w:rPr>
        <w:rFonts w:ascii="Wingdings" w:hAnsi="Wingdings" w:hint="default"/>
      </w:rPr>
    </w:lvl>
    <w:lvl w:ilvl="6" w:tplc="0C090001" w:tentative="1">
      <w:start w:val="1"/>
      <w:numFmt w:val="bullet"/>
      <w:lvlText w:val=""/>
      <w:lvlJc w:val="left"/>
      <w:pPr>
        <w:ind w:left="5532" w:hanging="360"/>
      </w:pPr>
      <w:rPr>
        <w:rFonts w:ascii="Symbol" w:hAnsi="Symbol" w:hint="default"/>
      </w:rPr>
    </w:lvl>
    <w:lvl w:ilvl="7" w:tplc="0C090003" w:tentative="1">
      <w:start w:val="1"/>
      <w:numFmt w:val="bullet"/>
      <w:lvlText w:val="o"/>
      <w:lvlJc w:val="left"/>
      <w:pPr>
        <w:ind w:left="6252" w:hanging="360"/>
      </w:pPr>
      <w:rPr>
        <w:rFonts w:ascii="Courier New" w:hAnsi="Courier New" w:cs="Courier New" w:hint="default"/>
      </w:rPr>
    </w:lvl>
    <w:lvl w:ilvl="8" w:tplc="0C090005" w:tentative="1">
      <w:start w:val="1"/>
      <w:numFmt w:val="bullet"/>
      <w:lvlText w:val=""/>
      <w:lvlJc w:val="left"/>
      <w:pPr>
        <w:ind w:left="6972" w:hanging="360"/>
      </w:pPr>
      <w:rPr>
        <w:rFonts w:ascii="Wingdings" w:hAnsi="Wingdings" w:hint="default"/>
      </w:rPr>
    </w:lvl>
  </w:abstractNum>
  <w:num w:numId="1">
    <w:abstractNumId w:val="22"/>
  </w:num>
  <w:num w:numId="2">
    <w:abstractNumId w:val="0"/>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
    <w:abstractNumId w:val="5"/>
  </w:num>
  <w:num w:numId="4">
    <w:abstractNumId w:val="15"/>
  </w:num>
  <w:num w:numId="5">
    <w:abstractNumId w:val="17"/>
  </w:num>
  <w:num w:numId="6">
    <w:abstractNumId w:val="12"/>
  </w:num>
  <w:num w:numId="7">
    <w:abstractNumId w:val="4"/>
  </w:num>
  <w:num w:numId="8">
    <w:abstractNumId w:val="20"/>
  </w:num>
  <w:num w:numId="9">
    <w:abstractNumId w:val="10"/>
  </w:num>
  <w:num w:numId="10">
    <w:abstractNumId w:val="3"/>
  </w:num>
  <w:num w:numId="11">
    <w:abstractNumId w:val="13"/>
  </w:num>
  <w:num w:numId="12">
    <w:abstractNumId w:val="16"/>
  </w:num>
  <w:num w:numId="13">
    <w:abstractNumId w:val="0"/>
  </w:num>
  <w:num w:numId="14">
    <w:abstractNumId w:val="0"/>
    <w:lvlOverride w:ilvl="0">
      <w:lvl w:ilvl="0">
        <w:start w:val="1"/>
        <w:numFmt w:val="decimal"/>
        <w:pStyle w:val="NumberedList1"/>
        <w:lvlText w:val="%1."/>
        <w:lvlJc w:val="left"/>
        <w:pPr>
          <w:ind w:left="3687"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5">
    <w:abstractNumId w:val="7"/>
  </w:num>
  <w:num w:numId="16">
    <w:abstractNumId w:val="1"/>
  </w:num>
  <w:num w:numId="17">
    <w:abstractNumId w:val="11"/>
  </w:num>
  <w:num w:numId="18">
    <w:abstractNumId w:val="23"/>
  </w:num>
  <w:num w:numId="19">
    <w:abstractNumId w:val="6"/>
  </w:num>
  <w:num w:numId="20">
    <w:abstractNumId w:val="8"/>
  </w:num>
  <w:num w:numId="21">
    <w:abstractNumId w:val="2"/>
  </w:num>
  <w:num w:numId="22">
    <w:abstractNumId w:val="9"/>
  </w:num>
  <w:num w:numId="23">
    <w:abstractNumId w:val="18"/>
  </w:num>
  <w:num w:numId="24">
    <w:abstractNumId w:val="21"/>
  </w:num>
  <w:num w:numId="25">
    <w:abstractNumId w:val="14"/>
  </w:num>
  <w:num w:numId="26">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8"/>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3F3C"/>
    <w:rsid w:val="00013DD4"/>
    <w:rsid w:val="000205B7"/>
    <w:rsid w:val="0002782F"/>
    <w:rsid w:val="0003233F"/>
    <w:rsid w:val="00054E4D"/>
    <w:rsid w:val="0005582A"/>
    <w:rsid w:val="00060073"/>
    <w:rsid w:val="000603C7"/>
    <w:rsid w:val="00074576"/>
    <w:rsid w:val="00076DA8"/>
    <w:rsid w:val="000829F4"/>
    <w:rsid w:val="000965F4"/>
    <w:rsid w:val="000A4B30"/>
    <w:rsid w:val="000A6A8B"/>
    <w:rsid w:val="000C2A48"/>
    <w:rsid w:val="000C5F75"/>
    <w:rsid w:val="000D55A4"/>
    <w:rsid w:val="000D60B1"/>
    <w:rsid w:val="000F5857"/>
    <w:rsid w:val="001278F4"/>
    <w:rsid w:val="00132249"/>
    <w:rsid w:val="001350E9"/>
    <w:rsid w:val="00136530"/>
    <w:rsid w:val="0015074D"/>
    <w:rsid w:val="001541EA"/>
    <w:rsid w:val="001612A4"/>
    <w:rsid w:val="0017345B"/>
    <w:rsid w:val="00174938"/>
    <w:rsid w:val="00192EF0"/>
    <w:rsid w:val="001935DA"/>
    <w:rsid w:val="001B772C"/>
    <w:rsid w:val="001C6EA7"/>
    <w:rsid w:val="001C7759"/>
    <w:rsid w:val="001D7EB4"/>
    <w:rsid w:val="001E1200"/>
    <w:rsid w:val="001E1DC0"/>
    <w:rsid w:val="001E2069"/>
    <w:rsid w:val="001F4D49"/>
    <w:rsid w:val="0020122A"/>
    <w:rsid w:val="00242D30"/>
    <w:rsid w:val="002524EF"/>
    <w:rsid w:val="002676C9"/>
    <w:rsid w:val="00267BF3"/>
    <w:rsid w:val="002809A5"/>
    <w:rsid w:val="0028602A"/>
    <w:rsid w:val="002919A5"/>
    <w:rsid w:val="002921AF"/>
    <w:rsid w:val="002941CC"/>
    <w:rsid w:val="002A554E"/>
    <w:rsid w:val="002A6312"/>
    <w:rsid w:val="002C6290"/>
    <w:rsid w:val="002D7560"/>
    <w:rsid w:val="00301144"/>
    <w:rsid w:val="003109AB"/>
    <w:rsid w:val="003140C3"/>
    <w:rsid w:val="003148B7"/>
    <w:rsid w:val="003158C3"/>
    <w:rsid w:val="003164C5"/>
    <w:rsid w:val="00324ECA"/>
    <w:rsid w:val="003274CD"/>
    <w:rsid w:val="00336D5B"/>
    <w:rsid w:val="00344994"/>
    <w:rsid w:val="0035119D"/>
    <w:rsid w:val="0035645A"/>
    <w:rsid w:val="00360E00"/>
    <w:rsid w:val="00362D50"/>
    <w:rsid w:val="00365C5B"/>
    <w:rsid w:val="00373420"/>
    <w:rsid w:val="00380F99"/>
    <w:rsid w:val="003825CC"/>
    <w:rsid w:val="00390B07"/>
    <w:rsid w:val="00396E11"/>
    <w:rsid w:val="003A71C5"/>
    <w:rsid w:val="003B4F12"/>
    <w:rsid w:val="003C0E5E"/>
    <w:rsid w:val="003C7CC1"/>
    <w:rsid w:val="003D295A"/>
    <w:rsid w:val="003D4335"/>
    <w:rsid w:val="00401A0F"/>
    <w:rsid w:val="00410906"/>
    <w:rsid w:val="0041615A"/>
    <w:rsid w:val="00423F31"/>
    <w:rsid w:val="00431899"/>
    <w:rsid w:val="0043579F"/>
    <w:rsid w:val="0044444A"/>
    <w:rsid w:val="004511C3"/>
    <w:rsid w:val="004540AD"/>
    <w:rsid w:val="0046056E"/>
    <w:rsid w:val="00462171"/>
    <w:rsid w:val="00462267"/>
    <w:rsid w:val="00472A7B"/>
    <w:rsid w:val="0047380F"/>
    <w:rsid w:val="0048297B"/>
    <w:rsid w:val="00485FEA"/>
    <w:rsid w:val="00486804"/>
    <w:rsid w:val="00492043"/>
    <w:rsid w:val="004946A0"/>
    <w:rsid w:val="004A741A"/>
    <w:rsid w:val="004B3775"/>
    <w:rsid w:val="004C2A06"/>
    <w:rsid w:val="004C3D75"/>
    <w:rsid w:val="004C5E5E"/>
    <w:rsid w:val="004C7199"/>
    <w:rsid w:val="004D4559"/>
    <w:rsid w:val="004E058F"/>
    <w:rsid w:val="004E3B87"/>
    <w:rsid w:val="004E71F5"/>
    <w:rsid w:val="004F68A6"/>
    <w:rsid w:val="005106EC"/>
    <w:rsid w:val="00510921"/>
    <w:rsid w:val="00510AD3"/>
    <w:rsid w:val="0051199A"/>
    <w:rsid w:val="00513348"/>
    <w:rsid w:val="00533B5D"/>
    <w:rsid w:val="0055288B"/>
    <w:rsid w:val="005570E8"/>
    <w:rsid w:val="00566CF9"/>
    <w:rsid w:val="00567A0F"/>
    <w:rsid w:val="00570B7C"/>
    <w:rsid w:val="00576A57"/>
    <w:rsid w:val="00582D93"/>
    <w:rsid w:val="00595D1F"/>
    <w:rsid w:val="005970EA"/>
    <w:rsid w:val="005B696C"/>
    <w:rsid w:val="005C37F0"/>
    <w:rsid w:val="005D2291"/>
    <w:rsid w:val="005D2D36"/>
    <w:rsid w:val="005E0771"/>
    <w:rsid w:val="005E5CB9"/>
    <w:rsid w:val="00622A59"/>
    <w:rsid w:val="00623BA1"/>
    <w:rsid w:val="00627858"/>
    <w:rsid w:val="006346BC"/>
    <w:rsid w:val="0066050C"/>
    <w:rsid w:val="00666291"/>
    <w:rsid w:val="0066652A"/>
    <w:rsid w:val="00670172"/>
    <w:rsid w:val="00682167"/>
    <w:rsid w:val="00692F2F"/>
    <w:rsid w:val="006A1AF5"/>
    <w:rsid w:val="006A1DB4"/>
    <w:rsid w:val="006A4AC7"/>
    <w:rsid w:val="006B1465"/>
    <w:rsid w:val="006C42AF"/>
    <w:rsid w:val="006C4DD1"/>
    <w:rsid w:val="006C65C2"/>
    <w:rsid w:val="006E4D56"/>
    <w:rsid w:val="006F3056"/>
    <w:rsid w:val="006F3A1C"/>
    <w:rsid w:val="006F4732"/>
    <w:rsid w:val="00711D8E"/>
    <w:rsid w:val="00712672"/>
    <w:rsid w:val="00727295"/>
    <w:rsid w:val="00727C9A"/>
    <w:rsid w:val="00734E3F"/>
    <w:rsid w:val="00736985"/>
    <w:rsid w:val="00737A13"/>
    <w:rsid w:val="00741E47"/>
    <w:rsid w:val="00745799"/>
    <w:rsid w:val="00756857"/>
    <w:rsid w:val="00763C2A"/>
    <w:rsid w:val="00772193"/>
    <w:rsid w:val="00797A42"/>
    <w:rsid w:val="007B6200"/>
    <w:rsid w:val="007C2F35"/>
    <w:rsid w:val="007D4D14"/>
    <w:rsid w:val="007F400F"/>
    <w:rsid w:val="00800799"/>
    <w:rsid w:val="00801B9F"/>
    <w:rsid w:val="00803BD0"/>
    <w:rsid w:val="0081126C"/>
    <w:rsid w:val="0081536D"/>
    <w:rsid w:val="00820BBE"/>
    <w:rsid w:val="00832351"/>
    <w:rsid w:val="0084135B"/>
    <w:rsid w:val="008436BE"/>
    <w:rsid w:val="0084520B"/>
    <w:rsid w:val="00873D7E"/>
    <w:rsid w:val="008771D4"/>
    <w:rsid w:val="00880B3F"/>
    <w:rsid w:val="00882639"/>
    <w:rsid w:val="00895F2E"/>
    <w:rsid w:val="008A05DD"/>
    <w:rsid w:val="008B62C7"/>
    <w:rsid w:val="008D4A99"/>
    <w:rsid w:val="008E2D67"/>
    <w:rsid w:val="00902127"/>
    <w:rsid w:val="00903AF5"/>
    <w:rsid w:val="0092289A"/>
    <w:rsid w:val="009262D4"/>
    <w:rsid w:val="00941CFB"/>
    <w:rsid w:val="009508A2"/>
    <w:rsid w:val="00953F91"/>
    <w:rsid w:val="00955214"/>
    <w:rsid w:val="009561A0"/>
    <w:rsid w:val="009763B6"/>
    <w:rsid w:val="009A08BD"/>
    <w:rsid w:val="009A2DA7"/>
    <w:rsid w:val="009B4BE8"/>
    <w:rsid w:val="009B4D3B"/>
    <w:rsid w:val="009C3084"/>
    <w:rsid w:val="009D7407"/>
    <w:rsid w:val="009E0866"/>
    <w:rsid w:val="009E1AAB"/>
    <w:rsid w:val="009E2850"/>
    <w:rsid w:val="009F425B"/>
    <w:rsid w:val="00A03408"/>
    <w:rsid w:val="00A061B9"/>
    <w:rsid w:val="00A120E1"/>
    <w:rsid w:val="00A20E8E"/>
    <w:rsid w:val="00A24A62"/>
    <w:rsid w:val="00A313EC"/>
    <w:rsid w:val="00A31C9F"/>
    <w:rsid w:val="00A332C9"/>
    <w:rsid w:val="00A34EDC"/>
    <w:rsid w:val="00A57A9E"/>
    <w:rsid w:val="00A62063"/>
    <w:rsid w:val="00A82B42"/>
    <w:rsid w:val="00A84B0D"/>
    <w:rsid w:val="00A860DC"/>
    <w:rsid w:val="00A868E8"/>
    <w:rsid w:val="00AB19CF"/>
    <w:rsid w:val="00AB19E6"/>
    <w:rsid w:val="00AC164A"/>
    <w:rsid w:val="00AC400B"/>
    <w:rsid w:val="00AD13C3"/>
    <w:rsid w:val="00AF2050"/>
    <w:rsid w:val="00AF5BED"/>
    <w:rsid w:val="00AF6D1A"/>
    <w:rsid w:val="00AF7EDE"/>
    <w:rsid w:val="00B1254E"/>
    <w:rsid w:val="00B13B6E"/>
    <w:rsid w:val="00B329B6"/>
    <w:rsid w:val="00B32F99"/>
    <w:rsid w:val="00B34BDB"/>
    <w:rsid w:val="00B378A8"/>
    <w:rsid w:val="00B4010B"/>
    <w:rsid w:val="00B55A9E"/>
    <w:rsid w:val="00B901B9"/>
    <w:rsid w:val="00BA7C45"/>
    <w:rsid w:val="00BB26C5"/>
    <w:rsid w:val="00BC0C63"/>
    <w:rsid w:val="00BE2535"/>
    <w:rsid w:val="00BF3BA2"/>
    <w:rsid w:val="00BF4DE6"/>
    <w:rsid w:val="00BF6958"/>
    <w:rsid w:val="00C04038"/>
    <w:rsid w:val="00C043BD"/>
    <w:rsid w:val="00C15CE8"/>
    <w:rsid w:val="00C22C5C"/>
    <w:rsid w:val="00C26390"/>
    <w:rsid w:val="00C30746"/>
    <w:rsid w:val="00C3720A"/>
    <w:rsid w:val="00C373BC"/>
    <w:rsid w:val="00C42CDE"/>
    <w:rsid w:val="00C51C6E"/>
    <w:rsid w:val="00C61A15"/>
    <w:rsid w:val="00C6347E"/>
    <w:rsid w:val="00C746C8"/>
    <w:rsid w:val="00C76AC1"/>
    <w:rsid w:val="00C81087"/>
    <w:rsid w:val="00C87A54"/>
    <w:rsid w:val="00C97A45"/>
    <w:rsid w:val="00CA1290"/>
    <w:rsid w:val="00CA37B1"/>
    <w:rsid w:val="00CA537C"/>
    <w:rsid w:val="00CA7227"/>
    <w:rsid w:val="00CB1959"/>
    <w:rsid w:val="00CD57ED"/>
    <w:rsid w:val="00CD7ACB"/>
    <w:rsid w:val="00CF3314"/>
    <w:rsid w:val="00D0296C"/>
    <w:rsid w:val="00D1013C"/>
    <w:rsid w:val="00D10364"/>
    <w:rsid w:val="00D16CE4"/>
    <w:rsid w:val="00D17EC6"/>
    <w:rsid w:val="00D22869"/>
    <w:rsid w:val="00D4159E"/>
    <w:rsid w:val="00D449DF"/>
    <w:rsid w:val="00D46D82"/>
    <w:rsid w:val="00D71430"/>
    <w:rsid w:val="00D7288F"/>
    <w:rsid w:val="00D97513"/>
    <w:rsid w:val="00DA1BE1"/>
    <w:rsid w:val="00DB6D69"/>
    <w:rsid w:val="00DC430B"/>
    <w:rsid w:val="00DC6867"/>
    <w:rsid w:val="00DE2641"/>
    <w:rsid w:val="00DE683D"/>
    <w:rsid w:val="00DF25F7"/>
    <w:rsid w:val="00E02371"/>
    <w:rsid w:val="00E357B7"/>
    <w:rsid w:val="00E40D77"/>
    <w:rsid w:val="00E425F7"/>
    <w:rsid w:val="00E51C40"/>
    <w:rsid w:val="00E53800"/>
    <w:rsid w:val="00E57349"/>
    <w:rsid w:val="00E6081F"/>
    <w:rsid w:val="00E60A81"/>
    <w:rsid w:val="00E60FC8"/>
    <w:rsid w:val="00E6422F"/>
    <w:rsid w:val="00E7335D"/>
    <w:rsid w:val="00EA04B2"/>
    <w:rsid w:val="00EA20F3"/>
    <w:rsid w:val="00EC7F63"/>
    <w:rsid w:val="00ED43D1"/>
    <w:rsid w:val="00EE4EE1"/>
    <w:rsid w:val="00EF4574"/>
    <w:rsid w:val="00EF467C"/>
    <w:rsid w:val="00F01793"/>
    <w:rsid w:val="00F139C9"/>
    <w:rsid w:val="00F2684E"/>
    <w:rsid w:val="00F41CD8"/>
    <w:rsid w:val="00F42B3A"/>
    <w:rsid w:val="00F5285E"/>
    <w:rsid w:val="00F5466F"/>
    <w:rsid w:val="00F54D5E"/>
    <w:rsid w:val="00F729EF"/>
    <w:rsid w:val="00F77CAE"/>
    <w:rsid w:val="00F80913"/>
    <w:rsid w:val="00F8520E"/>
    <w:rsid w:val="00F8620B"/>
    <w:rsid w:val="00F9472C"/>
    <w:rsid w:val="00F96BB9"/>
    <w:rsid w:val="00FB44AA"/>
    <w:rsid w:val="00FD3FDE"/>
    <w:rsid w:val="00FD7C4E"/>
    <w:rsid w:val="00FE681E"/>
    <w:rsid w:val="00FE6D51"/>
    <w:rsid w:val="00FF4371"/>
    <w:rsid w:val="00FF70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8313D9"/>
  <w15:docId w15:val="{9B3D9A84-8831-4BE1-A87C-A2E0FB43B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basedOn w:val="Heading1"/>
    <w:next w:val="Normal"/>
    <w:link w:val="Heading2Char"/>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nhideWhenUsed/>
    <w:qFormat/>
    <w:rsid w:val="00D46D82"/>
    <w:pPr>
      <w:spacing w:line="340" w:lineRule="atLeast"/>
      <w:outlineLvl w:val="2"/>
    </w:pPr>
    <w:rPr>
      <w:bCs/>
      <w:sz w:val="30"/>
    </w:rPr>
  </w:style>
  <w:style w:type="paragraph" w:styleId="Heading4">
    <w:name w:val="heading 4"/>
    <w:basedOn w:val="Heading3"/>
    <w:next w:val="Normal"/>
    <w:link w:val="Heading4Char"/>
    <w:unhideWhenUsed/>
    <w:qFormat/>
    <w:rsid w:val="00D46D82"/>
    <w:pPr>
      <w:spacing w:before="240" w:line="300" w:lineRule="atLeast"/>
      <w:outlineLvl w:val="3"/>
    </w:pPr>
    <w:rPr>
      <w:iCs/>
      <w:sz w:val="26"/>
    </w:rPr>
  </w:style>
  <w:style w:type="paragraph" w:styleId="Heading5">
    <w:name w:val="heading 5"/>
    <w:basedOn w:val="Heading4"/>
    <w:next w:val="Normal"/>
    <w:link w:val="Heading5Char"/>
    <w:unhideWhenUsed/>
    <w:qFormat/>
    <w:rsid w:val="00623BA1"/>
    <w:pPr>
      <w:outlineLvl w:val="4"/>
    </w:pPr>
    <w:rPr>
      <w:i/>
      <w:color w:val="77B6BD"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43838A"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basedOn w:val="DefaultParagraphFont"/>
    <w:link w:val="Heading2"/>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2"/>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8520E"/>
    <w:pPr>
      <w:numPr>
        <w:ilvl w:val="2"/>
        <w:numId w:val="15"/>
      </w:numPr>
    </w:pPr>
  </w:style>
  <w:style w:type="paragraph" w:customStyle="1" w:styleId="Bullet2">
    <w:name w:val="Bullet 2"/>
    <w:basedOn w:val="NumberedList1"/>
    <w:qFormat/>
    <w:rsid w:val="00F8520E"/>
    <w:pPr>
      <w:numPr>
        <w:numId w:val="16"/>
      </w:numPr>
      <w:ind w:left="1418"/>
    </w:pPr>
  </w:style>
  <w:style w:type="paragraph" w:customStyle="1" w:styleId="Bullet3">
    <w:name w:val="Bullet 3"/>
    <w:basedOn w:val="NumberedList1"/>
    <w:qFormat/>
    <w:rsid w:val="00F8520E"/>
    <w:pPr>
      <w:numPr>
        <w:numId w:val="17"/>
      </w:numPr>
      <w:ind w:left="1985"/>
    </w:pPr>
  </w:style>
  <w:style w:type="paragraph" w:customStyle="1" w:styleId="NumberedList1">
    <w:name w:val="Numbered List 1"/>
    <w:basedOn w:val="Normal"/>
    <w:qFormat/>
    <w:rsid w:val="0046056E"/>
    <w:pPr>
      <w:numPr>
        <w:numId w:val="2"/>
      </w:numPr>
    </w:pPr>
  </w:style>
  <w:style w:type="paragraph" w:customStyle="1" w:styleId="NumberedList2">
    <w:name w:val="Numbered List 2"/>
    <w:basedOn w:val="NumberedList1"/>
    <w:qFormat/>
    <w:rsid w:val="0046056E"/>
    <w:pPr>
      <w:numPr>
        <w:ilvl w:val="1"/>
      </w:numPr>
      <w:spacing w:before="120"/>
      <w:ind w:left="851"/>
    </w:pPr>
  </w:style>
  <w:style w:type="paragraph" w:customStyle="1" w:styleId="NumberedList3">
    <w:name w:val="Numbered List 3"/>
    <w:basedOn w:val="NumberedList2"/>
    <w:qFormat/>
    <w:rsid w:val="00FB44AA"/>
    <w:pPr>
      <w:numPr>
        <w:ilvl w:val="2"/>
      </w:numPr>
    </w:pPr>
  </w:style>
  <w:style w:type="paragraph" w:customStyle="1" w:styleId="Heading1Numbered">
    <w:name w:val="Heading 1 Numbered"/>
    <w:basedOn w:val="Heading1"/>
    <w:next w:val="Normal"/>
    <w:qFormat/>
    <w:rsid w:val="001E1DC0"/>
    <w:pPr>
      <w:numPr>
        <w:numId w:val="3"/>
      </w:numPr>
    </w:pPr>
  </w:style>
  <w:style w:type="paragraph" w:customStyle="1" w:styleId="Heading2Numbered">
    <w:name w:val="Heading 2 Numbered"/>
    <w:basedOn w:val="Heading2"/>
    <w:next w:val="Normal"/>
    <w:qFormat/>
    <w:rsid w:val="00D46D82"/>
    <w:pPr>
      <w:numPr>
        <w:ilvl w:val="1"/>
        <w:numId w:val="3"/>
      </w:numPr>
    </w:pPr>
    <w:rPr>
      <w:bCs/>
    </w:rPr>
  </w:style>
  <w:style w:type="paragraph" w:customStyle="1" w:styleId="Heading3Numbered">
    <w:name w:val="Heading 3 Numbered"/>
    <w:basedOn w:val="Heading3"/>
    <w:next w:val="Normal"/>
    <w:qFormat/>
    <w:rsid w:val="001D7EB4"/>
    <w:pPr>
      <w:numPr>
        <w:ilvl w:val="2"/>
        <w:numId w:val="3"/>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13"/>
      </w:numPr>
    </w:pPr>
  </w:style>
  <w:style w:type="numbering" w:customStyle="1" w:styleId="HeadingsList">
    <w:name w:val="Headings List"/>
    <w:uiPriority w:val="99"/>
    <w:rsid w:val="001E1DC0"/>
    <w:pPr>
      <w:numPr>
        <w:numId w:val="3"/>
      </w:numPr>
    </w:pPr>
  </w:style>
  <w:style w:type="table" w:styleId="PlainTable2">
    <w:name w:val="Plain Table 2"/>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FB44AA"/>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FB44AA"/>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46056E"/>
    <w:pPr>
      <w:tabs>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BDDCDF" w:themeColor="accent1"/>
      </w:pBdr>
    </w:pPr>
    <w:rPr>
      <w:sz w:val="24"/>
    </w:rPr>
  </w:style>
  <w:style w:type="table" w:styleId="TableGrid">
    <w:name w:val="Table Grid"/>
    <w:basedOn w:val="TableNormal"/>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CD57ED"/>
    <w:rPr>
      <w:rFonts w:asciiTheme="minorHAnsi" w:hAnsiTheme="minorHAnsi" w:cs="MuseoSans-500"/>
      <w:i/>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rsid w:val="00486804"/>
    <w:rPr>
      <w:rFonts w:asciiTheme="majorHAnsi" w:eastAsiaTheme="majorEastAsia" w:hAnsiTheme="majorHAnsi" w:cstheme="majorBidi"/>
      <w:bCs/>
      <w:iCs/>
      <w:color w:val="77B6BD"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43838A"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43838A"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link w:val="Boxed1TextChar"/>
    <w:qFormat/>
    <w:rsid w:val="00486804"/>
    <w:pPr>
      <w:pBdr>
        <w:top w:val="single" w:sz="4" w:space="14" w:color="F1F8F8" w:themeColor="accent1" w:themeTint="33"/>
        <w:left w:val="single" w:sz="4" w:space="14" w:color="F1F8F8" w:themeColor="accent1" w:themeTint="33"/>
        <w:bottom w:val="single" w:sz="4" w:space="14" w:color="F1F8F8" w:themeColor="accent1" w:themeTint="33"/>
        <w:right w:val="single" w:sz="4" w:space="14" w:color="F1F8F8" w:themeColor="accent1" w:themeTint="33"/>
      </w:pBdr>
      <w:shd w:val="clear" w:color="auto" w:fill="F1F8F8"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link w:val="Boxed2TextChar"/>
    <w:qFormat/>
    <w:rsid w:val="000C2A48"/>
    <w:pPr>
      <w:pBdr>
        <w:top w:val="single" w:sz="4" w:space="14" w:color="BDDCDF" w:themeColor="accent1"/>
        <w:left w:val="single" w:sz="4" w:space="14" w:color="BDDCDF" w:themeColor="accent1"/>
        <w:bottom w:val="single" w:sz="4" w:space="14" w:color="BDDCDF" w:themeColor="accent1"/>
        <w:right w:val="single" w:sz="4" w:space="14" w:color="BDDCDF" w:themeColor="accent1"/>
      </w:pBdr>
      <w:shd w:val="clear" w:color="auto" w:fill="BDDCDF"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qFormat/>
    <w:rsid w:val="00DB6D69"/>
  </w:style>
  <w:style w:type="table" w:styleId="TableGridLight">
    <w:name w:val="Grid Table Light"/>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qFormat/>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semiHidden/>
    <w:rsid w:val="00AB19CF"/>
    <w:rPr>
      <w:sz w:val="16"/>
      <w:szCs w:val="20"/>
    </w:rPr>
  </w:style>
  <w:style w:type="character" w:styleId="FootnoteReference">
    <w:name w:val="footnote reference"/>
    <w:basedOn w:val="DefaultParagraphFont"/>
    <w:uiPriority w:val="99"/>
    <w:semiHidden/>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customStyle="1" w:styleId="Afterbox">
    <w:name w:val="After box"/>
    <w:next w:val="BodyText1"/>
    <w:semiHidden/>
    <w:qFormat/>
    <w:rsid w:val="00396E11"/>
    <w:pPr>
      <w:spacing w:after="57" w:line="113" w:lineRule="exact"/>
    </w:pPr>
    <w:rPr>
      <w:rFonts w:ascii="Cambria" w:eastAsia="Times New Roman" w:hAnsi="Cambria" w:cs="Times New Roman"/>
      <w:sz w:val="2"/>
      <w:szCs w:val="24"/>
    </w:rPr>
  </w:style>
  <w:style w:type="paragraph" w:customStyle="1" w:styleId="Bodytextbeforebullets">
    <w:name w:val="Body text (before bullets)"/>
    <w:basedOn w:val="BodyText1"/>
    <w:semiHidden/>
    <w:rsid w:val="00396E11"/>
    <w:pPr>
      <w:spacing w:after="57"/>
    </w:pPr>
  </w:style>
  <w:style w:type="paragraph" w:customStyle="1" w:styleId="BodyText1">
    <w:name w:val="Body Text1"/>
    <w:link w:val="BodyText1Char"/>
    <w:semiHidden/>
    <w:rsid w:val="00396E11"/>
    <w:pPr>
      <w:spacing w:after="113" w:line="260" w:lineRule="atLeast"/>
    </w:pPr>
    <w:rPr>
      <w:rFonts w:ascii="Cambria" w:eastAsia="Times New Roman" w:hAnsi="Cambria" w:cs="Times New Roman"/>
      <w:szCs w:val="24"/>
    </w:rPr>
  </w:style>
  <w:style w:type="paragraph" w:customStyle="1" w:styleId="Bullets1stindent">
    <w:name w:val="Bullets (1st indent)"/>
    <w:basedOn w:val="BodyText1"/>
    <w:link w:val="Bullets1stindentChar"/>
    <w:semiHidden/>
    <w:rsid w:val="002676C9"/>
    <w:pPr>
      <w:numPr>
        <w:numId w:val="9"/>
      </w:numPr>
      <w:spacing w:after="120" w:line="240" w:lineRule="auto"/>
    </w:pPr>
    <w:rPr>
      <w:rFonts w:asciiTheme="minorHAnsi" w:eastAsiaTheme="minorHAnsi" w:hAnsiTheme="minorHAnsi" w:cstheme="minorBidi"/>
      <w:szCs w:val="22"/>
    </w:rPr>
  </w:style>
  <w:style w:type="paragraph" w:customStyle="1" w:styleId="Bullets2ndindent">
    <w:name w:val="Bullets (2nd indent)"/>
    <w:basedOn w:val="Bullets1stindent"/>
    <w:semiHidden/>
    <w:rsid w:val="00396E11"/>
    <w:pPr>
      <w:numPr>
        <w:numId w:val="10"/>
      </w:numPr>
      <w:tabs>
        <w:tab w:val="right" w:pos="794"/>
      </w:tabs>
      <w:spacing w:after="60"/>
    </w:pPr>
    <w:rPr>
      <w:rFonts w:asciiTheme="majorHAnsi" w:hAnsiTheme="majorHAnsi"/>
    </w:rPr>
  </w:style>
  <w:style w:type="numbering" w:customStyle="1" w:styleId="Bullets">
    <w:name w:val="Bullets"/>
    <w:basedOn w:val="NoList"/>
    <w:uiPriority w:val="99"/>
    <w:rsid w:val="00396E11"/>
    <w:pPr>
      <w:numPr>
        <w:numId w:val="7"/>
      </w:numPr>
    </w:pPr>
  </w:style>
  <w:style w:type="paragraph" w:customStyle="1" w:styleId="Figuretitle">
    <w:name w:val="Figure title"/>
    <w:next w:val="BodyText1"/>
    <w:qFormat/>
    <w:rsid w:val="00396E11"/>
    <w:pPr>
      <w:keepNext/>
      <w:keepLines/>
      <w:numPr>
        <w:ilvl w:val="6"/>
        <w:numId w:val="6"/>
      </w:numPr>
      <w:spacing w:before="340" w:after="170" w:line="240" w:lineRule="auto"/>
    </w:pPr>
    <w:rPr>
      <w:rFonts w:ascii="Arial" w:eastAsia="Times New Roman" w:hAnsi="Arial" w:cs="Times New Roman"/>
      <w:b/>
      <w:color w:val="005A77"/>
      <w:spacing w:val="-6"/>
      <w:sz w:val="24"/>
      <w:szCs w:val="24"/>
      <w:lang w:val="en-US"/>
    </w:rPr>
  </w:style>
  <w:style w:type="paragraph" w:customStyle="1" w:styleId="Footertext">
    <w:name w:val="Footer text"/>
    <w:semiHidden/>
    <w:rsid w:val="00396E11"/>
    <w:pPr>
      <w:framePr w:hSpace="181" w:wrap="around" w:vAnchor="text" w:hAnchor="page" w:x="11228" w:y="1"/>
      <w:spacing w:after="0" w:line="200" w:lineRule="atLeast"/>
      <w:ind w:right="113"/>
      <w:suppressOverlap/>
    </w:pPr>
    <w:rPr>
      <w:rFonts w:ascii="Arial" w:eastAsia="Times New Roman" w:hAnsi="Arial" w:cs="Arial"/>
      <w:sz w:val="16"/>
      <w:szCs w:val="24"/>
    </w:rPr>
  </w:style>
  <w:style w:type="paragraph" w:customStyle="1" w:styleId="Sourcenotetext">
    <w:name w:val="Source/note text"/>
    <w:qFormat/>
    <w:rsid w:val="00396E11"/>
    <w:pPr>
      <w:spacing w:before="85" w:after="85" w:line="240" w:lineRule="auto"/>
    </w:pPr>
    <w:rPr>
      <w:rFonts w:ascii="Arial" w:eastAsia="Times New Roman" w:hAnsi="Arial" w:cs="Arial"/>
      <w:i/>
      <w:sz w:val="12"/>
      <w:szCs w:val="12"/>
    </w:rPr>
  </w:style>
  <w:style w:type="paragraph" w:customStyle="1" w:styleId="Bulletslast1stindent">
    <w:name w:val="Bullets last (1st indent)"/>
    <w:basedOn w:val="BodyText1"/>
    <w:semiHidden/>
    <w:rsid w:val="00396E11"/>
    <w:pPr>
      <w:numPr>
        <w:ilvl w:val="2"/>
        <w:numId w:val="7"/>
      </w:numPr>
      <w:tabs>
        <w:tab w:val="clear" w:pos="284"/>
      </w:tabs>
      <w:ind w:left="852"/>
    </w:pPr>
  </w:style>
  <w:style w:type="numbering" w:customStyle="1" w:styleId="Numbers">
    <w:name w:val="Numbers"/>
    <w:basedOn w:val="NoList"/>
    <w:rsid w:val="00396E11"/>
    <w:pPr>
      <w:numPr>
        <w:numId w:val="6"/>
      </w:numPr>
    </w:pPr>
  </w:style>
  <w:style w:type="paragraph" w:customStyle="1" w:styleId="Bulletslast2ndindent">
    <w:name w:val="Bullets last (2nd indent)"/>
    <w:basedOn w:val="BodyText1"/>
    <w:semiHidden/>
    <w:rsid w:val="00396E11"/>
    <w:pPr>
      <w:numPr>
        <w:ilvl w:val="3"/>
        <w:numId w:val="7"/>
      </w:numPr>
      <w:tabs>
        <w:tab w:val="clear" w:pos="567"/>
      </w:tabs>
      <w:ind w:left="568" w:hanging="284"/>
    </w:pPr>
  </w:style>
  <w:style w:type="paragraph" w:customStyle="1" w:styleId="Tablebodytext">
    <w:name w:val="Table body text"/>
    <w:qFormat/>
    <w:rsid w:val="00396E11"/>
    <w:pPr>
      <w:spacing w:before="57" w:after="57" w:line="240" w:lineRule="auto"/>
      <w:ind w:left="96" w:right="96"/>
    </w:pPr>
    <w:rPr>
      <w:rFonts w:ascii="Arial" w:eastAsia="Times New Roman" w:hAnsi="Arial" w:cs="Times New Roman"/>
      <w:sz w:val="18"/>
      <w:szCs w:val="24"/>
    </w:rPr>
  </w:style>
  <w:style w:type="paragraph" w:customStyle="1" w:styleId="Tablebullets2ndindent">
    <w:name w:val="Table bullets (2nd indent)"/>
    <w:basedOn w:val="Tablebodytext"/>
    <w:qFormat/>
    <w:rsid w:val="00396E11"/>
    <w:pPr>
      <w:numPr>
        <w:ilvl w:val="6"/>
        <w:numId w:val="7"/>
      </w:numPr>
    </w:pPr>
  </w:style>
  <w:style w:type="paragraph" w:customStyle="1" w:styleId="Tablebullets1stindent">
    <w:name w:val="Table bullets (1st indent)"/>
    <w:basedOn w:val="Tablebodytext"/>
    <w:qFormat/>
    <w:rsid w:val="00396E11"/>
    <w:pPr>
      <w:numPr>
        <w:ilvl w:val="5"/>
        <w:numId w:val="7"/>
      </w:numPr>
    </w:pPr>
  </w:style>
  <w:style w:type="paragraph" w:customStyle="1" w:styleId="Tablecolumnheading">
    <w:name w:val="Table column heading"/>
    <w:basedOn w:val="Tablebodytext"/>
    <w:qFormat/>
    <w:rsid w:val="00396E11"/>
    <w:pPr>
      <w:keepNext/>
    </w:pPr>
    <w:rPr>
      <w:b/>
      <w:szCs w:val="18"/>
    </w:rPr>
  </w:style>
  <w:style w:type="paragraph" w:customStyle="1" w:styleId="Title2">
    <w:name w:val="Title 2"/>
    <w:basedOn w:val="Title"/>
    <w:uiPriority w:val="2"/>
    <w:semiHidden/>
    <w:rsid w:val="00396E11"/>
    <w:pPr>
      <w:keepLines w:val="0"/>
      <w:pBdr>
        <w:bottom w:val="single" w:sz="8" w:space="4" w:color="C2B000"/>
      </w:pBdr>
      <w:suppressAutoHyphens w:val="0"/>
      <w:spacing w:before="200" w:after="300" w:line="260" w:lineRule="atLeast"/>
      <w:jc w:val="left"/>
      <w:outlineLvl w:val="9"/>
    </w:pPr>
    <w:rPr>
      <w:rFonts w:ascii="Arial" w:eastAsia="MS Gothic" w:hAnsi="Arial" w:cs="Times New Roman"/>
      <w:bCs w:val="0"/>
      <w:color w:val="615800"/>
      <w:spacing w:val="5"/>
      <w:sz w:val="52"/>
    </w:rPr>
  </w:style>
  <w:style w:type="paragraph" w:customStyle="1" w:styleId="Tabletitle">
    <w:name w:val="Table title"/>
    <w:next w:val="BodyText1"/>
    <w:qFormat/>
    <w:rsid w:val="00396E11"/>
    <w:pPr>
      <w:keepNext/>
      <w:numPr>
        <w:ilvl w:val="8"/>
        <w:numId w:val="6"/>
      </w:numPr>
      <w:spacing w:before="340" w:after="170" w:line="240" w:lineRule="auto"/>
    </w:pPr>
    <w:rPr>
      <w:rFonts w:ascii="Arial" w:eastAsia="Times New Roman" w:hAnsi="Arial" w:cs="Times New Roman"/>
      <w:b/>
      <w:color w:val="005A77"/>
      <w:spacing w:val="-6"/>
      <w:sz w:val="24"/>
      <w:szCs w:val="24"/>
      <w:lang w:val="en-US"/>
    </w:rPr>
  </w:style>
  <w:style w:type="paragraph" w:customStyle="1" w:styleId="Simpletableheading">
    <w:name w:val="Simple table heading"/>
    <w:next w:val="BodyText1"/>
    <w:uiPriority w:val="1"/>
    <w:rsid w:val="00396E11"/>
    <w:pPr>
      <w:spacing w:after="0" w:line="240" w:lineRule="atLeast"/>
    </w:pPr>
    <w:rPr>
      <w:rFonts w:ascii="Arial" w:eastAsia="Times New Roman" w:hAnsi="Arial" w:cs="Times New Roman"/>
      <w:b/>
      <w:color w:val="37424A"/>
      <w:szCs w:val="24"/>
    </w:rPr>
  </w:style>
  <w:style w:type="paragraph" w:styleId="BalloonText">
    <w:name w:val="Balloon Text"/>
    <w:basedOn w:val="Normal"/>
    <w:link w:val="BalloonTextChar"/>
    <w:uiPriority w:val="99"/>
    <w:semiHidden/>
    <w:rsid w:val="00396E11"/>
    <w:pPr>
      <w:suppressAutoHyphens w:val="0"/>
      <w:spacing w:before="200" w:after="0" w:line="260" w:lineRule="atLeast"/>
    </w:pPr>
    <w:rPr>
      <w:rFonts w:ascii="Tahoma" w:eastAsia="Cambria" w:hAnsi="Tahoma" w:cs="Tahoma"/>
      <w:sz w:val="16"/>
      <w:szCs w:val="16"/>
    </w:rPr>
  </w:style>
  <w:style w:type="character" w:customStyle="1" w:styleId="BalloonTextChar">
    <w:name w:val="Balloon Text Char"/>
    <w:basedOn w:val="DefaultParagraphFont"/>
    <w:link w:val="BalloonText"/>
    <w:uiPriority w:val="99"/>
    <w:semiHidden/>
    <w:rsid w:val="00396E11"/>
    <w:rPr>
      <w:rFonts w:ascii="Tahoma" w:eastAsia="Cambria" w:hAnsi="Tahoma" w:cs="Tahoma"/>
      <w:sz w:val="16"/>
      <w:szCs w:val="16"/>
    </w:rPr>
  </w:style>
  <w:style w:type="paragraph" w:customStyle="1" w:styleId="Subtitle2">
    <w:name w:val="Subtitle 2"/>
    <w:uiPriority w:val="2"/>
    <w:semiHidden/>
    <w:rsid w:val="00396E11"/>
    <w:pPr>
      <w:spacing w:before="200" w:after="0" w:line="240" w:lineRule="auto"/>
      <w:contextualSpacing/>
    </w:pPr>
    <w:rPr>
      <w:rFonts w:ascii="Arial" w:eastAsia="Times New Roman" w:hAnsi="Arial" w:cs="Times New Roman"/>
      <w:caps/>
      <w:color w:val="1C2735"/>
      <w:kern w:val="28"/>
      <w:szCs w:val="32"/>
    </w:rPr>
  </w:style>
  <w:style w:type="character" w:customStyle="1" w:styleId="Blue">
    <w:name w:val="Blue"/>
    <w:basedOn w:val="DefaultParagraphFont"/>
    <w:semiHidden/>
    <w:qFormat/>
    <w:rsid w:val="00396E11"/>
    <w:rPr>
      <w:color w:val="C2B000"/>
    </w:rPr>
  </w:style>
  <w:style w:type="paragraph" w:customStyle="1" w:styleId="Boxtext">
    <w:name w:val="Box text"/>
    <w:basedOn w:val="Tablebodytext"/>
    <w:uiPriority w:val="1"/>
    <w:unhideWhenUsed/>
    <w:rsid w:val="00396E11"/>
    <w:pPr>
      <w:spacing w:before="113" w:after="113" w:line="240" w:lineRule="atLeast"/>
      <w:ind w:left="0" w:right="0"/>
    </w:pPr>
    <w:rPr>
      <w:color w:val="37424A"/>
    </w:rPr>
  </w:style>
  <w:style w:type="paragraph" w:styleId="Quote">
    <w:name w:val="Quote"/>
    <w:link w:val="QuoteChar"/>
    <w:qFormat/>
    <w:rsid w:val="00396E11"/>
    <w:pPr>
      <w:spacing w:before="170" w:after="170" w:line="240" w:lineRule="auto"/>
      <w:ind w:left="284" w:right="284"/>
    </w:pPr>
    <w:rPr>
      <w:rFonts w:ascii="Cambria" w:eastAsia="Times New Roman" w:hAnsi="Cambria" w:cs="Times New Roman"/>
      <w:i/>
      <w:iCs/>
      <w:color w:val="000000"/>
      <w:spacing w:val="-2"/>
      <w:szCs w:val="24"/>
    </w:rPr>
  </w:style>
  <w:style w:type="character" w:customStyle="1" w:styleId="QuoteChar">
    <w:name w:val="Quote Char"/>
    <w:basedOn w:val="DefaultParagraphFont"/>
    <w:link w:val="Quote"/>
    <w:rsid w:val="00396E11"/>
    <w:rPr>
      <w:rFonts w:ascii="Cambria" w:eastAsia="Times New Roman" w:hAnsi="Cambria" w:cs="Times New Roman"/>
      <w:i/>
      <w:iCs/>
      <w:color w:val="000000"/>
      <w:spacing w:val="-2"/>
      <w:szCs w:val="24"/>
    </w:rPr>
  </w:style>
  <w:style w:type="table" w:customStyle="1" w:styleId="DOFDwithheader">
    <w:name w:val="DOFD with header"/>
    <w:basedOn w:val="TableNormal"/>
    <w:uiPriority w:val="99"/>
    <w:qFormat/>
    <w:rsid w:val="00396E11"/>
    <w:pPr>
      <w:spacing w:before="57" w:after="0" w:line="220" w:lineRule="atLeast"/>
      <w:ind w:left="96" w:right="96"/>
    </w:pPr>
    <w:rPr>
      <w:rFonts w:ascii="Arial" w:eastAsia="Times New Roman" w:hAnsi="Arial" w:cs="Times New Roman"/>
      <w:sz w:val="20"/>
      <w:szCs w:val="20"/>
      <w:lang w:eastAsia="en-AU"/>
    </w:rPr>
    <w:tblPr>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wordWrap/>
      </w:pPr>
      <w:rPr>
        <w:b w:val="0"/>
      </w:rPr>
      <w:tblPr/>
      <w:tcPr>
        <w:shd w:val="clear" w:color="auto" w:fill="DDF3FA"/>
      </w:tcPr>
    </w:tblStylePr>
  </w:style>
  <w:style w:type="character" w:customStyle="1" w:styleId="ArialBlackBlue">
    <w:name w:val="Arial Black Blue"/>
    <w:basedOn w:val="DefaultParagraphFont"/>
    <w:uiPriority w:val="1"/>
    <w:semiHidden/>
    <w:qFormat/>
    <w:rsid w:val="00396E11"/>
    <w:rPr>
      <w:rFonts w:ascii="Arial Black" w:hAnsi="Arial Black"/>
      <w:color w:val="005A77"/>
      <w:sz w:val="18"/>
      <w:szCs w:val="18"/>
    </w:rPr>
  </w:style>
  <w:style w:type="paragraph" w:customStyle="1" w:styleId="Chapternumber">
    <w:name w:val="Chapter number"/>
    <w:rsid w:val="00396E11"/>
    <w:pPr>
      <w:spacing w:after="0" w:line="940" w:lineRule="exact"/>
      <w:jc w:val="center"/>
    </w:pPr>
    <w:rPr>
      <w:rFonts w:ascii="Arial" w:eastAsia="Times New Roman" w:hAnsi="Arial" w:cs="Arial"/>
      <w:b/>
      <w:color w:val="A7B4BE"/>
      <w:sz w:val="94"/>
      <w:szCs w:val="94"/>
    </w:rPr>
  </w:style>
  <w:style w:type="paragraph" w:customStyle="1" w:styleId="Boxheading">
    <w:name w:val="Box heading"/>
    <w:basedOn w:val="Simpletableheading"/>
    <w:uiPriority w:val="1"/>
    <w:unhideWhenUsed/>
    <w:rsid w:val="00396E11"/>
    <w:pPr>
      <w:spacing w:before="113" w:after="113"/>
    </w:pPr>
    <w:rPr>
      <w:color w:val="005A77"/>
    </w:rPr>
  </w:style>
  <w:style w:type="paragraph" w:customStyle="1" w:styleId="Notetitle">
    <w:name w:val="Note title"/>
    <w:qFormat/>
    <w:rsid w:val="00396E11"/>
    <w:pPr>
      <w:keepNext/>
      <w:numPr>
        <w:ilvl w:val="7"/>
        <w:numId w:val="6"/>
      </w:numPr>
      <w:spacing w:before="340" w:after="170" w:line="240" w:lineRule="auto"/>
    </w:pPr>
    <w:rPr>
      <w:rFonts w:ascii="Arial" w:eastAsia="MS Gothic" w:hAnsi="Arial" w:cs="Times New Roman"/>
      <w:b/>
      <w:bCs/>
      <w:iCs/>
      <w:color w:val="005A77"/>
      <w:spacing w:val="-6"/>
      <w:sz w:val="24"/>
      <w:szCs w:val="28"/>
      <w:lang w:val="en-US"/>
    </w:rPr>
  </w:style>
  <w:style w:type="character" w:customStyle="1" w:styleId="Black">
    <w:name w:val="Black"/>
    <w:basedOn w:val="DefaultParagraphFont"/>
    <w:uiPriority w:val="1"/>
    <w:semiHidden/>
    <w:qFormat/>
    <w:rsid w:val="00396E11"/>
    <w:rPr>
      <w:color w:val="1C2735"/>
      <w:lang w:val="en-AU"/>
    </w:rPr>
  </w:style>
  <w:style w:type="paragraph" w:customStyle="1" w:styleId="Numberedpara1stindent">
    <w:name w:val="Numbered para (1st indent)"/>
    <w:basedOn w:val="ListParagraph"/>
    <w:rsid w:val="00396E11"/>
    <w:pPr>
      <w:numPr>
        <w:ilvl w:val="1"/>
      </w:numPr>
      <w:spacing w:before="120"/>
      <w:ind w:left="924" w:hanging="357"/>
    </w:pPr>
  </w:style>
  <w:style w:type="paragraph" w:customStyle="1" w:styleId="Numberedpara2ndindent">
    <w:name w:val="Numbered para (2nd indent)"/>
    <w:basedOn w:val="BodyText1"/>
    <w:rsid w:val="00396E11"/>
    <w:pPr>
      <w:numPr>
        <w:ilvl w:val="4"/>
        <w:numId w:val="6"/>
      </w:numPr>
      <w:tabs>
        <w:tab w:val="clear" w:pos="851"/>
      </w:tabs>
      <w:spacing w:after="0" w:line="240" w:lineRule="auto"/>
      <w:ind w:left="1420"/>
    </w:pPr>
  </w:style>
  <w:style w:type="paragraph" w:customStyle="1" w:styleId="Numberedpara3rdindent">
    <w:name w:val="Numbered para (3rd indent)"/>
    <w:basedOn w:val="BodyText1"/>
    <w:rsid w:val="00396E11"/>
    <w:pPr>
      <w:spacing w:before="120" w:after="0" w:line="240" w:lineRule="auto"/>
      <w:ind w:left="1644" w:hanging="720"/>
    </w:pPr>
  </w:style>
  <w:style w:type="paragraph" w:customStyle="1" w:styleId="Heading2nonumbers">
    <w:name w:val="Heading 2 (no numbers)"/>
    <w:basedOn w:val="Normal"/>
    <w:next w:val="BodyText1"/>
    <w:qFormat/>
    <w:rsid w:val="00396E11"/>
    <w:pPr>
      <w:keepNext/>
      <w:pBdr>
        <w:top w:val="single" w:sz="4" w:space="1" w:color="293137"/>
        <w:left w:val="single" w:sz="4" w:space="4" w:color="293137"/>
        <w:bottom w:val="single" w:sz="4" w:space="1" w:color="293137"/>
        <w:right w:val="single" w:sz="4" w:space="4" w:color="293137"/>
      </w:pBdr>
      <w:shd w:val="clear" w:color="auto" w:fill="293137"/>
      <w:suppressAutoHyphens w:val="0"/>
      <w:spacing w:before="360" w:after="120" w:line="260" w:lineRule="exact"/>
      <w:outlineLvl w:val="1"/>
    </w:pPr>
    <w:rPr>
      <w:rFonts w:ascii="Arial" w:eastAsia="Times New Roman" w:hAnsi="Arial" w:cs="Times New Roman"/>
      <w:b/>
      <w:spacing w:val="-6"/>
      <w:sz w:val="26"/>
      <w:szCs w:val="26"/>
    </w:rPr>
  </w:style>
  <w:style w:type="paragraph" w:customStyle="1" w:styleId="Heading3nonumbers">
    <w:name w:val="Heading 3 (no numbers)"/>
    <w:basedOn w:val="Heading3"/>
    <w:next w:val="BodyText1"/>
    <w:qFormat/>
    <w:rsid w:val="00396E11"/>
    <w:pPr>
      <w:suppressAutoHyphens w:val="0"/>
      <w:spacing w:before="240" w:line="260" w:lineRule="atLeast"/>
      <w:contextualSpacing w:val="0"/>
    </w:pPr>
    <w:rPr>
      <w:rFonts w:ascii="Arial" w:eastAsia="Times New Roman" w:hAnsi="Arial" w:cs="Times New Roman"/>
      <w:b/>
      <w:bCs w:val="0"/>
      <w:color w:val="005A77"/>
      <w:spacing w:val="-6"/>
      <w:sz w:val="22"/>
    </w:rPr>
  </w:style>
  <w:style w:type="paragraph" w:customStyle="1" w:styleId="Heading4nonumbers">
    <w:name w:val="Heading 4 (no numbers)"/>
    <w:basedOn w:val="Heading4"/>
    <w:next w:val="BodyText1"/>
    <w:link w:val="Heading4nonumbersChar"/>
    <w:qFormat/>
    <w:rsid w:val="00396E11"/>
    <w:pPr>
      <w:keepLines w:val="0"/>
      <w:suppressAutoHyphens w:val="0"/>
      <w:spacing w:before="360" w:line="260" w:lineRule="exact"/>
      <w:contextualSpacing w:val="0"/>
    </w:pPr>
    <w:rPr>
      <w:rFonts w:ascii="Arial" w:eastAsia="Times New Roman" w:hAnsi="Arial" w:cs="Times New Roman"/>
      <w:b/>
      <w:bCs w:val="0"/>
      <w:iCs w:val="0"/>
      <w:spacing w:val="-6"/>
    </w:rPr>
  </w:style>
  <w:style w:type="character" w:customStyle="1" w:styleId="Heading4nonumbersChar">
    <w:name w:val="Heading 4 (no numbers) Char"/>
    <w:basedOn w:val="Heading4Char"/>
    <w:link w:val="Heading4nonumbers"/>
    <w:rsid w:val="00396E11"/>
    <w:rPr>
      <w:rFonts w:ascii="Arial" w:eastAsia="Times New Roman" w:hAnsi="Arial" w:cs="Times New Roman"/>
      <w:b/>
      <w:bCs w:val="0"/>
      <w:iCs w:val="0"/>
      <w:color w:val="1C1C1C" w:themeColor="text2"/>
      <w:spacing w:val="-6"/>
      <w:sz w:val="26"/>
      <w:szCs w:val="26"/>
    </w:rPr>
  </w:style>
  <w:style w:type="paragraph" w:customStyle="1" w:styleId="Boxtitle">
    <w:name w:val="Box title"/>
    <w:basedOn w:val="Boxheading"/>
    <w:uiPriority w:val="1"/>
    <w:unhideWhenUsed/>
    <w:rsid w:val="00396E11"/>
  </w:style>
  <w:style w:type="table" w:customStyle="1" w:styleId="DOFDplain">
    <w:name w:val="DOFD plain"/>
    <w:basedOn w:val="TableNormal"/>
    <w:uiPriority w:val="99"/>
    <w:qFormat/>
    <w:rsid w:val="00396E11"/>
    <w:pPr>
      <w:spacing w:before="57" w:after="0" w:line="220" w:lineRule="atLeast"/>
      <w:ind w:left="96" w:right="96"/>
    </w:pPr>
    <w:rPr>
      <w:rFonts w:ascii="Arial" w:eastAsia="Times New Roman" w:hAnsi="Arial" w:cs="Times New Roman"/>
      <w:sz w:val="17"/>
      <w:szCs w:val="20"/>
      <w:lang w:eastAsia="en-AU"/>
    </w:rPr>
    <w:tblPr>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wordWrap/>
      </w:pPr>
      <w:rPr>
        <w:rFonts w:ascii="Arial" w:hAnsi="Arial"/>
        <w:b w:val="0"/>
      </w:rPr>
      <w:tblPr/>
      <w:trPr>
        <w:tblHeader/>
      </w:trPr>
    </w:tblStylePr>
  </w:style>
  <w:style w:type="table" w:customStyle="1" w:styleId="DOFDbanded">
    <w:name w:val="DOFD banded"/>
    <w:basedOn w:val="TableNormal"/>
    <w:uiPriority w:val="99"/>
    <w:qFormat/>
    <w:rsid w:val="00396E11"/>
    <w:pPr>
      <w:spacing w:before="57" w:after="0" w:line="220" w:lineRule="atLeast"/>
      <w:ind w:left="96" w:right="96"/>
    </w:pPr>
    <w:rPr>
      <w:rFonts w:ascii="Arial" w:eastAsia="Times New Roman" w:hAnsi="Arial" w:cs="Times New Roman"/>
      <w:sz w:val="17"/>
      <w:szCs w:val="20"/>
      <w:lang w:eastAsia="en-AU"/>
    </w:rPr>
    <w:tblPr>
      <w:tblStyleRowBandSize w:val="1"/>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keepLines w:val="0"/>
        <w:wordWrap/>
      </w:pPr>
      <w:rPr>
        <w:b w:val="0"/>
      </w:rPr>
      <w:tblPr/>
      <w:trPr>
        <w:tblHeader/>
      </w:trPr>
    </w:tblStylePr>
    <w:tblStylePr w:type="band1Horz">
      <w:tblPr/>
      <w:tcPr>
        <w:shd w:val="clear" w:color="auto" w:fill="DDF3FA"/>
      </w:tcPr>
    </w:tblStylePr>
  </w:style>
  <w:style w:type="paragraph" w:styleId="BodyText">
    <w:name w:val="Body Text"/>
    <w:basedOn w:val="Normal"/>
    <w:link w:val="BodyTextChar"/>
    <w:qFormat/>
    <w:rsid w:val="00396E11"/>
    <w:pPr>
      <w:suppressAutoHyphens w:val="0"/>
      <w:spacing w:before="200" w:after="120" w:line="260" w:lineRule="atLeast"/>
    </w:pPr>
    <w:rPr>
      <w:rFonts w:ascii="Cambria" w:eastAsia="Cambria" w:hAnsi="Cambria" w:cs="Times New Roman"/>
    </w:rPr>
  </w:style>
  <w:style w:type="character" w:customStyle="1" w:styleId="BodyTextChar">
    <w:name w:val="Body Text Char"/>
    <w:basedOn w:val="DefaultParagraphFont"/>
    <w:link w:val="BodyText"/>
    <w:rsid w:val="00396E11"/>
    <w:rPr>
      <w:rFonts w:ascii="Cambria" w:eastAsia="Cambria" w:hAnsi="Cambria" w:cs="Times New Roman"/>
    </w:rPr>
  </w:style>
  <w:style w:type="paragraph" w:customStyle="1" w:styleId="Bulletsnumbers">
    <w:name w:val="Bullets (numbers)"/>
    <w:basedOn w:val="Bullets1stindent"/>
    <w:link w:val="BulletsnumbersChar"/>
    <w:semiHidden/>
    <w:rsid w:val="00396E11"/>
    <w:pPr>
      <w:numPr>
        <w:numId w:val="8"/>
      </w:numPr>
    </w:pPr>
    <w:rPr>
      <w:lang w:val="en-US"/>
    </w:rPr>
  </w:style>
  <w:style w:type="character" w:customStyle="1" w:styleId="BodyText1Char">
    <w:name w:val="Body Text1 Char"/>
    <w:basedOn w:val="DefaultParagraphFont"/>
    <w:link w:val="BodyText1"/>
    <w:semiHidden/>
    <w:rsid w:val="00396E11"/>
    <w:rPr>
      <w:rFonts w:ascii="Cambria" w:eastAsia="Times New Roman" w:hAnsi="Cambria" w:cs="Times New Roman"/>
      <w:szCs w:val="24"/>
    </w:rPr>
  </w:style>
  <w:style w:type="character" w:customStyle="1" w:styleId="Bullets1stindentChar">
    <w:name w:val="Bullets (1st indent) Char"/>
    <w:basedOn w:val="BodyText1Char"/>
    <w:link w:val="Bullets1stindent"/>
    <w:semiHidden/>
    <w:rsid w:val="002676C9"/>
    <w:rPr>
      <w:rFonts w:ascii="Cambria" w:eastAsia="Times New Roman" w:hAnsi="Cambria" w:cs="Times New Roman"/>
      <w:szCs w:val="24"/>
    </w:rPr>
  </w:style>
  <w:style w:type="character" w:customStyle="1" w:styleId="BulletsnumbersChar">
    <w:name w:val="Bullets (numbers) Char"/>
    <w:basedOn w:val="Bullets1stindentChar"/>
    <w:link w:val="Bulletsnumbers"/>
    <w:semiHidden/>
    <w:rsid w:val="00396E11"/>
    <w:rPr>
      <w:rFonts w:ascii="Cambria" w:eastAsia="Times New Roman" w:hAnsi="Cambria" w:cs="Times New Roman"/>
      <w:szCs w:val="24"/>
      <w:lang w:val="en-US"/>
    </w:rPr>
  </w:style>
  <w:style w:type="character" w:styleId="CommentReference">
    <w:name w:val="annotation reference"/>
    <w:basedOn w:val="DefaultParagraphFont"/>
    <w:uiPriority w:val="99"/>
    <w:semiHidden/>
    <w:rsid w:val="00396E11"/>
    <w:rPr>
      <w:sz w:val="16"/>
      <w:szCs w:val="16"/>
    </w:rPr>
  </w:style>
  <w:style w:type="paragraph" w:styleId="CommentText">
    <w:name w:val="annotation text"/>
    <w:basedOn w:val="Normal"/>
    <w:link w:val="CommentTextChar"/>
    <w:uiPriority w:val="99"/>
    <w:semiHidden/>
    <w:rsid w:val="00396E11"/>
    <w:pPr>
      <w:suppressAutoHyphens w:val="0"/>
      <w:spacing w:before="200" w:after="0" w:line="260" w:lineRule="atLeast"/>
    </w:pPr>
    <w:rPr>
      <w:rFonts w:ascii="Cambria" w:eastAsia="Cambria" w:hAnsi="Cambria" w:cs="Times New Roman"/>
      <w:szCs w:val="20"/>
    </w:rPr>
  </w:style>
  <w:style w:type="character" w:customStyle="1" w:styleId="CommentTextChar">
    <w:name w:val="Comment Text Char"/>
    <w:basedOn w:val="DefaultParagraphFont"/>
    <w:link w:val="CommentText"/>
    <w:uiPriority w:val="99"/>
    <w:semiHidden/>
    <w:rsid w:val="00396E11"/>
    <w:rPr>
      <w:rFonts w:ascii="Cambria" w:eastAsia="Cambria" w:hAnsi="Cambria" w:cs="Times New Roman"/>
      <w:szCs w:val="20"/>
    </w:rPr>
  </w:style>
  <w:style w:type="paragraph" w:styleId="ListNumber">
    <w:name w:val="List Number"/>
    <w:basedOn w:val="Normal"/>
    <w:qFormat/>
    <w:rsid w:val="00396E11"/>
    <w:pPr>
      <w:tabs>
        <w:tab w:val="num" w:pos="360"/>
      </w:tabs>
      <w:suppressAutoHyphens w:val="0"/>
      <w:spacing w:before="200" w:after="240" w:line="260" w:lineRule="atLeast"/>
      <w:ind w:left="357" w:hanging="357"/>
      <w:contextualSpacing/>
    </w:pPr>
    <w:rPr>
      <w:rFonts w:ascii="Cambria" w:eastAsia="Cambria" w:hAnsi="Cambria" w:cs="Times New Roman"/>
    </w:rPr>
  </w:style>
  <w:style w:type="paragraph" w:styleId="ListNumber2">
    <w:name w:val="List Number 2"/>
    <w:basedOn w:val="Normal"/>
    <w:rsid w:val="00396E11"/>
    <w:pPr>
      <w:tabs>
        <w:tab w:val="num" w:pos="643"/>
      </w:tabs>
      <w:suppressAutoHyphens w:val="0"/>
      <w:spacing w:before="200" w:after="0" w:line="260" w:lineRule="atLeast"/>
      <w:ind w:left="643" w:hanging="360"/>
      <w:contextualSpacing/>
    </w:pPr>
    <w:rPr>
      <w:rFonts w:ascii="Cambria" w:eastAsia="Cambria" w:hAnsi="Cambria" w:cs="Times New Roman"/>
    </w:rPr>
  </w:style>
  <w:style w:type="paragraph" w:styleId="ListBullet">
    <w:name w:val="List Bullet"/>
    <w:basedOn w:val="Normal"/>
    <w:qFormat/>
    <w:rsid w:val="00396E11"/>
    <w:pPr>
      <w:suppressAutoHyphens w:val="0"/>
      <w:spacing w:before="200" w:after="240" w:line="260" w:lineRule="atLeast"/>
      <w:ind w:left="360" w:hanging="360"/>
      <w:contextualSpacing/>
    </w:pPr>
    <w:rPr>
      <w:rFonts w:ascii="Cambria" w:eastAsia="Cambria" w:hAnsi="Cambria" w:cs="Times New Roman"/>
    </w:rPr>
  </w:style>
  <w:style w:type="table" w:customStyle="1" w:styleId="DOFDtexttable">
    <w:name w:val="DOFD_text table"/>
    <w:basedOn w:val="TableNormal"/>
    <w:uiPriority w:val="99"/>
    <w:qFormat/>
    <w:rsid w:val="00396E11"/>
    <w:pPr>
      <w:spacing w:before="57" w:after="0" w:line="240" w:lineRule="auto"/>
    </w:pPr>
    <w:rPr>
      <w:rFonts w:ascii="Cambria" w:eastAsia="Times New Roman" w:hAnsi="Cambria" w:cs="Times New Roman"/>
      <w:sz w:val="20"/>
      <w:szCs w:val="20"/>
      <w:lang w:eastAsia="en-AU"/>
    </w:rPr>
    <w:tblPr>
      <w:tblBorders>
        <w:top w:val="single" w:sz="2" w:space="0" w:color="37424A"/>
        <w:left w:val="single" w:sz="2" w:space="0" w:color="37424A"/>
        <w:bottom w:val="single" w:sz="2" w:space="0" w:color="37424A"/>
        <w:right w:val="single" w:sz="2" w:space="0" w:color="37424A"/>
        <w:insideH w:val="single" w:sz="2" w:space="0" w:color="37424A"/>
        <w:insideV w:val="single" w:sz="2" w:space="0" w:color="37424A"/>
      </w:tblBorders>
      <w:tblCellMar>
        <w:top w:w="170" w:type="dxa"/>
        <w:left w:w="227" w:type="dxa"/>
        <w:bottom w:w="113" w:type="dxa"/>
        <w:right w:w="227" w:type="dxa"/>
      </w:tblCellMar>
    </w:tblPr>
    <w:trPr>
      <w:cantSplit/>
    </w:trPr>
    <w:tblStylePr w:type="firstRow">
      <w:rPr>
        <w:rFonts w:ascii="Arial" w:hAnsi="Arial"/>
        <w:b w:val="0"/>
        <w:color w:val="37424A"/>
        <w:sz w:val="22"/>
      </w:rPr>
      <w:tblPr/>
      <w:trPr>
        <w:tblHeader/>
      </w:trPr>
      <w:tcPr>
        <w:tcBorders>
          <w:top w:val="nil"/>
          <w:left w:val="nil"/>
          <w:bottom w:val="nil"/>
          <w:right w:val="nil"/>
          <w:insideH w:val="nil"/>
          <w:insideV w:val="nil"/>
          <w:tl2br w:val="nil"/>
          <w:tr2bl w:val="nil"/>
        </w:tcBorders>
        <w:shd w:val="clear" w:color="auto" w:fill="887B1B"/>
        <w:tcMar>
          <w:top w:w="113" w:type="dxa"/>
          <w:left w:w="0" w:type="nil"/>
          <w:bottom w:w="113" w:type="dxa"/>
          <w:right w:w="0" w:type="nil"/>
        </w:tcMar>
      </w:tcPr>
    </w:tblStylePr>
  </w:style>
  <w:style w:type="paragraph" w:styleId="EndnoteText">
    <w:name w:val="endnote text"/>
    <w:basedOn w:val="Normal"/>
    <w:link w:val="EndnoteTextChar"/>
    <w:uiPriority w:val="99"/>
    <w:semiHidden/>
    <w:rsid w:val="00396E11"/>
    <w:pPr>
      <w:suppressAutoHyphens w:val="0"/>
      <w:spacing w:before="200" w:after="0" w:line="260" w:lineRule="atLeast"/>
    </w:pPr>
    <w:rPr>
      <w:rFonts w:ascii="Cambria" w:eastAsia="Cambria" w:hAnsi="Cambria" w:cs="Times New Roman"/>
      <w:szCs w:val="20"/>
    </w:rPr>
  </w:style>
  <w:style w:type="character" w:customStyle="1" w:styleId="EndnoteTextChar">
    <w:name w:val="Endnote Text Char"/>
    <w:basedOn w:val="DefaultParagraphFont"/>
    <w:link w:val="EndnoteText"/>
    <w:uiPriority w:val="99"/>
    <w:semiHidden/>
    <w:rsid w:val="00396E11"/>
    <w:rPr>
      <w:rFonts w:ascii="Cambria" w:eastAsia="Cambria" w:hAnsi="Cambria" w:cs="Times New Roman"/>
      <w:szCs w:val="20"/>
    </w:rPr>
  </w:style>
  <w:style w:type="character" w:styleId="EndnoteReference">
    <w:name w:val="endnote reference"/>
    <w:basedOn w:val="DefaultParagraphFont"/>
    <w:uiPriority w:val="99"/>
    <w:semiHidden/>
    <w:rsid w:val="00396E11"/>
    <w:rPr>
      <w:vertAlign w:val="superscript"/>
    </w:rPr>
  </w:style>
  <w:style w:type="paragraph" w:styleId="List">
    <w:name w:val="List"/>
    <w:basedOn w:val="Numberedpara1stindent"/>
    <w:qFormat/>
    <w:rsid w:val="00396E11"/>
    <w:pPr>
      <w:spacing w:after="240"/>
    </w:pPr>
  </w:style>
  <w:style w:type="paragraph" w:styleId="List2">
    <w:name w:val="List 2"/>
    <w:basedOn w:val="Numberedpara2ndindent"/>
    <w:qFormat/>
    <w:rsid w:val="00396E11"/>
  </w:style>
  <w:style w:type="paragraph" w:styleId="List3">
    <w:name w:val="List 3"/>
    <w:basedOn w:val="Numberedpara3rdindent"/>
    <w:qFormat/>
    <w:rsid w:val="00396E11"/>
  </w:style>
  <w:style w:type="numbering" w:customStyle="1" w:styleId="Numbers1">
    <w:name w:val="Numbers1"/>
    <w:basedOn w:val="NoList"/>
    <w:rsid w:val="00396E11"/>
  </w:style>
  <w:style w:type="paragraph" w:customStyle="1" w:styleId="NumberedParagraph">
    <w:name w:val="Numbered Paragraph"/>
    <w:basedOn w:val="Numberedpara1stindent"/>
    <w:qFormat/>
    <w:rsid w:val="00396E11"/>
    <w:pPr>
      <w:numPr>
        <w:numId w:val="0"/>
      </w:numPr>
      <w:tabs>
        <w:tab w:val="num" w:pos="360"/>
      </w:tabs>
      <w:spacing w:after="120"/>
      <w:ind w:left="360" w:hanging="360"/>
    </w:pPr>
    <w:rPr>
      <w:bCs/>
      <w:color w:val="000000"/>
    </w:rPr>
  </w:style>
  <w:style w:type="paragraph" w:styleId="ListParagraph">
    <w:name w:val="List Paragraph"/>
    <w:basedOn w:val="Normal"/>
    <w:uiPriority w:val="34"/>
    <w:qFormat/>
    <w:rsid w:val="00396E11"/>
    <w:pPr>
      <w:numPr>
        <w:numId w:val="11"/>
      </w:numPr>
      <w:suppressAutoHyphens w:val="0"/>
      <w:spacing w:before="200" w:after="0" w:line="260" w:lineRule="exact"/>
    </w:pPr>
    <w:rPr>
      <w:rFonts w:ascii="Cambria" w:eastAsia="Cambria" w:hAnsi="Cambria" w:cs="Times New Roman"/>
    </w:rPr>
  </w:style>
  <w:style w:type="character" w:styleId="FollowedHyperlink">
    <w:name w:val="FollowedHyperlink"/>
    <w:basedOn w:val="DefaultParagraphFont"/>
    <w:uiPriority w:val="99"/>
    <w:semiHidden/>
    <w:rsid w:val="00396E11"/>
    <w:rPr>
      <w:color w:val="954F72" w:themeColor="followedHyperlink"/>
      <w:u w:val="single"/>
    </w:rPr>
  </w:style>
  <w:style w:type="paragraph" w:styleId="NormalIndent">
    <w:name w:val="Normal Indent"/>
    <w:basedOn w:val="Normal"/>
    <w:uiPriority w:val="99"/>
    <w:semiHidden/>
    <w:rsid w:val="00396E11"/>
    <w:pPr>
      <w:suppressAutoHyphens w:val="0"/>
      <w:spacing w:before="200" w:after="0" w:line="260" w:lineRule="atLeast"/>
      <w:ind w:left="720"/>
    </w:pPr>
    <w:rPr>
      <w:rFonts w:ascii="Cambria" w:eastAsia="Cambria" w:hAnsi="Cambria" w:cs="Times New Roman"/>
    </w:rPr>
  </w:style>
  <w:style w:type="paragraph" w:customStyle="1" w:styleId="Boxnumberedparaindent1">
    <w:name w:val="Box numbered para indent 1"/>
    <w:basedOn w:val="NormalIndent"/>
    <w:rsid w:val="00396E11"/>
    <w:pPr>
      <w:tabs>
        <w:tab w:val="left" w:pos="284"/>
        <w:tab w:val="left" w:pos="1281"/>
        <w:tab w:val="left" w:pos="1418"/>
      </w:tabs>
    </w:pPr>
    <w:rPr>
      <w:lang w:eastAsia="en-AU"/>
    </w:rPr>
  </w:style>
  <w:style w:type="paragraph" w:styleId="NoSpacing">
    <w:name w:val="No Spacing"/>
    <w:uiPriority w:val="1"/>
    <w:qFormat/>
    <w:rsid w:val="00396E11"/>
    <w:pPr>
      <w:spacing w:after="0" w:line="240" w:lineRule="auto"/>
    </w:pPr>
    <w:rPr>
      <w:rFonts w:ascii="Cambria" w:eastAsia="Cambria" w:hAnsi="Cambria" w:cs="Times New Roman"/>
    </w:rPr>
  </w:style>
  <w:style w:type="paragraph" w:customStyle="1" w:styleId="Bullets3rdindent">
    <w:name w:val="Bullets (3rd indent)"/>
    <w:basedOn w:val="Bullets2ndindent"/>
    <w:rsid w:val="00396E11"/>
    <w:pPr>
      <w:numPr>
        <w:numId w:val="12"/>
      </w:numPr>
      <w:tabs>
        <w:tab w:val="right" w:pos="1191"/>
      </w:tabs>
      <w:ind w:left="1701" w:hanging="425"/>
    </w:pPr>
    <w:rPr>
      <w:rFonts w:ascii="Cambria" w:hAnsi="Cambria"/>
    </w:rPr>
  </w:style>
  <w:style w:type="paragraph" w:customStyle="1" w:styleId="Bullets1stindentlast">
    <w:name w:val="Bullets (1st indent) last"/>
    <w:basedOn w:val="Bullets1stindent"/>
    <w:rsid w:val="00396E11"/>
    <w:pPr>
      <w:spacing w:before="120" w:after="0" w:line="260" w:lineRule="atLeast"/>
    </w:pPr>
  </w:style>
  <w:style w:type="paragraph" w:customStyle="1" w:styleId="Bulletintro">
    <w:name w:val="Bullet intro"/>
    <w:basedOn w:val="Normal"/>
    <w:rsid w:val="00396E11"/>
    <w:pPr>
      <w:suppressAutoHyphens w:val="0"/>
      <w:spacing w:before="200" w:after="120" w:line="260" w:lineRule="atLeast"/>
    </w:pPr>
    <w:rPr>
      <w:rFonts w:ascii="Cambria" w:eastAsia="Cambria" w:hAnsi="Cambria" w:cs="Times New Roman"/>
    </w:rPr>
  </w:style>
  <w:style w:type="paragraph" w:styleId="Index1">
    <w:name w:val="index 1"/>
    <w:basedOn w:val="Normal"/>
    <w:next w:val="Normal"/>
    <w:autoRedefine/>
    <w:uiPriority w:val="99"/>
    <w:semiHidden/>
    <w:rsid w:val="00396E11"/>
    <w:pPr>
      <w:suppressAutoHyphens w:val="0"/>
      <w:spacing w:before="200" w:after="0" w:line="260" w:lineRule="atLeast"/>
      <w:ind w:left="220" w:hanging="220"/>
    </w:pPr>
    <w:rPr>
      <w:rFonts w:ascii="Cambria" w:eastAsia="Cambria" w:hAnsi="Cambria" w:cs="Times New Roman"/>
    </w:rPr>
  </w:style>
  <w:style w:type="paragraph" w:customStyle="1" w:styleId="BodyText2">
    <w:name w:val="Body Text2"/>
    <w:basedOn w:val="Normal"/>
    <w:qFormat/>
    <w:rsid w:val="00396E11"/>
    <w:pPr>
      <w:suppressAutoHyphens w:val="0"/>
      <w:spacing w:before="120" w:after="0" w:line="260" w:lineRule="atLeast"/>
    </w:pPr>
  </w:style>
  <w:style w:type="paragraph" w:styleId="CommentSubject">
    <w:name w:val="annotation subject"/>
    <w:basedOn w:val="CommentText"/>
    <w:next w:val="CommentText"/>
    <w:link w:val="CommentSubjectChar"/>
    <w:uiPriority w:val="99"/>
    <w:semiHidden/>
    <w:unhideWhenUsed/>
    <w:rsid w:val="00396E11"/>
    <w:pPr>
      <w:spacing w:line="240" w:lineRule="auto"/>
    </w:pPr>
    <w:rPr>
      <w:b/>
      <w:bCs/>
      <w:sz w:val="20"/>
    </w:rPr>
  </w:style>
  <w:style w:type="character" w:customStyle="1" w:styleId="CommentSubjectChar">
    <w:name w:val="Comment Subject Char"/>
    <w:basedOn w:val="CommentTextChar"/>
    <w:link w:val="CommentSubject"/>
    <w:uiPriority w:val="99"/>
    <w:semiHidden/>
    <w:rsid w:val="00396E11"/>
    <w:rPr>
      <w:rFonts w:ascii="Cambria" w:eastAsia="Cambria" w:hAnsi="Cambria" w:cs="Times New Roman"/>
      <w:b/>
      <w:bCs/>
      <w:sz w:val="20"/>
      <w:szCs w:val="20"/>
    </w:rPr>
  </w:style>
  <w:style w:type="paragraph" w:customStyle="1" w:styleId="FCList">
    <w:name w:val="FC_List"/>
    <w:basedOn w:val="Header"/>
    <w:uiPriority w:val="99"/>
    <w:rsid w:val="00396E11"/>
    <w:pPr>
      <w:numPr>
        <w:numId w:val="7"/>
      </w:numPr>
      <w:tabs>
        <w:tab w:val="clear" w:pos="4513"/>
        <w:tab w:val="clear" w:pos="9026"/>
      </w:tabs>
      <w:suppressAutoHyphens w:val="0"/>
      <w:spacing w:before="60" w:after="60" w:line="240" w:lineRule="auto"/>
      <w:jc w:val="left"/>
    </w:pPr>
    <w:rPr>
      <w:rFonts w:ascii="Times New Roman" w:eastAsia="Times New Roman" w:hAnsi="Times New Roman" w:cs="Times New Roman"/>
      <w:sz w:val="24"/>
      <w:szCs w:val="24"/>
    </w:rPr>
  </w:style>
  <w:style w:type="paragraph" w:customStyle="1" w:styleId="DefaultText1">
    <w:name w:val="Default_Text_1"/>
    <w:basedOn w:val="Normal"/>
    <w:link w:val="DefaultText1Char"/>
    <w:qFormat/>
    <w:rsid w:val="00396E11"/>
    <w:pPr>
      <w:suppressAutoHyphens w:val="0"/>
      <w:autoSpaceDE w:val="0"/>
      <w:autoSpaceDN w:val="0"/>
      <w:adjustRightInd w:val="0"/>
      <w:spacing w:before="60" w:after="180" w:line="240" w:lineRule="auto"/>
    </w:pPr>
    <w:rPr>
      <w:rFonts w:ascii="Arial" w:eastAsia="Times New Roman" w:hAnsi="Arial" w:cs="Times-Roman"/>
      <w:color w:val="FFFFFF" w:themeColor="background1"/>
      <w:kern w:val="32"/>
      <w:sz w:val="48"/>
      <w:szCs w:val="32"/>
      <w:lang w:val="en-US"/>
    </w:rPr>
  </w:style>
  <w:style w:type="character" w:customStyle="1" w:styleId="DefaultText1Char">
    <w:name w:val="Default_Text_1 Char"/>
    <w:basedOn w:val="Heading1Char"/>
    <w:link w:val="DefaultText1"/>
    <w:rsid w:val="00396E11"/>
    <w:rPr>
      <w:rFonts w:ascii="Arial" w:eastAsia="Times New Roman" w:hAnsi="Arial" w:cs="Times-Roman"/>
      <w:bCs w:val="0"/>
      <w:color w:val="FFFFFF" w:themeColor="background1"/>
      <w:kern w:val="32"/>
      <w:sz w:val="48"/>
      <w:szCs w:val="32"/>
      <w:lang w:val="en-US"/>
    </w:rPr>
  </w:style>
  <w:style w:type="paragraph" w:styleId="Revision">
    <w:name w:val="Revision"/>
    <w:hidden/>
    <w:uiPriority w:val="99"/>
    <w:semiHidden/>
    <w:rsid w:val="00396E11"/>
    <w:pPr>
      <w:spacing w:after="0" w:line="240" w:lineRule="auto"/>
    </w:pPr>
    <w:rPr>
      <w:rFonts w:ascii="Cambria" w:eastAsia="Cambria" w:hAnsi="Cambria" w:cs="Times New Roman"/>
    </w:rPr>
  </w:style>
  <w:style w:type="paragraph" w:styleId="BodyText3">
    <w:name w:val="Body Text 3"/>
    <w:basedOn w:val="Normal"/>
    <w:link w:val="BodyText3Char"/>
    <w:uiPriority w:val="99"/>
    <w:semiHidden/>
    <w:unhideWhenUsed/>
    <w:rsid w:val="00A868E8"/>
    <w:pPr>
      <w:spacing w:after="120"/>
    </w:pPr>
    <w:rPr>
      <w:sz w:val="16"/>
      <w:szCs w:val="16"/>
    </w:rPr>
  </w:style>
  <w:style w:type="character" w:customStyle="1" w:styleId="BodyText3Char">
    <w:name w:val="Body Text 3 Char"/>
    <w:basedOn w:val="DefaultParagraphFont"/>
    <w:link w:val="BodyText3"/>
    <w:uiPriority w:val="99"/>
    <w:semiHidden/>
    <w:rsid w:val="00A868E8"/>
    <w:rPr>
      <w:sz w:val="16"/>
      <w:szCs w:val="16"/>
    </w:rPr>
  </w:style>
  <w:style w:type="paragraph" w:customStyle="1" w:styleId="Single">
    <w:name w:val="Single"/>
    <w:basedOn w:val="Normal"/>
    <w:rsid w:val="00A868E8"/>
    <w:pPr>
      <w:suppressAutoHyphens w:val="0"/>
      <w:spacing w:before="0" w:after="0" w:line="240" w:lineRule="auto"/>
    </w:pPr>
    <w:rPr>
      <w:rFonts w:ascii="Times New Roman" w:eastAsia="Times New Roman" w:hAnsi="Times New Roman" w:cs="Times New Roman"/>
      <w:sz w:val="24"/>
      <w:szCs w:val="20"/>
    </w:rPr>
  </w:style>
  <w:style w:type="paragraph" w:customStyle="1" w:styleId="Boxed-casestudy">
    <w:name w:val="Boxed - case study"/>
    <w:basedOn w:val="Boxed2Text"/>
    <w:next w:val="Boxed-casestudybullet"/>
    <w:link w:val="Boxed-casestudyChar"/>
    <w:rsid w:val="00903AF5"/>
    <w:pPr>
      <w:shd w:val="clear" w:color="auto" w:fill="65DDF5"/>
    </w:pPr>
  </w:style>
  <w:style w:type="paragraph" w:customStyle="1" w:styleId="Boxed-casestudybullet">
    <w:name w:val="Boxed - case study bullet"/>
    <w:basedOn w:val="Normal"/>
    <w:link w:val="Boxed-casestudybulletChar"/>
    <w:rsid w:val="006F4732"/>
    <w:pPr>
      <w:shd w:val="clear" w:color="auto" w:fill="65DDF5"/>
      <w:contextualSpacing/>
    </w:pPr>
  </w:style>
  <w:style w:type="character" w:customStyle="1" w:styleId="Boxed1TextChar">
    <w:name w:val="Boxed 1 Text Char"/>
    <w:basedOn w:val="DefaultParagraphFont"/>
    <w:link w:val="Boxed1Text"/>
    <w:rsid w:val="00903AF5"/>
    <w:rPr>
      <w:shd w:val="clear" w:color="auto" w:fill="F1F8F8" w:themeFill="accent1" w:themeFillTint="33"/>
    </w:rPr>
  </w:style>
  <w:style w:type="character" w:customStyle="1" w:styleId="Boxed2TextChar">
    <w:name w:val="Boxed 2 Text Char"/>
    <w:basedOn w:val="Boxed1TextChar"/>
    <w:link w:val="Boxed2Text"/>
    <w:rsid w:val="00903AF5"/>
    <w:rPr>
      <w:shd w:val="clear" w:color="auto" w:fill="BDDCDF" w:themeFill="accent1"/>
    </w:rPr>
  </w:style>
  <w:style w:type="character" w:customStyle="1" w:styleId="Boxed-casestudyChar">
    <w:name w:val="Boxed - case study Char"/>
    <w:basedOn w:val="Boxed2TextChar"/>
    <w:link w:val="Boxed-casestudy"/>
    <w:rsid w:val="00903AF5"/>
    <w:rPr>
      <w:shd w:val="clear" w:color="auto" w:fill="65DDF5"/>
    </w:rPr>
  </w:style>
  <w:style w:type="character" w:customStyle="1" w:styleId="Boxed-casestudybulletChar">
    <w:name w:val="Boxed - case study bullet Char"/>
    <w:basedOn w:val="Boxed-casestudyChar"/>
    <w:link w:val="Boxed-casestudybullet"/>
    <w:rsid w:val="006F4732"/>
    <w:rPr>
      <w:shd w:val="clear" w:color="auto" w:fill="65DD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3.0/au/" TargetMode="External"/><Relationship Id="rId13" Type="http://schemas.openxmlformats.org/officeDocument/2006/relationships/hyperlink" Target="http://www.finance.gov.au" TargetMode="External"/><Relationship Id="rId18" Type="http://schemas.openxmlformats.org/officeDocument/2006/relationships/hyperlink" Target="mailto:grants@finance.gov.au"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diagramData" Target="diagrams/data1.xml"/><Relationship Id="rId7" Type="http://schemas.openxmlformats.org/officeDocument/2006/relationships/endnotes" Target="endnotes.xml"/><Relationship Id="rId12" Type="http://schemas.openxmlformats.org/officeDocument/2006/relationships/hyperlink" Target="http://www.finance.gov.au/procurement/" TargetMode="External"/><Relationship Id="rId17" Type="http://schemas.openxmlformats.org/officeDocument/2006/relationships/hyperlink" Target="https://www.legislation.gov.au/Series/F2014L00911" TargetMode="External"/><Relationship Id="rId25"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hyperlink" Target="https://www.legislation.gov.au/Series/C2013A00123" TargetMode="External"/><Relationship Id="rId20" Type="http://schemas.openxmlformats.org/officeDocument/2006/relationships/hyperlink" Target="https://www.finance.gov.au/government/procurement/buying-australian-government/procurement-connected-policie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agencyadvice@finance.gov.au" TargetMode="External"/><Relationship Id="rId24"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yperlink" Target="https://www.finance.gov.au/government/procurement/commonwealth-procurement-rules" TargetMode="External"/><Relationship Id="rId23" Type="http://schemas.openxmlformats.org/officeDocument/2006/relationships/diagramQuickStyle" Target="diagrams/quickStyle1.xml"/><Relationship Id="rId28" Type="http://schemas.openxmlformats.org/officeDocument/2006/relationships/header" Target="header2.xml"/><Relationship Id="rId10" Type="http://schemas.openxmlformats.org/officeDocument/2006/relationships/hyperlink" Target="http://www.dpmc.gov.au/government/its-honour" TargetMode="External"/><Relationship Id="rId19" Type="http://schemas.openxmlformats.org/officeDocument/2006/relationships/hyperlink" Target="mailto:procurementagencyadvice@finance.gov.a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www.finance.gov.au/government/commonwealth-grants/commonwealth-grants-rules-guidelines" TargetMode="External"/><Relationship Id="rId22" Type="http://schemas.openxmlformats.org/officeDocument/2006/relationships/diagramLayout" Target="diagrams/layout1.xml"/><Relationship Id="rId27" Type="http://schemas.openxmlformats.org/officeDocument/2006/relationships/footer" Target="footer1.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51562CB-A1F3-4F9D-AD99-ED1CBB3DF6D6}" type="doc">
      <dgm:prSet loTypeId="urn:microsoft.com/office/officeart/2005/8/layout/cycle1" loCatId="cycle" qsTypeId="urn:microsoft.com/office/officeart/2005/8/quickstyle/simple1" qsCatId="simple" csTypeId="urn:microsoft.com/office/officeart/2005/8/colors/accent1_2" csCatId="accent1" phldr="1"/>
      <dgm:spPr/>
      <dgm:t>
        <a:bodyPr/>
        <a:lstStyle/>
        <a:p>
          <a:endParaRPr lang="en-AU"/>
        </a:p>
      </dgm:t>
    </dgm:pt>
    <dgm:pt modelId="{691DF7EC-25F7-4CD8-ADD3-64C153BEF6EC}">
      <dgm:prSet phldrT="[Text]" custT="1">
        <dgm:style>
          <a:lnRef idx="2">
            <a:schemeClr val="dk1"/>
          </a:lnRef>
          <a:fillRef idx="1">
            <a:schemeClr val="lt1"/>
          </a:fillRef>
          <a:effectRef idx="0">
            <a:schemeClr val="dk1"/>
          </a:effectRef>
          <a:fontRef idx="minor">
            <a:schemeClr val="dk1"/>
          </a:fontRef>
        </dgm:style>
      </dgm:prSet>
      <dgm:spPr>
        <a:ln w="3175"/>
      </dgm:spPr>
      <dgm:t>
        <a:bodyPr/>
        <a:lstStyle/>
        <a:p>
          <a:r>
            <a:rPr lang="en-AU" sz="800" b="1"/>
            <a:t>3. Responsible portfolio minister's agreement.</a:t>
          </a:r>
        </a:p>
      </dgm:t>
    </dgm:pt>
    <dgm:pt modelId="{E8265330-A7DF-4C32-86BD-51ADD3FABDDC}" type="parTrans" cxnId="{71E1209E-00D3-4284-B59F-33CF107F6890}">
      <dgm:prSet/>
      <dgm:spPr/>
      <dgm:t>
        <a:bodyPr/>
        <a:lstStyle/>
        <a:p>
          <a:endParaRPr lang="en-AU"/>
        </a:p>
      </dgm:t>
    </dgm:pt>
    <dgm:pt modelId="{8C6BF77D-C75E-411F-B6A3-3B466CAB1E5B}" type="sibTrans" cxnId="{71E1209E-00D3-4284-B59F-33CF107F6890}">
      <dgm:prSet/>
      <dgm:spPr/>
      <dgm:t>
        <a:bodyPr/>
        <a:lstStyle/>
        <a:p>
          <a:endParaRPr lang="en-AU"/>
        </a:p>
      </dgm:t>
    </dgm:pt>
    <dgm:pt modelId="{CD84CF83-E74F-4DF9-A63E-E858862C1BC5}">
      <dgm:prSet phldrT="[Text]" custT="1">
        <dgm:style>
          <a:lnRef idx="2">
            <a:schemeClr val="dk1"/>
          </a:lnRef>
          <a:fillRef idx="1">
            <a:schemeClr val="lt1"/>
          </a:fillRef>
          <a:effectRef idx="0">
            <a:schemeClr val="dk1"/>
          </a:effectRef>
          <a:fontRef idx="minor">
            <a:schemeClr val="dk1"/>
          </a:fontRef>
        </dgm:style>
      </dgm:prSet>
      <dgm:spPr>
        <a:ln w="3175"/>
      </dgm:spPr>
      <dgm:t>
        <a:bodyPr/>
        <a:lstStyle/>
        <a:p>
          <a:r>
            <a:rPr lang="en-AU" sz="800" b="1"/>
            <a:t>4. Finance Minister's support.</a:t>
          </a:r>
        </a:p>
      </dgm:t>
    </dgm:pt>
    <dgm:pt modelId="{73704434-C224-4817-B643-33132017E8EB}" type="parTrans" cxnId="{FBB7D72D-4C3D-41DB-A302-DC19CB533333}">
      <dgm:prSet/>
      <dgm:spPr/>
      <dgm:t>
        <a:bodyPr/>
        <a:lstStyle/>
        <a:p>
          <a:endParaRPr lang="en-AU"/>
        </a:p>
      </dgm:t>
    </dgm:pt>
    <dgm:pt modelId="{1E7DF811-9F5F-43BE-A517-42C6A82A6FD0}" type="sibTrans" cxnId="{FBB7D72D-4C3D-41DB-A302-DC19CB533333}">
      <dgm:prSet/>
      <dgm:spPr/>
      <dgm:t>
        <a:bodyPr/>
        <a:lstStyle/>
        <a:p>
          <a:endParaRPr lang="en-AU"/>
        </a:p>
      </dgm:t>
    </dgm:pt>
    <dgm:pt modelId="{B940AC6F-5E18-4AF2-92A8-37FD5CA7620C}">
      <dgm:prSet phldrT="[Text]" custT="1"/>
      <dgm:spPr>
        <a:solidFill>
          <a:schemeClr val="bg1"/>
        </a:solidFill>
        <a:ln>
          <a:solidFill>
            <a:schemeClr val="tx1"/>
          </a:solidFill>
        </a:ln>
      </dgm:spPr>
      <dgm:t>
        <a:bodyPr/>
        <a:lstStyle/>
        <a:p>
          <a:r>
            <a:rPr lang="en-AU" sz="800" b="1"/>
            <a:t>5. Government Submission</a:t>
          </a:r>
          <a:br>
            <a:rPr lang="en-AU" sz="800" b="1"/>
          </a:br>
          <a:r>
            <a:rPr lang="en-AU" sz="800" b="1"/>
            <a:t>(including RIS).</a:t>
          </a:r>
        </a:p>
      </dgm:t>
    </dgm:pt>
    <dgm:pt modelId="{1BBC61A8-1A46-45A4-BD49-115713C6F6C3}" type="parTrans" cxnId="{6BCC3D2E-CEE8-48F3-A4B7-E788375C4A31}">
      <dgm:prSet/>
      <dgm:spPr/>
      <dgm:t>
        <a:bodyPr/>
        <a:lstStyle/>
        <a:p>
          <a:endParaRPr lang="en-AU"/>
        </a:p>
      </dgm:t>
    </dgm:pt>
    <dgm:pt modelId="{DE8EC521-EA2E-4DDE-8845-A09EAAADF81B}" type="sibTrans" cxnId="{6BCC3D2E-CEE8-48F3-A4B7-E788375C4A31}">
      <dgm:prSet/>
      <dgm:spPr/>
      <dgm:t>
        <a:bodyPr/>
        <a:lstStyle/>
        <a:p>
          <a:endParaRPr lang="en-AU"/>
        </a:p>
      </dgm:t>
    </dgm:pt>
    <dgm:pt modelId="{DFBC9FD1-3A48-49AB-9E94-0D5C5474E84C}">
      <dgm:prSet custT="1">
        <dgm:style>
          <a:lnRef idx="2">
            <a:schemeClr val="dk1"/>
          </a:lnRef>
          <a:fillRef idx="1">
            <a:schemeClr val="lt1"/>
          </a:fillRef>
          <a:effectRef idx="0">
            <a:schemeClr val="dk1"/>
          </a:effectRef>
          <a:fontRef idx="minor">
            <a:schemeClr val="dk1"/>
          </a:fontRef>
        </dgm:style>
      </dgm:prSet>
      <dgm:spPr>
        <a:ln w="3175"/>
      </dgm:spPr>
      <dgm:t>
        <a:bodyPr/>
        <a:lstStyle/>
        <a:p>
          <a:r>
            <a:rPr lang="en-AU" sz="800" b="1"/>
            <a:t>9. Annual review mechanism.</a:t>
          </a:r>
        </a:p>
      </dgm:t>
    </dgm:pt>
    <dgm:pt modelId="{4B919E94-6EAF-4325-8F94-34F56CC44838}" type="parTrans" cxnId="{848D72F1-EAAC-4B7A-9836-1E85DD02B414}">
      <dgm:prSet/>
      <dgm:spPr/>
      <dgm:t>
        <a:bodyPr/>
        <a:lstStyle/>
        <a:p>
          <a:endParaRPr lang="en-AU"/>
        </a:p>
      </dgm:t>
    </dgm:pt>
    <dgm:pt modelId="{44A2CED2-0724-4960-BB01-CDA16F236812}" type="sibTrans" cxnId="{848D72F1-EAAC-4B7A-9836-1E85DD02B414}">
      <dgm:prSet/>
      <dgm:spPr/>
      <dgm:t>
        <a:bodyPr/>
        <a:lstStyle/>
        <a:p>
          <a:endParaRPr lang="en-AU"/>
        </a:p>
      </dgm:t>
    </dgm:pt>
    <dgm:pt modelId="{20A322FF-F93C-4A9E-B414-C875C8762103}">
      <dgm:prSet phldrT="[Text]" custT="1">
        <dgm:style>
          <a:lnRef idx="2">
            <a:schemeClr val="dk1"/>
          </a:lnRef>
          <a:fillRef idx="1">
            <a:schemeClr val="lt1"/>
          </a:fillRef>
          <a:effectRef idx="0">
            <a:schemeClr val="dk1"/>
          </a:effectRef>
          <a:fontRef idx="minor">
            <a:schemeClr val="dk1"/>
          </a:fontRef>
        </dgm:style>
      </dgm:prSet>
      <dgm:spPr>
        <a:ln w="3175"/>
      </dgm:spPr>
      <dgm:t>
        <a:bodyPr/>
        <a:lstStyle/>
        <a:p>
          <a:r>
            <a:rPr lang="en-AU" sz="800" b="1"/>
            <a:t>2. Application form including</a:t>
          </a:r>
          <a:br>
            <a:rPr lang="en-AU" sz="800" b="1"/>
          </a:br>
          <a:r>
            <a:rPr lang="en-AU" sz="800" b="1"/>
            <a:t>a cost benefit analysis.</a:t>
          </a:r>
        </a:p>
      </dgm:t>
    </dgm:pt>
    <dgm:pt modelId="{91425C56-D5BD-4359-982A-6298C4131A21}" type="parTrans" cxnId="{3C548E41-2AC5-41E0-97D9-AA82B94B65BD}">
      <dgm:prSet/>
      <dgm:spPr/>
      <dgm:t>
        <a:bodyPr/>
        <a:lstStyle/>
        <a:p>
          <a:endParaRPr lang="en-AU"/>
        </a:p>
      </dgm:t>
    </dgm:pt>
    <dgm:pt modelId="{827AADC1-99FB-4AB5-9987-EFCB86EC33DA}" type="sibTrans" cxnId="{3C548E41-2AC5-41E0-97D9-AA82B94B65BD}">
      <dgm:prSet/>
      <dgm:spPr/>
      <dgm:t>
        <a:bodyPr/>
        <a:lstStyle/>
        <a:p>
          <a:endParaRPr lang="en-AU"/>
        </a:p>
      </dgm:t>
    </dgm:pt>
    <dgm:pt modelId="{95A7DB17-022A-4B01-B34D-A35D1583A175}">
      <dgm:prSet custT="1">
        <dgm:style>
          <a:lnRef idx="2">
            <a:schemeClr val="dk1"/>
          </a:lnRef>
          <a:fillRef idx="1">
            <a:schemeClr val="lt1"/>
          </a:fillRef>
          <a:effectRef idx="0">
            <a:schemeClr val="dk1"/>
          </a:effectRef>
          <a:fontRef idx="minor">
            <a:schemeClr val="dk1"/>
          </a:fontRef>
        </dgm:style>
      </dgm:prSet>
      <dgm:spPr>
        <a:solidFill>
          <a:schemeClr val="bg1"/>
        </a:solidFill>
        <a:ln w="3175"/>
      </dgm:spPr>
      <dgm:t>
        <a:bodyPr/>
        <a:lstStyle/>
        <a:p>
          <a:r>
            <a:rPr lang="en-AU" sz="800" b="1"/>
            <a:t>10. GCP and/or PCP lapses after five years. Reapply if required.</a:t>
          </a:r>
        </a:p>
      </dgm:t>
    </dgm:pt>
    <dgm:pt modelId="{A35F922A-3FB0-47EA-A546-F2C86A470EBF}" type="parTrans" cxnId="{0DF0D881-E38F-45C9-8794-81BD050C7B77}">
      <dgm:prSet/>
      <dgm:spPr/>
      <dgm:t>
        <a:bodyPr/>
        <a:lstStyle/>
        <a:p>
          <a:endParaRPr lang="en-AU"/>
        </a:p>
      </dgm:t>
    </dgm:pt>
    <dgm:pt modelId="{768253A3-F1F5-48BA-ADD4-F6AB3E9E62C7}" type="sibTrans" cxnId="{0DF0D881-E38F-45C9-8794-81BD050C7B77}">
      <dgm:prSet/>
      <dgm:spPr/>
      <dgm:t>
        <a:bodyPr/>
        <a:lstStyle/>
        <a:p>
          <a:endParaRPr lang="en-AU"/>
        </a:p>
      </dgm:t>
    </dgm:pt>
    <dgm:pt modelId="{F515D657-F44E-41A8-BB88-BCBCE5C283D8}">
      <dgm:prSet custT="1">
        <dgm:style>
          <a:lnRef idx="2">
            <a:schemeClr val="dk1"/>
          </a:lnRef>
          <a:fillRef idx="1">
            <a:schemeClr val="lt1"/>
          </a:fillRef>
          <a:effectRef idx="0">
            <a:schemeClr val="dk1"/>
          </a:effectRef>
          <a:fontRef idx="minor">
            <a:schemeClr val="dk1"/>
          </a:fontRef>
        </dgm:style>
      </dgm:prSet>
      <dgm:spPr>
        <a:ln w="3175"/>
      </dgm:spPr>
      <dgm:t>
        <a:bodyPr/>
        <a:lstStyle/>
        <a:p>
          <a:r>
            <a:rPr lang="en-AU" sz="800" b="1"/>
            <a:t>7. Implementation period.</a:t>
          </a:r>
        </a:p>
      </dgm:t>
    </dgm:pt>
    <dgm:pt modelId="{754792A4-4043-4F7E-ACE4-5320A37E0C95}" type="parTrans" cxnId="{7E7782EA-81D5-4CC3-ADFE-1AE5A6AF468A}">
      <dgm:prSet/>
      <dgm:spPr/>
      <dgm:t>
        <a:bodyPr/>
        <a:lstStyle/>
        <a:p>
          <a:endParaRPr lang="en-AU"/>
        </a:p>
      </dgm:t>
    </dgm:pt>
    <dgm:pt modelId="{D1D94A06-76D9-4AAC-83F6-721DA3F86C9C}" type="sibTrans" cxnId="{7E7782EA-81D5-4CC3-ADFE-1AE5A6AF468A}">
      <dgm:prSet/>
      <dgm:spPr/>
      <dgm:t>
        <a:bodyPr/>
        <a:lstStyle/>
        <a:p>
          <a:endParaRPr lang="en-AU"/>
        </a:p>
      </dgm:t>
    </dgm:pt>
    <dgm:pt modelId="{8D979896-F114-4459-BD3B-533658DDE25A}">
      <dgm:prSet custT="1">
        <dgm:style>
          <a:lnRef idx="2">
            <a:schemeClr val="dk1"/>
          </a:lnRef>
          <a:fillRef idx="1">
            <a:schemeClr val="lt1"/>
          </a:fillRef>
          <a:effectRef idx="0">
            <a:schemeClr val="dk1"/>
          </a:effectRef>
          <a:fontRef idx="minor">
            <a:schemeClr val="dk1"/>
          </a:fontRef>
        </dgm:style>
      </dgm:prSet>
      <dgm:spPr>
        <a:ln w="3175"/>
      </dgm:spPr>
      <dgm:t>
        <a:bodyPr/>
        <a:lstStyle/>
        <a:p>
          <a:r>
            <a:rPr lang="en-AU" sz="800" b="1"/>
            <a:t>8. Active management of policy.</a:t>
          </a:r>
        </a:p>
      </dgm:t>
    </dgm:pt>
    <dgm:pt modelId="{A81259D0-D3F7-4459-B59A-D9A95A7FFF09}" type="parTrans" cxnId="{7B018DD7-9266-47CE-856A-D6F4F9140430}">
      <dgm:prSet/>
      <dgm:spPr/>
      <dgm:t>
        <a:bodyPr/>
        <a:lstStyle/>
        <a:p>
          <a:endParaRPr lang="en-AU"/>
        </a:p>
      </dgm:t>
    </dgm:pt>
    <dgm:pt modelId="{5D22E833-0B02-4E5F-B6E2-718AA51835E3}" type="sibTrans" cxnId="{7B018DD7-9266-47CE-856A-D6F4F9140430}">
      <dgm:prSet/>
      <dgm:spPr/>
      <dgm:t>
        <a:bodyPr/>
        <a:lstStyle/>
        <a:p>
          <a:endParaRPr lang="en-AU"/>
        </a:p>
      </dgm:t>
    </dgm:pt>
    <dgm:pt modelId="{140AAA48-E24B-4944-8A35-405E0862C84E}">
      <dgm:prSet phldrT="[Text]" custT="1">
        <dgm:style>
          <a:lnRef idx="2">
            <a:schemeClr val="dk1"/>
          </a:lnRef>
          <a:fillRef idx="1">
            <a:schemeClr val="lt1"/>
          </a:fillRef>
          <a:effectRef idx="0">
            <a:schemeClr val="dk1"/>
          </a:effectRef>
          <a:fontRef idx="minor">
            <a:schemeClr val="dk1"/>
          </a:fontRef>
        </dgm:style>
      </dgm:prSet>
      <dgm:spPr>
        <a:solidFill>
          <a:schemeClr val="bg1"/>
        </a:solidFill>
        <a:ln w="3175">
          <a:solidFill>
            <a:schemeClr val="tx1"/>
          </a:solidFill>
        </a:ln>
      </dgm:spPr>
      <dgm:t>
        <a:bodyPr/>
        <a:lstStyle/>
        <a:p>
          <a:r>
            <a:rPr lang="en-AU" sz="800" b="1"/>
            <a:t>6. Government makes documented decision to recognise GCP and/or PCP.</a:t>
          </a:r>
        </a:p>
      </dgm:t>
    </dgm:pt>
    <dgm:pt modelId="{C00F3C13-220B-4848-A7B0-239515F77472}" type="parTrans" cxnId="{74B06E7E-2CC1-4190-82B4-812DD5AF92F5}">
      <dgm:prSet/>
      <dgm:spPr/>
      <dgm:t>
        <a:bodyPr/>
        <a:lstStyle/>
        <a:p>
          <a:endParaRPr lang="en-AU"/>
        </a:p>
      </dgm:t>
    </dgm:pt>
    <dgm:pt modelId="{2B98E398-B905-4776-8298-B72A72569243}" type="sibTrans" cxnId="{74B06E7E-2CC1-4190-82B4-812DD5AF92F5}">
      <dgm:prSet/>
      <dgm:spPr/>
      <dgm:t>
        <a:bodyPr/>
        <a:lstStyle/>
        <a:p>
          <a:endParaRPr lang="en-AU"/>
        </a:p>
      </dgm:t>
    </dgm:pt>
    <dgm:pt modelId="{16AC398A-C6B4-4F1E-BF01-9F86F4430A8D}">
      <dgm:prSet phldrT="[Text]" custT="1">
        <dgm:style>
          <a:lnRef idx="2">
            <a:schemeClr val="dk1"/>
          </a:lnRef>
          <a:fillRef idx="1">
            <a:schemeClr val="lt1"/>
          </a:fillRef>
          <a:effectRef idx="0">
            <a:schemeClr val="dk1"/>
          </a:effectRef>
          <a:fontRef idx="minor">
            <a:schemeClr val="dk1"/>
          </a:fontRef>
        </dgm:style>
      </dgm:prSet>
      <dgm:spPr>
        <a:ln w="3175"/>
      </dgm:spPr>
      <dgm:t>
        <a:bodyPr/>
        <a:lstStyle/>
        <a:p>
          <a:r>
            <a:rPr lang="en-AU" sz="800" b="1"/>
            <a:t>1. Policy Rationale.</a:t>
          </a:r>
        </a:p>
      </dgm:t>
    </dgm:pt>
    <dgm:pt modelId="{66725C5E-2186-4982-99E8-D00ED7301069}" type="sibTrans" cxnId="{2FFF856E-5636-4E42-A8D9-32E00C49BC00}">
      <dgm:prSet/>
      <dgm:spPr/>
      <dgm:t>
        <a:bodyPr/>
        <a:lstStyle/>
        <a:p>
          <a:endParaRPr lang="en-AU"/>
        </a:p>
      </dgm:t>
    </dgm:pt>
    <dgm:pt modelId="{47946B92-A1A0-490A-A3EF-B26D06BA17AD}" type="parTrans" cxnId="{2FFF856E-5636-4E42-A8D9-32E00C49BC00}">
      <dgm:prSet/>
      <dgm:spPr/>
      <dgm:t>
        <a:bodyPr/>
        <a:lstStyle/>
        <a:p>
          <a:endParaRPr lang="en-AU"/>
        </a:p>
      </dgm:t>
    </dgm:pt>
    <dgm:pt modelId="{A2246A23-8C37-457C-AB44-6056825F995C}" type="pres">
      <dgm:prSet presAssocID="{F51562CB-A1F3-4F9D-AD99-ED1CBB3DF6D6}" presName="cycle" presStyleCnt="0">
        <dgm:presLayoutVars>
          <dgm:dir/>
          <dgm:resizeHandles val="exact"/>
        </dgm:presLayoutVars>
      </dgm:prSet>
      <dgm:spPr/>
      <dgm:t>
        <a:bodyPr/>
        <a:lstStyle/>
        <a:p>
          <a:endParaRPr lang="en-AU"/>
        </a:p>
      </dgm:t>
    </dgm:pt>
    <dgm:pt modelId="{A3D18D94-E65E-476D-8C3F-30F8C08FD09A}" type="pres">
      <dgm:prSet presAssocID="{20A322FF-F93C-4A9E-B414-C875C8762103}" presName="dummy" presStyleCnt="0"/>
      <dgm:spPr/>
    </dgm:pt>
    <dgm:pt modelId="{69D71F2D-7839-4C60-B41A-474BC73E5874}" type="pres">
      <dgm:prSet presAssocID="{20A322FF-F93C-4A9E-B414-C875C8762103}" presName="node" presStyleLbl="revTx" presStyleIdx="0" presStyleCnt="10" custScaleX="151463" custScaleY="108981">
        <dgm:presLayoutVars>
          <dgm:bulletEnabled val="1"/>
        </dgm:presLayoutVars>
      </dgm:prSet>
      <dgm:spPr/>
      <dgm:t>
        <a:bodyPr/>
        <a:lstStyle/>
        <a:p>
          <a:endParaRPr lang="en-AU"/>
        </a:p>
      </dgm:t>
    </dgm:pt>
    <dgm:pt modelId="{592FA485-6509-4A50-8361-BAB75AB49550}" type="pres">
      <dgm:prSet presAssocID="{827AADC1-99FB-4AB5-9987-EFCB86EC33DA}" presName="sibTrans" presStyleLbl="node1" presStyleIdx="0" presStyleCnt="10"/>
      <dgm:spPr/>
      <dgm:t>
        <a:bodyPr/>
        <a:lstStyle/>
        <a:p>
          <a:endParaRPr lang="en-AU"/>
        </a:p>
      </dgm:t>
    </dgm:pt>
    <dgm:pt modelId="{59529960-5BCC-40CD-B88F-A4DEC13B2802}" type="pres">
      <dgm:prSet presAssocID="{691DF7EC-25F7-4CD8-ADD3-64C153BEF6EC}" presName="dummy" presStyleCnt="0"/>
      <dgm:spPr/>
    </dgm:pt>
    <dgm:pt modelId="{742A67EB-5157-4DDE-A6A8-6302B5168005}" type="pres">
      <dgm:prSet presAssocID="{691DF7EC-25F7-4CD8-ADD3-64C153BEF6EC}" presName="node" presStyleLbl="revTx" presStyleIdx="1" presStyleCnt="10" custScaleX="168330">
        <dgm:presLayoutVars>
          <dgm:bulletEnabled val="1"/>
        </dgm:presLayoutVars>
      </dgm:prSet>
      <dgm:spPr/>
      <dgm:t>
        <a:bodyPr/>
        <a:lstStyle/>
        <a:p>
          <a:endParaRPr lang="en-AU"/>
        </a:p>
      </dgm:t>
    </dgm:pt>
    <dgm:pt modelId="{29B0E74E-BB7E-4AEE-A1BC-7271E4ED2BB0}" type="pres">
      <dgm:prSet presAssocID="{8C6BF77D-C75E-411F-B6A3-3B466CAB1E5B}" presName="sibTrans" presStyleLbl="node1" presStyleIdx="1" presStyleCnt="10" custLinFactNeighborX="1" custLinFactNeighborY="-373"/>
      <dgm:spPr/>
      <dgm:t>
        <a:bodyPr/>
        <a:lstStyle/>
        <a:p>
          <a:endParaRPr lang="en-AU"/>
        </a:p>
      </dgm:t>
    </dgm:pt>
    <dgm:pt modelId="{DE058430-BC12-41D9-B08D-FF2D1BD39364}" type="pres">
      <dgm:prSet presAssocID="{CD84CF83-E74F-4DF9-A63E-E858862C1BC5}" presName="dummy" presStyleCnt="0"/>
      <dgm:spPr/>
    </dgm:pt>
    <dgm:pt modelId="{58A24C56-AB1C-4EDC-9B37-5EB5313BD3DA}" type="pres">
      <dgm:prSet presAssocID="{CD84CF83-E74F-4DF9-A63E-E858862C1BC5}" presName="node" presStyleLbl="revTx" presStyleIdx="2" presStyleCnt="10" custScaleX="137864" custScaleY="101989">
        <dgm:presLayoutVars>
          <dgm:bulletEnabled val="1"/>
        </dgm:presLayoutVars>
      </dgm:prSet>
      <dgm:spPr/>
      <dgm:t>
        <a:bodyPr/>
        <a:lstStyle/>
        <a:p>
          <a:endParaRPr lang="en-AU"/>
        </a:p>
      </dgm:t>
    </dgm:pt>
    <dgm:pt modelId="{9854ED67-C3D3-4C8B-B62D-CDA22DA4716D}" type="pres">
      <dgm:prSet presAssocID="{1E7DF811-9F5F-43BE-A517-42C6A82A6FD0}" presName="sibTrans" presStyleLbl="node1" presStyleIdx="2" presStyleCnt="10" custScaleX="105449" custScaleY="104187" custLinFactNeighborX="-2601" custLinFactNeighborY="-1165"/>
      <dgm:spPr/>
      <dgm:t>
        <a:bodyPr/>
        <a:lstStyle/>
        <a:p>
          <a:endParaRPr lang="en-AU"/>
        </a:p>
      </dgm:t>
    </dgm:pt>
    <dgm:pt modelId="{37811F76-3B32-4054-957D-E74E683701CA}" type="pres">
      <dgm:prSet presAssocID="{B940AC6F-5E18-4AF2-92A8-37FD5CA7620C}" presName="dummy" presStyleCnt="0"/>
      <dgm:spPr/>
    </dgm:pt>
    <dgm:pt modelId="{B9FB9623-50A0-4E5F-85D0-0EAA399A25E4}" type="pres">
      <dgm:prSet presAssocID="{B940AC6F-5E18-4AF2-92A8-37FD5CA7620C}" presName="node" presStyleLbl="revTx" presStyleIdx="3" presStyleCnt="10" custScaleX="184889" custScaleY="76820" custRadScaleRad="101689" custRadScaleInc="-54547">
        <dgm:presLayoutVars>
          <dgm:bulletEnabled val="1"/>
        </dgm:presLayoutVars>
      </dgm:prSet>
      <dgm:spPr/>
      <dgm:t>
        <a:bodyPr/>
        <a:lstStyle/>
        <a:p>
          <a:endParaRPr lang="en-AU"/>
        </a:p>
      </dgm:t>
    </dgm:pt>
    <dgm:pt modelId="{0B83E2F2-D40C-4430-B50F-DA488AC240BB}" type="pres">
      <dgm:prSet presAssocID="{DE8EC521-EA2E-4DDE-8845-A09EAAADF81B}" presName="sibTrans" presStyleLbl="node1" presStyleIdx="3" presStyleCnt="10"/>
      <dgm:spPr/>
      <dgm:t>
        <a:bodyPr/>
        <a:lstStyle/>
        <a:p>
          <a:endParaRPr lang="en-AU"/>
        </a:p>
      </dgm:t>
    </dgm:pt>
    <dgm:pt modelId="{DFC062E4-48A7-4362-B4ED-3E875C7B69A6}" type="pres">
      <dgm:prSet presAssocID="{140AAA48-E24B-4944-8A35-405E0862C84E}" presName="dummy" presStyleCnt="0"/>
      <dgm:spPr/>
    </dgm:pt>
    <dgm:pt modelId="{E4FC14EB-AB39-46C3-84A8-9DCB21418BAC}" type="pres">
      <dgm:prSet presAssocID="{140AAA48-E24B-4944-8A35-405E0862C84E}" presName="node" presStyleLbl="revTx" presStyleIdx="4" presStyleCnt="10" custScaleX="159532" custScaleY="131413" custRadScaleRad="100581" custRadScaleInc="-8264">
        <dgm:presLayoutVars>
          <dgm:bulletEnabled val="1"/>
        </dgm:presLayoutVars>
      </dgm:prSet>
      <dgm:spPr/>
      <dgm:t>
        <a:bodyPr/>
        <a:lstStyle/>
        <a:p>
          <a:endParaRPr lang="en-AU"/>
        </a:p>
      </dgm:t>
    </dgm:pt>
    <dgm:pt modelId="{1A0EC664-7413-44B3-A27C-85CC66418814}" type="pres">
      <dgm:prSet presAssocID="{2B98E398-B905-4776-8298-B72A72569243}" presName="sibTrans" presStyleLbl="node1" presStyleIdx="4" presStyleCnt="10"/>
      <dgm:spPr/>
      <dgm:t>
        <a:bodyPr/>
        <a:lstStyle/>
        <a:p>
          <a:endParaRPr lang="en-AU"/>
        </a:p>
      </dgm:t>
    </dgm:pt>
    <dgm:pt modelId="{FA9D8610-64A5-4D7A-8753-CFA863F86F76}" type="pres">
      <dgm:prSet presAssocID="{F515D657-F44E-41A8-BB88-BCBCE5C283D8}" presName="dummy" presStyleCnt="0"/>
      <dgm:spPr/>
    </dgm:pt>
    <dgm:pt modelId="{EF229065-323B-4B94-8C82-36F5594B0E44}" type="pres">
      <dgm:prSet presAssocID="{F515D657-F44E-41A8-BB88-BCBCE5C283D8}" presName="node" presStyleLbl="revTx" presStyleIdx="5" presStyleCnt="10" custScaleX="165735" custScaleY="75148" custRadScaleRad="98612" custRadScaleInc="7794">
        <dgm:presLayoutVars>
          <dgm:bulletEnabled val="1"/>
        </dgm:presLayoutVars>
      </dgm:prSet>
      <dgm:spPr/>
      <dgm:t>
        <a:bodyPr/>
        <a:lstStyle/>
        <a:p>
          <a:endParaRPr lang="en-AU"/>
        </a:p>
      </dgm:t>
    </dgm:pt>
    <dgm:pt modelId="{A94B8539-413D-475A-9F56-54213EBB1B60}" type="pres">
      <dgm:prSet presAssocID="{D1D94A06-76D9-4AAC-83F6-721DA3F86C9C}" presName="sibTrans" presStyleLbl="node1" presStyleIdx="5" presStyleCnt="10"/>
      <dgm:spPr/>
      <dgm:t>
        <a:bodyPr/>
        <a:lstStyle/>
        <a:p>
          <a:endParaRPr lang="en-AU"/>
        </a:p>
      </dgm:t>
    </dgm:pt>
    <dgm:pt modelId="{470B09B9-5C55-4C74-86EE-A16A3FF9D972}" type="pres">
      <dgm:prSet presAssocID="{8D979896-F114-4459-BD3B-533658DDE25A}" presName="dummy" presStyleCnt="0"/>
      <dgm:spPr/>
    </dgm:pt>
    <dgm:pt modelId="{FA5962B2-34BB-48E9-8BB2-B9E48662078B}" type="pres">
      <dgm:prSet presAssocID="{8D979896-F114-4459-BD3B-533658DDE25A}" presName="node" presStyleLbl="revTx" presStyleIdx="6" presStyleCnt="10" custScaleX="155497" custRadScaleRad="102179" custRadScaleInc="50720">
        <dgm:presLayoutVars>
          <dgm:bulletEnabled val="1"/>
        </dgm:presLayoutVars>
      </dgm:prSet>
      <dgm:spPr/>
      <dgm:t>
        <a:bodyPr/>
        <a:lstStyle/>
        <a:p>
          <a:endParaRPr lang="en-AU"/>
        </a:p>
      </dgm:t>
    </dgm:pt>
    <dgm:pt modelId="{338CDD33-7653-4E30-9FBD-FDB96FF73285}" type="pres">
      <dgm:prSet presAssocID="{5D22E833-0B02-4E5F-B6E2-718AA51835E3}" presName="sibTrans" presStyleLbl="node1" presStyleIdx="6" presStyleCnt="10"/>
      <dgm:spPr/>
      <dgm:t>
        <a:bodyPr/>
        <a:lstStyle/>
        <a:p>
          <a:endParaRPr lang="en-AU"/>
        </a:p>
      </dgm:t>
    </dgm:pt>
    <dgm:pt modelId="{E477B806-86AE-4D53-B169-4C704BAAAB5D}" type="pres">
      <dgm:prSet presAssocID="{DFBC9FD1-3A48-49AB-9E94-0D5C5474E84C}" presName="dummy" presStyleCnt="0"/>
      <dgm:spPr/>
    </dgm:pt>
    <dgm:pt modelId="{7983495C-E113-4E53-87FF-3B30D08FB027}" type="pres">
      <dgm:prSet presAssocID="{DFBC9FD1-3A48-49AB-9E94-0D5C5474E84C}" presName="node" presStyleLbl="revTx" presStyleIdx="7" presStyleCnt="10" custScaleX="136623" custRadScaleRad="100150" custRadScaleInc="26185">
        <dgm:presLayoutVars>
          <dgm:bulletEnabled val="1"/>
        </dgm:presLayoutVars>
      </dgm:prSet>
      <dgm:spPr/>
      <dgm:t>
        <a:bodyPr/>
        <a:lstStyle/>
        <a:p>
          <a:endParaRPr lang="en-AU"/>
        </a:p>
      </dgm:t>
    </dgm:pt>
    <dgm:pt modelId="{C7708A0D-74ED-4A1D-8387-E13D6EBBA479}" type="pres">
      <dgm:prSet presAssocID="{44A2CED2-0724-4960-BB01-CDA16F236812}" presName="sibTrans" presStyleLbl="node1" presStyleIdx="7" presStyleCnt="10" custScaleX="98811"/>
      <dgm:spPr/>
      <dgm:t>
        <a:bodyPr/>
        <a:lstStyle/>
        <a:p>
          <a:endParaRPr lang="en-AU"/>
        </a:p>
      </dgm:t>
    </dgm:pt>
    <dgm:pt modelId="{B2BF8F07-0CBA-4B01-8CCE-51370FC24756}" type="pres">
      <dgm:prSet presAssocID="{95A7DB17-022A-4B01-B34D-A35D1583A175}" presName="dummy" presStyleCnt="0"/>
      <dgm:spPr/>
    </dgm:pt>
    <dgm:pt modelId="{51F980A5-B580-48E2-9A95-79BE94156761}" type="pres">
      <dgm:prSet presAssocID="{95A7DB17-022A-4B01-B34D-A35D1583A175}" presName="node" presStyleLbl="revTx" presStyleIdx="8" presStyleCnt="10" custScaleX="118513" custScaleY="169851" custRadScaleRad="100867" custRadScaleInc="5608">
        <dgm:presLayoutVars>
          <dgm:bulletEnabled val="1"/>
        </dgm:presLayoutVars>
      </dgm:prSet>
      <dgm:spPr/>
      <dgm:t>
        <a:bodyPr/>
        <a:lstStyle/>
        <a:p>
          <a:endParaRPr lang="en-AU"/>
        </a:p>
      </dgm:t>
    </dgm:pt>
    <dgm:pt modelId="{F18D3914-A6F3-4D8B-83DA-E6C593E21C25}" type="pres">
      <dgm:prSet presAssocID="{768253A3-F1F5-48BA-ADD4-F6AB3E9E62C7}" presName="sibTrans" presStyleLbl="node1" presStyleIdx="8" presStyleCnt="10"/>
      <dgm:spPr/>
      <dgm:t>
        <a:bodyPr/>
        <a:lstStyle/>
        <a:p>
          <a:endParaRPr lang="en-AU"/>
        </a:p>
      </dgm:t>
    </dgm:pt>
    <dgm:pt modelId="{C18BD4B1-32D1-46AB-A491-8DB3F573E18C}" type="pres">
      <dgm:prSet presAssocID="{16AC398A-C6B4-4F1E-BF01-9F86F4430A8D}" presName="dummy" presStyleCnt="0"/>
      <dgm:spPr/>
    </dgm:pt>
    <dgm:pt modelId="{52321EDC-3177-44D7-8DB4-13392C5A23B1}" type="pres">
      <dgm:prSet presAssocID="{16AC398A-C6B4-4F1E-BF01-9F86F4430A8D}" presName="node" presStyleLbl="revTx" presStyleIdx="9" presStyleCnt="10" custScaleX="149956" custScaleY="115409">
        <dgm:presLayoutVars>
          <dgm:bulletEnabled val="1"/>
        </dgm:presLayoutVars>
      </dgm:prSet>
      <dgm:spPr/>
      <dgm:t>
        <a:bodyPr/>
        <a:lstStyle/>
        <a:p>
          <a:endParaRPr lang="en-AU"/>
        </a:p>
      </dgm:t>
    </dgm:pt>
    <dgm:pt modelId="{80503C56-8EB9-4FEF-A4BD-19C0D6636CF2}" type="pres">
      <dgm:prSet presAssocID="{66725C5E-2186-4982-99E8-D00ED7301069}" presName="sibTrans" presStyleLbl="node1" presStyleIdx="9" presStyleCnt="10"/>
      <dgm:spPr/>
      <dgm:t>
        <a:bodyPr/>
        <a:lstStyle/>
        <a:p>
          <a:endParaRPr lang="en-AU"/>
        </a:p>
      </dgm:t>
    </dgm:pt>
  </dgm:ptLst>
  <dgm:cxnLst>
    <dgm:cxn modelId="{FBB7D72D-4C3D-41DB-A302-DC19CB533333}" srcId="{F51562CB-A1F3-4F9D-AD99-ED1CBB3DF6D6}" destId="{CD84CF83-E74F-4DF9-A63E-E858862C1BC5}" srcOrd="2" destOrd="0" parTransId="{73704434-C224-4817-B643-33132017E8EB}" sibTransId="{1E7DF811-9F5F-43BE-A517-42C6A82A6FD0}"/>
    <dgm:cxn modelId="{0E381F60-83D6-4523-8EF6-466963DC488C}" type="presOf" srcId="{20A322FF-F93C-4A9E-B414-C875C8762103}" destId="{69D71F2D-7839-4C60-B41A-474BC73E5874}" srcOrd="0" destOrd="0" presId="urn:microsoft.com/office/officeart/2005/8/layout/cycle1"/>
    <dgm:cxn modelId="{A62D6894-1099-4469-8ABF-3AB5EB21377E}" type="presOf" srcId="{1E7DF811-9F5F-43BE-A517-42C6A82A6FD0}" destId="{9854ED67-C3D3-4C8B-B62D-CDA22DA4716D}" srcOrd="0" destOrd="0" presId="urn:microsoft.com/office/officeart/2005/8/layout/cycle1"/>
    <dgm:cxn modelId="{5BC4BB84-3980-4F56-9028-7BAF4FDD13A4}" type="presOf" srcId="{B940AC6F-5E18-4AF2-92A8-37FD5CA7620C}" destId="{B9FB9623-50A0-4E5F-85D0-0EAA399A25E4}" srcOrd="0" destOrd="0" presId="urn:microsoft.com/office/officeart/2005/8/layout/cycle1"/>
    <dgm:cxn modelId="{1719B6B1-5E24-4F1B-8ED6-9278537B145C}" type="presOf" srcId="{66725C5E-2186-4982-99E8-D00ED7301069}" destId="{80503C56-8EB9-4FEF-A4BD-19C0D6636CF2}" srcOrd="0" destOrd="0" presId="urn:microsoft.com/office/officeart/2005/8/layout/cycle1"/>
    <dgm:cxn modelId="{1ADBE814-E119-4E7B-9873-A9D4148A6C20}" type="presOf" srcId="{691DF7EC-25F7-4CD8-ADD3-64C153BEF6EC}" destId="{742A67EB-5157-4DDE-A6A8-6302B5168005}" srcOrd="0" destOrd="0" presId="urn:microsoft.com/office/officeart/2005/8/layout/cycle1"/>
    <dgm:cxn modelId="{3C548E41-2AC5-41E0-97D9-AA82B94B65BD}" srcId="{F51562CB-A1F3-4F9D-AD99-ED1CBB3DF6D6}" destId="{20A322FF-F93C-4A9E-B414-C875C8762103}" srcOrd="0" destOrd="0" parTransId="{91425C56-D5BD-4359-982A-6298C4131A21}" sibTransId="{827AADC1-99FB-4AB5-9987-EFCB86EC33DA}"/>
    <dgm:cxn modelId="{5B67A05E-2497-426B-BCB2-B1D38A04DF8B}" type="presOf" srcId="{16AC398A-C6B4-4F1E-BF01-9F86F4430A8D}" destId="{52321EDC-3177-44D7-8DB4-13392C5A23B1}" srcOrd="0" destOrd="0" presId="urn:microsoft.com/office/officeart/2005/8/layout/cycle1"/>
    <dgm:cxn modelId="{9A4DFCF2-184C-4673-B97F-7C169051AFE2}" type="presOf" srcId="{768253A3-F1F5-48BA-ADD4-F6AB3E9E62C7}" destId="{F18D3914-A6F3-4D8B-83DA-E6C593E21C25}" srcOrd="0" destOrd="0" presId="urn:microsoft.com/office/officeart/2005/8/layout/cycle1"/>
    <dgm:cxn modelId="{1F58BE98-C8D9-4FE0-904E-C08180ACF943}" type="presOf" srcId="{140AAA48-E24B-4944-8A35-405E0862C84E}" destId="{E4FC14EB-AB39-46C3-84A8-9DCB21418BAC}" srcOrd="0" destOrd="0" presId="urn:microsoft.com/office/officeart/2005/8/layout/cycle1"/>
    <dgm:cxn modelId="{2FFF856E-5636-4E42-A8D9-32E00C49BC00}" srcId="{F51562CB-A1F3-4F9D-AD99-ED1CBB3DF6D6}" destId="{16AC398A-C6B4-4F1E-BF01-9F86F4430A8D}" srcOrd="9" destOrd="0" parTransId="{47946B92-A1A0-490A-A3EF-B26D06BA17AD}" sibTransId="{66725C5E-2186-4982-99E8-D00ED7301069}"/>
    <dgm:cxn modelId="{4CECB949-4D33-44C9-BDAE-D137D7EC6E1B}" type="presOf" srcId="{827AADC1-99FB-4AB5-9987-EFCB86EC33DA}" destId="{592FA485-6509-4A50-8361-BAB75AB49550}" srcOrd="0" destOrd="0" presId="urn:microsoft.com/office/officeart/2005/8/layout/cycle1"/>
    <dgm:cxn modelId="{848D72F1-EAAC-4B7A-9836-1E85DD02B414}" srcId="{F51562CB-A1F3-4F9D-AD99-ED1CBB3DF6D6}" destId="{DFBC9FD1-3A48-49AB-9E94-0D5C5474E84C}" srcOrd="7" destOrd="0" parTransId="{4B919E94-6EAF-4325-8F94-34F56CC44838}" sibTransId="{44A2CED2-0724-4960-BB01-CDA16F236812}"/>
    <dgm:cxn modelId="{7B018DD7-9266-47CE-856A-D6F4F9140430}" srcId="{F51562CB-A1F3-4F9D-AD99-ED1CBB3DF6D6}" destId="{8D979896-F114-4459-BD3B-533658DDE25A}" srcOrd="6" destOrd="0" parTransId="{A81259D0-D3F7-4459-B59A-D9A95A7FFF09}" sibTransId="{5D22E833-0B02-4E5F-B6E2-718AA51835E3}"/>
    <dgm:cxn modelId="{6DBC8FB2-C876-4143-9D73-B3DF2F069FD8}" type="presOf" srcId="{95A7DB17-022A-4B01-B34D-A35D1583A175}" destId="{51F980A5-B580-48E2-9A95-79BE94156761}" srcOrd="0" destOrd="0" presId="urn:microsoft.com/office/officeart/2005/8/layout/cycle1"/>
    <dgm:cxn modelId="{DEE41994-1FA3-4D2B-B58E-431CBC806C22}" type="presOf" srcId="{2B98E398-B905-4776-8298-B72A72569243}" destId="{1A0EC664-7413-44B3-A27C-85CC66418814}" srcOrd="0" destOrd="0" presId="urn:microsoft.com/office/officeart/2005/8/layout/cycle1"/>
    <dgm:cxn modelId="{A553599D-CCF6-4896-9A54-8F2EB62C52F9}" type="presOf" srcId="{8D979896-F114-4459-BD3B-533658DDE25A}" destId="{FA5962B2-34BB-48E9-8BB2-B9E48662078B}" srcOrd="0" destOrd="0" presId="urn:microsoft.com/office/officeart/2005/8/layout/cycle1"/>
    <dgm:cxn modelId="{6BCC3D2E-CEE8-48F3-A4B7-E788375C4A31}" srcId="{F51562CB-A1F3-4F9D-AD99-ED1CBB3DF6D6}" destId="{B940AC6F-5E18-4AF2-92A8-37FD5CA7620C}" srcOrd="3" destOrd="0" parTransId="{1BBC61A8-1A46-45A4-BD49-115713C6F6C3}" sibTransId="{DE8EC521-EA2E-4DDE-8845-A09EAAADF81B}"/>
    <dgm:cxn modelId="{053ED76F-B606-4FC8-9929-73AF4A302920}" type="presOf" srcId="{F51562CB-A1F3-4F9D-AD99-ED1CBB3DF6D6}" destId="{A2246A23-8C37-457C-AB44-6056825F995C}" srcOrd="0" destOrd="0" presId="urn:microsoft.com/office/officeart/2005/8/layout/cycle1"/>
    <dgm:cxn modelId="{3E5A5ED8-873B-4FF8-9101-67A7CB366A9D}" type="presOf" srcId="{5D22E833-0B02-4E5F-B6E2-718AA51835E3}" destId="{338CDD33-7653-4E30-9FBD-FDB96FF73285}" srcOrd="0" destOrd="0" presId="urn:microsoft.com/office/officeart/2005/8/layout/cycle1"/>
    <dgm:cxn modelId="{E7F8AE75-9F95-45B3-BFD7-B7542057140F}" type="presOf" srcId="{DE8EC521-EA2E-4DDE-8845-A09EAAADF81B}" destId="{0B83E2F2-D40C-4430-B50F-DA488AC240BB}" srcOrd="0" destOrd="0" presId="urn:microsoft.com/office/officeart/2005/8/layout/cycle1"/>
    <dgm:cxn modelId="{7E7782EA-81D5-4CC3-ADFE-1AE5A6AF468A}" srcId="{F51562CB-A1F3-4F9D-AD99-ED1CBB3DF6D6}" destId="{F515D657-F44E-41A8-BB88-BCBCE5C283D8}" srcOrd="5" destOrd="0" parTransId="{754792A4-4043-4F7E-ACE4-5320A37E0C95}" sibTransId="{D1D94A06-76D9-4AAC-83F6-721DA3F86C9C}"/>
    <dgm:cxn modelId="{CA633EAE-7E86-4B96-89CA-FCC0F75C384C}" type="presOf" srcId="{DFBC9FD1-3A48-49AB-9E94-0D5C5474E84C}" destId="{7983495C-E113-4E53-87FF-3B30D08FB027}" srcOrd="0" destOrd="0" presId="urn:microsoft.com/office/officeart/2005/8/layout/cycle1"/>
    <dgm:cxn modelId="{7D52B7A9-C30B-49CB-A226-1069277A34FA}" type="presOf" srcId="{F515D657-F44E-41A8-BB88-BCBCE5C283D8}" destId="{EF229065-323B-4B94-8C82-36F5594B0E44}" srcOrd="0" destOrd="0" presId="urn:microsoft.com/office/officeart/2005/8/layout/cycle1"/>
    <dgm:cxn modelId="{3F2DF116-8B2C-4177-A0E2-7E6BEE42FA01}" type="presOf" srcId="{CD84CF83-E74F-4DF9-A63E-E858862C1BC5}" destId="{58A24C56-AB1C-4EDC-9B37-5EB5313BD3DA}" srcOrd="0" destOrd="0" presId="urn:microsoft.com/office/officeart/2005/8/layout/cycle1"/>
    <dgm:cxn modelId="{74B06E7E-2CC1-4190-82B4-812DD5AF92F5}" srcId="{F51562CB-A1F3-4F9D-AD99-ED1CBB3DF6D6}" destId="{140AAA48-E24B-4944-8A35-405E0862C84E}" srcOrd="4" destOrd="0" parTransId="{C00F3C13-220B-4848-A7B0-239515F77472}" sibTransId="{2B98E398-B905-4776-8298-B72A72569243}"/>
    <dgm:cxn modelId="{17D8AB3A-FC27-4423-B663-C2BD40EA1437}" type="presOf" srcId="{44A2CED2-0724-4960-BB01-CDA16F236812}" destId="{C7708A0D-74ED-4A1D-8387-E13D6EBBA479}" srcOrd="0" destOrd="0" presId="urn:microsoft.com/office/officeart/2005/8/layout/cycle1"/>
    <dgm:cxn modelId="{71E1209E-00D3-4284-B59F-33CF107F6890}" srcId="{F51562CB-A1F3-4F9D-AD99-ED1CBB3DF6D6}" destId="{691DF7EC-25F7-4CD8-ADD3-64C153BEF6EC}" srcOrd="1" destOrd="0" parTransId="{E8265330-A7DF-4C32-86BD-51ADD3FABDDC}" sibTransId="{8C6BF77D-C75E-411F-B6A3-3B466CAB1E5B}"/>
    <dgm:cxn modelId="{6083B4ED-533A-4C80-A61B-D02D40C63AAD}" type="presOf" srcId="{8C6BF77D-C75E-411F-B6A3-3B466CAB1E5B}" destId="{29B0E74E-BB7E-4AEE-A1BC-7271E4ED2BB0}" srcOrd="0" destOrd="0" presId="urn:microsoft.com/office/officeart/2005/8/layout/cycle1"/>
    <dgm:cxn modelId="{D037C1EF-1489-4476-A7E2-F74523F0267D}" type="presOf" srcId="{D1D94A06-76D9-4AAC-83F6-721DA3F86C9C}" destId="{A94B8539-413D-475A-9F56-54213EBB1B60}" srcOrd="0" destOrd="0" presId="urn:microsoft.com/office/officeart/2005/8/layout/cycle1"/>
    <dgm:cxn modelId="{0DF0D881-E38F-45C9-8794-81BD050C7B77}" srcId="{F51562CB-A1F3-4F9D-AD99-ED1CBB3DF6D6}" destId="{95A7DB17-022A-4B01-B34D-A35D1583A175}" srcOrd="8" destOrd="0" parTransId="{A35F922A-3FB0-47EA-A546-F2C86A470EBF}" sibTransId="{768253A3-F1F5-48BA-ADD4-F6AB3E9E62C7}"/>
    <dgm:cxn modelId="{5CD20B6E-1626-4771-A107-8D03FC858E01}" type="presParOf" srcId="{A2246A23-8C37-457C-AB44-6056825F995C}" destId="{A3D18D94-E65E-476D-8C3F-30F8C08FD09A}" srcOrd="0" destOrd="0" presId="urn:microsoft.com/office/officeart/2005/8/layout/cycle1"/>
    <dgm:cxn modelId="{9B431C55-A0BA-4A68-8290-BB76C488A40E}" type="presParOf" srcId="{A2246A23-8C37-457C-AB44-6056825F995C}" destId="{69D71F2D-7839-4C60-B41A-474BC73E5874}" srcOrd="1" destOrd="0" presId="urn:microsoft.com/office/officeart/2005/8/layout/cycle1"/>
    <dgm:cxn modelId="{DE6FEE13-1C14-4F12-B6AF-B1577027DD39}" type="presParOf" srcId="{A2246A23-8C37-457C-AB44-6056825F995C}" destId="{592FA485-6509-4A50-8361-BAB75AB49550}" srcOrd="2" destOrd="0" presId="urn:microsoft.com/office/officeart/2005/8/layout/cycle1"/>
    <dgm:cxn modelId="{9093D860-E076-449F-B391-3AE91A2C04E7}" type="presParOf" srcId="{A2246A23-8C37-457C-AB44-6056825F995C}" destId="{59529960-5BCC-40CD-B88F-A4DEC13B2802}" srcOrd="3" destOrd="0" presId="urn:microsoft.com/office/officeart/2005/8/layout/cycle1"/>
    <dgm:cxn modelId="{014D7986-75E7-4715-A655-966AF87985F2}" type="presParOf" srcId="{A2246A23-8C37-457C-AB44-6056825F995C}" destId="{742A67EB-5157-4DDE-A6A8-6302B5168005}" srcOrd="4" destOrd="0" presId="urn:microsoft.com/office/officeart/2005/8/layout/cycle1"/>
    <dgm:cxn modelId="{379CF03D-669F-4112-BAE1-26BF73272219}" type="presParOf" srcId="{A2246A23-8C37-457C-AB44-6056825F995C}" destId="{29B0E74E-BB7E-4AEE-A1BC-7271E4ED2BB0}" srcOrd="5" destOrd="0" presId="urn:microsoft.com/office/officeart/2005/8/layout/cycle1"/>
    <dgm:cxn modelId="{66918981-D813-4D74-8545-386E19C9478D}" type="presParOf" srcId="{A2246A23-8C37-457C-AB44-6056825F995C}" destId="{DE058430-BC12-41D9-B08D-FF2D1BD39364}" srcOrd="6" destOrd="0" presId="urn:microsoft.com/office/officeart/2005/8/layout/cycle1"/>
    <dgm:cxn modelId="{57D99F09-ED82-4362-A611-BC1D27993BF3}" type="presParOf" srcId="{A2246A23-8C37-457C-AB44-6056825F995C}" destId="{58A24C56-AB1C-4EDC-9B37-5EB5313BD3DA}" srcOrd="7" destOrd="0" presId="urn:microsoft.com/office/officeart/2005/8/layout/cycle1"/>
    <dgm:cxn modelId="{746EB67B-34D4-43DC-A00E-E38633704EE5}" type="presParOf" srcId="{A2246A23-8C37-457C-AB44-6056825F995C}" destId="{9854ED67-C3D3-4C8B-B62D-CDA22DA4716D}" srcOrd="8" destOrd="0" presId="urn:microsoft.com/office/officeart/2005/8/layout/cycle1"/>
    <dgm:cxn modelId="{BB9F7D54-2DAC-4762-8834-17D4B4F041E3}" type="presParOf" srcId="{A2246A23-8C37-457C-AB44-6056825F995C}" destId="{37811F76-3B32-4054-957D-E74E683701CA}" srcOrd="9" destOrd="0" presId="urn:microsoft.com/office/officeart/2005/8/layout/cycle1"/>
    <dgm:cxn modelId="{33E707A3-13CE-468B-BF1D-72D5892E2ABD}" type="presParOf" srcId="{A2246A23-8C37-457C-AB44-6056825F995C}" destId="{B9FB9623-50A0-4E5F-85D0-0EAA399A25E4}" srcOrd="10" destOrd="0" presId="urn:microsoft.com/office/officeart/2005/8/layout/cycle1"/>
    <dgm:cxn modelId="{E33BAD4F-F224-4078-9210-B5877A6050FB}" type="presParOf" srcId="{A2246A23-8C37-457C-AB44-6056825F995C}" destId="{0B83E2F2-D40C-4430-B50F-DA488AC240BB}" srcOrd="11" destOrd="0" presId="urn:microsoft.com/office/officeart/2005/8/layout/cycle1"/>
    <dgm:cxn modelId="{AB6BB070-BA37-40F4-A63E-3A0ABA9A8659}" type="presParOf" srcId="{A2246A23-8C37-457C-AB44-6056825F995C}" destId="{DFC062E4-48A7-4362-B4ED-3E875C7B69A6}" srcOrd="12" destOrd="0" presId="urn:microsoft.com/office/officeart/2005/8/layout/cycle1"/>
    <dgm:cxn modelId="{E3E6F880-F4E4-4670-95B2-2FA754959580}" type="presParOf" srcId="{A2246A23-8C37-457C-AB44-6056825F995C}" destId="{E4FC14EB-AB39-46C3-84A8-9DCB21418BAC}" srcOrd="13" destOrd="0" presId="urn:microsoft.com/office/officeart/2005/8/layout/cycle1"/>
    <dgm:cxn modelId="{E6DDA5A0-BD9B-42AD-A391-432031C1EBEB}" type="presParOf" srcId="{A2246A23-8C37-457C-AB44-6056825F995C}" destId="{1A0EC664-7413-44B3-A27C-85CC66418814}" srcOrd="14" destOrd="0" presId="urn:microsoft.com/office/officeart/2005/8/layout/cycle1"/>
    <dgm:cxn modelId="{3824B354-AAA4-49CA-AC7E-3A79F57CA611}" type="presParOf" srcId="{A2246A23-8C37-457C-AB44-6056825F995C}" destId="{FA9D8610-64A5-4D7A-8753-CFA863F86F76}" srcOrd="15" destOrd="0" presId="urn:microsoft.com/office/officeart/2005/8/layout/cycle1"/>
    <dgm:cxn modelId="{5FF1865F-ACE5-40CE-9041-75CA45908AC0}" type="presParOf" srcId="{A2246A23-8C37-457C-AB44-6056825F995C}" destId="{EF229065-323B-4B94-8C82-36F5594B0E44}" srcOrd="16" destOrd="0" presId="urn:microsoft.com/office/officeart/2005/8/layout/cycle1"/>
    <dgm:cxn modelId="{D43231ED-8BBC-459E-9E3A-2583560ED125}" type="presParOf" srcId="{A2246A23-8C37-457C-AB44-6056825F995C}" destId="{A94B8539-413D-475A-9F56-54213EBB1B60}" srcOrd="17" destOrd="0" presId="urn:microsoft.com/office/officeart/2005/8/layout/cycle1"/>
    <dgm:cxn modelId="{DA7788DD-39FB-45C5-BC8F-657C69697FFE}" type="presParOf" srcId="{A2246A23-8C37-457C-AB44-6056825F995C}" destId="{470B09B9-5C55-4C74-86EE-A16A3FF9D972}" srcOrd="18" destOrd="0" presId="urn:microsoft.com/office/officeart/2005/8/layout/cycle1"/>
    <dgm:cxn modelId="{7543ABF6-37D2-46FE-8236-F1FDF8893482}" type="presParOf" srcId="{A2246A23-8C37-457C-AB44-6056825F995C}" destId="{FA5962B2-34BB-48E9-8BB2-B9E48662078B}" srcOrd="19" destOrd="0" presId="urn:microsoft.com/office/officeart/2005/8/layout/cycle1"/>
    <dgm:cxn modelId="{0A4FAD4A-1D11-429C-B557-00928DF341A1}" type="presParOf" srcId="{A2246A23-8C37-457C-AB44-6056825F995C}" destId="{338CDD33-7653-4E30-9FBD-FDB96FF73285}" srcOrd="20" destOrd="0" presId="urn:microsoft.com/office/officeart/2005/8/layout/cycle1"/>
    <dgm:cxn modelId="{FA335D38-E469-4D06-A8F5-A35A446D5907}" type="presParOf" srcId="{A2246A23-8C37-457C-AB44-6056825F995C}" destId="{E477B806-86AE-4D53-B169-4C704BAAAB5D}" srcOrd="21" destOrd="0" presId="urn:microsoft.com/office/officeart/2005/8/layout/cycle1"/>
    <dgm:cxn modelId="{47668937-4146-4330-B42C-3F9898D7B820}" type="presParOf" srcId="{A2246A23-8C37-457C-AB44-6056825F995C}" destId="{7983495C-E113-4E53-87FF-3B30D08FB027}" srcOrd="22" destOrd="0" presId="urn:microsoft.com/office/officeart/2005/8/layout/cycle1"/>
    <dgm:cxn modelId="{FA84EA2E-B2F1-4987-A516-4A3E997BA186}" type="presParOf" srcId="{A2246A23-8C37-457C-AB44-6056825F995C}" destId="{C7708A0D-74ED-4A1D-8387-E13D6EBBA479}" srcOrd="23" destOrd="0" presId="urn:microsoft.com/office/officeart/2005/8/layout/cycle1"/>
    <dgm:cxn modelId="{3B86218B-7BB1-42D8-A4F5-590698972E8A}" type="presParOf" srcId="{A2246A23-8C37-457C-AB44-6056825F995C}" destId="{B2BF8F07-0CBA-4B01-8CCE-51370FC24756}" srcOrd="24" destOrd="0" presId="urn:microsoft.com/office/officeart/2005/8/layout/cycle1"/>
    <dgm:cxn modelId="{9F908329-5DD7-4557-9837-AE4817139CEF}" type="presParOf" srcId="{A2246A23-8C37-457C-AB44-6056825F995C}" destId="{51F980A5-B580-48E2-9A95-79BE94156761}" srcOrd="25" destOrd="0" presId="urn:microsoft.com/office/officeart/2005/8/layout/cycle1"/>
    <dgm:cxn modelId="{ECAE8C10-3BFA-421D-932E-891327416143}" type="presParOf" srcId="{A2246A23-8C37-457C-AB44-6056825F995C}" destId="{F18D3914-A6F3-4D8B-83DA-E6C593E21C25}" srcOrd="26" destOrd="0" presId="urn:microsoft.com/office/officeart/2005/8/layout/cycle1"/>
    <dgm:cxn modelId="{18A7AA68-5447-4D55-9ECA-78DA90217680}" type="presParOf" srcId="{A2246A23-8C37-457C-AB44-6056825F995C}" destId="{C18BD4B1-32D1-46AB-A491-8DB3F573E18C}" srcOrd="27" destOrd="0" presId="urn:microsoft.com/office/officeart/2005/8/layout/cycle1"/>
    <dgm:cxn modelId="{94119225-B5C3-4982-B111-B7F47A5AC2F9}" type="presParOf" srcId="{A2246A23-8C37-457C-AB44-6056825F995C}" destId="{52321EDC-3177-44D7-8DB4-13392C5A23B1}" srcOrd="28" destOrd="0" presId="urn:microsoft.com/office/officeart/2005/8/layout/cycle1"/>
    <dgm:cxn modelId="{08920F52-5210-4959-A65B-BCC48662D5AA}" type="presParOf" srcId="{A2246A23-8C37-457C-AB44-6056825F995C}" destId="{80503C56-8EB9-4FEF-A4BD-19C0D6636CF2}" srcOrd="29" destOrd="0" presId="urn:microsoft.com/office/officeart/2005/8/layout/cycle1"/>
  </dgm:cxnLst>
  <dgm:bg>
    <a:solidFill>
      <a:schemeClr val="accent1">
        <a:lumMod val="40000"/>
        <a:lumOff val="60000"/>
      </a:schemeClr>
    </a:solidFill>
  </dgm:bg>
  <dgm:whole>
    <a:ln w="38100">
      <a:noFill/>
    </a:ln>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9D71F2D-7839-4C60-B41A-474BC73E5874}">
      <dsp:nvSpPr>
        <dsp:cNvPr id="0" name=""/>
        <dsp:cNvSpPr/>
      </dsp:nvSpPr>
      <dsp:spPr>
        <a:xfrm>
          <a:off x="3072623" y="-43342"/>
          <a:ext cx="812611" cy="584691"/>
        </a:xfrm>
        <a:prstGeom prst="rect">
          <a:avLst/>
        </a:prstGeom>
        <a:solidFill>
          <a:schemeClr val="lt1"/>
        </a:solidFill>
        <a:ln w="3175"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AU" sz="800" b="1" kern="1200"/>
            <a:t>2. Application form including</a:t>
          </a:r>
          <a:br>
            <a:rPr lang="en-AU" sz="800" b="1" kern="1200"/>
          </a:br>
          <a:r>
            <a:rPr lang="en-AU" sz="800" b="1" kern="1200"/>
            <a:t>a cost benefit analysis.</a:t>
          </a:r>
        </a:p>
      </dsp:txBody>
      <dsp:txXfrm>
        <a:off x="3072623" y="-43342"/>
        <a:ext cx="812611" cy="584691"/>
      </dsp:txXfrm>
    </dsp:sp>
    <dsp:sp modelId="{592FA485-6509-4A50-8361-BAB75AB49550}">
      <dsp:nvSpPr>
        <dsp:cNvPr id="0" name=""/>
        <dsp:cNvSpPr/>
      </dsp:nvSpPr>
      <dsp:spPr>
        <a:xfrm>
          <a:off x="774193" y="38774"/>
          <a:ext cx="4185978" cy="4185978"/>
        </a:xfrm>
        <a:prstGeom prst="circularArrow">
          <a:avLst>
            <a:gd name="adj1" fmla="val 2499"/>
            <a:gd name="adj2" fmla="val 151408"/>
            <a:gd name="adj3" fmla="val 18668980"/>
            <a:gd name="adj4" fmla="val 18056872"/>
            <a:gd name="adj5" fmla="val 2916"/>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42A67EB-5157-4DDE-A6A8-6302B5168005}">
      <dsp:nvSpPr>
        <dsp:cNvPr id="0" name=""/>
        <dsp:cNvSpPr/>
      </dsp:nvSpPr>
      <dsp:spPr>
        <a:xfrm>
          <a:off x="4017203" y="699900"/>
          <a:ext cx="903104" cy="536508"/>
        </a:xfrm>
        <a:prstGeom prst="rect">
          <a:avLst/>
        </a:prstGeom>
        <a:solidFill>
          <a:schemeClr val="lt1"/>
        </a:solidFill>
        <a:ln w="3175"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AU" sz="800" b="1" kern="1200"/>
            <a:t>3. Responsible portfolio minister's agreement.</a:t>
          </a:r>
        </a:p>
      </dsp:txBody>
      <dsp:txXfrm>
        <a:off x="4017203" y="699900"/>
        <a:ext cx="903104" cy="536508"/>
      </dsp:txXfrm>
    </dsp:sp>
    <dsp:sp modelId="{29B0E74E-BB7E-4AEE-A1BC-7271E4ED2BB0}">
      <dsp:nvSpPr>
        <dsp:cNvPr id="0" name=""/>
        <dsp:cNvSpPr/>
      </dsp:nvSpPr>
      <dsp:spPr>
        <a:xfrm>
          <a:off x="774235" y="23161"/>
          <a:ext cx="4185978" cy="4185978"/>
        </a:xfrm>
        <a:prstGeom prst="circularArrow">
          <a:avLst>
            <a:gd name="adj1" fmla="val 2499"/>
            <a:gd name="adj2" fmla="val 151408"/>
            <a:gd name="adj3" fmla="val 20971967"/>
            <a:gd name="adj4" fmla="val 19986598"/>
            <a:gd name="adj5" fmla="val 2916"/>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8A24C56-AB1C-4EDC-9B37-5EB5313BD3DA}">
      <dsp:nvSpPr>
        <dsp:cNvPr id="0" name=""/>
        <dsp:cNvSpPr/>
      </dsp:nvSpPr>
      <dsp:spPr>
        <a:xfrm>
          <a:off x="4477009" y="1858174"/>
          <a:ext cx="739651" cy="547179"/>
        </a:xfrm>
        <a:prstGeom prst="rect">
          <a:avLst/>
        </a:prstGeom>
        <a:solidFill>
          <a:schemeClr val="lt1"/>
        </a:solidFill>
        <a:ln w="3175"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AU" sz="800" b="1" kern="1200"/>
            <a:t>4. Finance Minister's support.</a:t>
          </a:r>
        </a:p>
      </dsp:txBody>
      <dsp:txXfrm>
        <a:off x="4477009" y="1858174"/>
        <a:ext cx="739651" cy="547179"/>
      </dsp:txXfrm>
    </dsp:sp>
    <dsp:sp modelId="{9854ED67-C3D3-4C8B-B62D-CDA22DA4716D}">
      <dsp:nvSpPr>
        <dsp:cNvPr id="0" name=""/>
        <dsp:cNvSpPr/>
      </dsp:nvSpPr>
      <dsp:spPr>
        <a:xfrm>
          <a:off x="537635" y="30355"/>
          <a:ext cx="4414072" cy="4361245"/>
        </a:xfrm>
        <a:prstGeom prst="circularArrow">
          <a:avLst>
            <a:gd name="adj1" fmla="val 2499"/>
            <a:gd name="adj2" fmla="val 151408"/>
            <a:gd name="adj3" fmla="val 1009424"/>
            <a:gd name="adj4" fmla="val 253084"/>
            <a:gd name="adj5" fmla="val 2916"/>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9FB9623-50A0-4E5F-85D0-0EAA399A25E4}">
      <dsp:nvSpPr>
        <dsp:cNvPr id="0" name=""/>
        <dsp:cNvSpPr/>
      </dsp:nvSpPr>
      <dsp:spPr>
        <a:xfrm>
          <a:off x="4124102" y="2915587"/>
          <a:ext cx="991944" cy="412145"/>
        </a:xfrm>
        <a:prstGeom prst="rect">
          <a:avLst/>
        </a:prstGeom>
        <a:solidFill>
          <a:schemeClr val="bg1"/>
        </a:solidFill>
        <a:ln>
          <a:solidFill>
            <a:schemeClr val="tx1"/>
          </a:solidFill>
        </a:ln>
        <a:effectLst/>
      </dsp:spPr>
      <dsp:style>
        <a:lnRef idx="0">
          <a:scrgbClr r="0" g="0" b="0"/>
        </a:lnRef>
        <a:fillRef idx="0">
          <a:scrgbClr r="0" g="0" b="0"/>
        </a:fillRef>
        <a:effectRef idx="0">
          <a:scrgbClr r="0" g="0" b="0"/>
        </a:effectRef>
        <a:fontRef idx="minor"/>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AU" sz="800" b="1" kern="1200"/>
            <a:t>5. Government Submission</a:t>
          </a:r>
          <a:br>
            <a:rPr lang="en-AU" sz="800" b="1" kern="1200"/>
          </a:br>
          <a:r>
            <a:rPr lang="en-AU" sz="800" b="1" kern="1200"/>
            <a:t>(including RIS).</a:t>
          </a:r>
        </a:p>
      </dsp:txBody>
      <dsp:txXfrm>
        <a:off x="4124102" y="2915587"/>
        <a:ext cx="991944" cy="412145"/>
      </dsp:txXfrm>
    </dsp:sp>
    <dsp:sp modelId="{0B83E2F2-D40C-4430-B50F-DA488AC240BB}">
      <dsp:nvSpPr>
        <dsp:cNvPr id="0" name=""/>
        <dsp:cNvSpPr/>
      </dsp:nvSpPr>
      <dsp:spPr>
        <a:xfrm>
          <a:off x="834166" y="15124"/>
          <a:ext cx="4185978" cy="4185978"/>
        </a:xfrm>
        <a:prstGeom prst="circularArrow">
          <a:avLst>
            <a:gd name="adj1" fmla="val 2499"/>
            <a:gd name="adj2" fmla="val 151408"/>
            <a:gd name="adj3" fmla="val 3395950"/>
            <a:gd name="adj4" fmla="val 2281815"/>
            <a:gd name="adj5" fmla="val 2916"/>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4FC14EB-AB39-46C3-84A8-9DCB21418BAC}">
      <dsp:nvSpPr>
        <dsp:cNvPr id="0" name=""/>
        <dsp:cNvSpPr/>
      </dsp:nvSpPr>
      <dsp:spPr>
        <a:xfrm>
          <a:off x="3087214" y="3662004"/>
          <a:ext cx="855902" cy="705041"/>
        </a:xfrm>
        <a:prstGeom prst="rect">
          <a:avLst/>
        </a:prstGeom>
        <a:solidFill>
          <a:schemeClr val="bg1"/>
        </a:solidFill>
        <a:ln w="3175" cap="flat" cmpd="sng" algn="ctr">
          <a:solidFill>
            <a:schemeClr val="tx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AU" sz="800" b="1" kern="1200"/>
            <a:t>6. Government makes documented decision to recognise GCP and/or PCP.</a:t>
          </a:r>
        </a:p>
      </dsp:txBody>
      <dsp:txXfrm>
        <a:off x="3087214" y="3662004"/>
        <a:ext cx="855902" cy="705041"/>
      </dsp:txXfrm>
    </dsp:sp>
    <dsp:sp modelId="{1A0EC664-7413-44B3-A27C-85CC66418814}">
      <dsp:nvSpPr>
        <dsp:cNvPr id="0" name=""/>
        <dsp:cNvSpPr/>
      </dsp:nvSpPr>
      <dsp:spPr>
        <a:xfrm>
          <a:off x="962147" y="38336"/>
          <a:ext cx="4185978" cy="4185978"/>
        </a:xfrm>
        <a:prstGeom prst="circularArrow">
          <a:avLst>
            <a:gd name="adj1" fmla="val 2499"/>
            <a:gd name="adj2" fmla="val 151408"/>
            <a:gd name="adj3" fmla="val 5907015"/>
            <a:gd name="adj4" fmla="val 5344294"/>
            <a:gd name="adj5" fmla="val 2916"/>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F229065-323B-4B94-8C82-36F5594B0E44}">
      <dsp:nvSpPr>
        <dsp:cNvPr id="0" name=""/>
        <dsp:cNvSpPr/>
      </dsp:nvSpPr>
      <dsp:spPr>
        <a:xfrm>
          <a:off x="1789111" y="3776710"/>
          <a:ext cx="889181" cy="403175"/>
        </a:xfrm>
        <a:prstGeom prst="rect">
          <a:avLst/>
        </a:prstGeom>
        <a:solidFill>
          <a:schemeClr val="lt1"/>
        </a:solidFill>
        <a:ln w="3175"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AU" sz="800" b="1" kern="1200"/>
            <a:t>7. Implementation period.</a:t>
          </a:r>
        </a:p>
      </dsp:txBody>
      <dsp:txXfrm>
        <a:off x="1789111" y="3776710"/>
        <a:ext cx="889181" cy="403175"/>
      </dsp:txXfrm>
    </dsp:sp>
    <dsp:sp modelId="{A94B8539-413D-475A-9F56-54213EBB1B60}">
      <dsp:nvSpPr>
        <dsp:cNvPr id="0" name=""/>
        <dsp:cNvSpPr/>
      </dsp:nvSpPr>
      <dsp:spPr>
        <a:xfrm>
          <a:off x="596512" y="-92761"/>
          <a:ext cx="4185978" cy="4185978"/>
        </a:xfrm>
        <a:prstGeom prst="circularArrow">
          <a:avLst>
            <a:gd name="adj1" fmla="val 2499"/>
            <a:gd name="adj2" fmla="val 151408"/>
            <a:gd name="adj3" fmla="val 7927117"/>
            <a:gd name="adj4" fmla="val 6971120"/>
            <a:gd name="adj5" fmla="val 2916"/>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A5962B2-34BB-48E9-8BB2-B9E48662078B}">
      <dsp:nvSpPr>
        <dsp:cNvPr id="0" name=""/>
        <dsp:cNvSpPr/>
      </dsp:nvSpPr>
      <dsp:spPr>
        <a:xfrm>
          <a:off x="696746" y="2872261"/>
          <a:ext cx="834254" cy="536508"/>
        </a:xfrm>
        <a:prstGeom prst="rect">
          <a:avLst/>
        </a:prstGeom>
        <a:solidFill>
          <a:schemeClr val="lt1"/>
        </a:solidFill>
        <a:ln w="3175"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AU" sz="800" b="1" kern="1200"/>
            <a:t>8. Active management of policy.</a:t>
          </a:r>
        </a:p>
      </dsp:txBody>
      <dsp:txXfrm>
        <a:off x="696746" y="2872261"/>
        <a:ext cx="834254" cy="536508"/>
      </dsp:txXfrm>
    </dsp:sp>
    <dsp:sp modelId="{338CDD33-7653-4E30-9FBD-FDB96FF73285}">
      <dsp:nvSpPr>
        <dsp:cNvPr id="0" name=""/>
        <dsp:cNvSpPr/>
      </dsp:nvSpPr>
      <dsp:spPr>
        <a:xfrm>
          <a:off x="777538" y="176710"/>
          <a:ext cx="4185978" cy="4185978"/>
        </a:xfrm>
        <a:prstGeom prst="circularArrow">
          <a:avLst>
            <a:gd name="adj1" fmla="val 2499"/>
            <a:gd name="adj2" fmla="val 151408"/>
            <a:gd name="adj3" fmla="val 10611007"/>
            <a:gd name="adj4" fmla="val 9736755"/>
            <a:gd name="adj5" fmla="val 2916"/>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983495C-E113-4E53-87FF-3B30D08FB027}">
      <dsp:nvSpPr>
        <dsp:cNvPr id="0" name=""/>
        <dsp:cNvSpPr/>
      </dsp:nvSpPr>
      <dsp:spPr>
        <a:xfrm>
          <a:off x="521045" y="1754834"/>
          <a:ext cx="732993" cy="536508"/>
        </a:xfrm>
        <a:prstGeom prst="rect">
          <a:avLst/>
        </a:prstGeom>
        <a:solidFill>
          <a:schemeClr val="lt1"/>
        </a:solidFill>
        <a:ln w="3175"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AU" sz="800" b="1" kern="1200"/>
            <a:t>9. Annual review mechanism.</a:t>
          </a:r>
        </a:p>
      </dsp:txBody>
      <dsp:txXfrm>
        <a:off x="521045" y="1754834"/>
        <a:ext cx="732993" cy="536508"/>
      </dsp:txXfrm>
    </dsp:sp>
    <dsp:sp modelId="{C7708A0D-74ED-4A1D-8387-E13D6EBBA479}">
      <dsp:nvSpPr>
        <dsp:cNvPr id="0" name=""/>
        <dsp:cNvSpPr/>
      </dsp:nvSpPr>
      <dsp:spPr>
        <a:xfrm>
          <a:off x="809246" y="-37110"/>
          <a:ext cx="4136207" cy="4185978"/>
        </a:xfrm>
        <a:prstGeom prst="circularArrow">
          <a:avLst>
            <a:gd name="adj1" fmla="val 2499"/>
            <a:gd name="adj2" fmla="val 151408"/>
            <a:gd name="adj3" fmla="val 11819057"/>
            <a:gd name="adj4" fmla="val 11324812"/>
            <a:gd name="adj5" fmla="val 2916"/>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1F980A5-B580-48E2-9A95-79BE94156761}">
      <dsp:nvSpPr>
        <dsp:cNvPr id="0" name=""/>
        <dsp:cNvSpPr/>
      </dsp:nvSpPr>
      <dsp:spPr>
        <a:xfrm>
          <a:off x="947705" y="483540"/>
          <a:ext cx="635831" cy="911264"/>
        </a:xfrm>
        <a:prstGeom prst="rect">
          <a:avLst/>
        </a:prstGeom>
        <a:solidFill>
          <a:schemeClr val="bg1"/>
        </a:solidFill>
        <a:ln w="3175"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AU" sz="800" b="1" kern="1200"/>
            <a:t>10. GCP and/or PCP lapses after five years. Reapply if required.</a:t>
          </a:r>
        </a:p>
      </dsp:txBody>
      <dsp:txXfrm>
        <a:off x="947705" y="483540"/>
        <a:ext cx="635831" cy="911264"/>
      </dsp:txXfrm>
    </dsp:sp>
    <dsp:sp modelId="{F18D3914-A6F3-4D8B-83DA-E6C593E21C25}">
      <dsp:nvSpPr>
        <dsp:cNvPr id="0" name=""/>
        <dsp:cNvSpPr/>
      </dsp:nvSpPr>
      <dsp:spPr>
        <a:xfrm>
          <a:off x="680769" y="91120"/>
          <a:ext cx="4185978" cy="4185978"/>
        </a:xfrm>
        <a:prstGeom prst="circularArrow">
          <a:avLst>
            <a:gd name="adj1" fmla="val 2499"/>
            <a:gd name="adj2" fmla="val 151408"/>
            <a:gd name="adj3" fmla="val 14385887"/>
            <a:gd name="adj4" fmla="val 13982530"/>
            <a:gd name="adj5" fmla="val 2916"/>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2321EDC-3177-44D7-8DB4-13392C5A23B1}">
      <dsp:nvSpPr>
        <dsp:cNvPr id="0" name=""/>
        <dsp:cNvSpPr/>
      </dsp:nvSpPr>
      <dsp:spPr>
        <a:xfrm>
          <a:off x="1853173" y="-60585"/>
          <a:ext cx="804526" cy="619178"/>
        </a:xfrm>
        <a:prstGeom prst="rect">
          <a:avLst/>
        </a:prstGeom>
        <a:solidFill>
          <a:schemeClr val="lt1"/>
        </a:solidFill>
        <a:ln w="3175"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AU" sz="800" b="1" kern="1200"/>
            <a:t>1. Policy Rationale.</a:t>
          </a:r>
        </a:p>
      </dsp:txBody>
      <dsp:txXfrm>
        <a:off x="1853173" y="-60585"/>
        <a:ext cx="804526" cy="619178"/>
      </dsp:txXfrm>
    </dsp:sp>
    <dsp:sp modelId="{80503C56-8EB9-4FEF-A4BD-19C0D6636CF2}">
      <dsp:nvSpPr>
        <dsp:cNvPr id="0" name=""/>
        <dsp:cNvSpPr/>
      </dsp:nvSpPr>
      <dsp:spPr>
        <a:xfrm>
          <a:off x="774193" y="38774"/>
          <a:ext cx="4185978" cy="4185978"/>
        </a:xfrm>
        <a:prstGeom prst="circularArrow">
          <a:avLst>
            <a:gd name="adj1" fmla="val 2499"/>
            <a:gd name="adj2" fmla="val 151408"/>
            <a:gd name="adj3" fmla="val 16405991"/>
            <a:gd name="adj4" fmla="val 15835542"/>
            <a:gd name="adj5" fmla="val 2916"/>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Finance 1 Blue">
  <a:themeElements>
    <a:clrScheme name="Finance - Blue">
      <a:dk1>
        <a:sysClr val="windowText" lastClr="000000"/>
      </a:dk1>
      <a:lt1>
        <a:sysClr val="window" lastClr="FFFFFF"/>
      </a:lt1>
      <a:dk2>
        <a:srgbClr val="1C1C1C"/>
      </a:dk2>
      <a:lt2>
        <a:srgbClr val="E2E3E2"/>
      </a:lt2>
      <a:accent1>
        <a:srgbClr val="BDDCDF"/>
      </a:accent1>
      <a:accent2>
        <a:srgbClr val="92C5C5"/>
      </a:accent2>
      <a:accent3>
        <a:srgbClr val="19806D"/>
      </a:accent3>
      <a:accent4>
        <a:srgbClr val="C94A2C"/>
      </a:accent4>
      <a:accent5>
        <a:srgbClr val="645493"/>
      </a:accent5>
      <a:accent6>
        <a:srgbClr val="E8B60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1 Blue" id="{F0E8012F-52C4-4285-8588-15EF98A0938A}" vid="{1F551BCA-87CD-4010-B1B7-2E689DDB7D1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4767E-8F72-4ECD-96F6-F3140C401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1980</Words>
  <Characters>11288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
  <dc:description/>
  <cp:lastModifiedBy>Bainbridge, Meena</cp:lastModifiedBy>
  <cp:revision>2</cp:revision>
  <cp:lastPrinted>2016-10-26T03:21:00Z</cp:lastPrinted>
  <dcterms:created xsi:type="dcterms:W3CDTF">2021-01-20T05:21:00Z</dcterms:created>
  <dcterms:modified xsi:type="dcterms:W3CDTF">2021-01-20T05:21:00Z</dcterms:modified>
  <cp:contentStatus/>
</cp:coreProperties>
</file>